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22e057cb-6e08-4ff3-a46f-218aaab5eaf2</errorID>
      <errorWord>(</errorWord>
      <group>L1_Format</group>
      <groupName>格式问题</groupName>
      <ability>L2_HalfPunc_CN</ability>
      <abilityName/>
      <candidateList>
        <item>（</item>
      </candidateList>
      <explain>文本全半角错误。</explain>
      <paraID>360E44D3</paraID>
      <start>71</start>
      <end>72</end>
      <status>modified</status>
      <modifiedWord>（</modifiedWord>
      <trackRevisions>false</trackRevisions>
    </reviewItem>
    <reviewItem>
      <errorID>c72622a9-e075-4d84-b07a-5d35761d1298</errorID>
      <errorWord>)</errorWord>
      <group>L1_Format</group>
      <groupName>格式问题</groupName>
      <ability>L2_HalfPunc_CN</ability>
      <abilityName/>
      <candidateList>
        <item>）</item>
      </candidateList>
      <explain>文本全半角错误。</explain>
      <paraID>360E44D3</paraID>
      <start>78</start>
      <end>79</end>
      <status>modified</status>
      <modifiedWord>）</modifiedWord>
      <trackRevisions>false</trackRevisions>
    </reviewItem>
    <reviewItem>
      <errorID>27a66c6b-4d5c-4f03-a72d-3eb0db9fadfd</errorID>
      <errorWord>日本</errorWord>
      <group>L1_Word</group>
      <groupName>字词问题</groupName>
      <ability>L2_Typo</ability>
      <abilityName>字词错误</abilityName>
      <candidateList>
        <item>日，本</item>
      </candidateList>
      <explain/>
      <paraID>7A69D89E</paraID>
      <start>90</start>
      <end>93</end>
      <status>modified</status>
      <modifiedWord>日，本</modifiedWord>
      <trackRevisions>false</trackRevisions>
    </reviewItem>
    <reviewItem>
      <errorID>a84e02af-4209-4cdc-93fb-295393f6afbe</errorID>
      <errorWord>同意</errorWord>
      <group>L1_Grammar</group>
      <groupName>语法问题</groupName>
      <ability>L2_Grammar</ability>
      <abilityName>语法错误</abilityName>
      <candidateList>
        <item>该批复同意</item>
      </candidateList>
      <explain/>
      <paraID>7A69D89E</paraID>
      <start>171</start>
      <end>173</end>
      <status>ignored</status>
      <modifiedWord/>
      <trackRevisions>false</trackRevisions>
    </reviewItem>
    <reviewItem>
      <errorID>5bb031f2-66af-4117-9ceb-b7c3913f4914</errorID>
      <errorWord>提高</errorWord>
      <group>L1_Word</group>
      <groupName>字词问题</groupName>
      <ability>L2_Typo</ability>
      <abilityName>字词错误</abilityName>
      <candidateList>
        <item>改善</item>
      </candidateList>
      <explain/>
      <paraID>1F613485</paraID>
      <start>79</start>
      <end>81</end>
      <status>modified</status>
      <modifiedWord>改善</modifiedWord>
      <trackRevisions>false</trackRevisions>
    </reviewItem>
    <reviewItem>
      <errorID>7f240158-46d5-4383-9885-57acc305c418</errorID>
      <errorWord>过水能力和抗冲能力有效提高</errorWord>
      <group>L1_Word</group>
      <groupName>字词问题</groupName>
      <ability>L2_Typo</ability>
      <abilityName>字词错误</abilityName>
      <candidateList>
        <item>有效提高过水能力和抗冲能力</item>
      </candidateList>
      <explain/>
      <paraID>1F613485</paraID>
      <start>96</start>
      <end>109</end>
      <status>modified</status>
      <modifiedWord>有效提高过水能力和抗冲能力</modifiedWord>
      <trackRevisions>false</trackRevisions>
    </reviewItem>
    <reviewItem>
      <errorID>c0c45c20-44da-45c9-928e-d1c263a864d6</errorID>
      <errorWord>获得感、幸福感和安全感</errorWord>
      <group>L1_Political</group>
      <groupName>政治性问题</groupName>
      <ability>L2_Keyword</ability>
      <abilityName>固定表述</abilityName>
      <candidateList>
        <item>获得感、幸福感、安全感</item>
      </candidateList>
      <explain>词汇“获得感、幸福感、安全感”在特定场景下为固定表述形式，请确认此处的“获得感、幸福感和安全感”是否存在不当。</explain>
      <paraID>3055B85E</paraID>
      <start>368</start>
      <end>379</end>
      <status>modified</status>
      <modifiedWord>获得感、幸福感、安全感</modifiedWord>
      <trackRevisions>false</trackRevisions>
    </reviewItem>
    <reviewItem>
      <errorID>b151369e-0345-4f56-a2b8-09613d91338e</errorID>
      <errorWord>提高</errorWord>
      <group>L1_Word</group>
      <groupName>字词问题</groupName>
      <ability>L2_Typo</ability>
      <abilityName>字词错误</abilityName>
      <candidateList>
        <item>改善</item>
      </candidateList>
      <explain/>
      <paraID>4E6F46D5</paraID>
      <start>79</start>
      <end>81</end>
      <status>modified</status>
      <modifiedWord>改善</modifiedWord>
      <trackRevisions>false</trackRevisions>
    </reviewItem>
    <reviewItem>
      <errorID>48b06ece-f053-4ce5-a253-bc43a4ddee6f</errorID>
      <errorWord>过水能力和抗冲能力有效提高</errorWord>
      <group>L1_Word</group>
      <groupName>字词问题</groupName>
      <ability>L2_Typo</ability>
      <abilityName>字词错误</abilityName>
      <candidateList>
        <item>有效提高过水能力和抗冲能力</item>
      </candidateList>
      <explain/>
      <paraID>4E6F46D5</paraID>
      <start>96</start>
      <end>109</end>
      <status>modified</status>
      <modifiedWord>有效提高过水能力和抗冲能力</modifiedWord>
      <trackRevisions>false</trackRevisions>
    </reviewItem>
    <reviewItem>
      <errorID>eb9e38b9-cfd0-4b2d-894a-df33b7e3b51b</errorID>
      <errorWord>阜康</errorWord>
      <group>L1_Word</group>
      <groupName>字词问题</groupName>
      <ability>L2_Typo</ability>
      <abilityName>字词错误</abilityName>
      <candidateList>
        <item> 阜康</item>
      </candidateList>
      <explain/>
      <paraID>11032F97</paraID>
      <start>60</start>
      <end>63</end>
      <status>modified</status>
      <modifiedWord> 阜康</modifiedWord>
      <trackRevisions>false</trackRevisions>
    </reviewItem>
    <reviewItem>
      <errorID>d85f6075-1df7-4688-a43a-6b28a96e1a54</errorID>
      <errorWord>《</errorWord>
      <group>L1_Punc</group>
      <groupName>标点问题</groupName>
      <ability>L2_Punc_CN</ability>
      <abilityName/>
      <candidateList/>
      <explain>此处标点可能未正确匹配，请检查句子中是否存在标点冗余、缺失或使用错误的情况。</explain>
      <paraID>1B47C34E</paraID>
      <start>2</start>
      <end>3</end>
      <status>ignored</status>
      <modifiedWord/>
      <trackRevisions>false</trackRevisions>
    </reviewItem>
    <reviewItem>
      <errorID>01c06cc5-da38-4715-b445-b1c6848869fb</errorID>
      <errorWord>仅是</errorWord>
      <group>L1_Word</group>
      <groupName>字词问题</groupName>
      <ability>L2_Typo</ability>
      <abilityName>字词错误</abilityName>
      <candidateList>
        <item>仅</item>
      </candidateList>
      <explain/>
      <paraID>35B0870A</paraID>
      <start>26</start>
      <end>27</end>
      <status>modified</status>
      <modifiedWord>仅</modifiedWord>
      <trackRevisions>false</trackRevisions>
    </reviewItem>
    <reviewItem>
      <errorID>bac8fa5b-d61a-430f-9231-f59167d6d81a</errorID>
      <errorWord>上线</errorWord>
      <group>L1_Word</group>
      <groupName>字词问题</groupName>
      <ability>L2_Typo</ability>
      <abilityName>字词错误</abilityName>
      <candidateList>
        <item>上限</item>
      </candidateList>
      <explain/>
      <paraID>35B0870A</paraID>
      <start>73</start>
      <end>75</end>
      <status>ignored</status>
      <modifiedWord/>
      <trackRevisions>false</trackRevisions>
    </reviewItem>
    <reviewItem>
      <errorID>1129d057-b392-4ae2-980a-4579015bd5ba</errorID>
      <errorWord>法律、法规</errorWord>
      <group>L1_Word</group>
      <groupName>字词问题</groupName>
      <ability>L2_Typo</ability>
      <abilityName>字词错误</abilityName>
      <candidateList>
        <item>法律法规</item>
      </candidateList>
      <explain/>
      <paraID>208FD859</paraID>
      <start>62</start>
      <end>67</end>
      <status>ignored</status>
      <modifiedWord/>
      <trackRevisions>false</trackRevisions>
    </reviewItem>
    <reviewItem>
      <errorID>1f73f706-60e0-465a-a4aa-138296abf976</errorID>
      <errorWord>保护区内</errorWord>
      <group>L1_Word</group>
      <groupName>字词问题</groupName>
      <ability>L2_Typo</ability>
      <abilityName>字词错误</abilityName>
      <candidateList>
        <item>保护区</item>
      </candidateList>
      <explain/>
      <paraID>15EFC2A1</paraID>
      <start>27</start>
      <end>31</end>
      <status>ignored</status>
      <modifiedWord/>
      <trackRevisions>false</trackRevisions>
    </reviewItem>
    <reviewItem>
      <errorID>3beb5236-d99a-45dc-8025-57abfd4bc286</errorID>
      <errorWord>扬尘影响</errorWord>
      <group>L1_Grammar</group>
      <groupName>语法问题</groupName>
      <ability>L2_Grammar</ability>
      <abilityName>语法错误</abilityName>
      <candidateList>
        <item>而</item>
      </candidateList>
      <explain/>
      <paraID>411B48D8</paraID>
      <start>125</start>
      <end>126</end>
      <status>modified</status>
      <modifiedWord>而</modifiedWord>
      <trackRevisions>false</trackRevisions>
    </reviewItem>
    <reviewItem>
      <errorID>7cde4fa1-3ec0-4f64-a319-e299849c918b</errorID>
      <errorWord>丁</errorWord>
      <group>L1_Word</group>
      <groupName>字词问题</groupName>
      <ability>L2_Typo</ability>
      <abilityName>字词错误</abilityName>
      <candidateList>
        <item> </item>
      </candidateList>
      <explain/>
      <paraID>34E80067</paraID>
      <start>6</start>
      <end>7</end>
      <status>modified</status>
      <modifiedWord> </modifiedWord>
      <trackRevisions>false</trackRevisions>
    </reviewItem>
    <reviewItem>
      <errorID>f07f6838-ff8a-444e-a34c-e83662512d45</errorID>
      <errorWord>对</errorWord>
      <group>L1_Word</group>
      <groupName>字词问题</groupName>
      <ability>L2_Typo</ability>
      <abilityName>字词错误</abilityName>
      <candidateList>
        <item> 对</item>
      </candidateList>
      <explain/>
      <paraID>6325954C</paraID>
      <start>6</start>
      <end>7</end>
      <status>ignored</status>
      <modifiedWord/>
      <trackRevisions>false</trackRevisions>
    </reviewItem>
    <reviewItem>
      <errorID>71b86fb5-3bd1-4426-a9d5-97fdde0fe1f5</errorID>
      <errorWord>加强</errorWord>
      <group>L1_Word</group>
      <groupName>字词问题</groupName>
      <ability>L2_Typo</ability>
      <abilityName>字词错误</abilityName>
      <candidateList>
        <item> 加强</item>
      </candidateList>
      <explain/>
      <paraID>2616058E</paraID>
      <start>6</start>
      <end>8</end>
      <status>ignored</status>
      <modifiedWord/>
      <trackRevisions>false</trackRevisions>
    </reviewItem>
    <reviewItem>
      <errorID>22ee61e0-1c45-4de8-97e9-1f5b6ead8633</errorID>
      <errorWord>强化</errorWord>
      <group>L1_Word</group>
      <groupName>字词问题</groupName>
      <ability>L2_Typo</ability>
      <abilityName>字词错误</abilityName>
      <candidateList>
        <item> 强化</item>
      </candidateList>
      <explain/>
      <paraID>48839DB6</paraID>
      <start>6</start>
      <end>8</end>
      <status>ignored</status>
      <modifiedWord/>
      <trackRevisions>false</trackRevisions>
    </reviewItem>
    <reviewItem>
      <errorID>d8b1b8fd-e40e-405e-9d37-44e28fdc19ed</errorID>
      <errorWord>自治区</errorWord>
      <group>L1_Word</group>
      <groupName>字词问题</groupName>
      <ability>L2_Typo</ability>
      <abilityName>字词错误</abilityName>
      <candidateList>
        <item> 自治区</item>
      </candidateList>
      <explain/>
      <paraID>43E5823A</paraID>
      <start>6</start>
      <end>9</end>
      <status>ignored</status>
      <modifiedWord/>
      <trackRevisions>false</trackRevisions>
    </reviewItem>
    <reviewItem>
      <errorID>8ee7f416-4c82-4210-9333-c18b702b7fbe</errorID>
      <errorWord>土地</errorWord>
      <group>L1_Word</group>
      <groupName>字词问题</groupName>
      <ability>L2_Typo</ability>
      <abilityName>字词错误</abilityName>
      <candidateList>
        <item> 土地</item>
      </candidateList>
      <explain/>
      <paraID>4E404F32</paraID>
      <start>6</start>
      <end>8</end>
      <status>ignored</status>
      <modifiedWord/>
      <trackRevisions>false</trackRevisions>
    </reviewItem>
    <reviewItem>
      <errorID>dd0be73b-8485-46f6-b41e-b4e8d281429e</errorID>
      <errorWord>单位</errorWord>
      <group>L1_Word</group>
      <groupName>字词问题</groupName>
      <ability>L2_Typo</ability>
      <abilityName>字词错误</abilityName>
      <candidateList>
        <item> 单位</item>
      </candidateList>
      <explain/>
      <paraID>78402FC3</paraID>
      <start>6</start>
      <end>8</end>
      <status>ignored</status>
      <modifiedWord/>
      <trackRevisions>false</trackRevisions>
    </reviewItem>
    <reviewItem>
      <errorID>a6e26fc5-e1b6-4430-a441-682fba33b8bd</errorID>
      <errorWord>在</errorWord>
      <group>L1_Word</group>
      <groupName>字词问题</groupName>
      <ability>L2_Typo</ability>
      <abilityName>字词错误</abilityName>
      <candidateList>
        <item> 在</item>
      </candidateList>
      <explain/>
      <paraID>6B477788</paraID>
      <start>6</start>
      <end>7</end>
      <status>ignored</status>
      <modifiedWord/>
      <trackRevisions>false</trackRevisions>
    </reviewItem>
    <reviewItem>
      <errorID>46afad0b-1edc-486a-839f-930e53f59e50</errorID>
      <errorWord>阿尔泰山、准噶尔西部山地等水源涵养功能和生物多样性功能维护</errorWord>
      <group>L1_Word</group>
      <groupName>字词问题</groupName>
      <ability>L2_Typo</ability>
      <abilityName>字词错误</abilityName>
      <candidateList>
        <item>维护阿尔泰山、准噶尔西部山地等水源涵养功能和生物多样性功能</item>
      </candidateList>
      <explain/>
      <paraID>7E4E9344</paraID>
      <start>15</start>
      <end>44</end>
      <status>ignored</status>
      <modifiedWord/>
      <trackRevisions>false</trackRevisions>
    </reviewItem>
    <reviewItem>
      <errorID>7d276af8-2c0d-4686-8fb7-3d8f8d190944</errorID>
      <errorWord>多样性保护</errorWord>
      <group>L1_Grammar</group>
      <groupName>语法问题</groupName>
      <ability>L2_Grammar</ability>
      <abilityName>语法错误</abilityName>
      <candidateList>
        <item>多样性</item>
      </candidateList>
      <explain/>
      <paraID>7E4E9344</paraID>
      <start>71</start>
      <end>76</end>
      <status>ignored</status>
      <modifiedWord/>
      <trackRevisions>false</trackRevisions>
    </reviewItem>
    <reviewItem>
      <errorID>7879e7a3-67f5-4765-9b64-bbc847764c09</errorID>
      <errorWord>大气污染</errorWord>
      <group>L1_Grammar</group>
      <groupName>语法问题</groupName>
      <ability>L2_Grammar</ability>
      <abilityName>语法错误</abilityName>
      <candidateList>
        <item>重点进行大气污染</item>
      </candidateList>
      <explain/>
      <paraID>7E4E9344</paraID>
      <start>118</start>
      <end>122</end>
      <status>ignored</status>
      <modifiedWord/>
      <trackRevisions>false</trackRevisions>
    </reviewItem>
    <reviewItem>
      <errorID>31927e39-5f6f-4f25-bb98-eccd334739a5</errorID>
      <errorWord>建成区</errorWord>
      <group>L1_Word</group>
      <groupName>字词问题</groupName>
      <ability>L2_Typo</ability>
      <abilityName>字词错误</abilityName>
      <candidateList>
        <item>在建成区</item>
      </candidateList>
      <explain/>
      <paraID>7E4E9344</paraID>
      <start>125</start>
      <end>128</end>
      <status>ignored</status>
      <modifiedWord/>
      <trackRevisions>false</trackRevisions>
    </reviewItem>
    <reviewItem>
      <errorID>098c90eb-5adb-4506-a9cf-4a708bc78102</errorID>
      <errorWord>绿洲</errorWord>
      <group>L1_Grammar</group>
      <groupName>语法问题</groupName>
      <ability>L2_Grammar</ability>
      <abilityName>语法错误</abilityName>
      <candidateList>
        <item>重点进行绿洲</item>
      </candidateList>
      <explain/>
      <paraID>7E4E9344</paraID>
      <start>217</start>
      <end>219</end>
      <status>ignored</status>
      <modifiedWord/>
      <trackRevisions>false</trackRevisions>
    </reviewItem>
    <reviewItem>
      <errorID>0570bc77-e44c-4000-a066-f45646077b54</errorID>
      <errorWord>水土资源</errorWord>
      <group>L1_Grammar</group>
      <groupName>语法问题</groupName>
      <ability>L2_Grammar</ability>
      <abilityName>语法错误</abilityName>
      <candidateList>
        <item>提升水土资源</item>
      </candidateList>
      <explain/>
      <paraID>7E4E9344</paraID>
      <start>231</start>
      <end>235</end>
      <status>ignored</status>
      <modifiedWord/>
      <trackRevisions>false</trackRevisions>
    </reviewItem>
    <reviewItem>
      <errorID>68f561b2-2afd-4fe7-a211-cf44c79eb92e</errorID>
      <errorWord>ZH65232830001</errorWord>
      <group>L1_Word</group>
      <groupName>字词问题</groupName>
      <ability>L2_Typo</ability>
      <abilityName>字词错误</abilityName>
      <candidateList>
        <item>ZH65232530001</item>
      </candidateList>
      <explain/>
      <paraID>474EE2AB</paraID>
      <start>19</start>
      <end>32</end>
      <status>modified</status>
      <modifiedWord>ZH65232530001</modifiedWord>
      <trackRevisions>false</trackRevisions>
    </reviewItem>
    <reviewItem>
      <errorID>518e2c22-0bf3-4054-91b0-448a586fc4b9</errorID>
      <errorWord>；</errorWord>
      <group>L1_Grammar</group>
      <groupName>语法问题</groupName>
      <ability>L2_Grammar</ability>
      <abilityName>语法错误</abilityName>
      <candidateList>
        <item>等措施；</item>
      </candidateList>
      <explain/>
      <paraID>1450BEC1</paraID>
      <start>25</start>
      <end>29</end>
      <status>modified</status>
      <modifiedWord>等措施；</modifiedWord>
      <trackRevisions>false</trackRevisions>
    </reviewItem>
    <reviewItem>
      <errorID>732dd398-7b11-40e3-826a-de406e2dcb0d</errorID>
      <errorWord>拌合机</errorWord>
      <group>L1_Word</group>
      <groupName>字词问题</groupName>
      <ability>L2_Alias</ability>
      <abilityName>也作/曾用词</abilityName>
      <candidateList>
        <item>拌和机</item>
      </candidateList>
      <explain>词汇[拌合机]为不规范表述或旧称，其规范书面表述为[拌和机]。</explain>
      <paraID>1450BEC1</paraID>
      <start>66</start>
      <end>69</end>
      <status>modified</status>
      <modifiedWord>拌和机</modifiedWord>
      <trackRevisions>false</trackRevisions>
    </reviewItem>
    <reviewItem>
      <errorID>2d8fe465-6f94-4a04-8885-10c4ac50a92e</errorID>
      <errorWord>移动</errorWord>
      <group>L1_Word</group>
      <groupName>字词问题</groupName>
      <ability>L2_Typo</ability>
      <abilityName>字词错误</abilityName>
      <candidateList>
        <item>的移动</item>
      </candidateList>
      <explain/>
      <paraID>1450BEC1</paraID>
      <start>155</start>
      <end>158</end>
      <status>modified</status>
      <modifiedWord>的移动</modifiedWord>
      <trackRevisions>false</trackRevisions>
    </reviewItem>
    <reviewItem>
      <errorID>9a859f3b-2c7c-4a96-bf78-2ce2204e9c80</errorID>
      <errorWord>经常出现</errorWord>
      <group>L1_Word</group>
      <groupName>字词问题</groupName>
      <ability>L2_Typo</ability>
      <abilityName>字词错误</abilityName>
      <candidateList>
        <item>经常发生</item>
      </candidateList>
      <explain/>
      <paraID> 2E6F27F</paraID>
      <start>59</start>
      <end>63</end>
      <status>modified</status>
      <modifiedWord>经常发生</modifiedWord>
      <trackRevisions>false</trackRevisions>
    </reviewItem>
    <reviewItem>
      <errorID>867d7c94-4b36-4ca9-b655-aa90a6e895bc</errorID>
      <errorWord>产业结构、能源结构、运输结构</errorWord>
      <group>L1_Word</group>
      <groupName>字词问题</groupName>
      <ability>L2_Typo</ability>
      <abilityName>字词错误</abilityName>
      <candidateList>
        <item>产业结构、能源结构、交通运输结构</item>
      </candidateList>
      <explain/>
      <paraID>4F9F8F52</paraID>
      <start>44</start>
      <end>60</end>
      <status>modified</status>
      <modifiedWord>产业结构、能源结构、交通运输结构</modifiedWord>
      <trackRevisions>false</trackRevisions>
    </reviewItem>
    <reviewItem>
      <errorID>e0f1198c-5000-49c3-af20-ffeded7c9b3f</errorID>
      <errorWord>（</errorWord>
      <group>L1_Punc</group>
      <groupName>标点问题</groupName>
      <ability>L2_Punc_CN</ability>
      <abilityName/>
      <candidateList>
        <item/>
      </candidateList>
      <explain>同一形式括号套用。</explain>
      <paraID>1B186676</paraID>
      <start>20</start>
      <end>20</end>
      <status>modified</status>
      <modifiedWord/>
      <trackRevisions>false</trackRevisions>
    </reviewItem>
    <reviewItem>
      <errorID>ab2af6c9-3d75-43ea-999f-05af0d05157a</errorID>
      <errorWord>(2021)2号</errorWord>
      <group>L1_Knowledge</group>
      <groupName>知识性问题</groupName>
      <ability>L2_Knowledge</ability>
      <abilityName>其他知识</abilityName>
      <candidateList>
        <item>〔2021〕2号</item>
      </candidateList>
      <explain>发文字号格式错误。</explain>
      <paraID>1B186676</paraID>
      <start>24</start>
      <end>32</end>
      <status>modified</status>
      <modifiedWord>〔2021〕2号</modifiedWord>
      <trackRevisions>false</trackRevisions>
    </reviewItem>
    <reviewItem>
      <errorID>18892ee8-12f0-4236-9ea8-1adf35cfa9a2</errorID>
      <errorWord>）</errorWord>
      <group>L1_Punc</group>
      <groupName>标点问题</groupName>
      <ability>L2_Punc_CN</ability>
      <abilityName/>
      <candidateList/>
      <explain>同一形式括号套用。</explain>
      <paraID>1B186676</paraID>
      <start>32</start>
      <end>33</end>
      <status>ignored</status>
      <modifiedWord/>
      <trackRevisions>false</trackRevisions>
    </reviewItem>
    <reviewItem>
      <errorID>f805e045-5099-476b-9260-b1ae3fba30f1</errorID>
      <errorWord>（</errorWord>
      <group>L1_Punc</group>
      <groupName>标点问题</groupName>
      <ability>L2_Punc_CN</ability>
      <abilityName/>
      <candidateList/>
      <explain>此处标点可能未正确匹配，请检查句子中是否存在标点冗余、缺失或使用错误的情况。</explain>
      <paraID>610EA038</paraID>
      <start>24</start>
      <end>25</end>
      <status>ignored</status>
      <modifiedWord/>
      <trackRevisions>false</trackRevisions>
    </reviewItem>
    <reviewItem>
      <errorID>df0d0900-729a-438f-aedf-d604efca1c41</errorID>
      <errorWord>(2021)2号</errorWord>
      <group>L1_Knowledge</group>
      <groupName>知识性问题</groupName>
      <ability>L2_Knowledge</ability>
      <abilityName>其他知识</abilityName>
      <candidateList>
        <item>〔2021〕2号</item>
      </candidateList>
      <explain>发文字号格式错误。</explain>
      <paraID>610EA038</paraID>
      <start>29</start>
      <end>37</end>
      <status>modified</status>
      <modifiedWord>〔2021〕2号</modifiedWord>
      <trackRevisions>false</trackRevisions>
    </reviewItem>
    <reviewItem>
      <errorID>0e123017-f95c-4a85-ad69-fdf0238c5e12</errorID>
      <errorWord>“</errorWord>
      <group>L1_Punc</group>
      <groupName>标点问题</groupName>
      <ability>L2_Punc_CN</ability>
      <abilityName/>
      <candidateList/>
      <explain>此处标点可能未正确匹配，请检查句子中是否存在标点冗余、缺失或使用错误的情况。</explain>
      <paraID>3AAE9E62</paraID>
      <start>23</start>
      <end>24</end>
      <status>ignored</status>
      <modifiedWord/>
      <trackRevisions>false</trackRevisions>
    </reviewItem>
    <reviewItem>
      <errorID>0f64b264-0f51-4ed2-abc1-eda2716298b8</errorID>
      <errorWord>拌合站</errorWord>
      <group>L1_Word</group>
      <groupName>字词问题</groupName>
      <ability>L2_Typo</ability>
      <abilityName>字词错误</abilityName>
      <candidateList>
        <item>拌和站</item>
      </candidateList>
      <explain>存在发音相同字词的误用。</explain>
      <paraID>3AAE9E62</paraID>
      <start>110</start>
      <end>113</end>
      <status>modified</status>
      <modifiedWord>拌和站</modifiedWord>
      <trackRevisions>false</trackRevisions>
    </reviewItem>
    <reviewItem>
      <errorID>d2b53ae6-d918-4482-98a3-23cf11c22b14</errorID>
      <errorWord>(</errorWord>
      <group>L1_Format</group>
      <groupName>格式问题</groupName>
      <ability>L2_HalfPunc_CN</ability>
      <abilityName/>
      <candidateList>
        <item>（</item>
      </candidateList>
      <explain>文本全半角错误。</explain>
      <paraID>3AAE9E62</paraID>
      <start>233</start>
      <end>234</end>
      <status>modified</status>
      <modifiedWord>（</modifiedWord>
      <trackRevisions>false</trackRevisions>
    </reviewItem>
    <reviewItem>
      <errorID>19454f7f-7856-47a4-9bcd-4ef44612f3e7</errorID>
      <errorWord>[2019]1号</errorWord>
      <group>L1_Knowledge</group>
      <groupName>知识性问题</groupName>
      <ability>L2_Knowledge</ability>
      <abilityName>其他知识</abilityName>
      <candidateList>
        <item>〔2019〕1号</item>
      </candidateList>
      <explain>发文字号格式错误。</explain>
      <paraID>3AAE9E62</paraID>
      <start>238</start>
      <end>246</end>
      <status>modified</status>
      <modifiedWord>〔2019〕1号</modifiedWord>
      <trackRevisions>false</trackRevisions>
    </reviewItem>
    <reviewItem>
      <errorID>13779afc-000e-41c2-8a6e-7402d8471070</errorID>
      <errorWord>)</errorWord>
      <group>L1_Format</group>
      <groupName>格式问题</groupName>
      <ability>L2_HalfPunc_CN</ability>
      <abilityName/>
      <candidateList>
        <item>）</item>
      </candidateList>
      <explain>文本全半角错误。</explain>
      <paraID>3AAE9E62</paraID>
      <start>246</start>
      <end>247</end>
      <status>modified</status>
      <modifiedWord>）</modifiedWord>
      <trackRevisions>false</trackRevisions>
    </reviewItem>
    <reviewItem>
      <errorID>e345c562-a09e-47d6-b42c-30eb8b4d90da</errorID>
      <errorWord>城摸开发边界</errorWord>
      <group>L1_Political</group>
      <groupName>政治性问题</groupName>
      <ability>L2_Keyword</ability>
      <abilityName>固定表述</abilityName>
      <candidateList>
        <item>城镇开发边界</item>
      </candidateList>
      <explain>词汇“城镇开发边界”在特定场景下为固定表述形式，请确认此处的“城摸开发边界”是否存在不当。</explain>
      <paraID>3AAE9E62</paraID>
      <start>326</start>
      <end>332</end>
      <status>modified</status>
      <modifiedWord>城镇开发边界</modifiedWord>
      <trackRevisions>false</trackRevisions>
    </reviewItem>
    <reviewItem>
      <errorID>93ec18e7-7b24-41dd-9c95-2a54be8acf69</errorID>
      <errorWord>拌合站</errorWord>
      <group>L1_Word</group>
      <groupName>字词问题</groupName>
      <ability>L2_Typo</ability>
      <abilityName>字词错误</abilityName>
      <candidateList>
        <item>拌和站</item>
      </candidateList>
      <explain>存在发音相同字词的误用。</explain>
      <paraID>3B4F6B5D</paraID>
      <start>41</start>
      <end>44</end>
      <status>modified</status>
      <modifiedWord>拌和站</modifiedWord>
      <trackRevisions>false</trackRevisions>
    </reviewItem>
    <reviewItem>
      <errorID>695c8960-1bef-463b-8baa-0c8cd541b350</errorID>
      <errorWord>(</errorWord>
      <group>L1_Format</group>
      <groupName>格式问题</groupName>
      <ability>L2_HalfPunc_CN</ability>
      <abilityName/>
      <candidateList>
        <item>（</item>
      </candidateList>
      <explain>文本全半角错误。</explain>
      <paraID>2C60ED30</paraID>
      <start>3</start>
      <end>4</end>
      <status>modified</status>
      <modifiedWord>（</modifiedWord>
      <trackRevisions>false</trackRevisions>
    </reviewItem>
    <reviewItem>
      <errorID>20707921-1ad9-4b32-ad5a-c4d1d6b6449e</errorID>
      <errorWord>)</errorWord>
      <group>L1_Format</group>
      <groupName>格式问题</groupName>
      <ability>L2_HalfPunc_CN</ability>
      <abilityName/>
      <candidateList>
        <item>）</item>
      </candidateList>
      <explain>文本全半角错误。</explain>
      <paraID>2C60ED30</paraID>
      <start>5</start>
      <end>6</end>
      <status>modified</status>
      <modifiedWord>）</modifiedWord>
      <trackRevisions>false</trackRevisions>
    </reviewItem>
    <reviewItem>
      <errorID>7acedafa-54d9-4cc3-bc7f-9d7f43ea96e0</errorID>
      <errorWord>(</errorWord>
      <group>L1_Format</group>
      <groupName>格式问题</groupName>
      <ability>L2_HalfPunc_CN</ability>
      <abilityName/>
      <candidateList>
        <item>（</item>
      </candidateList>
      <explain>文本全半角错误。</explain>
      <paraID>1273922F</paraID>
      <start>127</start>
      <end>128</end>
      <status>modified</status>
      <modifiedWord>（</modifiedWord>
      <trackRevisions>false</trackRevisions>
    </reviewItem>
    <reviewItem>
      <errorID>3ab05cdc-eee1-40b6-a4a3-f3b50cbaaccb</errorID>
      <errorWord>)</errorWord>
      <group>L1_Format</group>
      <groupName>格式问题</groupName>
      <ability>L2_HalfPunc_CN</ability>
      <abilityName/>
      <candidateList>
        <item>）</item>
      </candidateList>
      <explain>文本全半角错误。</explain>
      <paraID>1273922F</paraID>
      <start>129</start>
      <end>130</end>
      <status>modified</status>
      <modifiedWord>）</modifiedWord>
      <trackRevisions>false</trackRevisions>
    </reviewItem>
    <reviewItem>
      <errorID>f9e21c87-aa7c-4994-8fb8-5082a7fe823a</errorID>
      <errorWord>;</errorWord>
      <group>L1_Format</group>
      <groupName>格式问题</groupName>
      <ability>L2_HalfPunc_CN</ability>
      <abilityName/>
      <candidateList>
        <item>；</item>
      </candidateList>
      <explain>文本全半角错误。</explain>
      <paraID>1273922F</paraID>
      <start>161</start>
      <end>162</end>
      <status>modified</status>
      <modifiedWord>；</modifiedWord>
      <trackRevisions>false</trackRevisions>
    </reviewItem>
    <reviewItem>
      <errorID>31a6658c-2a8d-474c-b99e-5d608c8244b6</errorID>
      <errorWord>;</errorWord>
      <group>L1_Format</group>
      <groupName>格式问题</groupName>
      <ability>L2_HalfPunc_CN</ability>
      <abilityName/>
      <candidateList>
        <item>；</item>
      </candidateList>
      <explain>文本全半角错误。</explain>
      <paraID>1273922F</paraID>
      <start>183</start>
      <end>184</end>
      <status>modified</status>
      <modifiedWord>；</modifiedWord>
      <trackRevisions>false</trackRevisions>
    </reviewItem>
    <reviewItem>
      <errorID>24ead034-40ab-4252-81ca-f0ff16104f0f</errorID>
      <errorWord>(</errorWord>
      <group>L1_Format</group>
      <groupName>格式问题</groupName>
      <ability>L2_HalfPunc_CN</ability>
      <abilityName/>
      <candidateList>
        <item>（</item>
      </candidateList>
      <explain>文本全半角错误。</explain>
      <paraID>472FE42A</paraID>
      <start>54</start>
      <end>55</end>
      <status>modified</status>
      <modifiedWord>（</modifiedWord>
      <trackRevisions>false</trackRevisions>
    </reviewItem>
    <reviewItem>
      <errorID>1fb30e7f-dab3-4e93-88a7-5fbc8ea30bc3</errorID>
      <errorWord>)</errorWord>
      <group>L1_Format</group>
      <groupName>格式问题</groupName>
      <ability>L2_HalfPunc_CN</ability>
      <abilityName/>
      <candidateList>
        <item>）</item>
      </candidateList>
      <explain>文本全半角错误。</explain>
      <paraID>472FE42A</paraID>
      <start>56</start>
      <end>57</end>
      <status>modified</status>
      <modifiedWord>）</modifiedWord>
      <trackRevisions>false</trackRevisions>
    </reviewItem>
    <reviewItem>
      <errorID>9af035bf-fd53-43a8-b5b5-ed672506202e</errorID>
      <errorWord>厚</errorWord>
      <group>L1_Word</group>
      <groupName>字词问题</groupName>
      <ability>L2_Typo</ability>
      <abilityName>字词错误</abilityName>
      <candidateList>
        <item>厚度</item>
      </candidateList>
      <explain/>
      <paraID>1412A23E</paraID>
      <start>36</start>
      <end>38</end>
      <status>modified</status>
      <modifiedWord>厚度</modifiedWord>
      <trackRevisions>false</trackRevisions>
    </reviewItem>
    <reviewItem>
      <errorID>2f8f4d74-aa3e-4f5e-a6f1-e33e647264fd</errorID>
      <errorWord>~</errorWord>
      <group>L1_Format</group>
      <groupName>格式问题</groupName>
      <ability>L2_HalfPunc_CN</ability>
      <abilityName/>
      <candidateList>
        <item>～</item>
      </candidateList>
      <explain>文本全半角错误。</explain>
      <paraID>346958BD</paraID>
      <start>36</start>
      <end>37</end>
      <status>modified</status>
      <modifiedWord>～</modifiedWord>
      <trackRevisions>false</trackRevisions>
    </reviewItem>
    <reviewItem>
      <errorID>b7047346-62e7-4960-9174-0ec6e211a3e5</errorID>
      <errorWord>外购自有</errorWord>
      <group>L1_Grammar</group>
      <groupName>语法问题</groupName>
      <ability>L2_Grammar</ability>
      <abilityName>语法错误</abilityName>
      <candidateList>
        <item>从有</item>
      </candidateList>
      <explain/>
      <paraID>34962E99</paraID>
      <start>96</start>
      <end>98</end>
      <status>modified</status>
      <modifiedWord>从有</modifiedWord>
      <trackRevisions>false</trackRevisions>
    </reviewItem>
    <reviewItem>
      <errorID>3805c824-2a11-40b4-a1bc-c1faf99508b2</errorID>
      <errorWord>，</errorWord>
      <group>L1_Grammar</group>
      <groupName>语法问题</groupName>
      <ability>L2_Grammar</ability>
      <abilityName>语法错误</abilityName>
      <candidateList>
        <item>外购，</item>
      </candidateList>
      <explain/>
      <paraID>34962E99</paraID>
      <start>107</start>
      <end>110</end>
      <status>modified</status>
      <modifiedWord>外购，</modifiedWord>
      <trackRevisions>false</trackRevisions>
    </reviewItem>
    <reviewItem>
      <errorID>df7e957d-0dbd-457a-ad05-fe6fe0eaacbb</errorID>
      <errorWord>缝填充材料</errorWord>
      <group>L1_Grammar</group>
      <groupName>语法问题</groupName>
      <ability>L2_Grammar</ability>
      <abilityName>语法错误</abilityName>
      <candidateList>
        <item>缝</item>
      </candidateList>
      <explain/>
      <paraID>3B433190</paraID>
      <start>60</start>
      <end>61</end>
      <status>modified</status>
      <modifiedWord>缝</modifiedWord>
      <trackRevisions>false</trackRevisions>
    </reviewItem>
    <reviewItem>
      <errorID>540ded57-e078-42d7-b4e5-02cc767bf3fa</errorID>
      <errorWord>填缝</errorWord>
      <group>L1_Word</group>
      <groupName>字词问题</groupName>
      <ability>L2_Typo</ability>
      <abilityName>字词错误</abilityName>
      <candidateList>
        <item>填充</item>
      </candidateList>
      <explain/>
      <paraID>3B433190</paraID>
      <start>70</start>
      <end>72</end>
      <status>modified</status>
      <modifiedWord>填充</modifiedWord>
      <trackRevisions>false</trackRevisions>
    </reviewItem>
    <reviewItem>
      <errorID>76d9671a-88d7-43dd-9286-564bfd72147a</errorID>
      <errorWord>厚</errorWord>
      <group>L1_Word</group>
      <groupName>字词问题</groupName>
      <ability>L2_Typo</ability>
      <abilityName>字词错误</abilityName>
      <candidateList>
        <item>厚度</item>
      </candidateList>
      <explain/>
      <paraID>47D143D1</paraID>
      <start>31</start>
      <end>33</end>
      <status>modified</status>
      <modifiedWord>厚度</modifiedWord>
      <trackRevisions>false</trackRevisions>
    </reviewItem>
    <reviewItem>
      <errorID>d9716b5f-183a-411c-8391-7f280d797302</errorID>
      <errorWord>塞填</errorWord>
      <group>L1_Word</group>
      <groupName>字词问题</groupName>
      <ability>L2_Typo</ability>
      <abilityName>字词错误</abilityName>
      <candidateList>
        <item>密封</item>
      </candidateList>
      <explain/>
      <paraID>7E7CA268</paraID>
      <start>152</start>
      <end>154</end>
      <status>modified</status>
      <modifiedWord>密封</modifiedWord>
      <trackRevisions>false</trackRevisions>
    </reviewItem>
    <reviewItem>
      <errorID>7387b226-b146-4083-bc12-9b23f65fd410</errorID>
      <errorWord>~</errorWord>
      <group>L1_Format</group>
      <groupName>格式问题</groupName>
      <ability>L2_HalfPunc_CN</ability>
      <abilityName/>
      <candidateList>
        <item>～</item>
      </candidateList>
      <explain>文本全半角错误。</explain>
      <paraID>1FAF362F</paraID>
      <start>125</start>
      <end>126</end>
      <status>modified</status>
      <modifiedWord>～</modifiedWord>
      <trackRevisions>false</trackRevisions>
    </reviewItem>
    <reviewItem>
      <errorID>e9143353-17be-4fad-bfb9-045cc3cab736</errorID>
      <errorWord>底板因</errorWord>
      <group>L1_Word</group>
      <groupName>字词问题</groupName>
      <ability>L2_Typo</ability>
      <abilityName>字词错误</abilityName>
      <candidateList>
        <item>底板</item>
      </candidateList>
      <explain/>
      <paraID> 6D8A17A</paraID>
      <start>51</start>
      <end>53</end>
      <status>modified</status>
      <modifiedWord>底板</modifiedWord>
      <trackRevisions>false</trackRevisions>
    </reviewItem>
    <reviewItem>
      <errorID>94b29f8b-9ecf-4343-be32-f01dcd7b4f10</errorID>
      <errorWord>灌区由于</errorWord>
      <group>L1_Word</group>
      <groupName>字词问题</groupName>
      <ability>L2_Typo</ability>
      <abilityName>字词错误</abilityName>
      <candidateList>
        <item>由于灌区</item>
      </candidateList>
      <explain/>
      <paraID>6A5CE12E</paraID>
      <start>0</start>
      <end>4</end>
      <status>modified</status>
      <modifiedWord>由于灌区</modifiedWord>
      <trackRevisions>false</trackRevisions>
    </reviewItem>
    <reviewItem>
      <errorID>6010f488-208a-49f5-8b79-e561ddab8e5a</errorID>
      <errorWord>结合考虑</errorWord>
      <group>L1_Grammar</group>
      <groupName>语法问题</groupName>
      <ability>L2_Grammar</ability>
      <abilityName>语法错误</abilityName>
      <candidateList>
        <item>结合</item>
      </candidateList>
      <explain/>
      <paraID>4F003617</paraID>
      <start>19</start>
      <end>21</end>
      <status>modified</status>
      <modifiedWord>结合</modifiedWord>
      <trackRevisions>false</trackRevisions>
    </reviewItem>
    <reviewItem>
      <errorID>5a136f4f-2a91-405f-afc4-69380b27db7e</errorID>
      <errorWord>为</errorWord>
      <group>L1_Word</group>
      <groupName>字词问题</groupName>
      <ability>L2_Typo</ability>
      <abilityName>字词错误</abilityName>
      <candidateList>
        <item>是</item>
      </candidateList>
      <explain/>
      <paraID>1C1C19D7</paraID>
      <start>86</start>
      <end>87</end>
      <status>modified</status>
      <modifiedWord>是</modifiedWord>
      <trackRevisions>false</trackRevisions>
    </reviewItem>
    <reviewItem>
      <errorID>243f4b12-c693-4ff5-af89-5c04bdfa1a43</errorID>
      <errorWord>、鹊</errorWord>
      <group>L1_Word</group>
      <groupName>字词问题</groupName>
      <ability>L2_Typo</ability>
      <abilityName>字词错误</abilityName>
      <candidateList>
        <item>、</item>
      </candidateList>
      <explain/>
      <paraID>3281343C</paraID>
      <start>79</start>
      <end>80</end>
      <status>modified</status>
      <modifiedWord>、</modifiedWord>
      <trackRevisions>false</trackRevisions>
    </reviewItem>
    <reviewItem>
      <errorID>b5929fa5-5325-4b3d-8029-6133d437d948</errorID>
      <errorWord>沙化监测</errorWord>
      <group>L1_Grammar</group>
      <groupName>语法问题</groupName>
      <ability>L2_Grammar</ability>
      <abilityName>语法错误</abilityName>
      <candidateList>
        <item>沙化</item>
      </candidateList>
      <explain/>
      <paraID>14D33B20</paraID>
      <start>22</start>
      <end>24</end>
      <status>modified</status>
      <modifiedWord>沙化</modifiedWord>
      <trackRevisions>false</trackRevisions>
    </reviewItem>
    <reviewItem>
      <errorID>7183f028-698b-4e50-9c7e-35dee4c1b397</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4821CAF4</paraID>
      <start>70</start>
      <end>73</end>
      <status>ignored</status>
      <modifiedWord/>
      <trackRevisions>false</trackRevisions>
    </reviewItem>
    <reviewItem>
      <errorID>0f7f637d-69cc-45fc-ba2f-86749329aae9</errorID>
      <errorWord>中、低山</errorWord>
      <group>L1_Punc</group>
      <groupName>标点问题</groupName>
      <ability>L2_Punc_CN</ability>
      <abilityName/>
      <candidateList>
        <item>中低山</item>
      </candidateList>
      <explain/>
      <paraID>5AA24203</paraID>
      <start>154</start>
      <end>157</end>
      <status>modified</status>
      <modifiedWord>中低山</modifiedWord>
      <trackRevisions>false</trackRevisions>
    </reviewItem>
    <reviewItem>
      <errorID>67104c11-5116-4ef2-aaf7-6150fa1914d4</errorID>
      <errorWord>渠道</errorWord>
      <group>L1_Word</group>
      <groupName>字词问题</groupName>
      <ability>L2_Typo</ability>
      <abilityName>字词错误</abilityName>
      <candidateList>
        <item>渠</item>
      </candidateList>
      <explain/>
      <paraID>15D730D7</paraID>
      <start>13</start>
      <end>14</end>
      <status>modified</status>
      <modifiedWord>渠</modifiedWord>
      <trackRevisions>false</trackRevisions>
    </reviewItem>
    <reviewItem>
      <errorID>35b4cd98-5512-4622-88f4-82c0df5442f0</errorID>
      <errorWord>，</errorWord>
      <group>L1_Word</group>
      <groupName>字词问题</groupName>
      <ability>L2_Typo</ability>
      <abilityName>字词错误</abilityName>
      <candidateList>
        <item>，对</item>
      </candidateList>
      <explain/>
      <paraID>4897044B</paraID>
      <start>137</start>
      <end>139</end>
      <status>modified</status>
      <modifiedWord>，对</modifiedWord>
      <trackRevisions>false</trackRevisions>
    </reviewItem>
    <reviewItem>
      <errorID>e5089da7-23f1-4ca0-81c5-605a1e4720f5</errorID>
      <errorWord>据监测数据</errorWord>
      <group>L1_Word</group>
      <groupName>字词问题</groupName>
      <ability>L2_Typo</ability>
      <abilityName>字词错误</abilityName>
      <candidateList>
        <item>监测数据</item>
      </candidateList>
      <explain/>
      <paraID>628C07D8</paraID>
      <start>71</start>
      <end>75</end>
      <status>modified</status>
      <modifiedWord>监测数据</modifiedWord>
      <trackRevisions>false</trackRevisions>
    </reviewItem>
    <reviewItem>
      <errorID>ccfb8d56-4a5a-496b-b860-b77579e5c484</errorID>
      <errorWord>~</errorWord>
      <group>L1_Format</group>
      <groupName>格式问题</groupName>
      <ability>L2_HalfPunc_CN</ability>
      <abilityName/>
      <candidateList>
        <item>～</item>
      </candidateList>
      <explain>文本全半角错误。</explain>
      <paraID>265C09C5</paraID>
      <start>62</start>
      <end>63</end>
      <status>modified</status>
      <modifiedWord>～</modifiedWord>
      <trackRevisions>false</trackRevisions>
    </reviewItem>
    <reviewItem>
      <errorID>54be19d2-0990-4e21-ba8e-2f2cf62678e5</errorID>
      <errorWord>)</errorWord>
      <group>L1_Format</group>
      <groupName>格式问题</groupName>
      <ability>L2_HalfPunc_CN</ability>
      <abilityName/>
      <candidateList>
        <item>）</item>
      </candidateList>
      <explain>文本全半角错误。</explain>
      <paraID>71E4BAC7</paraID>
      <start>46</start>
      <end>47</end>
      <status>modified</status>
      <modifiedWord>）</modifiedWord>
      <trackRevisions>false</trackRevisions>
    </reviewItem>
    <reviewItem>
      <errorID>d63c527c-7607-4537-be83-8aa5a746d431</errorID>
      <errorWord>)</errorWord>
      <group>L1_Format</group>
      <groupName>格式问题</groupName>
      <ability>L2_HalfPunc_CN</ability>
      <abilityName/>
      <candidateList>
        <item>）</item>
      </candidateList>
      <explain>文本全半角错误。</explain>
      <paraID>71E4BAC7</paraID>
      <start>56</start>
      <end>57</end>
      <status>modified</status>
      <modifiedWord>）</modifiedWord>
      <trackRevisions>false</trackRevisions>
    </reviewItem>
    <reviewItem>
      <errorID>aa534ae1-cbcc-4701-83d0-2d527f73a685</errorID>
      <errorWord>）</errorWord>
      <group>L1_Punc</group>
      <groupName>标点问题</groupName>
      <ability>L2_Punc_CN</ability>
      <abilityName/>
      <candidateList/>
      <explain>此处标点可能未正确匹配，请检查句子中是否存在标点冗余、缺失或使用错误的情况。</explain>
      <paraID>71E4BAC7</paraID>
      <start>57</start>
      <end>58</end>
      <status>ignored</status>
      <modifiedWord/>
      <trackRevisions>false</trackRevisions>
    </reviewItem>
    <reviewItem>
      <errorID>25b02181-27e2-468f-aa5a-eef89295f7a2</errorID>
      <errorWord>程</errorWord>
      <group>L1_Word</group>
      <groupName>字词问题</groupName>
      <ability>L2_Typo</ability>
      <abilityName>字词错误</abilityName>
      <candidateList>
        <item>程中</item>
      </candidateList>
      <explain/>
      <paraID>20F0767D</paraID>
      <start>33</start>
      <end>35</end>
      <status>modified</status>
      <modifiedWord>程中</modifiedWord>
      <trackRevisions>false</trackRevisions>
    </reviewItem>
    <reviewItem>
      <errorID>82e8dfd0-94ce-4686-b552-33666664cfee</errorID>
      <errorWord>程</errorWord>
      <group>L1_Word</group>
      <groupName>字词问题</groupName>
      <ability>L2_Typo</ability>
      <abilityName>字词错误</abilityName>
      <candidateList>
        <item>程中</item>
      </candidateList>
      <explain/>
      <paraID>74BB0096</paraID>
      <start>5</start>
      <end>7</end>
      <status>modified</status>
      <modifiedWord>程中</modifiedWord>
      <trackRevisions>false</trackRevisions>
    </reviewItem>
    <reviewItem>
      <errorID>e035b6b8-a23f-4c73-8c20-0fbff0552e43</errorID>
      <errorWord>程</errorWord>
      <group>L1_Word</group>
      <groupName>字词问题</groupName>
      <ability>L2_Typo</ability>
      <abilityName>字词错误</abilityName>
      <candidateList>
        <item>程中</item>
      </candidateList>
      <explain/>
      <paraID> CFAA150</paraID>
      <start>5</start>
      <end>7</end>
      <status>modified</status>
      <modifiedWord>程中</modifiedWord>
      <trackRevisions>false</trackRevisions>
    </reviewItem>
    <reviewItem>
      <errorID>41640f36-a816-4cbe-919c-aab67984823b</errorID>
      <errorWord>建设</errorWord>
      <group>L1_Word</group>
      <groupName>字词问题</groupName>
      <ability>L2_Typo</ability>
      <abilityName>字词错误</abilityName>
      <candidateList>
        <item>加设</item>
      </candidateList>
      <explain/>
      <paraID>42F88DBA</paraID>
      <start>259</start>
      <end>261</end>
      <status>modified</status>
      <modifiedWord>加设</modifiedWord>
      <trackRevisions>false</trackRevisions>
    </reviewItem>
    <reviewItem>
      <errorID>dfc22d17-0d68-4b7d-947b-4db3a5c11487</errorID>
      <errorWord>拌合</errorWord>
      <group>L1_Word</group>
      <groupName>字词问题</groupName>
      <ability>L2_Typo</ability>
      <abilityName>字词错误</abilityName>
      <candidateList>
        <item>拌和</item>
      </candidateList>
      <explain>存在发音相同字词的误用。</explain>
      <paraID>19B7E8F7</paraID>
      <start>3</start>
      <end>5</end>
      <status>modified</status>
      <modifiedWord>拌和</modifiedWord>
      <trackRevisions>false</trackRevisions>
    </reviewItem>
    <reviewItem>
      <errorID>54b4c836-7462-49aa-bfdc-774d26ba8b43</errorID>
      <errorWord>程</errorWord>
      <group>L1_Word</group>
      <groupName>字词问题</groupName>
      <ability>L2_Typo</ability>
      <abilityName>字词错误</abilityName>
      <candidateList>
        <item>程中</item>
      </candidateList>
      <explain/>
      <paraID>2B5FA3D6</paraID>
      <start>38</start>
      <end>40</end>
      <status>modified</status>
      <modifiedWord>程中</modifiedWord>
      <trackRevisions>false</trackRevisions>
    </reviewItem>
    <reviewItem>
      <errorID>da12724d-653e-4def-a9c2-f56b0fa2ce19</errorID>
      <errorWord>合理地</errorWord>
      <group>L1_Word</group>
      <groupName>字词问题</groupName>
      <ability>L2_Typo</ability>
      <abilityName>字词错误</abilityName>
      <candidateList>
        <item>合理</item>
      </candidateList>
      <explain/>
      <paraID>1DA0BE2E</paraID>
      <start>15</start>
      <end>17</end>
      <status>modified</status>
      <modifiedWord>合理</modifiedWord>
      <trackRevisions>false</trackRevisions>
    </reviewItem>
    <reviewItem>
      <errorID>b1d5d8ac-d216-4f85-ae32-289d320a9891</errorID>
      <errorWord>局部局部</errorWord>
      <group>L1_Word</group>
      <groupName>字词问题</groupName>
      <ability>L2_Typo</ability>
      <abilityName>字词错误</abilityName>
      <candidateList>
        <item>局部</item>
      </candidateList>
      <explain/>
      <paraID>3ACA2743</paraID>
      <start>42</start>
      <end>44</end>
      <status>modified</status>
      <modifiedWord>局部</modifiedWord>
      <trackRevisions>false</trackRevisions>
    </reviewItem>
    <reviewItem>
      <errorID>9b5676a8-15bf-40dc-9173-2931869a8bd9</errorID>
      <errorWord>防</errorWord>
      <group>L1_Word</group>
      <groupName>字词问题</groupName>
      <ability>L2_Typo</ability>
      <abilityName>字词错误</abilityName>
      <candidateList>
        <item>防止</item>
      </candidateList>
      <explain>〈动〉预先设法制止（坏事发生）：～煤气中毒｜～交通事故。</explain>
      <paraID>4B50372B</paraID>
      <start>44</start>
      <end>46</end>
      <status>modified</status>
      <modifiedWord>防止</modifiedWord>
      <trackRevisions>false</trackRevisions>
    </reviewItem>
    <reviewItem>
      <errorID>6be3fa6d-3cd9-4101-9b3a-51acd5455716</errorID>
      <errorWord>防</errorWord>
      <group>L1_Word</group>
      <groupName>字词问题</groupName>
      <ability>L2_Typo</ability>
      <abilityName>字词错误</abilityName>
      <candidateList>
        <item>防止</item>
      </candidateList>
      <explain>〈动〉预先设法制止（坏事发生）：～煤气中毒｜～交通事故。</explain>
      <paraID>579A3ECA</paraID>
      <start>78</start>
      <end>80</end>
      <status>modified</status>
      <modifiedWord>防止</modifiedWord>
      <trackRevisions>false</trackRevisions>
    </reviewItem>
    <reviewItem>
      <errorID>d2db9e9a-e488-4ecc-b57e-3dcb964b14ca</errorID>
      <errorWord>(</errorWord>
      <group>L1_Format</group>
      <groupName>格式问题</groupName>
      <ability>L2_HalfPunc_CN</ability>
      <abilityName/>
      <candidateList>
        <item>（</item>
      </candidateList>
      <explain>文本全半角错误。</explain>
      <paraID>1974A2B4</paraID>
      <start>333</start>
      <end>334</end>
      <status>modified</status>
      <modifiedWord>（</modifiedWord>
      <trackRevisions>false</trackRevisions>
    </reviewItem>
    <reviewItem>
      <errorID>401df09b-fe9c-44a0-99a0-1bc65b36d66d</errorID>
      <errorWord>)</errorWord>
      <group>L1_Format</group>
      <groupName>格式问题</groupName>
      <ability>L2_HalfPunc_CN</ability>
      <abilityName/>
      <candidateList>
        <item>）</item>
      </candidateList>
      <explain>文本全半角错误。</explain>
      <paraID>1974A2B4</paraID>
      <start>346</start>
      <end>347</end>
      <status>modified</status>
      <modifiedWord>）</modifiedWord>
      <trackRevisions>false</trackRevisions>
    </reviewItem>
    <reviewItem>
      <errorID>afb50f72-95e3-48c6-b50f-88268c14019f</errorID>
      <errorWord>场</errorWord>
      <group>L1_Word</group>
      <groupName>字词问题</groupName>
      <ability>L2_Typo</ability>
      <abilityName>字词错误</abilityName>
      <candidateList>
        <item>厂</item>
      </candidateList>
      <explain>存在发音相同字词的误用。</explain>
      <paraID> B77B99E</paraID>
      <start>20</start>
      <end>21</end>
      <status>modified</status>
      <modifiedWord>厂</modifiedWord>
      <trackRevisions>false</trackRevisions>
    </reviewItem>
    <reviewItem>
      <errorID>360295fe-9615-4045-ab46-38386109851d</errorID>
      <errorWord>(</errorWord>
      <group>L1_Format</group>
      <groupName>格式问题</groupName>
      <ability>L2_HalfPunc_CN</ability>
      <abilityName/>
      <candidateList>
        <item>（</item>
      </candidateList>
      <explain>文本全半角错误。</explain>
      <paraID>3417BA1E</paraID>
      <start>24</start>
      <end>25</end>
      <status>modified</status>
      <modifiedWord>（</modifiedWord>
      <trackRevisions>false</trackRevisions>
    </reviewItem>
    <reviewItem>
      <errorID>06093e0f-8d83-4516-8172-4ba712580a80</errorID>
      <errorWord>)</errorWord>
      <group>L1_Format</group>
      <groupName>格式问题</groupName>
      <ability>L2_HalfPunc_CN</ability>
      <abilityName/>
      <candidateList>
        <item>）</item>
      </candidateList>
      <explain>文本全半角错误。</explain>
      <paraID>3417BA1E</paraID>
      <start>37</start>
      <end>38</end>
      <status>modified</status>
      <modifiedWord>）</modifiedWord>
      <trackRevisions>false</trackRevisions>
    </reviewItem>
    <reviewItem>
      <errorID>7314f061-a359-4c2e-8952-4578da6a5eba</errorID>
      <errorWord>(</errorWord>
      <group>L1_Format</group>
      <groupName>格式问题</groupName>
      <ability>L2_HalfPunc_CN</ability>
      <abilityName/>
      <candidateList>
        <item>（</item>
      </candidateList>
      <explain>文本全半角错误。</explain>
      <paraID>77C6F384</paraID>
      <start>27</start>
      <end>28</end>
      <status>modified</status>
      <modifiedWord>（</modifiedWord>
      <trackRevisions>false</trackRevisions>
    </reviewItem>
    <reviewItem>
      <errorID>37a17152-0491-4641-984c-8ad8f208039a</errorID>
      <errorWord>)</errorWord>
      <group>L1_Format</group>
      <groupName>格式问题</groupName>
      <ability>L2_HalfPunc_CN</ability>
      <abilityName/>
      <candidateList>
        <item>）</item>
      </candidateList>
      <explain>文本全半角错误。</explain>
      <paraID>77C6F384</paraID>
      <start>40</start>
      <end>41</end>
      <status>modified</status>
      <modifiedWord>）</modifiedWord>
      <trackRevisions>false</trackRevisions>
    </reviewItem>
    <reviewItem>
      <errorID>978ba837-2b3f-40e6-a0f5-a34fbb226422</errorID>
      <errorWord>(</errorWord>
      <group>L1_Format</group>
      <groupName>格式问题</groupName>
      <ability>L2_HalfPunc_CN</ability>
      <abilityName/>
      <candidateList>
        <item>（</item>
      </candidateList>
      <explain>文本全半角错误。</explain>
      <paraID>6849954C</paraID>
      <start>25</start>
      <end>26</end>
      <status>modified</status>
      <modifiedWord>（</modifiedWord>
      <trackRevisions>false</trackRevisions>
    </reviewItem>
    <reviewItem>
      <errorID>fc69cfcb-41de-43cb-976b-d0996dd7a915</errorID>
      <errorWord>)</errorWord>
      <group>L1_Format</group>
      <groupName>格式问题</groupName>
      <ability>L2_HalfPunc_CN</ability>
      <abilityName/>
      <candidateList>
        <item>）</item>
      </candidateList>
      <explain>文本全半角错误。</explain>
      <paraID>6849954C</paraID>
      <start>37</start>
      <end>38</end>
      <status>modified</status>
      <modifiedWord>）</modifiedWord>
      <trackRevisions>false</trackRevisions>
    </reviewItem>
    <reviewItem>
      <errorID>26dc5ed4-0de1-4dba-9006-0bbdff2e2481</errorID>
      <errorWord>程</errorWord>
      <group>L1_Word</group>
      <groupName>字词问题</groupName>
      <ability>L2_Typo</ability>
      <abilityName>字词错误</abilityName>
      <candidateList>
        <item>程中</item>
      </candidateList>
      <explain/>
      <paraID>5FE5944A</paraID>
      <start>30</start>
      <end>32</end>
      <status>modified</status>
      <modifiedWord>程中</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062bb0-36e8-4fd0-a3fc-185c075da680}">
  <ds:schemaRefs/>
</ds:datastoreItem>
</file>

<file path=docProps\app.xml><?xml version="1.0" encoding="utf-8"?>
<Properties xmlns="http://schemas.openxmlformats.org/officeDocument/2006/extended-properties" xmlns:vt="http://schemas.openxmlformats.org/officeDocument/2006/docPropsVTypes">
  <Template>Normal.dotm</Template>
  <Pages>81</Pages>
  <Words>19830</Words>
  <Characters>21017</Characters>
  <Lines>0</Lines>
  <Paragraphs>0</Paragraphs>
  <TotalTime>2</TotalTime>
  <ScaleCrop>false</ScaleCrop>
  <LinksUpToDate>false</LinksUpToDate>
  <CharactersWithSpaces>21095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2025-11-17T05:29:00Z</dcterms:created>
  <dc:creator>赵--</dc:creator>
  <cp:lastModifiedBy>W</cp:lastModifiedBy>
  <dcterms:modified xsi:type="dcterms:W3CDTF">2026-06-30T02:16:30Z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494994DDB81F4362BF1D892F5DA37879_11</vt:lpwstr>
  </property>
  <property fmtid="{D5CDD505-2E9C-101B-9397-08002B2CF9AE}" pid="4" name="KSOTemplateDocerSaveRecord">
    <vt:lpwstr>eyJoZGlkIjoiNTY4ODNiODkyMWVjZWNhOTAxMzhhNTc3NWU2ODhmM2UiLCJ1c2VySWQiOiIzMjY4ODQyNjEifQ==</vt:lpwstr>
  </property>
</Properti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8" Type="http://schemas.openxmlformats.org/officeDocument/2006/relationships/fontTable" Target="fontTable.xml"/><Relationship Id="rId27" Type="http://schemas.openxmlformats.org/officeDocument/2006/relationships/customXml" Target="../customXml/item2.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6.wmf"/><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FCE5E8">
      <w:pPr>
        <w:rPr>
          <w:rFonts w:hint="default" w:ascii="仿宋_GB2312" w:hAnsi="仿宋_GB2312" w:eastAsia="仿宋_GB2312" w:cs="仿宋_GB2312"/>
          <w:color w:val="auto"/>
          <w:sz w:val="36"/>
          <w:szCs w:val="36"/>
        </w:rPr>
      </w:pPr>
      <w:bookmarkStart w:id="0" w:name="_Hlk57883707"/>
    </w:p>
    <w:p w14:paraId="7FE8F4EE">
      <w:pPr>
        <w:rPr>
          <w:rFonts w:hint="default" w:ascii="仿宋_GB2312" w:hAnsi="仿宋_GB2312" w:eastAsia="仿宋_GB2312" w:cs="仿宋_GB2312"/>
          <w:color w:val="auto"/>
          <w:sz w:val="36"/>
          <w:szCs w:val="36"/>
        </w:rPr>
      </w:pPr>
    </w:p>
    <w:p w14:paraId="6E0F6EBA">
      <w:pPr>
        <w:rPr>
          <w:rFonts w:hint="default" w:ascii="仿宋_GB2312" w:hAnsi="仿宋_GB2312" w:eastAsia="仿宋_GB2312" w:cs="仿宋_GB2312"/>
          <w:color w:val="auto"/>
          <w:sz w:val="36"/>
          <w:szCs w:val="36"/>
        </w:rPr>
      </w:pPr>
    </w:p>
    <w:p w14:paraId="0857D27E">
      <w:pPr>
        <w:rPr>
          <w:rFonts w:hint="default" w:ascii="仿宋_GB2312" w:hAnsi="仿宋_GB2312" w:eastAsia="仿宋_GB2312" w:cs="仿宋_GB2312"/>
          <w:color w:val="auto"/>
          <w:sz w:val="36"/>
          <w:szCs w:val="36"/>
        </w:rPr>
      </w:pPr>
    </w:p>
    <w:bookmarkEnd w:id="0"/>
    <w:p w14:paraId="7FCE43C1">
      <w:pPr>
        <w:adjustRightInd w:val="0"/>
        <w:snapToGrid w:val="0"/>
        <w:jc w:val="center"/>
        <w:outlineLvl w:val="9"/>
        <w:rPr>
          <w:rFonts w:hint="default" w:ascii="Times New Roman" w:hAnsi="Times New Roman" w:eastAsia="方正小标宋_GBK" w:cs="Times New Roman"/>
          <w:bCs/>
          <w:color w:val="auto"/>
          <w:sz w:val="72"/>
          <w:szCs w:val="72"/>
          <w:highlight w:val="none"/>
        </w:rPr>
      </w:pPr>
      <w:bookmarkStart w:id="1" w:name="_Toc10563"/>
      <w:r>
        <w:rPr>
          <w:rFonts w:hint="default" w:ascii="Times New Roman" w:hAnsi="Times New Roman" w:eastAsia="方正小标宋_GBK" w:cs="Times New Roman"/>
          <w:bCs/>
          <w:color w:val="auto"/>
          <w:sz w:val="72"/>
          <w:szCs w:val="72"/>
          <w:highlight w:val="none"/>
        </w:rPr>
        <w:t>建设项目环境影响报告表</w:t>
      </w:r>
      <w:bookmarkEnd w:id="1"/>
    </w:p>
    <w:p w14:paraId="79F87807">
      <w:pPr>
        <w:adjustRightInd w:val="0"/>
        <w:snapToGrid w:val="0"/>
        <w:spacing w:before="192" w:beforeLines="80"/>
        <w:jc w:val="center"/>
        <w:rPr>
          <w:rFonts w:hint="default" w:ascii="Times New Roman" w:hAnsi="Times New Roman" w:eastAsia="楷体_GB2312" w:cs="Times New Roman"/>
          <w:bCs/>
          <w:color w:val="auto"/>
          <w:sz w:val="48"/>
          <w:szCs w:val="48"/>
          <w:highlight w:val="none"/>
        </w:rPr>
      </w:pPr>
      <w:bookmarkStart w:id="2" w:name="_Hlk57883728"/>
      <w:r>
        <w:rPr>
          <w:rFonts w:hint="default" w:ascii="Times New Roman" w:hAnsi="Times New Roman" w:eastAsia="楷体_GB2312" w:cs="Times New Roman"/>
          <w:bCs/>
          <w:color w:val="auto"/>
          <w:sz w:val="48"/>
          <w:szCs w:val="48"/>
          <w:highlight w:val="none"/>
        </w:rPr>
        <w:t>（生态影响类）</w:t>
      </w:r>
    </w:p>
    <w:p w14:paraId="0B91EBFE">
      <w:pPr>
        <w:adjustRightInd w:val="0"/>
        <w:snapToGrid w:val="0"/>
        <w:spacing w:before="192" w:beforeLines="80"/>
        <w:jc w:val="center"/>
        <w:rPr>
          <w:rFonts w:hint="default" w:ascii="Times New Roman" w:hAnsi="Times New Roman" w:eastAsia="楷体_GB2312" w:cs="Times New Roman"/>
          <w:bCs/>
          <w:color w:val="auto"/>
          <w:sz w:val="36"/>
          <w:szCs w:val="36"/>
          <w:highlight w:val="none"/>
        </w:rPr>
      </w:pPr>
      <w:r>
        <w:rPr>
          <w:rFonts w:hint="default" w:ascii="Times New Roman" w:hAnsi="Times New Roman" w:eastAsia="楷体_GB2312" w:cs="Times New Roman"/>
          <w:bCs/>
          <w:color w:val="auto"/>
          <w:sz w:val="36"/>
          <w:szCs w:val="36"/>
          <w:highlight w:val="none"/>
        </w:rPr>
        <w:t>（</w:t>
      </w:r>
      <w:r>
        <w:rPr>
          <w:rFonts w:hint="eastAsia" w:eastAsia="楷体_GB2312" w:cs="Times New Roman"/>
          <w:bCs/>
          <w:color w:val="auto"/>
          <w:sz w:val="36"/>
          <w:szCs w:val="36"/>
          <w:highlight w:val="none"/>
          <w:lang w:val="en-US" w:eastAsia="zh-CN"/>
        </w:rPr>
        <w:t>报批</w:t>
      </w:r>
      <w:r>
        <w:rPr>
          <w:rFonts w:hint="default" w:ascii="Times New Roman" w:hAnsi="Times New Roman" w:eastAsia="楷体_GB2312" w:cs="Times New Roman"/>
          <w:bCs/>
          <w:color w:val="auto"/>
          <w:sz w:val="36"/>
          <w:szCs w:val="36"/>
          <w:highlight w:val="none"/>
          <w:lang w:val="en-US" w:eastAsia="zh-CN"/>
        </w:rPr>
        <w:t>稿</w:t>
      </w:r>
      <w:r>
        <w:rPr>
          <w:rFonts w:hint="default" w:ascii="Times New Roman" w:hAnsi="Times New Roman" w:eastAsia="楷体_GB2312" w:cs="Times New Roman"/>
          <w:bCs/>
          <w:color w:val="auto"/>
          <w:sz w:val="36"/>
          <w:szCs w:val="36"/>
          <w:highlight w:val="none"/>
        </w:rPr>
        <w:t>）</w:t>
      </w:r>
    </w:p>
    <w:p w14:paraId="3A8FB134">
      <w:pPr>
        <w:jc w:val="center"/>
        <w:rPr>
          <w:rFonts w:hint="default" w:ascii="Times New Roman" w:hAnsi="Times New Roman" w:eastAsia="仿宋" w:cs="Times New Roman"/>
          <w:color w:val="auto"/>
          <w:sz w:val="52"/>
          <w:szCs w:val="52"/>
          <w:highlight w:val="none"/>
        </w:rPr>
      </w:pPr>
    </w:p>
    <w:p w14:paraId="7E782E20">
      <w:pPr>
        <w:ind w:firstLine="1040"/>
        <w:rPr>
          <w:rFonts w:hint="default" w:ascii="Times New Roman" w:hAnsi="Times New Roman" w:eastAsia="仿宋" w:cs="Times New Roman"/>
          <w:color w:val="auto"/>
          <w:sz w:val="44"/>
          <w:szCs w:val="44"/>
          <w:highlight w:val="none"/>
        </w:rPr>
      </w:pPr>
    </w:p>
    <w:p w14:paraId="68030EB9">
      <w:pPr>
        <w:ind w:firstLine="1040"/>
        <w:rPr>
          <w:rFonts w:hint="default" w:ascii="Times New Roman" w:hAnsi="Times New Roman" w:eastAsia="仿宋" w:cs="Times New Roman"/>
          <w:color w:val="auto"/>
          <w:sz w:val="44"/>
          <w:szCs w:val="44"/>
          <w:highlight w:val="none"/>
        </w:rPr>
      </w:pPr>
    </w:p>
    <w:p w14:paraId="62744587">
      <w:pPr>
        <w:ind w:firstLine="1040"/>
        <w:rPr>
          <w:rFonts w:hint="default" w:ascii="Times New Roman" w:hAnsi="Times New Roman" w:eastAsia="仿宋" w:cs="Times New Roman"/>
          <w:color w:val="auto"/>
          <w:sz w:val="44"/>
          <w:szCs w:val="44"/>
          <w:highlight w:val="none"/>
        </w:rPr>
      </w:pPr>
    </w:p>
    <w:p w14:paraId="7D02A4D6">
      <w:pPr>
        <w:rPr>
          <w:rFonts w:hint="default" w:ascii="Times New Roman" w:hAnsi="Times New Roman" w:eastAsia="仿宋" w:cs="Times New Roman"/>
          <w:color w:val="auto"/>
          <w:sz w:val="44"/>
          <w:szCs w:val="44"/>
          <w:highlight w:val="none"/>
        </w:rPr>
      </w:pPr>
    </w:p>
    <w:p w14:paraId="7D97F4CE">
      <w:pPr>
        <w:ind w:firstLine="1040"/>
        <w:rPr>
          <w:rFonts w:hint="default" w:ascii="Times New Roman" w:hAnsi="Times New Roman" w:eastAsia="仿宋" w:cs="Times New Roman"/>
          <w:color w:val="auto"/>
          <w:sz w:val="44"/>
          <w:szCs w:val="44"/>
          <w:highlight w:val="none"/>
        </w:rPr>
      </w:pPr>
    </w:p>
    <w:bookmarkEnd w:id="2"/>
    <w:p w14:paraId="68119775">
      <w:pPr>
        <w:keepNext w:val="0"/>
        <w:keepLines w:val="0"/>
        <w:pageBreakBefore w:val="0"/>
        <w:widowControl w:val="0"/>
        <w:kinsoku/>
        <w:wordWrap/>
        <w:overflowPunct/>
        <w:topLinePunct w:val="0"/>
        <w:autoSpaceDE/>
        <w:autoSpaceDN/>
        <w:bidi w:val="0"/>
        <w:adjustRightInd w:val="0"/>
        <w:snapToGrid w:val="0"/>
        <w:spacing w:line="288" w:lineRule="auto"/>
        <w:ind w:left="2430" w:leftChars="300" w:right="630" w:rightChars="300" w:hanging="1800" w:hangingChars="500"/>
        <w:textAlignment w:val="auto"/>
        <w:rPr>
          <w:rFonts w:hint="default" w:ascii="Times New Roman" w:hAnsi="Times New Roman" w:eastAsia="仿宋_GB2312" w:cs="Times New Roman"/>
          <w:color w:val="auto"/>
          <w:sz w:val="36"/>
          <w:szCs w:val="36"/>
          <w:highlight w:val="none"/>
          <w:u w:val="single"/>
        </w:rPr>
      </w:pPr>
      <w:r>
        <w:rPr>
          <w:rFonts w:hint="default" w:ascii="Times New Roman" w:hAnsi="Times New Roman" w:eastAsia="仿宋_GB2312" w:cs="Times New Roman"/>
          <w:color w:val="auto"/>
          <w:sz w:val="36"/>
          <w:szCs w:val="36"/>
          <w:highlight w:val="none"/>
          <w:u w:val="none"/>
        </w:rPr>
        <w:t>项目名称：</w:t>
      </w:r>
      <w:r>
        <w:rPr>
          <w:rFonts w:hint="eastAsia" w:ascii="Times New Roman" w:hAnsi="Times New Roman" w:eastAsia="仿宋_GB2312" w:cs="Times New Roman"/>
          <w:color w:val="auto"/>
          <w:sz w:val="36"/>
          <w:szCs w:val="36"/>
          <w:highlight w:val="none"/>
          <w:u w:val="single"/>
          <w:lang w:val="en-US" w:eastAsia="zh-CN"/>
        </w:rPr>
        <w:t xml:space="preserve">奇台县老奇台镇老干渠上游段提升改造项目  </w:t>
      </w:r>
      <w:r>
        <w:rPr>
          <w:rFonts w:hint="eastAsia" w:eastAsia="仿宋_GB2312" w:cs="Times New Roman"/>
          <w:color w:val="auto"/>
          <w:sz w:val="36"/>
          <w:szCs w:val="36"/>
          <w:highlight w:val="none"/>
          <w:u w:val="single"/>
          <w:lang w:val="en-US" w:eastAsia="zh-CN"/>
        </w:rPr>
        <w:t xml:space="preserve">                      </w:t>
      </w:r>
      <w:r>
        <w:rPr>
          <w:rFonts w:hint="eastAsia" w:ascii="Times New Roman" w:hAnsi="Times New Roman" w:eastAsia="仿宋_GB2312" w:cs="Times New Roman"/>
          <w:color w:val="auto"/>
          <w:sz w:val="36"/>
          <w:szCs w:val="36"/>
          <w:highlight w:val="none"/>
          <w:u w:val="single"/>
          <w:lang w:val="en-US" w:eastAsia="zh-CN"/>
        </w:rPr>
        <w:t xml:space="preserve">  </w:t>
      </w:r>
    </w:p>
    <w:p w14:paraId="384102D9">
      <w:pPr>
        <w:keepNext w:val="0"/>
        <w:keepLines w:val="0"/>
        <w:pageBreakBefore w:val="0"/>
        <w:widowControl w:val="0"/>
        <w:kinsoku/>
        <w:wordWrap/>
        <w:overflowPunct/>
        <w:topLinePunct w:val="0"/>
        <w:autoSpaceDE/>
        <w:autoSpaceDN/>
        <w:bidi w:val="0"/>
        <w:adjustRightInd w:val="0"/>
        <w:snapToGrid w:val="0"/>
        <w:spacing w:line="288" w:lineRule="auto"/>
        <w:ind w:left="630" w:leftChars="300" w:right="630" w:rightChars="300" w:firstLine="0"/>
        <w:textAlignment w:val="auto"/>
        <w:rPr>
          <w:rFonts w:hint="default" w:ascii="Times New Roman" w:hAnsi="Times New Roman" w:eastAsia="仿宋_GB2312" w:cs="Times New Roman"/>
          <w:color w:val="auto"/>
          <w:sz w:val="36"/>
          <w:szCs w:val="36"/>
          <w:highlight w:val="none"/>
          <w:u w:val="single"/>
          <w:lang w:val="en-US" w:eastAsia="zh-CN"/>
        </w:rPr>
      </w:pPr>
      <w:r>
        <w:rPr>
          <w:rFonts w:hint="default" w:ascii="Times New Roman" w:hAnsi="Times New Roman" w:eastAsia="仿宋_GB2312" w:cs="Times New Roman"/>
          <w:color w:val="auto"/>
          <w:spacing w:val="-20"/>
          <w:sz w:val="36"/>
          <w:szCs w:val="36"/>
          <w:highlight w:val="none"/>
          <w:u w:val="none"/>
        </w:rPr>
        <w:t>建设单位（盖章）：</w:t>
      </w:r>
      <w:r>
        <w:rPr>
          <w:rFonts w:hint="eastAsia" w:ascii="Times New Roman" w:hAnsi="Times New Roman" w:eastAsia="仿宋_GB2312" w:cs="Times New Roman"/>
          <w:color w:val="auto"/>
          <w:sz w:val="36"/>
          <w:szCs w:val="36"/>
          <w:highlight w:val="none"/>
          <w:u w:val="single"/>
          <w:lang w:val="en-US" w:eastAsia="zh-CN"/>
        </w:rPr>
        <w:t>奇台县水利工程建设管理中心</w:t>
      </w:r>
    </w:p>
    <w:p w14:paraId="27F22697">
      <w:pPr>
        <w:keepNext w:val="0"/>
        <w:keepLines w:val="0"/>
        <w:pageBreakBefore w:val="0"/>
        <w:widowControl w:val="0"/>
        <w:kinsoku/>
        <w:wordWrap/>
        <w:overflowPunct/>
        <w:topLinePunct w:val="0"/>
        <w:autoSpaceDE/>
        <w:autoSpaceDN/>
        <w:bidi w:val="0"/>
        <w:adjustRightInd w:val="0"/>
        <w:snapToGrid w:val="0"/>
        <w:spacing w:line="288" w:lineRule="auto"/>
        <w:ind w:left="630" w:leftChars="300" w:right="630" w:rightChars="300" w:firstLine="0"/>
        <w:textAlignment w:val="auto"/>
        <w:rPr>
          <w:rFonts w:hint="default" w:ascii="Times New Roman" w:hAnsi="Times New Roman" w:eastAsia="仿宋_GB2312" w:cs="Times New Roman"/>
          <w:color w:val="auto"/>
          <w:sz w:val="36"/>
          <w:szCs w:val="36"/>
          <w:highlight w:val="none"/>
          <w:u w:val="single"/>
        </w:rPr>
      </w:pPr>
      <w:r>
        <w:rPr>
          <w:rFonts w:hint="default" w:ascii="Times New Roman" w:hAnsi="Times New Roman" w:eastAsia="仿宋_GB2312" w:cs="Times New Roman"/>
          <w:color w:val="auto"/>
          <w:sz w:val="36"/>
          <w:szCs w:val="36"/>
          <w:highlight w:val="none"/>
          <w:u w:val="none"/>
        </w:rPr>
        <w:t>编制日期：</w:t>
      </w:r>
      <w:r>
        <w:rPr>
          <w:rFonts w:hint="default" w:ascii="Times New Roman" w:hAnsi="Times New Roman" w:eastAsia="仿宋_GB2312" w:cs="Times New Roman"/>
          <w:color w:val="auto"/>
          <w:sz w:val="36"/>
          <w:szCs w:val="36"/>
          <w:highlight w:val="none"/>
          <w:u w:val="single"/>
        </w:rPr>
        <w:t xml:space="preserve">     </w:t>
      </w:r>
      <w:r>
        <w:rPr>
          <w:rFonts w:hint="default" w:ascii="Times New Roman" w:hAnsi="Times New Roman" w:eastAsia="仿宋_GB2312" w:cs="Times New Roman"/>
          <w:color w:val="auto"/>
          <w:sz w:val="36"/>
          <w:szCs w:val="36"/>
          <w:highlight w:val="none"/>
          <w:u w:val="single"/>
          <w:lang w:val="en-US" w:eastAsia="zh-CN"/>
        </w:rPr>
        <w:t xml:space="preserve">  </w:t>
      </w:r>
      <w:r>
        <w:rPr>
          <w:rFonts w:hint="eastAsia" w:ascii="Times New Roman" w:hAnsi="Times New Roman" w:eastAsia="仿宋_GB2312" w:cs="Times New Roman"/>
          <w:color w:val="auto"/>
          <w:sz w:val="36"/>
          <w:szCs w:val="36"/>
          <w:highlight w:val="none"/>
          <w:u w:val="single"/>
          <w:lang w:val="en-US" w:eastAsia="zh-CN"/>
        </w:rPr>
        <w:t xml:space="preserve">  </w:t>
      </w:r>
      <w:r>
        <w:rPr>
          <w:rFonts w:hint="default" w:ascii="Times New Roman" w:hAnsi="Times New Roman" w:eastAsia="仿宋_GB2312" w:cs="Times New Roman"/>
          <w:color w:val="auto"/>
          <w:sz w:val="36"/>
          <w:szCs w:val="36"/>
          <w:highlight w:val="none"/>
          <w:u w:val="single"/>
          <w:lang w:val="en-US" w:eastAsia="zh-CN"/>
        </w:rPr>
        <w:t xml:space="preserve"> 202</w:t>
      </w:r>
      <w:r>
        <w:rPr>
          <w:rFonts w:hint="eastAsia" w:ascii="Times New Roman" w:hAnsi="Times New Roman" w:eastAsia="仿宋_GB2312" w:cs="Times New Roman"/>
          <w:color w:val="auto"/>
          <w:sz w:val="36"/>
          <w:szCs w:val="36"/>
          <w:highlight w:val="none"/>
          <w:u w:val="single"/>
          <w:lang w:val="en-US" w:eastAsia="zh-CN"/>
        </w:rPr>
        <w:t>6</w:t>
      </w:r>
      <w:r>
        <w:rPr>
          <w:rFonts w:hint="default" w:ascii="Times New Roman" w:hAnsi="Times New Roman" w:eastAsia="仿宋_GB2312" w:cs="Times New Roman"/>
          <w:color w:val="auto"/>
          <w:sz w:val="36"/>
          <w:szCs w:val="36"/>
          <w:highlight w:val="none"/>
          <w:u w:val="single"/>
          <w:lang w:val="en-US" w:eastAsia="zh-CN"/>
        </w:rPr>
        <w:t>年</w:t>
      </w:r>
      <w:r>
        <w:rPr>
          <w:rFonts w:hint="eastAsia" w:eastAsia="仿宋_GB2312" w:cs="Times New Roman"/>
          <w:color w:val="auto"/>
          <w:sz w:val="36"/>
          <w:szCs w:val="36"/>
          <w:highlight w:val="none"/>
          <w:u w:val="single"/>
          <w:lang w:val="en-US" w:eastAsia="zh-CN"/>
        </w:rPr>
        <w:t>6</w:t>
      </w:r>
      <w:r>
        <w:rPr>
          <w:rFonts w:hint="default" w:ascii="Times New Roman" w:hAnsi="Times New Roman" w:eastAsia="仿宋_GB2312" w:cs="Times New Roman"/>
          <w:color w:val="auto"/>
          <w:sz w:val="36"/>
          <w:szCs w:val="36"/>
          <w:highlight w:val="none"/>
          <w:u w:val="single"/>
          <w:lang w:val="en-US" w:eastAsia="zh-CN"/>
        </w:rPr>
        <w:t>月</w:t>
      </w:r>
      <w:r>
        <w:rPr>
          <w:rFonts w:hint="default" w:ascii="Times New Roman" w:hAnsi="Times New Roman" w:eastAsia="仿宋_GB2312" w:cs="Times New Roman"/>
          <w:color w:val="auto"/>
          <w:sz w:val="36"/>
          <w:szCs w:val="36"/>
          <w:highlight w:val="none"/>
          <w:u w:val="single"/>
        </w:rPr>
        <w:t xml:space="preserve"> </w:t>
      </w:r>
      <w:r>
        <w:rPr>
          <w:rFonts w:hint="eastAsia" w:ascii="Times New Roman" w:hAnsi="Times New Roman" w:eastAsia="仿宋_GB2312" w:cs="Times New Roman"/>
          <w:color w:val="auto"/>
          <w:sz w:val="36"/>
          <w:szCs w:val="36"/>
          <w:highlight w:val="none"/>
          <w:u w:val="single"/>
          <w:lang w:val="en-US" w:eastAsia="zh-CN"/>
        </w:rPr>
        <w:t xml:space="preserve">  </w:t>
      </w:r>
      <w:r>
        <w:rPr>
          <w:rFonts w:hint="default" w:ascii="Times New Roman" w:hAnsi="Times New Roman" w:eastAsia="仿宋_GB2312" w:cs="Times New Roman"/>
          <w:color w:val="auto"/>
          <w:sz w:val="36"/>
          <w:szCs w:val="36"/>
          <w:highlight w:val="none"/>
          <w:u w:val="single"/>
          <w:lang w:val="en-US" w:eastAsia="zh-CN"/>
        </w:rPr>
        <w:t xml:space="preserve">   </w:t>
      </w:r>
      <w:r>
        <w:rPr>
          <w:rFonts w:hint="eastAsia" w:ascii="Times New Roman" w:hAnsi="Times New Roman" w:eastAsia="仿宋_GB2312" w:cs="Times New Roman"/>
          <w:color w:val="auto"/>
          <w:sz w:val="36"/>
          <w:szCs w:val="36"/>
          <w:highlight w:val="none"/>
          <w:u w:val="single"/>
          <w:lang w:val="en-US" w:eastAsia="zh-CN"/>
        </w:rPr>
        <w:t xml:space="preserve"> </w:t>
      </w:r>
      <w:r>
        <w:rPr>
          <w:rFonts w:hint="default" w:ascii="Times New Roman" w:hAnsi="Times New Roman" w:eastAsia="仿宋_GB2312" w:cs="Times New Roman"/>
          <w:color w:val="auto"/>
          <w:sz w:val="36"/>
          <w:szCs w:val="36"/>
          <w:highlight w:val="none"/>
          <w:u w:val="single"/>
          <w:lang w:val="en-US" w:eastAsia="zh-CN"/>
        </w:rPr>
        <w:t xml:space="preserve">  </w:t>
      </w:r>
      <w:r>
        <w:rPr>
          <w:rFonts w:hint="default" w:ascii="Times New Roman" w:hAnsi="Times New Roman" w:eastAsia="仿宋_GB2312" w:cs="Times New Roman"/>
          <w:color w:val="auto"/>
          <w:sz w:val="36"/>
          <w:szCs w:val="36"/>
          <w:highlight w:val="none"/>
          <w:u w:val="single"/>
        </w:rPr>
        <w:t xml:space="preserve">   </w:t>
      </w:r>
    </w:p>
    <w:p w14:paraId="2EA7A12C">
      <w:pPr>
        <w:adjustRightInd w:val="0"/>
        <w:snapToGrid w:val="0"/>
        <w:spacing w:line="288" w:lineRule="auto"/>
        <w:ind w:firstLine="1040"/>
        <w:rPr>
          <w:rFonts w:hint="default" w:ascii="仿宋_GB2312" w:hAnsi="Times New Roman" w:eastAsia="仿宋_GB2312" w:cs="Times New Roman"/>
          <w:color w:val="auto"/>
          <w:sz w:val="36"/>
          <w:szCs w:val="36"/>
          <w:u w:val="single"/>
        </w:rPr>
      </w:pPr>
    </w:p>
    <w:p w14:paraId="0533097A">
      <w:pPr>
        <w:adjustRightInd w:val="0"/>
        <w:snapToGrid w:val="0"/>
        <w:spacing w:line="288" w:lineRule="auto"/>
        <w:ind w:firstLine="1040"/>
        <w:rPr>
          <w:rFonts w:hint="default" w:ascii="仿宋_GB2312" w:hAnsi="Times New Roman" w:eastAsia="仿宋_GB2312" w:cs="Times New Roman"/>
          <w:color w:val="auto"/>
          <w:sz w:val="36"/>
          <w:szCs w:val="36"/>
          <w:u w:val="single"/>
        </w:rPr>
      </w:pPr>
    </w:p>
    <w:p w14:paraId="1B11D90B">
      <w:pPr>
        <w:adjustRightInd w:val="0"/>
        <w:snapToGrid w:val="0"/>
        <w:spacing w:line="288" w:lineRule="auto"/>
        <w:ind w:firstLine="1040"/>
        <w:rPr>
          <w:rFonts w:hint="default" w:ascii="仿宋_GB2312" w:hAnsi="Times New Roman" w:eastAsia="仿宋_GB2312" w:cs="Times New Roman"/>
          <w:color w:val="auto"/>
          <w:sz w:val="36"/>
          <w:szCs w:val="36"/>
          <w:u w:val="single"/>
        </w:rPr>
      </w:pPr>
    </w:p>
    <w:p w14:paraId="56F0B805">
      <w:pPr>
        <w:adjustRightInd w:val="0"/>
        <w:snapToGrid w:val="0"/>
        <w:spacing w:line="288" w:lineRule="auto"/>
        <w:ind w:firstLine="1040"/>
        <w:rPr>
          <w:rFonts w:hint="default" w:ascii="仿宋_GB2312" w:hAnsi="Times New Roman" w:eastAsia="仿宋_GB2312" w:cs="Times New Roman"/>
          <w:color w:val="auto"/>
          <w:sz w:val="36"/>
          <w:szCs w:val="36"/>
          <w:u w:val="single"/>
        </w:rPr>
      </w:pPr>
    </w:p>
    <w:p w14:paraId="3AB74CA1">
      <w:pPr>
        <w:adjustRightInd w:val="0"/>
        <w:snapToGrid w:val="0"/>
        <w:spacing w:line="288" w:lineRule="auto"/>
        <w:ind w:firstLine="1040"/>
        <w:rPr>
          <w:rFonts w:hint="default" w:ascii="仿宋_GB2312" w:hAnsi="Times New Roman" w:eastAsia="仿宋_GB2312" w:cs="Times New Roman"/>
          <w:color w:val="auto"/>
          <w:sz w:val="36"/>
          <w:szCs w:val="36"/>
          <w:u w:val="single"/>
        </w:rPr>
      </w:pPr>
    </w:p>
    <w:p w14:paraId="0A28401A">
      <w:pPr>
        <w:adjustRightInd w:val="0"/>
        <w:snapToGrid w:val="0"/>
        <w:spacing w:line="288" w:lineRule="auto"/>
        <w:jc w:val="center"/>
        <w:outlineLvl w:val="9"/>
        <w:rPr>
          <w:rFonts w:hint="default" w:ascii="Times New Roman" w:hAnsi="Times New Roman" w:eastAsia="楷体_GB2312" w:cs="Times New Roman"/>
          <w:color w:val="auto"/>
          <w:sz w:val="36"/>
          <w:szCs w:val="36"/>
          <w:highlight w:val="none"/>
        </w:rPr>
      </w:pPr>
      <w:bookmarkStart w:id="3" w:name="_Toc20772"/>
      <w:r>
        <w:rPr>
          <w:rFonts w:hint="default" w:ascii="Times New Roman" w:hAnsi="Times New Roman" w:eastAsia="楷体_GB2312" w:cs="Times New Roman"/>
          <w:color w:val="auto"/>
          <w:sz w:val="36"/>
          <w:szCs w:val="36"/>
          <w:highlight w:val="none"/>
        </w:rPr>
        <w:t>中华人民共和国生态环境部制</w:t>
      </w:r>
      <w:bookmarkEnd w:id="3"/>
    </w:p>
    <w:p w14:paraId="42A11A3D">
      <w:pPr>
        <w:adjustRightInd w:val="0"/>
        <w:snapToGrid w:val="0"/>
        <w:spacing w:line="288" w:lineRule="auto"/>
        <w:jc w:val="center"/>
        <w:outlineLvl w:val="9"/>
        <w:rPr>
          <w:rFonts w:hint="default" w:ascii="Times New Roman" w:hAnsi="Times New Roman" w:eastAsia="楷体_GB2312" w:cs="Times New Roman"/>
          <w:color w:val="auto"/>
          <w:sz w:val="36"/>
          <w:szCs w:val="36"/>
          <w:highlight w:val="none"/>
        </w:rPr>
      </w:pPr>
    </w:p>
    <w:p w14:paraId="4FFCBC0C">
      <w:pPr>
        <w:adjustRightInd w:val="0"/>
        <w:snapToGrid w:val="0"/>
        <w:spacing w:line="288" w:lineRule="auto"/>
        <w:ind w:firstLine="1040"/>
        <w:rPr>
          <w:rFonts w:hint="default" w:ascii="Times New Roman" w:hAnsi="Times New Roman" w:eastAsia="仿宋_GB2312" w:cs="Times New Roman"/>
          <w:color w:val="auto"/>
          <w:sz w:val="36"/>
          <w:szCs w:val="36"/>
          <w:highlight w:val="none"/>
        </w:rPr>
      </w:pPr>
    </w:p>
    <w:p w14:paraId="35EF421B">
      <w:pPr>
        <w:pStyle w:val="15"/>
        <w:rPr>
          <w:rFonts w:hint="default" w:ascii="Times New Roman" w:hAnsi="Times New Roman" w:eastAsia="宋体" w:cs="Times New Roman"/>
          <w:color w:val="auto"/>
          <w:lang w:eastAsia="zh-CN"/>
        </w:rPr>
      </w:pPr>
    </w:p>
    <w:p w14:paraId="38EF989E">
      <w:pPr>
        <w:pStyle w:val="15"/>
        <w:rPr>
          <w:rFonts w:hint="default" w:ascii="Times New Roman" w:hAnsi="Times New Roman" w:eastAsia="宋体" w:cs="Times New Roman"/>
          <w:color w:val="auto"/>
          <w:lang w:eastAsia="zh-CN"/>
        </w:rPr>
      </w:pPr>
    </w:p>
    <w:p w14:paraId="43C1DB05">
      <w:pPr>
        <w:pStyle w:val="15"/>
        <w:rPr>
          <w:rFonts w:hint="default" w:ascii="Times New Roman" w:hAnsi="Times New Roman" w:eastAsia="宋体" w:cs="Times New Roman"/>
          <w:color w:val="auto"/>
          <w:lang w:eastAsia="zh-CN"/>
        </w:rPr>
      </w:pPr>
    </w:p>
    <w:p w14:paraId="43FBB7FE">
      <w:pPr>
        <w:pStyle w:val="15"/>
        <w:rPr>
          <w:rFonts w:hint="default" w:ascii="Times New Roman" w:hAnsi="Times New Roman" w:eastAsia="宋体" w:cs="Times New Roman"/>
          <w:color w:val="auto"/>
          <w:lang w:eastAsia="zh-CN"/>
        </w:rPr>
      </w:pPr>
    </w:p>
    <w:p w14:paraId="695413DC">
      <w:pPr>
        <w:pStyle w:val="15"/>
        <w:rPr>
          <w:rFonts w:hint="default" w:ascii="Times New Roman" w:hAnsi="Times New Roman" w:eastAsia="宋体" w:cs="Times New Roman"/>
          <w:color w:val="auto"/>
          <w:lang w:eastAsia="zh-CN"/>
        </w:rPr>
      </w:pPr>
    </w:p>
    <w:p w14:paraId="4F934F34">
      <w:pPr>
        <w:pStyle w:val="15"/>
        <w:rPr>
          <w:rFonts w:hint="default" w:ascii="Times New Roman" w:hAnsi="Times New Roman" w:eastAsia="宋体" w:cs="Times New Roman"/>
          <w:color w:val="auto"/>
          <w:lang w:eastAsia="zh-CN"/>
        </w:rPr>
      </w:pPr>
    </w:p>
    <w:p w14:paraId="3EE50C7B">
      <w:pPr>
        <w:pStyle w:val="15"/>
        <w:rPr>
          <w:rFonts w:hint="default" w:ascii="Times New Roman" w:hAnsi="Times New Roman" w:eastAsia="宋体" w:cs="Times New Roman"/>
          <w:color w:val="auto"/>
          <w:lang w:eastAsia="zh-CN"/>
        </w:rPr>
      </w:pPr>
    </w:p>
    <w:p w14:paraId="580D0910">
      <w:pPr>
        <w:pStyle w:val="15"/>
        <w:rPr>
          <w:rFonts w:hint="default" w:ascii="Times New Roman" w:hAnsi="Times New Roman" w:eastAsia="宋体" w:cs="Times New Roman"/>
          <w:color w:val="auto"/>
          <w:lang w:eastAsia="zh-CN"/>
        </w:rPr>
      </w:pPr>
    </w:p>
    <w:p w14:paraId="37CD7D2F">
      <w:pPr>
        <w:pStyle w:val="15"/>
        <w:rPr>
          <w:rFonts w:hint="default" w:ascii="Times New Roman" w:hAnsi="Times New Roman" w:eastAsia="宋体" w:cs="Times New Roman"/>
          <w:color w:val="auto"/>
          <w:lang w:eastAsia="zh-CN"/>
        </w:rPr>
      </w:pPr>
    </w:p>
    <w:p w14:paraId="694153EC">
      <w:pPr>
        <w:pStyle w:val="15"/>
        <w:rPr>
          <w:rFonts w:hint="default" w:ascii="Times New Roman" w:hAnsi="Times New Roman" w:eastAsia="宋体" w:cs="Times New Roman"/>
          <w:color w:val="auto"/>
          <w:lang w:eastAsia="zh-CN"/>
        </w:rPr>
      </w:pPr>
    </w:p>
    <w:p w14:paraId="3A330459">
      <w:pPr>
        <w:pStyle w:val="15"/>
        <w:rPr>
          <w:rFonts w:hint="default" w:ascii="Times New Roman" w:hAnsi="Times New Roman" w:eastAsia="宋体" w:cs="Times New Roman"/>
          <w:color w:val="auto"/>
          <w:lang w:eastAsia="zh-CN"/>
        </w:rPr>
      </w:pPr>
    </w:p>
    <w:p w14:paraId="2B9FAC59">
      <w:pPr>
        <w:pStyle w:val="15"/>
        <w:rPr>
          <w:rFonts w:hint="default" w:ascii="Times New Roman" w:hAnsi="Times New Roman" w:eastAsia="宋体" w:cs="Times New Roman"/>
          <w:color w:val="auto"/>
          <w:lang w:eastAsia="zh-CN"/>
        </w:rPr>
      </w:pPr>
    </w:p>
    <w:p w14:paraId="498F4716">
      <w:pPr>
        <w:pStyle w:val="15"/>
        <w:rPr>
          <w:rFonts w:hint="default" w:ascii="Times New Roman" w:hAnsi="Times New Roman" w:eastAsia="宋体" w:cs="Times New Roman"/>
          <w:color w:val="auto"/>
          <w:lang w:eastAsia="zh-CN"/>
        </w:rPr>
      </w:pPr>
    </w:p>
    <w:p w14:paraId="43D0C61A">
      <w:pPr>
        <w:pStyle w:val="15"/>
        <w:rPr>
          <w:rFonts w:hint="default" w:ascii="Times New Roman" w:hAnsi="Times New Roman" w:eastAsia="宋体" w:cs="Times New Roman"/>
          <w:color w:val="auto"/>
          <w:lang w:eastAsia="zh-CN"/>
        </w:rPr>
      </w:pPr>
    </w:p>
    <w:p w14:paraId="33FE1235">
      <w:pPr>
        <w:pStyle w:val="15"/>
        <w:rPr>
          <w:rFonts w:hint="default" w:ascii="Times New Roman" w:hAnsi="Times New Roman" w:eastAsia="宋体" w:cs="Times New Roman"/>
          <w:color w:val="auto"/>
          <w:lang w:eastAsia="zh-CN"/>
        </w:rPr>
      </w:pPr>
    </w:p>
    <w:p w14:paraId="1DBE79E7">
      <w:pPr>
        <w:pStyle w:val="15"/>
        <w:rPr>
          <w:rFonts w:hint="default" w:ascii="Times New Roman" w:hAnsi="Times New Roman" w:eastAsia="宋体" w:cs="Times New Roman"/>
          <w:color w:val="auto"/>
          <w:lang w:eastAsia="zh-CN"/>
        </w:rPr>
      </w:pPr>
    </w:p>
    <w:p w14:paraId="212C177F">
      <w:pPr>
        <w:pStyle w:val="15"/>
        <w:rPr>
          <w:rFonts w:hint="default" w:ascii="Times New Roman" w:hAnsi="Times New Roman" w:eastAsia="宋体" w:cs="Times New Roman"/>
          <w:color w:val="auto"/>
          <w:lang w:eastAsia="zh-CN"/>
        </w:rPr>
      </w:pPr>
    </w:p>
    <w:p w14:paraId="189ADC06">
      <w:pPr>
        <w:pStyle w:val="15"/>
        <w:rPr>
          <w:rFonts w:hint="default" w:ascii="Times New Roman" w:hAnsi="Times New Roman" w:eastAsia="宋体" w:cs="Times New Roman"/>
          <w:color w:val="auto"/>
          <w:lang w:eastAsia="zh-CN"/>
        </w:rPr>
      </w:pPr>
    </w:p>
    <w:p w14:paraId="760F8045">
      <w:pPr>
        <w:pStyle w:val="15"/>
        <w:rPr>
          <w:rFonts w:hint="default" w:ascii="Times New Roman" w:hAnsi="Times New Roman" w:eastAsia="宋体" w:cs="Times New Roman"/>
          <w:color w:val="auto"/>
          <w:lang w:eastAsia="zh-CN"/>
        </w:rPr>
      </w:pPr>
    </w:p>
    <w:p w14:paraId="01E79F17">
      <w:pPr>
        <w:pStyle w:val="15"/>
        <w:rPr>
          <w:rFonts w:hint="default" w:ascii="Times New Roman" w:hAnsi="Times New Roman" w:eastAsia="宋体" w:cs="Times New Roman"/>
          <w:color w:val="auto"/>
          <w:lang w:eastAsia="zh-CN"/>
        </w:rPr>
      </w:pPr>
    </w:p>
    <w:p w14:paraId="4B960B9E">
      <w:pPr>
        <w:pStyle w:val="15"/>
        <w:rPr>
          <w:rFonts w:hint="default" w:ascii="Times New Roman" w:hAnsi="Times New Roman" w:eastAsia="宋体" w:cs="Times New Roman"/>
          <w:color w:val="auto"/>
          <w:lang w:eastAsia="zh-CN"/>
        </w:rPr>
      </w:pPr>
    </w:p>
    <w:p w14:paraId="18AEC2E6">
      <w:pPr>
        <w:jc w:val="center"/>
        <w:rPr>
          <w:rFonts w:hint="default" w:ascii="Times New Roman" w:hAnsi="Times New Roman" w:cs="Times New Roman"/>
          <w:b/>
          <w:color w:val="auto"/>
          <w:kern w:val="0"/>
          <w:sz w:val="30"/>
          <w:szCs w:val="30"/>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tbl>
      <w:tblPr>
        <w:tblStyle w:val="29"/>
        <w:tblW w:w="0" w:type="auto"/>
        <w:jc w:val="center"/>
        <w:tblLayout w:type="fixed"/>
        <w:tblCellMar>
          <w:top w:w="0" w:type="dxa"/>
          <w:left w:w="108" w:type="dxa"/>
          <w:bottom w:w="0" w:type="dxa"/>
          <w:right w:w="108" w:type="dxa"/>
        </w:tblCellMar>
      </w:tblPr>
      <w:tblGrid>
        <w:gridCol w:w="4562"/>
        <w:gridCol w:w="4498"/>
      </w:tblGrid>
      <w:tr w14:paraId="70D944CB">
        <w:tblPrEx>
          <w:tblCellMar>
            <w:top w:w="0" w:type="dxa"/>
            <w:left w:w="108" w:type="dxa"/>
            <w:bottom w:w="0" w:type="dxa"/>
            <w:right w:w="108" w:type="dxa"/>
          </w:tblCellMar>
        </w:tblPrEx>
        <w:trPr>
          <w:trHeight w:val="3528" w:hRule="atLeast"/>
          <w:jc w:val="center"/>
        </w:trPr>
        <w:tc>
          <w:tcPr>
            <w:tcW w:w="4562" w:type="dxa"/>
            <w:noWrap w:val="0"/>
            <w:vAlign w:val="center"/>
          </w:tcPr>
          <w:p w14:paraId="2966C2AB">
            <w:pPr>
              <w:adjustRightInd w:val="0"/>
              <w:snapToGrid w:val="0"/>
              <w:jc w:val="center"/>
              <w:rPr>
                <w:rFonts w:hint="default" w:ascii="Times New Roman" w:hAnsi="Times New Roman" w:eastAsia="仿宋_GB2312" w:cs="Times New Roman"/>
                <w:color w:val="auto"/>
                <w:sz w:val="36"/>
                <w:szCs w:val="36"/>
                <w:lang w:eastAsia="zh-CN"/>
              </w:rPr>
            </w:pPr>
            <w:r>
              <w:rPr>
                <w:rFonts w:hint="default" w:ascii="Times New Roman" w:hAnsi="Times New Roman" w:eastAsia="仿宋_GB2312" w:cs="Times New Roman"/>
                <w:color w:val="auto"/>
                <w:sz w:val="36"/>
                <w:szCs w:val="36"/>
                <w:lang w:val="en-US" w:eastAsia="zh-CN"/>
              </w:rPr>
              <w:drawing>
                <wp:inline distT="0" distB="0" distL="114300" distR="114300">
                  <wp:extent cx="2567940" cy="2262505"/>
                  <wp:effectExtent l="0" t="0" r="1270" b="4445"/>
                  <wp:docPr id="34" name="图片 34" descr="微信图片_20260506164450_2416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微信图片_20260506164450_2416_3"/>
                          <pic:cNvPicPr>
                            <a:picLocks noChangeAspect="1"/>
                          </pic:cNvPicPr>
                        </pic:nvPicPr>
                        <pic:blipFill>
                          <a:blip r:embed="rId9"/>
                          <a:stretch>
                            <a:fillRect/>
                          </a:stretch>
                        </pic:blipFill>
                        <pic:spPr>
                          <a:xfrm>
                            <a:off x="0" y="0"/>
                            <a:ext cx="2567940" cy="2262505"/>
                          </a:xfrm>
                          <a:prstGeom prst="rect">
                            <a:avLst/>
                          </a:prstGeom>
                        </pic:spPr>
                      </pic:pic>
                    </a:graphicData>
                  </a:graphic>
                </wp:inline>
              </w:drawing>
            </w:r>
          </w:p>
        </w:tc>
        <w:tc>
          <w:tcPr>
            <w:tcW w:w="4498" w:type="dxa"/>
            <w:noWrap w:val="0"/>
            <w:vAlign w:val="center"/>
          </w:tcPr>
          <w:p w14:paraId="5DAAD7A7">
            <w:pPr>
              <w:adjustRightInd w:val="0"/>
              <w:snapToGrid w:val="0"/>
              <w:rPr>
                <w:rFonts w:hint="default" w:ascii="Times New Roman" w:hAnsi="Times New Roman" w:eastAsia="仿宋_GB2312" w:cs="Times New Roman"/>
                <w:color w:val="auto"/>
                <w:sz w:val="36"/>
                <w:szCs w:val="36"/>
                <w:lang w:eastAsia="zh-CN"/>
              </w:rPr>
            </w:pPr>
            <w:r>
              <w:rPr>
                <w:rFonts w:hint="default" w:ascii="Times New Roman" w:hAnsi="Times New Roman" w:eastAsia="仿宋_GB2312" w:cs="Times New Roman"/>
                <w:color w:val="auto"/>
                <w:sz w:val="36"/>
                <w:szCs w:val="36"/>
                <w:lang w:val="en-US" w:eastAsia="zh-CN"/>
              </w:rPr>
              <w:drawing>
                <wp:inline distT="0" distB="0" distL="114300" distR="114300">
                  <wp:extent cx="2642235" cy="2254250"/>
                  <wp:effectExtent l="0" t="0" r="2540" b="1905"/>
                  <wp:docPr id="39" name="图片 39" descr="微信图片_20260506164459_2420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微信图片_20260506164459_2420_3"/>
                          <pic:cNvPicPr>
                            <a:picLocks noChangeAspect="1"/>
                          </pic:cNvPicPr>
                        </pic:nvPicPr>
                        <pic:blipFill>
                          <a:blip r:embed="rId10"/>
                          <a:stretch>
                            <a:fillRect/>
                          </a:stretch>
                        </pic:blipFill>
                        <pic:spPr>
                          <a:xfrm>
                            <a:off x="0" y="0"/>
                            <a:ext cx="2642235" cy="2254250"/>
                          </a:xfrm>
                          <a:prstGeom prst="rect">
                            <a:avLst/>
                          </a:prstGeom>
                        </pic:spPr>
                      </pic:pic>
                    </a:graphicData>
                  </a:graphic>
                </wp:inline>
              </w:drawing>
            </w:r>
          </w:p>
        </w:tc>
      </w:tr>
      <w:tr w14:paraId="6E2C900F">
        <w:tblPrEx>
          <w:tblCellMar>
            <w:top w:w="0" w:type="dxa"/>
            <w:left w:w="108" w:type="dxa"/>
            <w:bottom w:w="0" w:type="dxa"/>
            <w:right w:w="108" w:type="dxa"/>
          </w:tblCellMar>
        </w:tblPrEx>
        <w:trPr>
          <w:trHeight w:val="542" w:hRule="atLeast"/>
          <w:jc w:val="center"/>
        </w:trPr>
        <w:tc>
          <w:tcPr>
            <w:tcW w:w="4562" w:type="dxa"/>
            <w:noWrap w:val="0"/>
            <w:vAlign w:val="center"/>
          </w:tcPr>
          <w:p w14:paraId="47DAD0BD">
            <w:pPr>
              <w:adjustRightInd w:val="0"/>
              <w:snapToGrid w:val="0"/>
              <w:jc w:val="center"/>
              <w:rPr>
                <w:rFonts w:hint="default" w:ascii="Times New Roman" w:hAnsi="Times New Roman" w:eastAsia="仿宋_GB2312" w:cs="Times New Roman"/>
                <w:color w:val="auto"/>
                <w:sz w:val="36"/>
                <w:szCs w:val="36"/>
                <w:lang w:val="en-US" w:eastAsia="zh-CN"/>
              </w:rPr>
            </w:pPr>
            <w:r>
              <w:rPr>
                <w:rFonts w:hint="default" w:ascii="Times New Roman" w:hAnsi="Times New Roman" w:eastAsia="仿宋_GB2312" w:cs="Times New Roman"/>
                <w:b/>
                <w:bCs/>
                <w:color w:val="auto"/>
                <w:sz w:val="24"/>
              </w:rPr>
              <w:t>图1项目区</w:t>
            </w:r>
          </w:p>
        </w:tc>
        <w:tc>
          <w:tcPr>
            <w:tcW w:w="4498" w:type="dxa"/>
            <w:noWrap w:val="0"/>
            <w:vAlign w:val="center"/>
          </w:tcPr>
          <w:p w14:paraId="3891E0BB">
            <w:pPr>
              <w:adjustRightInd w:val="0"/>
              <w:snapToGrid w:val="0"/>
              <w:jc w:val="center"/>
              <w:rPr>
                <w:rFonts w:hint="default" w:ascii="Times New Roman" w:hAnsi="Times New Roman" w:eastAsia="仿宋_GB2312" w:cs="Times New Roman"/>
                <w:color w:val="auto"/>
                <w:sz w:val="36"/>
                <w:szCs w:val="36"/>
              </w:rPr>
            </w:pPr>
            <w:r>
              <w:rPr>
                <w:rFonts w:hint="default" w:ascii="Times New Roman" w:hAnsi="Times New Roman" w:eastAsia="仿宋_GB2312" w:cs="Times New Roman"/>
                <w:b/>
                <w:bCs/>
                <w:color w:val="auto"/>
                <w:sz w:val="24"/>
              </w:rPr>
              <w:t>图2项目区</w:t>
            </w:r>
          </w:p>
        </w:tc>
      </w:tr>
      <w:tr w14:paraId="49F0731F">
        <w:tblPrEx>
          <w:tblCellMar>
            <w:top w:w="0" w:type="dxa"/>
            <w:left w:w="108" w:type="dxa"/>
            <w:bottom w:w="0" w:type="dxa"/>
            <w:right w:w="108" w:type="dxa"/>
          </w:tblCellMar>
        </w:tblPrEx>
        <w:trPr>
          <w:trHeight w:val="3980" w:hRule="atLeast"/>
          <w:jc w:val="center"/>
        </w:trPr>
        <w:tc>
          <w:tcPr>
            <w:tcW w:w="4562" w:type="dxa"/>
            <w:noWrap w:val="0"/>
            <w:vAlign w:val="center"/>
          </w:tcPr>
          <w:p w14:paraId="75567D51">
            <w:pPr>
              <w:adjustRightInd w:val="0"/>
              <w:snapToGrid w:val="0"/>
              <w:jc w:val="center"/>
              <w:rPr>
                <w:rFonts w:hint="default" w:ascii="Times New Roman" w:hAnsi="Times New Roman" w:eastAsia="仿宋_GB2312" w:cs="Times New Roman"/>
                <w:color w:val="auto"/>
                <w:sz w:val="36"/>
                <w:szCs w:val="36"/>
                <w:lang w:eastAsia="zh-CN"/>
              </w:rPr>
            </w:pPr>
            <w:r>
              <w:rPr>
                <w:rFonts w:hint="default" w:ascii="Times New Roman" w:hAnsi="Times New Roman" w:eastAsia="仿宋_GB2312" w:cs="Times New Roman"/>
                <w:color w:val="auto"/>
                <w:sz w:val="36"/>
                <w:szCs w:val="36"/>
                <w:lang w:val="en-US" w:eastAsia="zh-CN"/>
              </w:rPr>
              <w:drawing>
                <wp:inline distT="0" distB="0" distL="114300" distR="114300">
                  <wp:extent cx="2567940" cy="2275205"/>
                  <wp:effectExtent l="0" t="0" r="1270" b="2540"/>
                  <wp:docPr id="38" name="图片 38" descr="微信图片_20260506164516_2432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微信图片_20260506164516_2432_3"/>
                          <pic:cNvPicPr>
                            <a:picLocks noChangeAspect="1"/>
                          </pic:cNvPicPr>
                        </pic:nvPicPr>
                        <pic:blipFill>
                          <a:blip r:embed="rId11"/>
                          <a:stretch>
                            <a:fillRect/>
                          </a:stretch>
                        </pic:blipFill>
                        <pic:spPr>
                          <a:xfrm>
                            <a:off x="0" y="0"/>
                            <a:ext cx="2567940" cy="2275205"/>
                          </a:xfrm>
                          <a:prstGeom prst="rect">
                            <a:avLst/>
                          </a:prstGeom>
                        </pic:spPr>
                      </pic:pic>
                    </a:graphicData>
                  </a:graphic>
                </wp:inline>
              </w:drawing>
            </w:r>
          </w:p>
        </w:tc>
        <w:tc>
          <w:tcPr>
            <w:tcW w:w="4498" w:type="dxa"/>
            <w:noWrap w:val="0"/>
            <w:vAlign w:val="center"/>
          </w:tcPr>
          <w:p w14:paraId="29E39321">
            <w:pPr>
              <w:adjustRightInd w:val="0"/>
              <w:snapToGrid w:val="0"/>
              <w:jc w:val="center"/>
              <w:rPr>
                <w:rFonts w:hint="default" w:ascii="Times New Roman" w:hAnsi="Times New Roman" w:eastAsia="仿宋_GB2312" w:cs="Times New Roman"/>
                <w:color w:val="auto"/>
                <w:sz w:val="36"/>
                <w:szCs w:val="36"/>
                <w:lang w:eastAsia="zh-CN"/>
              </w:rPr>
            </w:pPr>
            <w:r>
              <w:rPr>
                <w:rFonts w:hint="default" w:ascii="Times New Roman" w:hAnsi="Times New Roman" w:eastAsia="仿宋_GB2312" w:cs="Times New Roman"/>
                <w:color w:val="auto"/>
                <w:sz w:val="36"/>
                <w:szCs w:val="36"/>
                <w:lang w:val="en-US" w:eastAsia="zh-CN"/>
              </w:rPr>
              <w:drawing>
                <wp:inline distT="0" distB="0" distL="114300" distR="114300">
                  <wp:extent cx="2651760" cy="2324735"/>
                  <wp:effectExtent l="0" t="0" r="3810" b="6985"/>
                  <wp:docPr id="37" name="图片 37" descr="微信图片_20260506164726_2488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微信图片_20260506164726_2488_3"/>
                          <pic:cNvPicPr>
                            <a:picLocks noChangeAspect="1"/>
                          </pic:cNvPicPr>
                        </pic:nvPicPr>
                        <pic:blipFill>
                          <a:blip r:embed="rId12"/>
                          <a:stretch>
                            <a:fillRect/>
                          </a:stretch>
                        </pic:blipFill>
                        <pic:spPr>
                          <a:xfrm>
                            <a:off x="0" y="0"/>
                            <a:ext cx="2651760" cy="2324735"/>
                          </a:xfrm>
                          <a:prstGeom prst="rect">
                            <a:avLst/>
                          </a:prstGeom>
                        </pic:spPr>
                      </pic:pic>
                    </a:graphicData>
                  </a:graphic>
                </wp:inline>
              </w:drawing>
            </w:r>
          </w:p>
        </w:tc>
      </w:tr>
      <w:tr w14:paraId="3F223AEB">
        <w:tblPrEx>
          <w:tblCellMar>
            <w:top w:w="0" w:type="dxa"/>
            <w:left w:w="108" w:type="dxa"/>
            <w:bottom w:w="0" w:type="dxa"/>
            <w:right w:w="108" w:type="dxa"/>
          </w:tblCellMar>
        </w:tblPrEx>
        <w:trPr>
          <w:trHeight w:val="555" w:hRule="atLeast"/>
          <w:jc w:val="center"/>
        </w:trPr>
        <w:tc>
          <w:tcPr>
            <w:tcW w:w="4562" w:type="dxa"/>
            <w:noWrap w:val="0"/>
            <w:vAlign w:val="center"/>
          </w:tcPr>
          <w:p w14:paraId="3856595F">
            <w:pPr>
              <w:adjustRightInd w:val="0"/>
              <w:snapToGrid w:val="0"/>
              <w:jc w:val="center"/>
              <w:rPr>
                <w:rFonts w:hint="default" w:ascii="Times New Roman" w:hAnsi="Times New Roman" w:eastAsia="仿宋_GB2312" w:cs="Times New Roman"/>
                <w:color w:val="auto"/>
                <w:sz w:val="36"/>
                <w:szCs w:val="36"/>
              </w:rPr>
            </w:pPr>
            <w:r>
              <w:rPr>
                <w:rFonts w:hint="default" w:ascii="Times New Roman" w:hAnsi="Times New Roman" w:eastAsia="仿宋_GB2312" w:cs="Times New Roman"/>
                <w:b/>
                <w:bCs/>
                <w:color w:val="auto"/>
                <w:sz w:val="24"/>
              </w:rPr>
              <w:t>图3项目区</w:t>
            </w:r>
          </w:p>
        </w:tc>
        <w:tc>
          <w:tcPr>
            <w:tcW w:w="4498" w:type="dxa"/>
            <w:noWrap w:val="0"/>
            <w:vAlign w:val="center"/>
          </w:tcPr>
          <w:p w14:paraId="49379CA7">
            <w:pPr>
              <w:adjustRightInd w:val="0"/>
              <w:snapToGrid w:val="0"/>
              <w:jc w:val="center"/>
              <w:rPr>
                <w:rFonts w:hint="default" w:ascii="Times New Roman" w:hAnsi="Times New Roman" w:eastAsia="仿宋_GB2312" w:cs="Times New Roman"/>
                <w:color w:val="auto"/>
                <w:sz w:val="36"/>
                <w:szCs w:val="36"/>
              </w:rPr>
            </w:pPr>
            <w:r>
              <w:rPr>
                <w:rFonts w:hint="default" w:ascii="Times New Roman" w:hAnsi="Times New Roman" w:eastAsia="仿宋_GB2312" w:cs="Times New Roman"/>
                <w:b/>
                <w:bCs/>
                <w:color w:val="auto"/>
                <w:sz w:val="24"/>
              </w:rPr>
              <w:t>图4项目区</w:t>
            </w:r>
          </w:p>
        </w:tc>
      </w:tr>
      <w:tr w14:paraId="0CF36375">
        <w:tblPrEx>
          <w:tblCellMar>
            <w:top w:w="0" w:type="dxa"/>
            <w:left w:w="108" w:type="dxa"/>
            <w:bottom w:w="0" w:type="dxa"/>
            <w:right w:w="108" w:type="dxa"/>
          </w:tblCellMar>
        </w:tblPrEx>
        <w:trPr>
          <w:trHeight w:val="555" w:hRule="atLeast"/>
          <w:jc w:val="center"/>
        </w:trPr>
        <w:tc>
          <w:tcPr>
            <w:tcW w:w="4562" w:type="dxa"/>
            <w:noWrap w:val="0"/>
            <w:vAlign w:val="center"/>
          </w:tcPr>
          <w:p w14:paraId="39A7416E">
            <w:pPr>
              <w:adjustRightInd w:val="0"/>
              <w:snapToGrid w:val="0"/>
              <w:jc w:val="center"/>
              <w:rPr>
                <w:rFonts w:hint="default" w:ascii="Times New Roman" w:hAnsi="Times New Roman" w:eastAsia="仿宋_GB2312" w:cs="Times New Roman"/>
                <w:b/>
                <w:bCs/>
                <w:color w:val="auto"/>
                <w:sz w:val="24"/>
                <w:lang w:eastAsia="zh-CN"/>
              </w:rPr>
            </w:pPr>
            <w:r>
              <w:rPr>
                <w:rFonts w:hint="default" w:ascii="Times New Roman" w:hAnsi="Times New Roman" w:eastAsia="仿宋_GB2312" w:cs="Times New Roman"/>
                <w:b/>
                <w:bCs/>
                <w:color w:val="auto"/>
                <w:sz w:val="24"/>
                <w:lang w:eastAsia="zh-CN"/>
              </w:rPr>
              <w:drawing>
                <wp:inline distT="0" distB="0" distL="114300" distR="114300">
                  <wp:extent cx="2745740" cy="2160905"/>
                  <wp:effectExtent l="0" t="0" r="6985" b="8890"/>
                  <wp:docPr id="14" name="图片 14" descr="微信图片_20260506164716_2481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微信图片_20260506164716_2481_3"/>
                          <pic:cNvPicPr>
                            <a:picLocks noChangeAspect="1"/>
                          </pic:cNvPicPr>
                        </pic:nvPicPr>
                        <pic:blipFill>
                          <a:blip r:embed="rId13"/>
                          <a:stretch>
                            <a:fillRect/>
                          </a:stretch>
                        </pic:blipFill>
                        <pic:spPr>
                          <a:xfrm>
                            <a:off x="0" y="0"/>
                            <a:ext cx="2745740" cy="2160905"/>
                          </a:xfrm>
                          <a:prstGeom prst="rect">
                            <a:avLst/>
                          </a:prstGeom>
                        </pic:spPr>
                      </pic:pic>
                    </a:graphicData>
                  </a:graphic>
                </wp:inline>
              </w:drawing>
            </w:r>
          </w:p>
        </w:tc>
        <w:tc>
          <w:tcPr>
            <w:tcW w:w="4498" w:type="dxa"/>
            <w:noWrap w:val="0"/>
            <w:vAlign w:val="center"/>
          </w:tcPr>
          <w:p w14:paraId="26589B1A">
            <w:pPr>
              <w:adjustRightInd w:val="0"/>
              <w:snapToGrid w:val="0"/>
              <w:jc w:val="center"/>
              <w:rPr>
                <w:rFonts w:hint="default" w:ascii="Times New Roman" w:hAnsi="Times New Roman" w:eastAsia="仿宋_GB2312" w:cs="Times New Roman"/>
                <w:b/>
                <w:bCs/>
                <w:color w:val="auto"/>
                <w:sz w:val="24"/>
                <w:lang w:eastAsia="zh-CN"/>
              </w:rPr>
            </w:pPr>
            <w:r>
              <w:rPr>
                <w:rFonts w:hint="default" w:ascii="Times New Roman" w:hAnsi="Times New Roman" w:eastAsia="仿宋_GB2312" w:cs="Times New Roman"/>
                <w:b/>
                <w:bCs/>
                <w:color w:val="auto"/>
                <w:sz w:val="24"/>
                <w:lang w:eastAsia="zh-CN"/>
              </w:rPr>
              <w:drawing>
                <wp:inline distT="0" distB="0" distL="114300" distR="114300">
                  <wp:extent cx="2715895" cy="2202180"/>
                  <wp:effectExtent l="0" t="0" r="4445" b="0"/>
                  <wp:docPr id="15" name="图片 15" descr="微信图片_20260506164721_2485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微信图片_20260506164721_2485_3"/>
                          <pic:cNvPicPr>
                            <a:picLocks noChangeAspect="1"/>
                          </pic:cNvPicPr>
                        </pic:nvPicPr>
                        <pic:blipFill>
                          <a:blip r:embed="rId14"/>
                          <a:stretch>
                            <a:fillRect/>
                          </a:stretch>
                        </pic:blipFill>
                        <pic:spPr>
                          <a:xfrm>
                            <a:off x="0" y="0"/>
                            <a:ext cx="2715895" cy="2202180"/>
                          </a:xfrm>
                          <a:prstGeom prst="rect">
                            <a:avLst/>
                          </a:prstGeom>
                        </pic:spPr>
                      </pic:pic>
                    </a:graphicData>
                  </a:graphic>
                </wp:inline>
              </w:drawing>
            </w:r>
          </w:p>
        </w:tc>
      </w:tr>
      <w:tr w14:paraId="05CC6CF5">
        <w:tblPrEx>
          <w:tblCellMar>
            <w:top w:w="0" w:type="dxa"/>
            <w:left w:w="108" w:type="dxa"/>
            <w:bottom w:w="0" w:type="dxa"/>
            <w:right w:w="108" w:type="dxa"/>
          </w:tblCellMar>
        </w:tblPrEx>
        <w:trPr>
          <w:trHeight w:val="555" w:hRule="atLeast"/>
          <w:jc w:val="center"/>
        </w:trPr>
        <w:tc>
          <w:tcPr>
            <w:tcW w:w="4562" w:type="dxa"/>
            <w:noWrap w:val="0"/>
            <w:vAlign w:val="center"/>
          </w:tcPr>
          <w:p w14:paraId="042F14AE">
            <w:pPr>
              <w:adjustRightInd w:val="0"/>
              <w:snapToGrid w:val="0"/>
              <w:jc w:val="center"/>
              <w:rPr>
                <w:rFonts w:hint="default" w:ascii="Times New Roman" w:hAnsi="Times New Roman" w:eastAsia="仿宋_GB2312" w:cs="Times New Roman"/>
                <w:b/>
                <w:bCs/>
                <w:color w:val="auto"/>
                <w:sz w:val="24"/>
              </w:rPr>
            </w:pPr>
            <w:r>
              <w:rPr>
                <w:rFonts w:hint="default" w:ascii="Times New Roman" w:hAnsi="Times New Roman" w:eastAsia="仿宋_GB2312" w:cs="Times New Roman"/>
                <w:b/>
                <w:bCs/>
                <w:color w:val="auto"/>
                <w:sz w:val="24"/>
              </w:rPr>
              <w:t>图</w:t>
            </w:r>
            <w:r>
              <w:rPr>
                <w:rFonts w:hint="default" w:ascii="Times New Roman" w:hAnsi="Times New Roman" w:eastAsia="仿宋_GB2312" w:cs="Times New Roman"/>
                <w:b/>
                <w:bCs/>
                <w:color w:val="auto"/>
                <w:sz w:val="24"/>
                <w:lang w:val="en-US" w:eastAsia="zh-CN"/>
              </w:rPr>
              <w:t>5</w:t>
            </w:r>
            <w:r>
              <w:rPr>
                <w:rFonts w:hint="default" w:ascii="Times New Roman" w:hAnsi="Times New Roman" w:eastAsia="仿宋_GB2312" w:cs="Times New Roman"/>
                <w:b/>
                <w:bCs/>
                <w:color w:val="auto"/>
                <w:sz w:val="24"/>
              </w:rPr>
              <w:t>项目区</w:t>
            </w:r>
          </w:p>
        </w:tc>
        <w:tc>
          <w:tcPr>
            <w:tcW w:w="4498" w:type="dxa"/>
            <w:noWrap w:val="0"/>
            <w:vAlign w:val="center"/>
          </w:tcPr>
          <w:p w14:paraId="13E2D253">
            <w:pPr>
              <w:adjustRightInd w:val="0"/>
              <w:snapToGrid w:val="0"/>
              <w:jc w:val="center"/>
              <w:rPr>
                <w:rFonts w:hint="default" w:ascii="Times New Roman" w:hAnsi="Times New Roman" w:eastAsia="仿宋_GB2312" w:cs="Times New Roman"/>
                <w:b/>
                <w:bCs/>
                <w:color w:val="auto"/>
                <w:sz w:val="24"/>
              </w:rPr>
            </w:pPr>
            <w:r>
              <w:rPr>
                <w:rFonts w:hint="default" w:ascii="Times New Roman" w:hAnsi="Times New Roman" w:eastAsia="仿宋_GB2312" w:cs="Times New Roman"/>
                <w:b/>
                <w:bCs/>
                <w:color w:val="auto"/>
                <w:sz w:val="24"/>
              </w:rPr>
              <w:t>图</w:t>
            </w:r>
            <w:r>
              <w:rPr>
                <w:rFonts w:hint="default" w:ascii="Times New Roman" w:hAnsi="Times New Roman" w:eastAsia="仿宋_GB2312" w:cs="Times New Roman"/>
                <w:b/>
                <w:bCs/>
                <w:color w:val="auto"/>
                <w:sz w:val="24"/>
                <w:lang w:val="en-US" w:eastAsia="zh-CN"/>
              </w:rPr>
              <w:t>6</w:t>
            </w:r>
            <w:r>
              <w:rPr>
                <w:rFonts w:hint="default" w:ascii="Times New Roman" w:hAnsi="Times New Roman" w:eastAsia="仿宋_GB2312" w:cs="Times New Roman"/>
                <w:b/>
                <w:bCs/>
                <w:color w:val="auto"/>
                <w:sz w:val="24"/>
              </w:rPr>
              <w:t>项目区</w:t>
            </w:r>
          </w:p>
        </w:tc>
      </w:tr>
      <w:tr w14:paraId="76E3099C">
        <w:tblPrEx>
          <w:tblCellMar>
            <w:top w:w="0" w:type="dxa"/>
            <w:left w:w="108" w:type="dxa"/>
            <w:bottom w:w="0" w:type="dxa"/>
            <w:right w:w="108" w:type="dxa"/>
          </w:tblCellMar>
        </w:tblPrEx>
        <w:trPr>
          <w:trHeight w:val="578" w:hRule="atLeast"/>
          <w:jc w:val="center"/>
        </w:trPr>
        <w:tc>
          <w:tcPr>
            <w:tcW w:w="9060" w:type="dxa"/>
            <w:gridSpan w:val="2"/>
            <w:noWrap w:val="0"/>
            <w:vAlign w:val="center"/>
          </w:tcPr>
          <w:p w14:paraId="28E9BAA8">
            <w:pPr>
              <w:adjustRightInd w:val="0"/>
              <w:snapToGrid w:val="0"/>
              <w:jc w:val="center"/>
              <w:rPr>
                <w:rFonts w:hint="default" w:ascii="Times New Roman" w:hAnsi="Times New Roman" w:eastAsia="仿宋_GB2312" w:cs="Times New Roman"/>
                <w:color w:val="auto"/>
                <w:sz w:val="36"/>
                <w:szCs w:val="36"/>
              </w:rPr>
            </w:pPr>
            <w:r>
              <w:rPr>
                <w:rFonts w:hint="default" w:ascii="Times New Roman" w:hAnsi="Times New Roman" w:eastAsia="仿宋_GB2312" w:cs="Times New Roman"/>
                <w:b/>
                <w:bCs/>
                <w:color w:val="auto"/>
                <w:sz w:val="28"/>
                <w:szCs w:val="28"/>
                <w:highlight w:val="none"/>
              </w:rPr>
              <w:t>现场照片</w:t>
            </w:r>
          </w:p>
        </w:tc>
      </w:tr>
    </w:tbl>
    <w:p w14:paraId="682D3B42">
      <w:pPr>
        <w:rPr>
          <w:rFonts w:hint="default" w:ascii="Times New Roman" w:hAnsi="Times New Roman" w:eastAsia="宋体" w:cs="Times New Roman"/>
          <w:color w:val="auto"/>
          <w:lang w:eastAsia="zh-CN"/>
        </w:rPr>
      </w:pPr>
    </w:p>
    <w:p w14:paraId="3EC8DCD9">
      <w:pPr>
        <w:pStyle w:val="36"/>
        <w:rPr>
          <w:rFonts w:hint="default" w:ascii="Times New Roman" w:hAnsi="Times New Roman" w:eastAsia="宋体" w:cs="Times New Roman"/>
          <w:color w:val="auto"/>
          <w:lang w:eastAsia="zh-CN"/>
        </w:rPr>
      </w:pPr>
    </w:p>
    <w:p w14:paraId="3F3291DF">
      <w:pPr>
        <w:rPr>
          <w:rFonts w:hint="default"/>
          <w:color w:val="auto"/>
          <w:lang w:eastAsia="zh-CN"/>
        </w:rPr>
      </w:pPr>
    </w:p>
    <w:p w14:paraId="38EEEC58">
      <w:pPr>
        <w:rPr>
          <w:rFonts w:hint="default" w:ascii="Times New Roman" w:hAnsi="Times New Roman" w:eastAsia="宋体" w:cs="Times New Roman"/>
          <w:color w:val="auto"/>
          <w:lang w:eastAsia="zh-CN"/>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fmt="numberInDash"/>
          <w:cols w:space="720" w:num="1"/>
          <w:docGrid w:linePitch="312" w:charSpace="0"/>
        </w:sectPr>
      </w:pPr>
    </w:p>
    <w:sdt>
      <w:sdtPr>
        <w:rPr>
          <w:rFonts w:hint="default" w:ascii="Times New Roman" w:hAnsi="Times New Roman" w:eastAsia="黑体" w:cs="Times New Roman"/>
          <w:snapToGrid w:val="0"/>
          <w:color w:val="auto"/>
          <w:kern w:val="0"/>
          <w:sz w:val="30"/>
          <w:szCs w:val="30"/>
          <w:highlight w:val="none"/>
          <w:lang w:val="en-US" w:eastAsia="zh-CN" w:bidi="ar-SA"/>
        </w:rPr>
        <w:id w:val="147482799"/>
        <w15:color w:val="DBDBDB"/>
        <w:docPartObj>
          <w:docPartGallery w:val="Table of Contents"/>
          <w:docPartUnique/>
        </w:docPartObj>
      </w:sdtPr>
      <w:sdtEndPr>
        <w:rPr>
          <w:rFonts w:hint="default" w:ascii="Times New Roman" w:hAnsi="Times New Roman" w:eastAsia="仿宋_GB2312" w:cs="Times New Roman"/>
          <w:snapToGrid w:val="0"/>
          <w:color w:val="auto"/>
          <w:kern w:val="0"/>
          <w:sz w:val="30"/>
          <w:szCs w:val="28"/>
          <w:highlight w:val="none"/>
          <w:lang w:val="en-US" w:eastAsia="zh-CN" w:bidi="ar-SA"/>
        </w:rPr>
      </w:sdtEndPr>
      <w:sdtContent>
        <w:p w14:paraId="74A9E92A">
          <w:pPr>
            <w:widowControl/>
            <w:spacing w:before="100" w:beforeAutospacing="1" w:after="100" w:afterAutospacing="1"/>
            <w:jc w:val="center"/>
            <w:outlineLvl w:val="9"/>
            <w:rPr>
              <w:rFonts w:hint="default" w:ascii="Times New Roman" w:hAnsi="Times New Roman" w:eastAsia="黑体" w:cs="Times New Roman"/>
              <w:snapToGrid w:val="0"/>
              <w:color w:val="auto"/>
              <w:kern w:val="0"/>
              <w:sz w:val="30"/>
              <w:szCs w:val="30"/>
              <w:highlight w:val="none"/>
              <w:lang w:val="en-US" w:eastAsia="zh-CN" w:bidi="ar-SA"/>
            </w:rPr>
          </w:pPr>
          <w:r>
            <w:rPr>
              <w:rFonts w:hint="default" w:ascii="Times New Roman" w:hAnsi="Times New Roman" w:eastAsia="黑体" w:cs="Times New Roman"/>
              <w:snapToGrid w:val="0"/>
              <w:color w:val="auto"/>
              <w:kern w:val="0"/>
              <w:sz w:val="30"/>
              <w:szCs w:val="30"/>
              <w:highlight w:val="none"/>
              <w:lang w:val="en-US" w:eastAsia="zh-CN" w:bidi="ar-SA"/>
            </w:rPr>
            <w:t>目录</w:t>
          </w:r>
        </w:p>
        <w:p w14:paraId="0ACADA81">
          <w:pPr>
            <w:pStyle w:val="21"/>
            <w:tabs>
              <w:tab w:val="right" w:leader="dot" w:pos="8844"/>
              <w:tab w:val="clear" w:pos="420"/>
              <w:tab w:val="clear" w:pos="8303"/>
            </w:tabs>
            <w:spacing w:line="360" w:lineRule="auto"/>
            <w:rPr>
              <w:rFonts w:hint="default" w:ascii="Times New Roman" w:hAnsi="Times New Roman" w:eastAsia="宋体" w:cs="Times New Roman"/>
              <w:color w:val="auto"/>
            </w:rPr>
          </w:pPr>
          <w:r>
            <w:rPr>
              <w:rFonts w:hint="default" w:ascii="Times New Roman" w:hAnsi="Times New Roman" w:eastAsia="仿宋_GB2312" w:cs="Times New Roman"/>
              <w:snapToGrid w:val="0"/>
              <w:color w:val="auto"/>
              <w:sz w:val="28"/>
              <w:szCs w:val="28"/>
              <w:highlight w:val="none"/>
            </w:rPr>
            <w:fldChar w:fldCharType="begin"/>
          </w:r>
          <w:r>
            <w:rPr>
              <w:rFonts w:hint="default" w:ascii="Times New Roman" w:hAnsi="Times New Roman" w:eastAsia="仿宋_GB2312" w:cs="Times New Roman"/>
              <w:snapToGrid w:val="0"/>
              <w:color w:val="auto"/>
              <w:sz w:val="28"/>
              <w:szCs w:val="28"/>
              <w:highlight w:val="none"/>
            </w:rPr>
            <w:instrText xml:space="preserve">TOC \o "1-3" \h \u </w:instrText>
          </w:r>
          <w:r>
            <w:rPr>
              <w:rFonts w:hint="default" w:ascii="Times New Roman" w:hAnsi="Times New Roman" w:eastAsia="仿宋_GB2312" w:cs="Times New Roman"/>
              <w:snapToGrid w:val="0"/>
              <w:color w:val="auto"/>
              <w:sz w:val="28"/>
              <w:szCs w:val="28"/>
              <w:highlight w:val="none"/>
            </w:rPr>
            <w:fldChar w:fldCharType="separate"/>
          </w:r>
          <w:r>
            <w:rPr>
              <w:rFonts w:hint="default" w:ascii="Times New Roman" w:hAnsi="Times New Roman" w:eastAsia="宋体" w:cs="Times New Roman"/>
              <w:snapToGrid w:val="0"/>
              <w:color w:val="auto"/>
              <w:szCs w:val="28"/>
              <w:highlight w:val="none"/>
            </w:rPr>
            <w:fldChar w:fldCharType="begin"/>
          </w:r>
          <w:r>
            <w:rPr>
              <w:rFonts w:hint="default" w:ascii="Times New Roman" w:hAnsi="Times New Roman" w:eastAsia="宋体" w:cs="Times New Roman"/>
              <w:snapToGrid w:val="0"/>
              <w:color w:val="auto"/>
              <w:szCs w:val="28"/>
              <w:highlight w:val="none"/>
            </w:rPr>
            <w:instrText xml:space="preserve"> HYPERLINK \l _Toc29721 </w:instrText>
          </w:r>
          <w:r>
            <w:rPr>
              <w:rFonts w:hint="default" w:ascii="Times New Roman" w:hAnsi="Times New Roman" w:eastAsia="宋体" w:cs="Times New Roman"/>
              <w:snapToGrid w:val="0"/>
              <w:color w:val="auto"/>
              <w:szCs w:val="28"/>
              <w:highlight w:val="none"/>
            </w:rPr>
            <w:fldChar w:fldCharType="separate"/>
          </w:r>
          <w:r>
            <w:rPr>
              <w:rFonts w:hint="default" w:ascii="Times New Roman" w:hAnsi="Times New Roman" w:eastAsia="宋体" w:cs="Times New Roman"/>
              <w:snapToGrid w:val="0"/>
              <w:color w:val="auto"/>
              <w:szCs w:val="30"/>
            </w:rPr>
            <w:t>一、建设项目基本情况</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_Toc29721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1</w:t>
          </w:r>
          <w:r>
            <w:rPr>
              <w:rFonts w:hint="default" w:ascii="Times New Roman" w:hAnsi="Times New Roman" w:eastAsia="宋体" w:cs="Times New Roman"/>
              <w:color w:val="auto"/>
            </w:rPr>
            <w:fldChar w:fldCharType="end"/>
          </w:r>
          <w:r>
            <w:rPr>
              <w:rFonts w:hint="default" w:ascii="Times New Roman" w:hAnsi="Times New Roman" w:eastAsia="宋体" w:cs="Times New Roman"/>
              <w:snapToGrid w:val="0"/>
              <w:color w:val="auto"/>
              <w:szCs w:val="28"/>
              <w:highlight w:val="none"/>
            </w:rPr>
            <w:fldChar w:fldCharType="end"/>
          </w:r>
        </w:p>
        <w:p w14:paraId="6B960460">
          <w:pPr>
            <w:pStyle w:val="21"/>
            <w:tabs>
              <w:tab w:val="right" w:leader="dot" w:pos="8844"/>
              <w:tab w:val="clear" w:pos="420"/>
              <w:tab w:val="clear" w:pos="8303"/>
            </w:tabs>
            <w:spacing w:line="360" w:lineRule="auto"/>
            <w:rPr>
              <w:rFonts w:hint="default" w:ascii="Times New Roman" w:hAnsi="Times New Roman" w:eastAsia="宋体" w:cs="Times New Roman"/>
              <w:color w:val="auto"/>
            </w:rPr>
          </w:pPr>
          <w:r>
            <w:rPr>
              <w:rFonts w:hint="default" w:ascii="Times New Roman" w:hAnsi="Times New Roman" w:eastAsia="宋体" w:cs="Times New Roman"/>
              <w:snapToGrid w:val="0"/>
              <w:color w:val="auto"/>
              <w:szCs w:val="28"/>
              <w:highlight w:val="none"/>
            </w:rPr>
            <w:fldChar w:fldCharType="begin"/>
          </w:r>
          <w:r>
            <w:rPr>
              <w:rFonts w:hint="default" w:ascii="Times New Roman" w:hAnsi="Times New Roman" w:eastAsia="宋体" w:cs="Times New Roman"/>
              <w:snapToGrid w:val="0"/>
              <w:color w:val="auto"/>
              <w:szCs w:val="28"/>
              <w:highlight w:val="none"/>
            </w:rPr>
            <w:instrText xml:space="preserve"> HYPERLINK \l _Toc21128 </w:instrText>
          </w:r>
          <w:r>
            <w:rPr>
              <w:rFonts w:hint="default" w:ascii="Times New Roman" w:hAnsi="Times New Roman" w:eastAsia="宋体" w:cs="Times New Roman"/>
              <w:snapToGrid w:val="0"/>
              <w:color w:val="auto"/>
              <w:szCs w:val="28"/>
              <w:highlight w:val="none"/>
            </w:rPr>
            <w:fldChar w:fldCharType="separate"/>
          </w:r>
          <w:r>
            <w:rPr>
              <w:rFonts w:hint="default" w:ascii="Times New Roman" w:hAnsi="Times New Roman" w:eastAsia="宋体" w:cs="Times New Roman"/>
              <w:snapToGrid w:val="0"/>
              <w:color w:val="auto"/>
              <w:szCs w:val="30"/>
            </w:rPr>
            <w:t>二、建设内容</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_Toc21128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23</w:t>
          </w:r>
          <w:r>
            <w:rPr>
              <w:rFonts w:hint="default" w:ascii="Times New Roman" w:hAnsi="Times New Roman" w:eastAsia="宋体" w:cs="Times New Roman"/>
              <w:color w:val="auto"/>
            </w:rPr>
            <w:fldChar w:fldCharType="end"/>
          </w:r>
          <w:r>
            <w:rPr>
              <w:rFonts w:hint="default" w:ascii="Times New Roman" w:hAnsi="Times New Roman" w:eastAsia="宋体" w:cs="Times New Roman"/>
              <w:snapToGrid w:val="0"/>
              <w:color w:val="auto"/>
              <w:szCs w:val="28"/>
              <w:highlight w:val="none"/>
            </w:rPr>
            <w:fldChar w:fldCharType="end"/>
          </w:r>
        </w:p>
        <w:p w14:paraId="4B7EF002">
          <w:pPr>
            <w:pStyle w:val="21"/>
            <w:tabs>
              <w:tab w:val="right" w:leader="dot" w:pos="8844"/>
              <w:tab w:val="clear" w:pos="420"/>
              <w:tab w:val="clear" w:pos="8303"/>
            </w:tabs>
            <w:spacing w:line="360" w:lineRule="auto"/>
            <w:rPr>
              <w:rFonts w:hint="default" w:ascii="Times New Roman" w:hAnsi="Times New Roman" w:eastAsia="宋体" w:cs="Times New Roman"/>
              <w:color w:val="auto"/>
            </w:rPr>
          </w:pPr>
          <w:r>
            <w:rPr>
              <w:rFonts w:hint="default" w:ascii="Times New Roman" w:hAnsi="Times New Roman" w:eastAsia="宋体" w:cs="Times New Roman"/>
              <w:snapToGrid w:val="0"/>
              <w:color w:val="auto"/>
              <w:szCs w:val="28"/>
              <w:highlight w:val="none"/>
            </w:rPr>
            <w:fldChar w:fldCharType="begin"/>
          </w:r>
          <w:r>
            <w:rPr>
              <w:rFonts w:hint="default" w:ascii="Times New Roman" w:hAnsi="Times New Roman" w:eastAsia="宋体" w:cs="Times New Roman"/>
              <w:snapToGrid w:val="0"/>
              <w:color w:val="auto"/>
              <w:szCs w:val="28"/>
              <w:highlight w:val="none"/>
            </w:rPr>
            <w:instrText xml:space="preserve"> HYPERLINK \l _Toc16566 </w:instrText>
          </w:r>
          <w:r>
            <w:rPr>
              <w:rFonts w:hint="default" w:ascii="Times New Roman" w:hAnsi="Times New Roman" w:eastAsia="宋体" w:cs="Times New Roman"/>
              <w:snapToGrid w:val="0"/>
              <w:color w:val="auto"/>
              <w:szCs w:val="28"/>
              <w:highlight w:val="none"/>
            </w:rPr>
            <w:fldChar w:fldCharType="separate"/>
          </w:r>
          <w:r>
            <w:rPr>
              <w:rFonts w:hint="default" w:ascii="Times New Roman" w:hAnsi="Times New Roman" w:eastAsia="宋体" w:cs="Times New Roman"/>
              <w:snapToGrid w:val="0"/>
              <w:color w:val="auto"/>
              <w:szCs w:val="30"/>
            </w:rPr>
            <w:t>三、生态环境现状、保护目标及评价标准</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_Toc16566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36</w:t>
          </w:r>
          <w:r>
            <w:rPr>
              <w:rFonts w:hint="default" w:ascii="Times New Roman" w:hAnsi="Times New Roman" w:eastAsia="宋体" w:cs="Times New Roman"/>
              <w:color w:val="auto"/>
            </w:rPr>
            <w:fldChar w:fldCharType="end"/>
          </w:r>
          <w:r>
            <w:rPr>
              <w:rFonts w:hint="default" w:ascii="Times New Roman" w:hAnsi="Times New Roman" w:eastAsia="宋体" w:cs="Times New Roman"/>
              <w:snapToGrid w:val="0"/>
              <w:color w:val="auto"/>
              <w:szCs w:val="28"/>
              <w:highlight w:val="none"/>
            </w:rPr>
            <w:fldChar w:fldCharType="end"/>
          </w:r>
        </w:p>
        <w:p w14:paraId="14A19CCB">
          <w:pPr>
            <w:pStyle w:val="21"/>
            <w:tabs>
              <w:tab w:val="right" w:leader="dot" w:pos="8844"/>
              <w:tab w:val="clear" w:pos="420"/>
              <w:tab w:val="clear" w:pos="8303"/>
            </w:tabs>
            <w:spacing w:line="360" w:lineRule="auto"/>
            <w:rPr>
              <w:rFonts w:hint="default" w:ascii="Times New Roman" w:hAnsi="Times New Roman" w:eastAsia="宋体" w:cs="Times New Roman"/>
              <w:color w:val="auto"/>
            </w:rPr>
          </w:pPr>
          <w:r>
            <w:rPr>
              <w:rFonts w:hint="default" w:ascii="Times New Roman" w:hAnsi="Times New Roman" w:eastAsia="宋体" w:cs="Times New Roman"/>
              <w:snapToGrid w:val="0"/>
              <w:color w:val="auto"/>
              <w:szCs w:val="28"/>
              <w:highlight w:val="none"/>
            </w:rPr>
            <w:fldChar w:fldCharType="begin"/>
          </w:r>
          <w:r>
            <w:rPr>
              <w:rFonts w:hint="default" w:ascii="Times New Roman" w:hAnsi="Times New Roman" w:eastAsia="宋体" w:cs="Times New Roman"/>
              <w:snapToGrid w:val="0"/>
              <w:color w:val="auto"/>
              <w:szCs w:val="28"/>
              <w:highlight w:val="none"/>
            </w:rPr>
            <w:instrText xml:space="preserve"> HYPERLINK \l _Toc11500 </w:instrText>
          </w:r>
          <w:r>
            <w:rPr>
              <w:rFonts w:hint="default" w:ascii="Times New Roman" w:hAnsi="Times New Roman" w:eastAsia="宋体" w:cs="Times New Roman"/>
              <w:snapToGrid w:val="0"/>
              <w:color w:val="auto"/>
              <w:szCs w:val="28"/>
              <w:highlight w:val="none"/>
            </w:rPr>
            <w:fldChar w:fldCharType="separate"/>
          </w:r>
          <w:r>
            <w:rPr>
              <w:rFonts w:hint="default" w:ascii="Times New Roman" w:hAnsi="Times New Roman" w:eastAsia="宋体" w:cs="Times New Roman"/>
              <w:color w:val="auto"/>
              <w:lang w:eastAsia="zh-CN"/>
            </w:rPr>
            <w:t>四、</w:t>
          </w:r>
          <w:r>
            <w:rPr>
              <w:rFonts w:hint="default" w:ascii="Times New Roman" w:hAnsi="Times New Roman" w:eastAsia="宋体" w:cs="Times New Roman"/>
              <w:color w:val="auto"/>
            </w:rPr>
            <w:t>生态环境影响分析</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_Toc11500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46</w:t>
          </w:r>
          <w:r>
            <w:rPr>
              <w:rFonts w:hint="default" w:ascii="Times New Roman" w:hAnsi="Times New Roman" w:eastAsia="宋体" w:cs="Times New Roman"/>
              <w:color w:val="auto"/>
            </w:rPr>
            <w:fldChar w:fldCharType="end"/>
          </w:r>
          <w:r>
            <w:rPr>
              <w:rFonts w:hint="default" w:ascii="Times New Roman" w:hAnsi="Times New Roman" w:eastAsia="宋体" w:cs="Times New Roman"/>
              <w:snapToGrid w:val="0"/>
              <w:color w:val="auto"/>
              <w:szCs w:val="28"/>
              <w:highlight w:val="none"/>
            </w:rPr>
            <w:fldChar w:fldCharType="end"/>
          </w:r>
        </w:p>
        <w:p w14:paraId="08089108">
          <w:pPr>
            <w:pStyle w:val="21"/>
            <w:tabs>
              <w:tab w:val="right" w:leader="dot" w:pos="8844"/>
              <w:tab w:val="clear" w:pos="420"/>
              <w:tab w:val="clear" w:pos="8303"/>
            </w:tabs>
            <w:spacing w:line="360" w:lineRule="auto"/>
            <w:rPr>
              <w:rFonts w:hint="default" w:ascii="Times New Roman" w:hAnsi="Times New Roman" w:eastAsia="宋体" w:cs="Times New Roman"/>
              <w:color w:val="auto"/>
            </w:rPr>
          </w:pPr>
          <w:r>
            <w:rPr>
              <w:rFonts w:hint="default" w:ascii="Times New Roman" w:hAnsi="Times New Roman" w:eastAsia="宋体" w:cs="Times New Roman"/>
              <w:snapToGrid w:val="0"/>
              <w:color w:val="auto"/>
              <w:szCs w:val="28"/>
              <w:highlight w:val="none"/>
            </w:rPr>
            <w:fldChar w:fldCharType="begin"/>
          </w:r>
          <w:r>
            <w:rPr>
              <w:rFonts w:hint="default" w:ascii="Times New Roman" w:hAnsi="Times New Roman" w:eastAsia="宋体" w:cs="Times New Roman"/>
              <w:snapToGrid w:val="0"/>
              <w:color w:val="auto"/>
              <w:szCs w:val="28"/>
              <w:highlight w:val="none"/>
            </w:rPr>
            <w:instrText xml:space="preserve"> HYPERLINK \l _Toc2685 </w:instrText>
          </w:r>
          <w:r>
            <w:rPr>
              <w:rFonts w:hint="default" w:ascii="Times New Roman" w:hAnsi="Times New Roman" w:eastAsia="宋体" w:cs="Times New Roman"/>
              <w:snapToGrid w:val="0"/>
              <w:color w:val="auto"/>
              <w:szCs w:val="28"/>
              <w:highlight w:val="none"/>
            </w:rPr>
            <w:fldChar w:fldCharType="separate"/>
          </w:r>
          <w:r>
            <w:rPr>
              <w:rFonts w:hint="default" w:ascii="Times New Roman" w:hAnsi="Times New Roman" w:eastAsia="宋体" w:cs="Times New Roman"/>
              <w:snapToGrid w:val="0"/>
              <w:color w:val="auto"/>
              <w:szCs w:val="30"/>
            </w:rPr>
            <w:t>五、主要生态环境保护措施</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_Toc2685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57</w:t>
          </w:r>
          <w:r>
            <w:rPr>
              <w:rFonts w:hint="default" w:ascii="Times New Roman" w:hAnsi="Times New Roman" w:eastAsia="宋体" w:cs="Times New Roman"/>
              <w:color w:val="auto"/>
            </w:rPr>
            <w:fldChar w:fldCharType="end"/>
          </w:r>
          <w:r>
            <w:rPr>
              <w:rFonts w:hint="default" w:ascii="Times New Roman" w:hAnsi="Times New Roman" w:eastAsia="宋体" w:cs="Times New Roman"/>
              <w:snapToGrid w:val="0"/>
              <w:color w:val="auto"/>
              <w:szCs w:val="28"/>
              <w:highlight w:val="none"/>
            </w:rPr>
            <w:fldChar w:fldCharType="end"/>
          </w:r>
        </w:p>
        <w:p w14:paraId="0940F829">
          <w:pPr>
            <w:pStyle w:val="21"/>
            <w:tabs>
              <w:tab w:val="right" w:leader="dot" w:pos="8844"/>
              <w:tab w:val="clear" w:pos="420"/>
              <w:tab w:val="clear" w:pos="8303"/>
            </w:tabs>
            <w:spacing w:line="360" w:lineRule="auto"/>
            <w:rPr>
              <w:rFonts w:hint="default" w:ascii="Times New Roman" w:hAnsi="Times New Roman" w:eastAsia="宋体" w:cs="Times New Roman"/>
              <w:color w:val="auto"/>
            </w:rPr>
          </w:pPr>
          <w:r>
            <w:rPr>
              <w:rFonts w:hint="default" w:ascii="Times New Roman" w:hAnsi="Times New Roman" w:eastAsia="宋体" w:cs="Times New Roman"/>
              <w:snapToGrid w:val="0"/>
              <w:color w:val="auto"/>
              <w:szCs w:val="28"/>
              <w:highlight w:val="none"/>
            </w:rPr>
            <w:fldChar w:fldCharType="begin"/>
          </w:r>
          <w:r>
            <w:rPr>
              <w:rFonts w:hint="default" w:ascii="Times New Roman" w:hAnsi="Times New Roman" w:eastAsia="宋体" w:cs="Times New Roman"/>
              <w:snapToGrid w:val="0"/>
              <w:color w:val="auto"/>
              <w:szCs w:val="28"/>
              <w:highlight w:val="none"/>
            </w:rPr>
            <w:instrText xml:space="preserve"> HYPERLINK \l _Toc30688 </w:instrText>
          </w:r>
          <w:r>
            <w:rPr>
              <w:rFonts w:hint="default" w:ascii="Times New Roman" w:hAnsi="Times New Roman" w:eastAsia="宋体" w:cs="Times New Roman"/>
              <w:snapToGrid w:val="0"/>
              <w:color w:val="auto"/>
              <w:szCs w:val="28"/>
              <w:highlight w:val="none"/>
            </w:rPr>
            <w:fldChar w:fldCharType="separate"/>
          </w:r>
          <w:r>
            <w:rPr>
              <w:rFonts w:hint="default" w:ascii="Times New Roman" w:hAnsi="Times New Roman" w:eastAsia="宋体" w:cs="Times New Roman"/>
              <w:snapToGrid w:val="0"/>
              <w:color w:val="auto"/>
              <w:szCs w:val="30"/>
            </w:rPr>
            <w:t>六、生态环境保护措施监督检查清单</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_Toc30688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73</w:t>
          </w:r>
          <w:r>
            <w:rPr>
              <w:rFonts w:hint="default" w:ascii="Times New Roman" w:hAnsi="Times New Roman" w:eastAsia="宋体" w:cs="Times New Roman"/>
              <w:color w:val="auto"/>
            </w:rPr>
            <w:fldChar w:fldCharType="end"/>
          </w:r>
          <w:r>
            <w:rPr>
              <w:rFonts w:hint="default" w:ascii="Times New Roman" w:hAnsi="Times New Roman" w:eastAsia="宋体" w:cs="Times New Roman"/>
              <w:snapToGrid w:val="0"/>
              <w:color w:val="auto"/>
              <w:szCs w:val="28"/>
              <w:highlight w:val="none"/>
            </w:rPr>
            <w:fldChar w:fldCharType="end"/>
          </w:r>
        </w:p>
        <w:p w14:paraId="0A9B8405">
          <w:pPr>
            <w:pStyle w:val="21"/>
            <w:tabs>
              <w:tab w:val="right" w:leader="dot" w:pos="8844"/>
              <w:tab w:val="clear" w:pos="420"/>
              <w:tab w:val="clear" w:pos="8303"/>
            </w:tabs>
            <w:spacing w:line="360" w:lineRule="auto"/>
            <w:rPr>
              <w:rFonts w:hint="default" w:ascii="Times New Roman" w:hAnsi="Times New Roman" w:cs="Times New Roman"/>
              <w:color w:val="auto"/>
            </w:rPr>
          </w:pPr>
          <w:r>
            <w:rPr>
              <w:rFonts w:hint="default" w:ascii="Times New Roman" w:hAnsi="Times New Roman" w:eastAsia="宋体" w:cs="Times New Roman"/>
              <w:snapToGrid w:val="0"/>
              <w:color w:val="auto"/>
              <w:szCs w:val="28"/>
              <w:highlight w:val="none"/>
            </w:rPr>
            <w:fldChar w:fldCharType="begin"/>
          </w:r>
          <w:r>
            <w:rPr>
              <w:rFonts w:hint="default" w:ascii="Times New Roman" w:hAnsi="Times New Roman" w:eastAsia="宋体" w:cs="Times New Roman"/>
              <w:snapToGrid w:val="0"/>
              <w:color w:val="auto"/>
              <w:szCs w:val="28"/>
              <w:highlight w:val="none"/>
            </w:rPr>
            <w:instrText xml:space="preserve"> HYPERLINK \l _Toc5988 </w:instrText>
          </w:r>
          <w:r>
            <w:rPr>
              <w:rFonts w:hint="default" w:ascii="Times New Roman" w:hAnsi="Times New Roman" w:eastAsia="宋体" w:cs="Times New Roman"/>
              <w:snapToGrid w:val="0"/>
              <w:color w:val="auto"/>
              <w:szCs w:val="28"/>
              <w:highlight w:val="none"/>
            </w:rPr>
            <w:fldChar w:fldCharType="separate"/>
          </w:r>
          <w:r>
            <w:rPr>
              <w:rFonts w:hint="default" w:ascii="Times New Roman" w:hAnsi="Times New Roman" w:eastAsia="宋体" w:cs="Times New Roman"/>
              <w:bCs/>
              <w:snapToGrid w:val="0"/>
              <w:color w:val="auto"/>
              <w:szCs w:val="30"/>
            </w:rPr>
            <w:t>七、结论</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_Toc5988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75</w:t>
          </w:r>
          <w:r>
            <w:rPr>
              <w:rFonts w:hint="default" w:ascii="Times New Roman" w:hAnsi="Times New Roman" w:eastAsia="宋体" w:cs="Times New Roman"/>
              <w:color w:val="auto"/>
            </w:rPr>
            <w:fldChar w:fldCharType="end"/>
          </w:r>
          <w:r>
            <w:rPr>
              <w:rFonts w:hint="default" w:ascii="Times New Roman" w:hAnsi="Times New Roman" w:eastAsia="宋体" w:cs="Times New Roman"/>
              <w:snapToGrid w:val="0"/>
              <w:color w:val="auto"/>
              <w:szCs w:val="28"/>
              <w:highlight w:val="none"/>
            </w:rPr>
            <w:fldChar w:fldCharType="end"/>
          </w:r>
        </w:p>
        <w:p w14:paraId="6A9405CA">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jc w:val="both"/>
            <w:textAlignment w:val="auto"/>
            <w:outlineLvl w:val="9"/>
            <w:rPr>
              <w:rFonts w:hint="default" w:ascii="Times New Roman" w:hAnsi="Times New Roman" w:eastAsia="黑体" w:cs="Times New Roman"/>
              <w:snapToGrid w:val="0"/>
              <w:color w:val="auto"/>
              <w:kern w:val="0"/>
              <w:sz w:val="30"/>
              <w:szCs w:val="30"/>
              <w:highlight w:val="none"/>
              <w:lang w:val="en-US" w:eastAsia="zh-CN" w:bidi="ar-SA"/>
            </w:rPr>
          </w:pPr>
          <w:r>
            <w:rPr>
              <w:rFonts w:hint="default" w:ascii="Times New Roman" w:hAnsi="Times New Roman" w:eastAsia="仿宋_GB2312" w:cs="Times New Roman"/>
              <w:snapToGrid w:val="0"/>
              <w:color w:val="auto"/>
              <w:szCs w:val="28"/>
              <w:highlight w:val="none"/>
            </w:rPr>
            <w:fldChar w:fldCharType="end"/>
          </w:r>
        </w:p>
      </w:sdtContent>
    </w:sdt>
    <w:p w14:paraId="76E0A0FD">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both"/>
        <w:textAlignment w:val="auto"/>
        <w:outlineLvl w:val="9"/>
        <w:rPr>
          <w:rFonts w:hint="default" w:ascii="Times New Roman" w:hAnsi="Times New Roman" w:eastAsia="宋体" w:cs="Times New Roman"/>
          <w:snapToGrid w:val="0"/>
          <w:color w:val="auto"/>
          <w:kern w:val="0"/>
          <w:sz w:val="24"/>
          <w:szCs w:val="24"/>
          <w:highlight w:val="none"/>
          <w:lang w:val="en-US" w:eastAsia="zh-CN" w:bidi="ar-SA"/>
        </w:rPr>
      </w:pPr>
      <w:bookmarkStart w:id="4" w:name="_Toc23717"/>
      <w:r>
        <w:rPr>
          <w:rFonts w:hint="default" w:ascii="Times New Roman" w:hAnsi="Times New Roman" w:eastAsia="宋体" w:cs="Times New Roman"/>
          <w:snapToGrid w:val="0"/>
          <w:color w:val="auto"/>
          <w:kern w:val="0"/>
          <w:sz w:val="24"/>
          <w:szCs w:val="24"/>
          <w:highlight w:val="none"/>
          <w:lang w:val="en-US" w:eastAsia="zh-CN" w:bidi="ar-SA"/>
        </w:rPr>
        <w:t>附件1：委托书</w:t>
      </w:r>
    </w:p>
    <w:p w14:paraId="128F7656">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both"/>
        <w:textAlignment w:val="auto"/>
        <w:outlineLvl w:val="9"/>
        <w:rPr>
          <w:rFonts w:hint="default" w:ascii="Times New Roman" w:hAnsi="Times New Roman" w:eastAsia="宋体" w:cs="Times New Roman"/>
          <w:snapToGrid w:val="0"/>
          <w:color w:val="auto"/>
          <w:kern w:val="0"/>
          <w:sz w:val="24"/>
          <w:szCs w:val="24"/>
          <w:highlight w:val="none"/>
          <w:lang w:val="en-US" w:eastAsia="zh-CN" w:bidi="ar-SA"/>
        </w:rPr>
      </w:pPr>
      <w:bookmarkStart w:id="5" w:name="_Toc16701"/>
      <w:r>
        <w:rPr>
          <w:rFonts w:hint="default" w:ascii="Times New Roman" w:hAnsi="Times New Roman" w:eastAsia="宋体" w:cs="Times New Roman"/>
          <w:snapToGrid w:val="0"/>
          <w:color w:val="auto"/>
          <w:kern w:val="0"/>
          <w:sz w:val="24"/>
          <w:szCs w:val="24"/>
          <w:highlight w:val="none"/>
          <w:lang w:val="en-US" w:eastAsia="zh-CN" w:bidi="ar-SA"/>
        </w:rPr>
        <w:t>附件2：</w:t>
      </w:r>
      <w:bookmarkEnd w:id="5"/>
      <w:r>
        <w:rPr>
          <w:rFonts w:hint="default" w:ascii="Times New Roman" w:hAnsi="Times New Roman" w:eastAsia="宋体" w:cs="Times New Roman"/>
          <w:snapToGrid w:val="0"/>
          <w:color w:val="auto"/>
          <w:kern w:val="0"/>
          <w:sz w:val="24"/>
          <w:szCs w:val="24"/>
          <w:highlight w:val="none"/>
          <w:lang w:val="en-US" w:eastAsia="zh-CN" w:bidi="ar-SA"/>
        </w:rPr>
        <w:t>事业单位法人证书</w:t>
      </w:r>
    </w:p>
    <w:p w14:paraId="153EABA1">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both"/>
        <w:textAlignment w:val="auto"/>
        <w:outlineLvl w:val="9"/>
        <w:rPr>
          <w:rFonts w:hint="default" w:ascii="Times New Roman" w:hAnsi="Times New Roman" w:eastAsia="宋体" w:cs="Times New Roman"/>
          <w:snapToGrid w:val="0"/>
          <w:color w:val="auto"/>
          <w:kern w:val="0"/>
          <w:sz w:val="24"/>
          <w:szCs w:val="24"/>
          <w:highlight w:val="none"/>
          <w:lang w:val="en-US" w:eastAsia="zh-CN" w:bidi="ar-SA"/>
        </w:rPr>
      </w:pPr>
      <w:bookmarkStart w:id="6" w:name="_Toc261"/>
      <w:r>
        <w:rPr>
          <w:rFonts w:hint="default" w:ascii="Times New Roman" w:hAnsi="Times New Roman" w:eastAsia="宋体" w:cs="Times New Roman"/>
          <w:snapToGrid w:val="0"/>
          <w:color w:val="auto"/>
          <w:kern w:val="0"/>
          <w:sz w:val="24"/>
          <w:szCs w:val="24"/>
          <w:highlight w:val="none"/>
          <w:lang w:val="en-US" w:eastAsia="zh-CN" w:bidi="ar-SA"/>
        </w:rPr>
        <w:t>附件3：项目立项文件</w:t>
      </w:r>
    </w:p>
    <w:p w14:paraId="30B63DE8">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both"/>
        <w:textAlignment w:val="auto"/>
        <w:outlineLvl w:val="9"/>
        <w:rPr>
          <w:rFonts w:hint="default" w:ascii="Times New Roman" w:hAnsi="Times New Roman" w:eastAsia="宋体" w:cs="Times New Roman"/>
          <w:snapToGrid w:val="0"/>
          <w:color w:val="auto"/>
          <w:kern w:val="0"/>
          <w:sz w:val="24"/>
          <w:szCs w:val="24"/>
          <w:highlight w:val="none"/>
          <w:lang w:val="en-US" w:eastAsia="zh-CN" w:bidi="ar-SA"/>
        </w:rPr>
      </w:pPr>
      <w:r>
        <w:rPr>
          <w:rFonts w:hint="default" w:ascii="Times New Roman" w:hAnsi="Times New Roman" w:eastAsia="宋体" w:cs="Times New Roman"/>
          <w:snapToGrid w:val="0"/>
          <w:color w:val="auto"/>
          <w:kern w:val="0"/>
          <w:sz w:val="24"/>
          <w:szCs w:val="24"/>
          <w:highlight w:val="none"/>
          <w:lang w:val="en-US" w:eastAsia="zh-CN" w:bidi="ar-SA"/>
        </w:rPr>
        <w:t>附件4：</w:t>
      </w:r>
      <w:bookmarkEnd w:id="6"/>
      <w:r>
        <w:rPr>
          <w:rFonts w:hint="eastAsia" w:cs="Times New Roman"/>
          <w:snapToGrid w:val="0"/>
          <w:color w:val="auto"/>
          <w:kern w:val="0"/>
          <w:sz w:val="24"/>
          <w:szCs w:val="24"/>
          <w:highlight w:val="none"/>
          <w:lang w:val="en-US" w:eastAsia="zh-CN" w:bidi="ar-SA"/>
        </w:rPr>
        <w:t>老干渠国有土地使用证</w:t>
      </w:r>
    </w:p>
    <w:p w14:paraId="47D52197">
      <w:pPr>
        <w:pStyle w:val="22"/>
        <w:rPr>
          <w:rFonts w:hint="eastAsia" w:cs="Times New Roman"/>
          <w:snapToGrid w:val="0"/>
          <w:color w:val="auto"/>
          <w:kern w:val="0"/>
          <w:sz w:val="24"/>
          <w:szCs w:val="24"/>
          <w:highlight w:val="none"/>
          <w:lang w:val="en-US" w:eastAsia="zh-CN" w:bidi="ar-SA"/>
        </w:rPr>
      </w:pPr>
      <w:r>
        <w:rPr>
          <w:rFonts w:hint="eastAsia" w:cs="Times New Roman"/>
          <w:snapToGrid w:val="0"/>
          <w:color w:val="auto"/>
          <w:kern w:val="0"/>
          <w:sz w:val="24"/>
          <w:szCs w:val="24"/>
          <w:highlight w:val="none"/>
          <w:lang w:val="en-US" w:eastAsia="zh-CN" w:bidi="ar-SA"/>
        </w:rPr>
        <w:t>附件5：声环境检测报告</w:t>
      </w:r>
    </w:p>
    <w:p w14:paraId="51CA4891">
      <w:pPr>
        <w:pStyle w:val="22"/>
        <w:rPr>
          <w:rFonts w:hint="default"/>
          <w:color w:val="auto"/>
          <w:lang w:val="en-US" w:eastAsia="zh-CN"/>
        </w:rPr>
      </w:pPr>
    </w:p>
    <w:p w14:paraId="47A31205">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both"/>
        <w:textAlignment w:val="auto"/>
        <w:outlineLvl w:val="9"/>
        <w:rPr>
          <w:rFonts w:hint="default" w:ascii="Times New Roman" w:hAnsi="Times New Roman" w:eastAsia="宋体" w:cs="Times New Roman"/>
          <w:snapToGrid w:val="0"/>
          <w:color w:val="auto"/>
          <w:kern w:val="0"/>
          <w:sz w:val="24"/>
          <w:szCs w:val="24"/>
          <w:highlight w:val="none"/>
          <w:lang w:val="en-US" w:eastAsia="zh-CN" w:bidi="ar-SA"/>
        </w:rPr>
      </w:pPr>
    </w:p>
    <w:p w14:paraId="079587F1">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both"/>
        <w:textAlignment w:val="auto"/>
        <w:outlineLvl w:val="9"/>
        <w:rPr>
          <w:rFonts w:hint="default" w:ascii="Times New Roman" w:hAnsi="Times New Roman" w:eastAsia="宋体" w:cs="Times New Roman"/>
          <w:snapToGrid w:val="0"/>
          <w:color w:val="auto"/>
          <w:kern w:val="0"/>
          <w:sz w:val="24"/>
          <w:szCs w:val="24"/>
          <w:highlight w:val="none"/>
          <w:lang w:val="en-US" w:eastAsia="zh-CN" w:bidi="ar-SA"/>
        </w:rPr>
      </w:pPr>
      <w:r>
        <w:rPr>
          <w:rFonts w:hint="default" w:ascii="Times New Roman" w:hAnsi="Times New Roman" w:eastAsia="宋体" w:cs="Times New Roman"/>
          <w:snapToGrid w:val="0"/>
          <w:color w:val="auto"/>
          <w:kern w:val="0"/>
          <w:sz w:val="24"/>
          <w:szCs w:val="24"/>
          <w:highlight w:val="none"/>
          <w:lang w:val="en-US" w:eastAsia="zh-CN" w:bidi="ar-SA"/>
        </w:rPr>
        <w:t>附图1：项目地理位置示意图</w:t>
      </w:r>
      <w:bookmarkEnd w:id="4"/>
    </w:p>
    <w:p w14:paraId="186B5D7F">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both"/>
        <w:textAlignment w:val="auto"/>
        <w:outlineLvl w:val="9"/>
        <w:rPr>
          <w:rFonts w:hint="default" w:ascii="Times New Roman" w:hAnsi="Times New Roman" w:eastAsia="宋体" w:cs="Times New Roman"/>
          <w:snapToGrid w:val="0"/>
          <w:color w:val="auto"/>
          <w:kern w:val="0"/>
          <w:sz w:val="24"/>
          <w:szCs w:val="24"/>
          <w:highlight w:val="none"/>
          <w:lang w:val="en-US" w:eastAsia="zh-CN" w:bidi="ar-SA"/>
        </w:rPr>
      </w:pPr>
      <w:bookmarkStart w:id="7" w:name="_Toc19505"/>
      <w:r>
        <w:rPr>
          <w:rFonts w:hint="default" w:ascii="Times New Roman" w:hAnsi="Times New Roman" w:eastAsia="宋体" w:cs="Times New Roman"/>
          <w:snapToGrid w:val="0"/>
          <w:color w:val="auto"/>
          <w:kern w:val="0"/>
          <w:sz w:val="24"/>
          <w:szCs w:val="24"/>
          <w:highlight w:val="none"/>
          <w:lang w:val="en-US" w:eastAsia="zh-CN" w:bidi="ar-SA"/>
        </w:rPr>
        <w:t>附图2：</w:t>
      </w:r>
      <w:bookmarkEnd w:id="7"/>
      <w:r>
        <w:rPr>
          <w:rFonts w:hint="default" w:ascii="Times New Roman" w:hAnsi="Times New Roman" w:eastAsia="宋体" w:cs="Times New Roman"/>
          <w:snapToGrid w:val="0"/>
          <w:color w:val="auto"/>
          <w:kern w:val="0"/>
          <w:sz w:val="24"/>
          <w:szCs w:val="24"/>
          <w:highlight w:val="none"/>
          <w:lang w:val="en-US" w:eastAsia="zh-CN" w:bidi="ar-SA"/>
        </w:rPr>
        <w:t>项目总平面图</w:t>
      </w:r>
    </w:p>
    <w:p w14:paraId="74933620">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both"/>
        <w:textAlignment w:val="auto"/>
        <w:outlineLvl w:val="9"/>
        <w:rPr>
          <w:rFonts w:hint="default" w:ascii="Times New Roman" w:hAnsi="Times New Roman" w:eastAsia="宋体" w:cs="Times New Roman"/>
          <w:snapToGrid w:val="0"/>
          <w:color w:val="auto"/>
          <w:kern w:val="0"/>
          <w:sz w:val="24"/>
          <w:szCs w:val="24"/>
          <w:highlight w:val="none"/>
          <w:lang w:val="en-US" w:eastAsia="zh-CN" w:bidi="ar-SA"/>
        </w:rPr>
      </w:pPr>
      <w:bookmarkStart w:id="8" w:name="_Toc28453"/>
      <w:r>
        <w:rPr>
          <w:rFonts w:hint="default" w:ascii="Times New Roman" w:hAnsi="Times New Roman" w:eastAsia="宋体" w:cs="Times New Roman"/>
          <w:snapToGrid w:val="0"/>
          <w:color w:val="auto"/>
          <w:kern w:val="0"/>
          <w:sz w:val="24"/>
          <w:szCs w:val="24"/>
          <w:highlight w:val="none"/>
          <w:lang w:val="en-US" w:eastAsia="zh-CN" w:bidi="ar-SA"/>
        </w:rPr>
        <w:t>附图3：</w:t>
      </w:r>
      <w:bookmarkEnd w:id="8"/>
      <w:r>
        <w:rPr>
          <w:rFonts w:hint="default" w:ascii="Times New Roman" w:hAnsi="Times New Roman" w:eastAsia="宋体" w:cs="Times New Roman"/>
          <w:snapToGrid w:val="0"/>
          <w:color w:val="auto"/>
          <w:kern w:val="0"/>
          <w:sz w:val="24"/>
          <w:szCs w:val="24"/>
          <w:highlight w:val="none"/>
          <w:lang w:val="en-US" w:eastAsia="zh-CN" w:bidi="ar-SA"/>
        </w:rPr>
        <w:t>本项目在昌吉回族自治州环境管控单元分布图</w:t>
      </w:r>
    </w:p>
    <w:p w14:paraId="40C19E9E">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both"/>
        <w:textAlignment w:val="auto"/>
        <w:outlineLvl w:val="9"/>
        <w:rPr>
          <w:rFonts w:hint="default" w:ascii="Times New Roman" w:hAnsi="Times New Roman" w:eastAsia="宋体" w:cs="Times New Roman"/>
          <w:snapToGrid w:val="0"/>
          <w:color w:val="auto"/>
          <w:kern w:val="0"/>
          <w:sz w:val="24"/>
          <w:szCs w:val="24"/>
          <w:highlight w:val="none"/>
          <w:lang w:val="en-US" w:eastAsia="zh-CN" w:bidi="ar-SA"/>
        </w:rPr>
      </w:pPr>
      <w:r>
        <w:rPr>
          <w:rFonts w:hint="default" w:ascii="Times New Roman" w:hAnsi="Times New Roman" w:eastAsia="宋体" w:cs="Times New Roman"/>
          <w:snapToGrid w:val="0"/>
          <w:color w:val="auto"/>
          <w:kern w:val="0"/>
          <w:sz w:val="24"/>
          <w:szCs w:val="24"/>
          <w:highlight w:val="none"/>
          <w:lang w:val="en-US" w:eastAsia="zh-CN" w:bidi="ar-SA"/>
        </w:rPr>
        <w:t>附图4：环境管控单元详图</w:t>
      </w:r>
    </w:p>
    <w:p w14:paraId="607FD860">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both"/>
        <w:textAlignment w:val="auto"/>
        <w:outlineLvl w:val="9"/>
        <w:rPr>
          <w:rFonts w:hint="default" w:ascii="Times New Roman" w:hAnsi="Times New Roman" w:eastAsia="宋体" w:cs="Times New Roman"/>
          <w:snapToGrid w:val="0"/>
          <w:color w:val="auto"/>
          <w:kern w:val="0"/>
          <w:sz w:val="24"/>
          <w:szCs w:val="24"/>
          <w:highlight w:val="none"/>
          <w:lang w:val="en-US" w:eastAsia="zh-CN" w:bidi="ar-SA"/>
        </w:rPr>
      </w:pPr>
      <w:bookmarkStart w:id="9" w:name="_Toc28533"/>
      <w:r>
        <w:rPr>
          <w:rFonts w:hint="default" w:ascii="Times New Roman" w:hAnsi="Times New Roman" w:eastAsia="宋体" w:cs="Times New Roman"/>
          <w:snapToGrid w:val="0"/>
          <w:color w:val="auto"/>
          <w:kern w:val="0"/>
          <w:sz w:val="24"/>
          <w:szCs w:val="24"/>
          <w:highlight w:val="none"/>
          <w:lang w:val="en-US" w:eastAsia="zh-CN" w:bidi="ar-SA"/>
        </w:rPr>
        <w:t>附图5：</w:t>
      </w:r>
      <w:bookmarkEnd w:id="9"/>
      <w:r>
        <w:rPr>
          <w:rFonts w:hint="default" w:ascii="Times New Roman" w:hAnsi="Times New Roman" w:eastAsia="宋体" w:cs="Times New Roman"/>
          <w:snapToGrid w:val="0"/>
          <w:color w:val="auto"/>
          <w:kern w:val="0"/>
          <w:sz w:val="24"/>
          <w:szCs w:val="24"/>
          <w:highlight w:val="none"/>
          <w:lang w:val="en-US" w:eastAsia="zh-CN" w:bidi="ar-SA"/>
        </w:rPr>
        <w:t>土壤类型分布图</w:t>
      </w:r>
    </w:p>
    <w:p w14:paraId="50DE0987">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both"/>
        <w:textAlignment w:val="auto"/>
        <w:outlineLvl w:val="9"/>
        <w:rPr>
          <w:rFonts w:hint="default" w:ascii="Times New Roman" w:hAnsi="Times New Roman" w:eastAsia="宋体" w:cs="Times New Roman"/>
          <w:snapToGrid w:val="0"/>
          <w:color w:val="auto"/>
          <w:kern w:val="0"/>
          <w:sz w:val="24"/>
          <w:szCs w:val="24"/>
          <w:highlight w:val="none"/>
          <w:lang w:val="en-US" w:eastAsia="zh-CN" w:bidi="ar-SA"/>
        </w:rPr>
      </w:pPr>
      <w:r>
        <w:rPr>
          <w:rFonts w:hint="eastAsia" w:cs="Times New Roman"/>
          <w:snapToGrid w:val="0"/>
          <w:color w:val="auto"/>
          <w:kern w:val="0"/>
          <w:sz w:val="24"/>
          <w:szCs w:val="24"/>
          <w:highlight w:val="none"/>
          <w:lang w:val="en-US" w:eastAsia="zh-CN" w:bidi="ar-SA"/>
        </w:rPr>
        <w:t>附图6：</w:t>
      </w:r>
      <w:r>
        <w:rPr>
          <w:rFonts w:hint="default" w:ascii="Times New Roman" w:hAnsi="Times New Roman" w:eastAsia="宋体" w:cs="Times New Roman"/>
          <w:snapToGrid w:val="0"/>
          <w:color w:val="auto"/>
          <w:kern w:val="0"/>
          <w:sz w:val="24"/>
          <w:szCs w:val="24"/>
          <w:highlight w:val="none"/>
          <w:lang w:val="en-US" w:eastAsia="zh-CN" w:bidi="ar-SA"/>
        </w:rPr>
        <w:t>植被类型分布图</w:t>
      </w:r>
    </w:p>
    <w:p w14:paraId="2E24B92C">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both"/>
        <w:textAlignment w:val="auto"/>
        <w:outlineLvl w:val="9"/>
        <w:rPr>
          <w:rFonts w:hint="default" w:ascii="Times New Roman" w:hAnsi="Times New Roman" w:eastAsia="宋体" w:cs="Times New Roman"/>
          <w:snapToGrid w:val="0"/>
          <w:color w:val="auto"/>
          <w:kern w:val="0"/>
          <w:sz w:val="24"/>
          <w:szCs w:val="24"/>
          <w:highlight w:val="none"/>
          <w:lang w:val="en-US" w:eastAsia="zh-CN" w:bidi="ar-SA"/>
        </w:rPr>
      </w:pPr>
      <w:r>
        <w:rPr>
          <w:rFonts w:hint="default" w:ascii="Times New Roman" w:hAnsi="Times New Roman" w:eastAsia="宋体" w:cs="Times New Roman"/>
          <w:snapToGrid w:val="0"/>
          <w:color w:val="auto"/>
          <w:kern w:val="0"/>
          <w:sz w:val="24"/>
          <w:szCs w:val="24"/>
          <w:highlight w:val="none"/>
          <w:lang w:val="en-US" w:eastAsia="zh-CN" w:bidi="ar-SA"/>
        </w:rPr>
        <w:t>附图</w:t>
      </w:r>
      <w:r>
        <w:rPr>
          <w:rFonts w:hint="eastAsia" w:cs="Times New Roman"/>
          <w:snapToGrid w:val="0"/>
          <w:color w:val="auto"/>
          <w:kern w:val="0"/>
          <w:sz w:val="24"/>
          <w:szCs w:val="24"/>
          <w:highlight w:val="none"/>
          <w:lang w:val="en-US" w:eastAsia="zh-CN" w:bidi="ar-SA"/>
        </w:rPr>
        <w:t>7</w:t>
      </w:r>
      <w:r>
        <w:rPr>
          <w:rFonts w:hint="default" w:ascii="Times New Roman" w:hAnsi="Times New Roman" w:eastAsia="宋体" w:cs="Times New Roman"/>
          <w:snapToGrid w:val="0"/>
          <w:color w:val="auto"/>
          <w:kern w:val="0"/>
          <w:sz w:val="24"/>
          <w:szCs w:val="24"/>
          <w:highlight w:val="none"/>
          <w:lang w:val="en-US" w:eastAsia="zh-CN" w:bidi="ar-SA"/>
        </w:rPr>
        <w:t>：土地利用现状图</w:t>
      </w:r>
    </w:p>
    <w:p w14:paraId="1A1AD416">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both"/>
        <w:textAlignment w:val="auto"/>
        <w:outlineLvl w:val="9"/>
        <w:rPr>
          <w:rFonts w:hint="default" w:ascii="Times New Roman" w:hAnsi="Times New Roman" w:eastAsia="宋体" w:cs="Times New Roman"/>
          <w:snapToGrid w:val="0"/>
          <w:color w:val="auto"/>
          <w:kern w:val="0"/>
          <w:sz w:val="24"/>
          <w:szCs w:val="24"/>
          <w:highlight w:val="none"/>
          <w:lang w:val="en-US" w:eastAsia="zh-CN" w:bidi="ar-SA"/>
        </w:rPr>
      </w:pPr>
      <w:bookmarkStart w:id="10" w:name="_Toc14641"/>
      <w:r>
        <w:rPr>
          <w:rFonts w:hint="default" w:ascii="Times New Roman" w:hAnsi="Times New Roman" w:eastAsia="宋体" w:cs="Times New Roman"/>
          <w:snapToGrid w:val="0"/>
          <w:color w:val="auto"/>
          <w:kern w:val="0"/>
          <w:sz w:val="24"/>
          <w:szCs w:val="24"/>
          <w:highlight w:val="none"/>
          <w:lang w:val="en-US" w:eastAsia="zh-CN" w:bidi="ar-SA"/>
        </w:rPr>
        <w:t>附图</w:t>
      </w:r>
      <w:r>
        <w:rPr>
          <w:rFonts w:hint="eastAsia" w:cs="Times New Roman"/>
          <w:snapToGrid w:val="0"/>
          <w:color w:val="auto"/>
          <w:kern w:val="0"/>
          <w:sz w:val="24"/>
          <w:szCs w:val="24"/>
          <w:highlight w:val="none"/>
          <w:lang w:val="en-US" w:eastAsia="zh-CN" w:bidi="ar-SA"/>
        </w:rPr>
        <w:t>8</w:t>
      </w:r>
      <w:r>
        <w:rPr>
          <w:rFonts w:hint="default" w:ascii="Times New Roman" w:hAnsi="Times New Roman" w:eastAsia="宋体" w:cs="Times New Roman"/>
          <w:snapToGrid w:val="0"/>
          <w:color w:val="auto"/>
          <w:kern w:val="0"/>
          <w:sz w:val="24"/>
          <w:szCs w:val="24"/>
          <w:highlight w:val="none"/>
          <w:lang w:val="en-US" w:eastAsia="zh-CN" w:bidi="ar-SA"/>
        </w:rPr>
        <w:t>：</w:t>
      </w:r>
      <w:bookmarkEnd w:id="10"/>
      <w:r>
        <w:rPr>
          <w:rFonts w:hint="default" w:ascii="Times New Roman" w:hAnsi="Times New Roman" w:eastAsia="宋体" w:cs="Times New Roman"/>
          <w:snapToGrid w:val="0"/>
          <w:color w:val="auto"/>
          <w:kern w:val="0"/>
          <w:sz w:val="24"/>
          <w:szCs w:val="24"/>
          <w:highlight w:val="none"/>
          <w:lang w:val="en-US" w:eastAsia="zh-CN" w:bidi="ar-SA"/>
        </w:rPr>
        <w:t>项目占用新疆生态功能区划位置关系图</w:t>
      </w:r>
    </w:p>
    <w:p w14:paraId="4C3918F1">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both"/>
        <w:textAlignment w:val="auto"/>
        <w:outlineLvl w:val="9"/>
        <w:rPr>
          <w:rFonts w:hint="default" w:ascii="Times New Roman" w:hAnsi="Times New Roman" w:eastAsia="宋体" w:cs="Times New Roman"/>
          <w:snapToGrid w:val="0"/>
          <w:color w:val="auto"/>
          <w:kern w:val="0"/>
          <w:sz w:val="24"/>
          <w:szCs w:val="24"/>
          <w:highlight w:val="none"/>
          <w:lang w:val="en-US" w:eastAsia="zh-CN" w:bidi="ar-SA"/>
        </w:rPr>
      </w:pPr>
      <w:r>
        <w:rPr>
          <w:rFonts w:hint="default" w:ascii="Times New Roman" w:hAnsi="Times New Roman" w:eastAsia="宋体" w:cs="Times New Roman"/>
          <w:snapToGrid w:val="0"/>
          <w:color w:val="auto"/>
          <w:kern w:val="0"/>
          <w:sz w:val="24"/>
          <w:szCs w:val="24"/>
          <w:highlight w:val="none"/>
          <w:lang w:val="en-US" w:eastAsia="zh-CN" w:bidi="ar-SA"/>
        </w:rPr>
        <w:t>附图</w:t>
      </w:r>
      <w:r>
        <w:rPr>
          <w:rFonts w:hint="eastAsia" w:eastAsia="宋体" w:cs="Times New Roman"/>
          <w:snapToGrid w:val="0"/>
          <w:color w:val="auto"/>
          <w:kern w:val="0"/>
          <w:sz w:val="24"/>
          <w:szCs w:val="24"/>
          <w:highlight w:val="none"/>
          <w:lang w:val="en-US" w:eastAsia="zh-CN" w:bidi="ar-SA"/>
        </w:rPr>
        <w:t>9</w:t>
      </w:r>
      <w:r>
        <w:rPr>
          <w:rFonts w:hint="eastAsia" w:ascii="Times New Roman" w:hAnsi="Times New Roman" w:eastAsia="宋体" w:cs="Times New Roman"/>
          <w:snapToGrid w:val="0"/>
          <w:color w:val="auto"/>
          <w:kern w:val="0"/>
          <w:sz w:val="24"/>
          <w:szCs w:val="24"/>
          <w:highlight w:val="none"/>
          <w:lang w:val="en-US" w:eastAsia="zh-CN" w:bidi="ar-SA"/>
        </w:rPr>
        <w:t>：</w:t>
      </w:r>
      <w:r>
        <w:rPr>
          <w:rFonts w:hint="default" w:ascii="Times New Roman" w:hAnsi="Times New Roman" w:eastAsia="宋体" w:cs="Times New Roman"/>
          <w:snapToGrid w:val="0"/>
          <w:color w:val="auto"/>
          <w:kern w:val="0"/>
          <w:sz w:val="24"/>
          <w:szCs w:val="24"/>
          <w:highlight w:val="none"/>
          <w:lang w:val="en-US" w:eastAsia="zh-CN" w:bidi="ar-SA"/>
        </w:rPr>
        <w:t>项目占用两区截图</w:t>
      </w:r>
    </w:p>
    <w:p w14:paraId="7808C938">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both"/>
        <w:textAlignment w:val="auto"/>
        <w:outlineLvl w:val="9"/>
        <w:rPr>
          <w:rFonts w:hint="eastAsia" w:ascii="Times New Roman" w:hAnsi="Times New Roman" w:eastAsia="宋体" w:cs="Times New Roman"/>
          <w:snapToGrid w:val="0"/>
          <w:color w:val="auto"/>
          <w:kern w:val="0"/>
          <w:sz w:val="24"/>
          <w:szCs w:val="24"/>
          <w:highlight w:val="none"/>
          <w:lang w:val="en-US" w:eastAsia="zh-CN" w:bidi="ar-SA"/>
        </w:rPr>
      </w:pPr>
      <w:r>
        <w:rPr>
          <w:rFonts w:hint="eastAsia" w:ascii="Times New Roman" w:hAnsi="Times New Roman" w:eastAsia="宋体" w:cs="Times New Roman"/>
          <w:snapToGrid w:val="0"/>
          <w:color w:val="auto"/>
          <w:kern w:val="0"/>
          <w:sz w:val="24"/>
          <w:szCs w:val="24"/>
          <w:highlight w:val="none"/>
          <w:lang w:val="en-US" w:eastAsia="zh-CN" w:bidi="ar-SA"/>
        </w:rPr>
        <w:t>附图10：项目监测点位示意图</w:t>
      </w:r>
    </w:p>
    <w:p w14:paraId="584FCA3F">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both"/>
        <w:textAlignment w:val="auto"/>
        <w:outlineLvl w:val="9"/>
        <w:rPr>
          <w:rFonts w:hint="default" w:ascii="Times New Roman" w:hAnsi="Times New Roman" w:eastAsia="宋体" w:cs="Times New Roman"/>
          <w:snapToGrid w:val="0"/>
          <w:color w:val="auto"/>
          <w:kern w:val="0"/>
          <w:sz w:val="28"/>
          <w:szCs w:val="28"/>
          <w:highlight w:val="none"/>
          <w:lang w:val="en-US" w:eastAsia="zh-CN" w:bidi="ar-SA"/>
        </w:rPr>
      </w:pPr>
      <w:r>
        <w:rPr>
          <w:rFonts w:hint="default" w:ascii="Times New Roman" w:hAnsi="Times New Roman" w:eastAsia="宋体" w:cs="Times New Roman"/>
          <w:snapToGrid w:val="0"/>
          <w:color w:val="auto"/>
          <w:kern w:val="0"/>
          <w:sz w:val="24"/>
          <w:szCs w:val="24"/>
          <w:highlight w:val="none"/>
          <w:lang w:val="en-US" w:eastAsia="zh-CN" w:bidi="ar-SA"/>
        </w:rPr>
        <w:t>附图11</w:t>
      </w:r>
      <w:r>
        <w:rPr>
          <w:rFonts w:hint="eastAsia" w:cs="Times New Roman"/>
          <w:snapToGrid w:val="0"/>
          <w:color w:val="auto"/>
          <w:kern w:val="0"/>
          <w:sz w:val="24"/>
          <w:szCs w:val="24"/>
          <w:highlight w:val="none"/>
          <w:lang w:val="en-US" w:eastAsia="zh-CN" w:bidi="ar-SA"/>
        </w:rPr>
        <w:t>：</w:t>
      </w:r>
      <w:r>
        <w:rPr>
          <w:rFonts w:hint="default" w:ascii="Times New Roman" w:hAnsi="Times New Roman" w:eastAsia="宋体" w:cs="Times New Roman"/>
          <w:snapToGrid w:val="0"/>
          <w:color w:val="auto"/>
          <w:kern w:val="0"/>
          <w:sz w:val="24"/>
          <w:szCs w:val="24"/>
          <w:highlight w:val="none"/>
          <w:lang w:val="en-US" w:eastAsia="zh-CN" w:bidi="ar-SA"/>
        </w:rPr>
        <w:t>生态环境保护目标分布及位置关系图</w:t>
      </w:r>
    </w:p>
    <w:p w14:paraId="0DA51AF4">
      <w:pPr>
        <w:rPr>
          <w:rFonts w:hint="default" w:ascii="Times New Roman" w:hAnsi="Times New Roman" w:eastAsia="宋体" w:cs="Times New Roman"/>
          <w:color w:val="auto"/>
          <w:lang w:eastAsia="zh-CN"/>
        </w:rPr>
      </w:pPr>
    </w:p>
    <w:p w14:paraId="73273E95">
      <w:pPr>
        <w:rPr>
          <w:rFonts w:hint="default" w:ascii="Times New Roman" w:hAnsi="Times New Roman" w:eastAsia="宋体" w:cs="Times New Roman"/>
          <w:color w:val="auto"/>
          <w:lang w:eastAsia="zh-CN"/>
        </w:rPr>
      </w:pPr>
    </w:p>
    <w:p w14:paraId="39C8B44B">
      <w:pPr>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br w:type="page"/>
      </w:r>
    </w:p>
    <w:p w14:paraId="116FE3D5">
      <w:pPr>
        <w:rPr>
          <w:rFonts w:hint="default" w:ascii="Times New Roman" w:hAnsi="Times New Roman" w:eastAsia="宋体" w:cs="Times New Roman"/>
          <w:color w:val="auto"/>
          <w:lang w:eastAsia="zh-CN"/>
        </w:rPr>
        <w:sectPr>
          <w:pgSz w:w="11906" w:h="16838"/>
          <w:pgMar w:top="1701" w:right="1531" w:bottom="1701" w:left="1531" w:header="851" w:footer="1077" w:gutter="0"/>
          <w:pgBorders>
            <w:top w:val="none" w:sz="0" w:space="0"/>
            <w:left w:val="none" w:sz="0" w:space="0"/>
            <w:bottom w:val="none" w:sz="0" w:space="0"/>
            <w:right w:val="none" w:sz="0" w:space="0"/>
          </w:pgBorders>
          <w:pgNumType w:fmt="numberInDash"/>
          <w:cols w:space="720" w:num="1"/>
          <w:docGrid w:linePitch="312" w:charSpace="0"/>
        </w:sectPr>
      </w:pPr>
    </w:p>
    <w:p w14:paraId="5AE92F27">
      <w:pPr>
        <w:pStyle w:val="26"/>
        <w:keepNext w:val="0"/>
        <w:keepLines w:val="0"/>
        <w:pageBreakBefore w:val="0"/>
        <w:widowControl/>
        <w:kinsoku/>
        <w:wordWrap/>
        <w:overflowPunct/>
        <w:topLinePunct w:val="0"/>
        <w:autoSpaceDE/>
        <w:autoSpaceDN/>
        <w:bidi w:val="0"/>
        <w:adjustRightInd/>
        <w:snapToGrid/>
        <w:spacing w:before="0" w:beforeAutospacing="0" w:after="0" w:afterAutospacing="0"/>
        <w:jc w:val="center"/>
        <w:textAlignment w:val="auto"/>
        <w:outlineLvl w:val="0"/>
        <w:rPr>
          <w:rFonts w:hint="default" w:ascii="Times New Roman" w:hAnsi="Times New Roman" w:eastAsia="黑体" w:cs="Times New Roman"/>
          <w:snapToGrid w:val="0"/>
          <w:color w:val="auto"/>
          <w:sz w:val="30"/>
          <w:szCs w:val="30"/>
        </w:rPr>
      </w:pPr>
      <w:bookmarkStart w:id="11" w:name="_Toc17568"/>
      <w:bookmarkStart w:id="12" w:name="_Toc29721"/>
      <w:r>
        <w:rPr>
          <w:rFonts w:hint="default" w:ascii="Times New Roman" w:hAnsi="Times New Roman" w:eastAsia="黑体" w:cs="Times New Roman"/>
          <w:snapToGrid w:val="0"/>
          <w:color w:val="auto"/>
          <w:sz w:val="30"/>
          <w:szCs w:val="30"/>
        </w:rPr>
        <w:t>一、建设项目基本情况</w:t>
      </w:r>
      <w:bookmarkEnd w:id="11"/>
      <w:bookmarkEnd w:id="12"/>
    </w:p>
    <w:tbl>
      <w:tblPr>
        <w:tblStyle w:val="29"/>
        <w:tblW w:w="4950"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988"/>
        <w:gridCol w:w="2297"/>
        <w:gridCol w:w="1454"/>
        <w:gridCol w:w="3042"/>
      </w:tblGrid>
      <w:tr w14:paraId="5BC93C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132" w:type="pct"/>
            <w:noWrap w:val="0"/>
            <w:tcMar>
              <w:top w:w="16" w:type="dxa"/>
              <w:left w:w="16" w:type="dxa"/>
              <w:right w:w="16" w:type="dxa"/>
            </w:tcMar>
            <w:vAlign w:val="bottom"/>
          </w:tcPr>
          <w:p w14:paraId="00985192">
            <w:pPr>
              <w:keepNext w:val="0"/>
              <w:keepLines/>
              <w:pageBreakBefore w:val="0"/>
              <w:widowControl/>
              <w:kinsoku/>
              <w:wordWrap/>
              <w:overflowPunct/>
              <w:topLinePunct w:val="0"/>
              <w:bidi w:val="0"/>
              <w:adjustRightInd w:val="0"/>
              <w:snapToGrid w:val="0"/>
              <w:spacing w:line="240" w:lineRule="auto"/>
              <w:ind w:left="42" w:leftChars="20" w:right="113"/>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建设项目名称</w:t>
            </w:r>
          </w:p>
        </w:tc>
        <w:tc>
          <w:tcPr>
            <w:tcW w:w="3867" w:type="pct"/>
            <w:gridSpan w:val="3"/>
            <w:noWrap w:val="0"/>
            <w:vAlign w:val="bottom"/>
          </w:tcPr>
          <w:p w14:paraId="3C97AA7E">
            <w:pPr>
              <w:keepNext w:val="0"/>
              <w:keepLines/>
              <w:pageBreakBefore w:val="0"/>
              <w:widowControl/>
              <w:kinsoku/>
              <w:wordWrap/>
              <w:overflowPunct/>
              <w:topLinePunct w:val="0"/>
              <w:bidi w:val="0"/>
              <w:adjustRightInd w:val="0"/>
              <w:snapToGrid w:val="0"/>
              <w:spacing w:line="240" w:lineRule="auto"/>
              <w:ind w:left="42" w:leftChars="20" w:right="113"/>
              <w:jc w:val="center"/>
              <w:rPr>
                <w:rFonts w:hint="default" w:ascii="Times New Roman" w:hAnsi="Times New Roman" w:eastAsia="宋体" w:cs="Times New Roman"/>
                <w:color w:val="auto"/>
                <w:sz w:val="24"/>
                <w:szCs w:val="24"/>
                <w:highlight w:val="none"/>
                <w:lang w:val="en-US"/>
              </w:rPr>
            </w:pPr>
            <w:r>
              <w:rPr>
                <w:rFonts w:hint="default" w:ascii="Times New Roman" w:hAnsi="Times New Roman" w:eastAsia="宋体" w:cs="Times New Roman"/>
                <w:color w:val="auto"/>
                <w:sz w:val="24"/>
                <w:szCs w:val="24"/>
                <w:highlight w:val="none"/>
                <w:lang w:val="en-US" w:eastAsia="zh-CN"/>
              </w:rPr>
              <w:t>奇台县老奇台镇老干渠上游段提升改造项目</w:t>
            </w:r>
          </w:p>
        </w:tc>
      </w:tr>
      <w:tr w14:paraId="226FBF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5" w:hRule="atLeast"/>
        </w:trPr>
        <w:tc>
          <w:tcPr>
            <w:tcW w:w="1132" w:type="pct"/>
            <w:noWrap w:val="0"/>
            <w:tcMar>
              <w:top w:w="16" w:type="dxa"/>
              <w:left w:w="16" w:type="dxa"/>
              <w:right w:w="16" w:type="dxa"/>
            </w:tcMar>
            <w:vAlign w:val="center"/>
          </w:tcPr>
          <w:p w14:paraId="71C4468C">
            <w:pPr>
              <w:keepNext w:val="0"/>
              <w:keepLines/>
              <w:pageBreakBefore w:val="0"/>
              <w:widowControl/>
              <w:kinsoku/>
              <w:wordWrap/>
              <w:overflowPunct/>
              <w:topLinePunct w:val="0"/>
              <w:bidi w:val="0"/>
              <w:adjustRightInd w:val="0"/>
              <w:snapToGrid w:val="0"/>
              <w:spacing w:line="240" w:lineRule="auto"/>
              <w:ind w:left="42" w:leftChars="20" w:right="113"/>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项目代码</w:t>
            </w:r>
          </w:p>
        </w:tc>
        <w:tc>
          <w:tcPr>
            <w:tcW w:w="3867" w:type="pct"/>
            <w:gridSpan w:val="3"/>
            <w:noWrap w:val="0"/>
            <w:vAlign w:val="center"/>
          </w:tcPr>
          <w:p w14:paraId="0149E456">
            <w:pPr>
              <w:keepNext w:val="0"/>
              <w:keepLines/>
              <w:pageBreakBefore w:val="0"/>
              <w:widowControl/>
              <w:kinsoku/>
              <w:wordWrap/>
              <w:overflowPunct/>
              <w:topLinePunct w:val="0"/>
              <w:bidi w:val="0"/>
              <w:adjustRightInd w:val="0"/>
              <w:snapToGrid w:val="0"/>
              <w:spacing w:line="240" w:lineRule="auto"/>
              <w:ind w:left="42" w:leftChars="20" w:right="113"/>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2511-652325-19-01-145255</w:t>
            </w:r>
          </w:p>
        </w:tc>
      </w:tr>
      <w:tr w14:paraId="0D04EA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2" w:hRule="atLeast"/>
        </w:trPr>
        <w:tc>
          <w:tcPr>
            <w:tcW w:w="1132" w:type="pct"/>
            <w:noWrap w:val="0"/>
            <w:tcMar>
              <w:top w:w="16" w:type="dxa"/>
              <w:left w:w="16" w:type="dxa"/>
              <w:right w:w="16" w:type="dxa"/>
            </w:tcMar>
            <w:vAlign w:val="center"/>
          </w:tcPr>
          <w:p w14:paraId="39058850">
            <w:pPr>
              <w:keepNext w:val="0"/>
              <w:keepLines/>
              <w:pageBreakBefore w:val="0"/>
              <w:widowControl/>
              <w:kinsoku/>
              <w:wordWrap/>
              <w:overflowPunct/>
              <w:topLinePunct w:val="0"/>
              <w:bidi w:val="0"/>
              <w:adjustRightInd w:val="0"/>
              <w:snapToGrid w:val="0"/>
              <w:spacing w:line="240" w:lineRule="auto"/>
              <w:ind w:left="42" w:leftChars="20" w:right="113"/>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建设单位联系人</w:t>
            </w:r>
          </w:p>
        </w:tc>
        <w:tc>
          <w:tcPr>
            <w:tcW w:w="1308" w:type="pct"/>
            <w:noWrap w:val="0"/>
            <w:vAlign w:val="center"/>
          </w:tcPr>
          <w:p w14:paraId="1647A1A6">
            <w:pPr>
              <w:keepNext w:val="0"/>
              <w:keepLines/>
              <w:pageBreakBefore w:val="0"/>
              <w:widowControl/>
              <w:kinsoku/>
              <w:wordWrap/>
              <w:overflowPunct/>
              <w:topLinePunct w:val="0"/>
              <w:bidi w:val="0"/>
              <w:adjustRightInd w:val="0"/>
              <w:snapToGrid w:val="0"/>
              <w:spacing w:line="240" w:lineRule="auto"/>
              <w:ind w:left="42" w:leftChars="20" w:right="113"/>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李剑</w:t>
            </w:r>
          </w:p>
        </w:tc>
        <w:tc>
          <w:tcPr>
            <w:tcW w:w="827" w:type="pct"/>
            <w:noWrap w:val="0"/>
            <w:vAlign w:val="center"/>
          </w:tcPr>
          <w:p w14:paraId="0B51FCFE">
            <w:pPr>
              <w:keepNext w:val="0"/>
              <w:keepLines/>
              <w:pageBreakBefore w:val="0"/>
              <w:widowControl/>
              <w:kinsoku/>
              <w:wordWrap/>
              <w:overflowPunct/>
              <w:topLinePunct w:val="0"/>
              <w:bidi w:val="0"/>
              <w:adjustRightInd w:val="0"/>
              <w:snapToGrid w:val="0"/>
              <w:spacing w:line="240" w:lineRule="auto"/>
              <w:ind w:left="42" w:leftChars="20" w:right="113"/>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联系方式</w:t>
            </w:r>
          </w:p>
        </w:tc>
        <w:tc>
          <w:tcPr>
            <w:tcW w:w="1731" w:type="pct"/>
            <w:noWrap w:val="0"/>
            <w:vAlign w:val="center"/>
          </w:tcPr>
          <w:p w14:paraId="3DECC70C">
            <w:pPr>
              <w:keepNext w:val="0"/>
              <w:keepLines/>
              <w:pageBreakBefore w:val="0"/>
              <w:widowControl/>
              <w:kinsoku/>
              <w:wordWrap/>
              <w:overflowPunct/>
              <w:topLinePunct w:val="0"/>
              <w:bidi w:val="0"/>
              <w:adjustRightInd w:val="0"/>
              <w:snapToGrid w:val="0"/>
              <w:spacing w:line="240" w:lineRule="auto"/>
              <w:ind w:left="42" w:leftChars="20" w:right="113"/>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13040505954</w:t>
            </w:r>
          </w:p>
        </w:tc>
      </w:tr>
      <w:tr w14:paraId="5506BB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1132" w:type="pct"/>
            <w:noWrap w:val="0"/>
            <w:tcMar>
              <w:top w:w="16" w:type="dxa"/>
              <w:left w:w="16" w:type="dxa"/>
              <w:right w:w="16" w:type="dxa"/>
            </w:tcMar>
            <w:vAlign w:val="center"/>
          </w:tcPr>
          <w:p w14:paraId="1BF8B4CE">
            <w:pPr>
              <w:keepNext w:val="0"/>
              <w:keepLines/>
              <w:pageBreakBefore w:val="0"/>
              <w:widowControl/>
              <w:kinsoku/>
              <w:wordWrap/>
              <w:overflowPunct/>
              <w:topLinePunct w:val="0"/>
              <w:autoSpaceDE/>
              <w:autoSpaceDN/>
              <w:bidi w:val="0"/>
              <w:adjustRightInd w:val="0"/>
              <w:snapToGrid w:val="0"/>
              <w:spacing w:line="240" w:lineRule="auto"/>
              <w:ind w:left="42" w:leftChars="20" w:right="113"/>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建设地点</w:t>
            </w:r>
          </w:p>
        </w:tc>
        <w:tc>
          <w:tcPr>
            <w:tcW w:w="3867" w:type="pct"/>
            <w:gridSpan w:val="3"/>
            <w:noWrap w:val="0"/>
            <w:vAlign w:val="center"/>
          </w:tcPr>
          <w:p w14:paraId="12807F94">
            <w:pPr>
              <w:keepNext w:val="0"/>
              <w:keepLines/>
              <w:pageBreakBefore w:val="0"/>
              <w:widowControl/>
              <w:kinsoku/>
              <w:wordWrap/>
              <w:overflowPunct/>
              <w:topLinePunct w:val="0"/>
              <w:autoSpaceDE/>
              <w:autoSpaceDN/>
              <w:bidi w:val="0"/>
              <w:adjustRightInd w:val="0"/>
              <w:snapToGrid w:val="0"/>
              <w:spacing w:line="240" w:lineRule="auto"/>
              <w:ind w:left="42" w:leftChars="20" w:right="113"/>
              <w:jc w:val="center"/>
              <w:textAlignment w:val="auto"/>
              <w:rPr>
                <w:rFonts w:hint="default" w:ascii="Times New Roman" w:hAnsi="Times New Roman" w:cs="Times New Roman"/>
                <w:color w:val="auto"/>
                <w:sz w:val="24"/>
                <w:lang w:val="en-US"/>
              </w:rPr>
            </w:pPr>
            <w:r>
              <w:rPr>
                <w:rFonts w:hint="default" w:ascii="Times New Roman" w:hAnsi="Times New Roman" w:cs="Times New Roman"/>
                <w:color w:val="auto"/>
                <w:sz w:val="24"/>
                <w:lang w:val="en-US" w:eastAsia="zh-CN"/>
              </w:rPr>
              <w:t>新疆维吾尔自治区昌吉回族自治州奇台县老奇台镇</w:t>
            </w:r>
          </w:p>
        </w:tc>
      </w:tr>
      <w:tr w14:paraId="361C9F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5" w:hRule="atLeast"/>
        </w:trPr>
        <w:tc>
          <w:tcPr>
            <w:tcW w:w="1132" w:type="pct"/>
            <w:noWrap w:val="0"/>
            <w:tcMar>
              <w:top w:w="16" w:type="dxa"/>
              <w:left w:w="16" w:type="dxa"/>
              <w:right w:w="16" w:type="dxa"/>
            </w:tcMar>
            <w:vAlign w:val="center"/>
          </w:tcPr>
          <w:p w14:paraId="0500D95A">
            <w:pPr>
              <w:keepNext w:val="0"/>
              <w:keepLines/>
              <w:pageBreakBefore w:val="0"/>
              <w:widowControl/>
              <w:kinsoku/>
              <w:wordWrap/>
              <w:overflowPunct/>
              <w:topLinePunct w:val="0"/>
              <w:autoSpaceDE/>
              <w:autoSpaceDN/>
              <w:bidi w:val="0"/>
              <w:adjustRightInd w:val="0"/>
              <w:snapToGrid w:val="0"/>
              <w:spacing w:line="240" w:lineRule="auto"/>
              <w:ind w:left="42" w:leftChars="20" w:right="113"/>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地理坐标</w:t>
            </w:r>
          </w:p>
        </w:tc>
        <w:tc>
          <w:tcPr>
            <w:tcW w:w="3867" w:type="pct"/>
            <w:gridSpan w:val="3"/>
            <w:noWrap w:val="0"/>
            <w:vAlign w:val="center"/>
          </w:tcPr>
          <w:p w14:paraId="4475AC8C">
            <w:pPr>
              <w:keepNext w:val="0"/>
              <w:keepLines/>
              <w:pageBreakBefore w:val="0"/>
              <w:widowControl/>
              <w:kinsoku/>
              <w:wordWrap/>
              <w:overflowPunct/>
              <w:topLinePunct w:val="0"/>
              <w:autoSpaceDE/>
              <w:autoSpaceDN/>
              <w:bidi w:val="0"/>
              <w:adjustRightInd w:val="0"/>
              <w:snapToGrid w:val="0"/>
              <w:spacing w:line="240" w:lineRule="auto"/>
              <w:ind w:left="42" w:leftChars="20" w:right="113"/>
              <w:jc w:val="left"/>
              <w:textAlignment w:val="auto"/>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lang w:val="en-US" w:eastAsia="zh-CN"/>
              </w:rPr>
              <w:t>老干渠起点坐标</w:t>
            </w:r>
            <w:r>
              <w:rPr>
                <w:rFonts w:hint="default" w:ascii="Times New Roman" w:hAnsi="Times New Roman" w:cs="Times New Roman"/>
                <w:color w:val="auto"/>
                <w:sz w:val="24"/>
                <w:highlight w:val="none"/>
                <w:lang w:eastAsia="zh-CN"/>
              </w:rPr>
              <w:t>：89°50′35.354″,43°40′39.639″，</w:t>
            </w:r>
          </w:p>
          <w:p w14:paraId="49D5C9D7">
            <w:pPr>
              <w:keepNext w:val="0"/>
              <w:keepLines/>
              <w:pageBreakBefore w:val="0"/>
              <w:widowControl/>
              <w:kinsoku/>
              <w:wordWrap/>
              <w:overflowPunct/>
              <w:topLinePunct w:val="0"/>
              <w:autoSpaceDE/>
              <w:autoSpaceDN/>
              <w:bidi w:val="0"/>
              <w:adjustRightInd w:val="0"/>
              <w:snapToGrid w:val="0"/>
              <w:spacing w:line="240" w:lineRule="auto"/>
              <w:ind w:left="42" w:leftChars="20" w:right="113"/>
              <w:jc w:val="left"/>
              <w:textAlignment w:val="auto"/>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sz w:val="24"/>
                <w:highlight w:val="none"/>
                <w:lang w:val="en-US" w:eastAsia="zh-CN"/>
              </w:rPr>
              <w:t>老干渠终点坐标</w:t>
            </w:r>
            <w:r>
              <w:rPr>
                <w:rFonts w:hint="default" w:ascii="Times New Roman" w:hAnsi="Times New Roman" w:cs="Times New Roman"/>
                <w:color w:val="auto"/>
                <w:sz w:val="24"/>
                <w:highlight w:val="none"/>
                <w:lang w:eastAsia="zh-CN"/>
              </w:rPr>
              <w:t>：89°52′38.347″,43°47′39.432″。</w:t>
            </w:r>
          </w:p>
        </w:tc>
      </w:tr>
      <w:tr w14:paraId="56E639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15" w:hRule="atLeast"/>
        </w:trPr>
        <w:tc>
          <w:tcPr>
            <w:tcW w:w="1132" w:type="pct"/>
            <w:noWrap w:val="0"/>
            <w:tcMar>
              <w:top w:w="16" w:type="dxa"/>
              <w:left w:w="16" w:type="dxa"/>
              <w:right w:w="16" w:type="dxa"/>
            </w:tcMar>
            <w:vAlign w:val="center"/>
          </w:tcPr>
          <w:p w14:paraId="483D071A">
            <w:pPr>
              <w:keepNext w:val="0"/>
              <w:keepLines/>
              <w:pageBreakBefore w:val="0"/>
              <w:widowControl/>
              <w:kinsoku/>
              <w:wordWrap/>
              <w:overflowPunct/>
              <w:topLinePunct w:val="0"/>
              <w:bidi w:val="0"/>
              <w:adjustRightInd w:val="0"/>
              <w:snapToGrid w:val="0"/>
              <w:spacing w:line="240" w:lineRule="auto"/>
              <w:ind w:left="42" w:leftChars="20" w:right="113"/>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建设项目</w:t>
            </w:r>
          </w:p>
          <w:p w14:paraId="5CFD3894">
            <w:pPr>
              <w:keepNext w:val="0"/>
              <w:keepLines/>
              <w:pageBreakBefore w:val="0"/>
              <w:widowControl/>
              <w:kinsoku/>
              <w:wordWrap/>
              <w:overflowPunct/>
              <w:topLinePunct w:val="0"/>
              <w:bidi w:val="0"/>
              <w:adjustRightInd w:val="0"/>
              <w:snapToGrid w:val="0"/>
              <w:spacing w:line="240" w:lineRule="auto"/>
              <w:ind w:left="42" w:leftChars="20" w:right="113"/>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行业类别</w:t>
            </w:r>
          </w:p>
        </w:tc>
        <w:tc>
          <w:tcPr>
            <w:tcW w:w="1308" w:type="pct"/>
            <w:noWrap w:val="0"/>
            <w:vAlign w:val="center"/>
          </w:tcPr>
          <w:p w14:paraId="2FF120C1">
            <w:pPr>
              <w:keepNext w:val="0"/>
              <w:keepLines/>
              <w:pageBreakBefore w:val="0"/>
              <w:widowControl/>
              <w:kinsoku/>
              <w:wordWrap/>
              <w:overflowPunct/>
              <w:topLinePunct w:val="0"/>
              <w:bidi w:val="0"/>
              <w:adjustRightInd w:val="0"/>
              <w:snapToGrid w:val="0"/>
              <w:spacing w:line="240" w:lineRule="auto"/>
              <w:ind w:left="42" w:leftChars="20" w:right="113"/>
              <w:jc w:val="center"/>
              <w:textAlignment w:val="auto"/>
              <w:rPr>
                <w:rFonts w:hint="default" w:ascii="Times New Roman" w:hAnsi="Times New Roman" w:eastAsia="宋体" w:cs="Times New Roman"/>
                <w:color w:val="auto"/>
                <w:sz w:val="24"/>
                <w:lang w:eastAsia="zh-CN"/>
              </w:rPr>
            </w:pPr>
            <w:r>
              <w:rPr>
                <w:rFonts w:hint="default" w:ascii="Times New Roman" w:hAnsi="Times New Roman" w:cs="Times New Roman"/>
                <w:color w:val="auto"/>
                <w:sz w:val="24"/>
              </w:rPr>
              <w:t>五十一、</w:t>
            </w:r>
            <w:r>
              <w:rPr>
                <w:rFonts w:hint="default" w:ascii="Times New Roman" w:hAnsi="Times New Roman" w:cs="Times New Roman"/>
                <w:color w:val="auto"/>
                <w:sz w:val="24"/>
                <w:lang w:val="en-US" w:eastAsia="zh-CN"/>
              </w:rPr>
              <w:t>水利</w:t>
            </w:r>
            <w:r>
              <w:rPr>
                <w:rFonts w:hint="default" w:ascii="Times New Roman" w:hAnsi="Times New Roman" w:cs="Times New Roman"/>
                <w:color w:val="auto"/>
                <w:sz w:val="24"/>
              </w:rPr>
              <w:t>，</w:t>
            </w:r>
            <w:r>
              <w:rPr>
                <w:rFonts w:hint="default" w:ascii="Times New Roman" w:hAnsi="Times New Roman" w:cs="Times New Roman"/>
                <w:color w:val="auto"/>
                <w:sz w:val="24"/>
                <w:lang w:val="en-US" w:eastAsia="zh-CN"/>
              </w:rPr>
              <w:t>125灌区工程（其他）（不含高标准农田、滴灌等节水改造工程）</w:t>
            </w:r>
          </w:p>
        </w:tc>
        <w:tc>
          <w:tcPr>
            <w:tcW w:w="827" w:type="pct"/>
            <w:noWrap w:val="0"/>
            <w:vAlign w:val="center"/>
          </w:tcPr>
          <w:p w14:paraId="751B8959">
            <w:pPr>
              <w:keepNext w:val="0"/>
              <w:keepLines/>
              <w:pageBreakBefore w:val="0"/>
              <w:widowControl/>
              <w:kinsoku/>
              <w:wordWrap/>
              <w:overflowPunct/>
              <w:topLinePunct w:val="0"/>
              <w:bidi w:val="0"/>
              <w:adjustRightInd w:val="0"/>
              <w:snapToGrid w:val="0"/>
              <w:spacing w:line="240" w:lineRule="auto"/>
              <w:ind w:left="42" w:leftChars="20" w:right="113"/>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用地（用海）面积（m</w:t>
            </w:r>
            <w:r>
              <w:rPr>
                <w:rFonts w:hint="default" w:ascii="Times New Roman" w:hAnsi="Times New Roman" w:cs="Times New Roman"/>
                <w:color w:val="auto"/>
                <w:sz w:val="24"/>
                <w:vertAlign w:val="superscript"/>
              </w:rPr>
              <w:t>2</w:t>
            </w:r>
            <w:r>
              <w:rPr>
                <w:rFonts w:hint="default" w:ascii="Times New Roman" w:hAnsi="Times New Roman" w:cs="Times New Roman"/>
                <w:color w:val="auto"/>
                <w:sz w:val="24"/>
              </w:rPr>
              <w:t>）/长度（km）</w:t>
            </w:r>
          </w:p>
        </w:tc>
        <w:tc>
          <w:tcPr>
            <w:tcW w:w="1731" w:type="pct"/>
            <w:noWrap w:val="0"/>
            <w:vAlign w:val="center"/>
          </w:tcPr>
          <w:p w14:paraId="7CA36769">
            <w:pPr>
              <w:keepNext w:val="0"/>
              <w:keepLines/>
              <w:pageBreakBefore w:val="0"/>
              <w:widowControl/>
              <w:kinsoku/>
              <w:wordWrap/>
              <w:overflowPunct/>
              <w:topLinePunct w:val="0"/>
              <w:bidi w:val="0"/>
              <w:spacing w:line="240" w:lineRule="auto"/>
              <w:ind w:left="42" w:leftChars="20" w:right="113" w:rightChars="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永久占地：</w:t>
            </w:r>
            <w:r>
              <w:rPr>
                <w:rFonts w:hint="eastAsia" w:cs="Times New Roman"/>
                <w:bCs/>
                <w:color w:val="auto"/>
                <w:sz w:val="24"/>
                <w:highlight w:val="none"/>
                <w:lang w:val="en-US" w:eastAsia="zh-CN"/>
              </w:rPr>
              <w:t>17.1947</w:t>
            </w:r>
            <w:r>
              <w:rPr>
                <w:rFonts w:hint="default" w:ascii="Times New Roman" w:hAnsi="Times New Roman" w:eastAsia="宋体" w:cs="Times New Roman"/>
                <w:bCs/>
                <w:color w:val="auto"/>
                <w:sz w:val="24"/>
                <w:highlight w:val="none"/>
                <w:lang w:val="en-US" w:eastAsia="zh-CN"/>
              </w:rPr>
              <w:t>hm</w:t>
            </w:r>
            <w:r>
              <w:rPr>
                <w:rFonts w:hint="default" w:ascii="Times New Roman" w:hAnsi="Times New Roman" w:eastAsia="宋体" w:cs="Times New Roman"/>
                <w:bCs/>
                <w:color w:val="auto"/>
                <w:sz w:val="24"/>
                <w:highlight w:val="none"/>
                <w:vertAlign w:val="superscript"/>
                <w:lang w:val="en-US" w:eastAsia="zh-CN"/>
              </w:rPr>
              <w:t>2</w:t>
            </w:r>
          </w:p>
          <w:p w14:paraId="2FDAF6DA">
            <w:pPr>
              <w:keepNext w:val="0"/>
              <w:keepLines/>
              <w:pageBreakBefore w:val="0"/>
              <w:widowControl/>
              <w:kinsoku/>
              <w:wordWrap/>
              <w:overflowPunct/>
              <w:topLinePunct w:val="0"/>
              <w:bidi w:val="0"/>
              <w:spacing w:line="240" w:lineRule="auto"/>
              <w:ind w:left="42" w:leftChars="20" w:right="113" w:rightChars="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临时占地：</w:t>
            </w:r>
            <w:r>
              <w:rPr>
                <w:rFonts w:hint="eastAsia" w:cs="Times New Roman"/>
                <w:bCs/>
                <w:color w:val="auto"/>
                <w:sz w:val="24"/>
                <w:highlight w:val="none"/>
                <w:lang w:val="en-US" w:eastAsia="zh-CN"/>
              </w:rPr>
              <w:t>2.047</w:t>
            </w:r>
            <w:r>
              <w:rPr>
                <w:rFonts w:hint="default" w:ascii="Times New Roman" w:hAnsi="Times New Roman" w:eastAsia="宋体" w:cs="Times New Roman"/>
                <w:bCs/>
                <w:color w:val="auto"/>
                <w:sz w:val="24"/>
                <w:highlight w:val="none"/>
                <w:lang w:val="en-US" w:eastAsia="zh-CN"/>
              </w:rPr>
              <w:t>hm</w:t>
            </w:r>
            <w:r>
              <w:rPr>
                <w:rFonts w:hint="default" w:ascii="Times New Roman" w:hAnsi="Times New Roman" w:eastAsia="宋体" w:cs="Times New Roman"/>
                <w:bCs/>
                <w:color w:val="auto"/>
                <w:sz w:val="24"/>
                <w:highlight w:val="none"/>
                <w:vertAlign w:val="superscript"/>
                <w:lang w:val="en-US" w:eastAsia="zh-CN"/>
              </w:rPr>
              <w:t>2</w:t>
            </w:r>
          </w:p>
          <w:p w14:paraId="6D09389A">
            <w:pPr>
              <w:keepNext w:val="0"/>
              <w:keepLines/>
              <w:pageBreakBefore w:val="0"/>
              <w:widowControl/>
              <w:kinsoku/>
              <w:wordWrap/>
              <w:overflowPunct/>
              <w:topLinePunct w:val="0"/>
              <w:bidi w:val="0"/>
              <w:spacing w:line="240" w:lineRule="auto"/>
              <w:ind w:left="42" w:leftChars="20" w:right="113" w:rightChars="0"/>
              <w:rPr>
                <w:rFonts w:hint="default" w:ascii="Times New Roman" w:hAnsi="Times New Roman" w:cs="Times New Roman"/>
                <w:color w:val="auto"/>
              </w:rPr>
            </w:pPr>
            <w:r>
              <w:rPr>
                <w:rFonts w:hint="default" w:ascii="Times New Roman" w:hAnsi="Times New Roman" w:eastAsia="宋体" w:cs="Times New Roman"/>
                <w:bCs/>
                <w:color w:val="auto"/>
                <w:sz w:val="24"/>
                <w:lang w:val="en-US" w:eastAsia="zh-CN"/>
              </w:rPr>
              <w:t>渠线长度：14.336km</w:t>
            </w:r>
          </w:p>
        </w:tc>
      </w:tr>
      <w:tr w14:paraId="428386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4" w:hRule="atLeast"/>
        </w:trPr>
        <w:tc>
          <w:tcPr>
            <w:tcW w:w="1132" w:type="pct"/>
            <w:noWrap w:val="0"/>
            <w:tcMar>
              <w:top w:w="16" w:type="dxa"/>
              <w:left w:w="16" w:type="dxa"/>
              <w:right w:w="16" w:type="dxa"/>
            </w:tcMar>
            <w:vAlign w:val="center"/>
          </w:tcPr>
          <w:p w14:paraId="7D354A80">
            <w:pPr>
              <w:keepNext w:val="0"/>
              <w:keepLines/>
              <w:pageBreakBefore w:val="0"/>
              <w:widowControl/>
              <w:kinsoku/>
              <w:wordWrap/>
              <w:overflowPunct/>
              <w:topLinePunct w:val="0"/>
              <w:autoSpaceDE/>
              <w:autoSpaceDN/>
              <w:bidi w:val="0"/>
              <w:adjustRightInd w:val="0"/>
              <w:snapToGrid w:val="0"/>
              <w:spacing w:line="240" w:lineRule="auto"/>
              <w:ind w:left="42" w:leftChars="20" w:right="113"/>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建设性质</w:t>
            </w:r>
          </w:p>
        </w:tc>
        <w:tc>
          <w:tcPr>
            <w:tcW w:w="1308" w:type="pct"/>
            <w:noWrap w:val="0"/>
            <w:vAlign w:val="center"/>
          </w:tcPr>
          <w:p w14:paraId="368F3E63">
            <w:pPr>
              <w:keepNext w:val="0"/>
              <w:keepLines/>
              <w:pageBreakBefore w:val="0"/>
              <w:widowControl/>
              <w:kinsoku/>
              <w:wordWrap/>
              <w:overflowPunct/>
              <w:topLinePunct w:val="0"/>
              <w:autoSpaceDE/>
              <w:autoSpaceDN/>
              <w:bidi w:val="0"/>
              <w:adjustRightInd w:val="0"/>
              <w:snapToGrid w:val="0"/>
              <w:spacing w:line="240" w:lineRule="auto"/>
              <w:ind w:left="42" w:leftChars="20" w:right="113"/>
              <w:jc w:val="left"/>
              <w:textAlignment w:val="auto"/>
              <w:rPr>
                <w:rFonts w:hint="default" w:ascii="Times New Roman" w:hAnsi="Times New Roman" w:cs="Times New Roman"/>
                <w:color w:val="auto"/>
                <w:sz w:val="24"/>
              </w:rPr>
            </w:pPr>
            <w:r>
              <w:rPr>
                <w:rFonts w:hint="eastAsia" w:cs="Times New Roman"/>
                <w:color w:val="auto"/>
                <w:sz w:val="24"/>
                <w:lang w:eastAsia="zh-CN"/>
              </w:rPr>
              <w:t>☑</w:t>
            </w:r>
            <w:r>
              <w:rPr>
                <w:rFonts w:hint="default" w:ascii="Times New Roman" w:hAnsi="Times New Roman" w:cs="Times New Roman"/>
                <w:color w:val="auto"/>
                <w:sz w:val="24"/>
              </w:rPr>
              <w:t>新建（迁建）</w:t>
            </w:r>
          </w:p>
          <w:p w14:paraId="39C25696">
            <w:pPr>
              <w:keepNext w:val="0"/>
              <w:keepLines/>
              <w:pageBreakBefore w:val="0"/>
              <w:widowControl/>
              <w:kinsoku/>
              <w:wordWrap/>
              <w:overflowPunct/>
              <w:topLinePunct w:val="0"/>
              <w:autoSpaceDE/>
              <w:autoSpaceDN/>
              <w:bidi w:val="0"/>
              <w:adjustRightInd w:val="0"/>
              <w:snapToGrid w:val="0"/>
              <w:spacing w:line="240" w:lineRule="auto"/>
              <w:ind w:left="42" w:leftChars="20" w:right="113"/>
              <w:jc w:val="left"/>
              <w:textAlignment w:val="auto"/>
              <w:rPr>
                <w:rFonts w:hint="default" w:ascii="Times New Roman" w:hAnsi="Times New Roman" w:cs="Times New Roman"/>
                <w:color w:val="auto"/>
                <w:sz w:val="24"/>
              </w:rPr>
            </w:pPr>
            <w:r>
              <w:rPr>
                <w:rFonts w:hint="eastAsia" w:cs="Times New Roman"/>
                <w:color w:val="auto"/>
                <w:sz w:val="24"/>
                <w:lang w:eastAsia="zh-CN"/>
              </w:rPr>
              <w:t>☑</w:t>
            </w:r>
            <w:r>
              <w:rPr>
                <w:rFonts w:hint="default" w:ascii="Times New Roman" w:hAnsi="Times New Roman" w:cs="Times New Roman"/>
                <w:color w:val="auto"/>
                <w:sz w:val="24"/>
              </w:rPr>
              <w:t>改建</w:t>
            </w:r>
          </w:p>
          <w:p w14:paraId="2BEFD054">
            <w:pPr>
              <w:keepNext w:val="0"/>
              <w:keepLines/>
              <w:pageBreakBefore w:val="0"/>
              <w:widowControl/>
              <w:kinsoku/>
              <w:wordWrap/>
              <w:overflowPunct/>
              <w:topLinePunct w:val="0"/>
              <w:autoSpaceDE/>
              <w:autoSpaceDN/>
              <w:bidi w:val="0"/>
              <w:adjustRightInd w:val="0"/>
              <w:snapToGrid w:val="0"/>
              <w:spacing w:line="240" w:lineRule="auto"/>
              <w:ind w:left="42" w:leftChars="20" w:right="113"/>
              <w:jc w:val="left"/>
              <w:textAlignment w:val="auto"/>
              <w:rPr>
                <w:rFonts w:hint="default" w:ascii="Times New Roman" w:hAnsi="Times New Roman" w:cs="Times New Roman"/>
                <w:color w:val="auto"/>
                <w:sz w:val="24"/>
              </w:rPr>
            </w:pPr>
            <w:r>
              <w:rPr>
                <w:rFonts w:hint="eastAsia" w:cs="Times New Roman"/>
                <w:color w:val="auto"/>
                <w:sz w:val="24"/>
                <w:lang w:eastAsia="zh-CN"/>
              </w:rPr>
              <w:t>□</w:t>
            </w:r>
            <w:r>
              <w:rPr>
                <w:rFonts w:hint="default" w:ascii="Times New Roman" w:hAnsi="Times New Roman" w:cs="Times New Roman"/>
                <w:color w:val="auto"/>
                <w:sz w:val="24"/>
              </w:rPr>
              <w:t>扩建</w:t>
            </w:r>
          </w:p>
          <w:p w14:paraId="323EE69C">
            <w:pPr>
              <w:keepNext w:val="0"/>
              <w:keepLines/>
              <w:pageBreakBefore w:val="0"/>
              <w:widowControl/>
              <w:kinsoku/>
              <w:wordWrap/>
              <w:overflowPunct/>
              <w:topLinePunct w:val="0"/>
              <w:autoSpaceDE/>
              <w:autoSpaceDN/>
              <w:bidi w:val="0"/>
              <w:adjustRightInd w:val="0"/>
              <w:snapToGrid w:val="0"/>
              <w:spacing w:line="240" w:lineRule="auto"/>
              <w:ind w:left="42" w:leftChars="20" w:right="113"/>
              <w:jc w:val="left"/>
              <w:textAlignment w:val="auto"/>
              <w:rPr>
                <w:rFonts w:hint="default" w:ascii="Times New Roman" w:hAnsi="Times New Roman" w:cs="Times New Roman"/>
                <w:color w:val="auto"/>
                <w:sz w:val="24"/>
              </w:rPr>
            </w:pPr>
            <w:r>
              <w:rPr>
                <w:rFonts w:hint="eastAsia" w:cs="Times New Roman"/>
                <w:color w:val="auto"/>
                <w:sz w:val="24"/>
                <w:lang w:eastAsia="zh-CN"/>
              </w:rPr>
              <w:t>□</w:t>
            </w:r>
            <w:r>
              <w:rPr>
                <w:rFonts w:hint="default" w:ascii="Times New Roman" w:hAnsi="Times New Roman" w:cs="Times New Roman"/>
                <w:color w:val="auto"/>
                <w:sz w:val="24"/>
              </w:rPr>
              <w:t>技术改造</w:t>
            </w:r>
          </w:p>
        </w:tc>
        <w:tc>
          <w:tcPr>
            <w:tcW w:w="827" w:type="pct"/>
            <w:noWrap w:val="0"/>
            <w:vAlign w:val="center"/>
          </w:tcPr>
          <w:p w14:paraId="658BF7C3">
            <w:pPr>
              <w:keepNext w:val="0"/>
              <w:keepLines/>
              <w:pageBreakBefore w:val="0"/>
              <w:widowControl/>
              <w:kinsoku/>
              <w:wordWrap/>
              <w:overflowPunct/>
              <w:topLinePunct w:val="0"/>
              <w:autoSpaceDE/>
              <w:autoSpaceDN/>
              <w:bidi w:val="0"/>
              <w:adjustRightInd w:val="0"/>
              <w:snapToGrid w:val="0"/>
              <w:spacing w:line="240" w:lineRule="auto"/>
              <w:ind w:left="42" w:leftChars="20" w:right="113"/>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建设项目</w:t>
            </w:r>
          </w:p>
          <w:p w14:paraId="6E212D68">
            <w:pPr>
              <w:keepNext w:val="0"/>
              <w:keepLines/>
              <w:pageBreakBefore w:val="0"/>
              <w:widowControl/>
              <w:kinsoku/>
              <w:wordWrap/>
              <w:overflowPunct/>
              <w:topLinePunct w:val="0"/>
              <w:autoSpaceDE/>
              <w:autoSpaceDN/>
              <w:bidi w:val="0"/>
              <w:adjustRightInd w:val="0"/>
              <w:snapToGrid w:val="0"/>
              <w:spacing w:line="240" w:lineRule="auto"/>
              <w:ind w:left="42" w:leftChars="20" w:right="113"/>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申报情形</w:t>
            </w:r>
          </w:p>
        </w:tc>
        <w:tc>
          <w:tcPr>
            <w:tcW w:w="1731" w:type="pct"/>
            <w:noWrap w:val="0"/>
            <w:vAlign w:val="center"/>
          </w:tcPr>
          <w:p w14:paraId="725CB1BD">
            <w:pPr>
              <w:keepNext w:val="0"/>
              <w:keepLines/>
              <w:pageBreakBefore w:val="0"/>
              <w:widowControl/>
              <w:kinsoku/>
              <w:wordWrap/>
              <w:overflowPunct/>
              <w:topLinePunct w:val="0"/>
              <w:autoSpaceDE/>
              <w:autoSpaceDN/>
              <w:bidi w:val="0"/>
              <w:adjustRightInd w:val="0"/>
              <w:snapToGrid w:val="0"/>
              <w:spacing w:line="240" w:lineRule="auto"/>
              <w:ind w:left="42" w:leftChars="20" w:right="113"/>
              <w:jc w:val="left"/>
              <w:textAlignment w:val="auto"/>
              <w:rPr>
                <w:rFonts w:hint="default" w:ascii="Times New Roman" w:hAnsi="Times New Roman" w:cs="Times New Roman"/>
                <w:color w:val="auto"/>
                <w:sz w:val="24"/>
              </w:rPr>
            </w:pPr>
            <w:r>
              <w:rPr>
                <w:rFonts w:hint="eastAsia" w:cs="Times New Roman"/>
                <w:color w:val="auto"/>
                <w:sz w:val="24"/>
                <w:lang w:eastAsia="zh-CN"/>
              </w:rPr>
              <w:t>☑</w:t>
            </w:r>
            <w:r>
              <w:rPr>
                <w:rFonts w:hint="default" w:ascii="Times New Roman" w:hAnsi="Times New Roman" w:cs="Times New Roman"/>
                <w:color w:val="auto"/>
                <w:sz w:val="24"/>
              </w:rPr>
              <w:t>首次申报项目</w:t>
            </w:r>
          </w:p>
          <w:p w14:paraId="39D3613A">
            <w:pPr>
              <w:keepNext w:val="0"/>
              <w:keepLines/>
              <w:pageBreakBefore w:val="0"/>
              <w:widowControl/>
              <w:kinsoku/>
              <w:wordWrap/>
              <w:overflowPunct/>
              <w:topLinePunct w:val="0"/>
              <w:autoSpaceDE/>
              <w:autoSpaceDN/>
              <w:bidi w:val="0"/>
              <w:adjustRightInd w:val="0"/>
              <w:snapToGrid w:val="0"/>
              <w:spacing w:line="240" w:lineRule="auto"/>
              <w:ind w:left="42" w:leftChars="20" w:right="113"/>
              <w:jc w:val="left"/>
              <w:textAlignment w:val="auto"/>
              <w:rPr>
                <w:rFonts w:hint="default" w:ascii="Times New Roman" w:hAnsi="Times New Roman" w:cs="Times New Roman"/>
                <w:color w:val="auto"/>
                <w:sz w:val="24"/>
              </w:rPr>
            </w:pPr>
            <w:r>
              <w:rPr>
                <w:rFonts w:hint="eastAsia" w:cs="Times New Roman"/>
                <w:color w:val="auto"/>
                <w:sz w:val="24"/>
                <w:lang w:eastAsia="zh-CN"/>
              </w:rPr>
              <w:t>□</w:t>
            </w:r>
            <w:r>
              <w:rPr>
                <w:rFonts w:hint="default" w:ascii="Times New Roman" w:hAnsi="Times New Roman" w:cs="Times New Roman"/>
                <w:color w:val="auto"/>
                <w:sz w:val="24"/>
              </w:rPr>
              <w:t>不予批准后再次申报项目</w:t>
            </w:r>
          </w:p>
          <w:p w14:paraId="17514953">
            <w:pPr>
              <w:keepNext w:val="0"/>
              <w:keepLines/>
              <w:pageBreakBefore w:val="0"/>
              <w:widowControl/>
              <w:kinsoku/>
              <w:wordWrap/>
              <w:overflowPunct/>
              <w:topLinePunct w:val="0"/>
              <w:autoSpaceDE/>
              <w:autoSpaceDN/>
              <w:bidi w:val="0"/>
              <w:adjustRightInd w:val="0"/>
              <w:snapToGrid w:val="0"/>
              <w:spacing w:line="240" w:lineRule="auto"/>
              <w:ind w:left="42" w:leftChars="20" w:right="113"/>
              <w:jc w:val="left"/>
              <w:textAlignment w:val="auto"/>
              <w:rPr>
                <w:rFonts w:hint="default" w:ascii="Times New Roman" w:hAnsi="Times New Roman" w:cs="Times New Roman"/>
                <w:color w:val="auto"/>
                <w:sz w:val="24"/>
              </w:rPr>
            </w:pPr>
            <w:r>
              <w:rPr>
                <w:rFonts w:hint="eastAsia" w:cs="Times New Roman"/>
                <w:color w:val="auto"/>
                <w:sz w:val="24"/>
                <w:lang w:eastAsia="zh-CN"/>
              </w:rPr>
              <w:t>□</w:t>
            </w:r>
            <w:r>
              <w:rPr>
                <w:rFonts w:hint="default" w:ascii="Times New Roman" w:hAnsi="Times New Roman" w:cs="Times New Roman"/>
                <w:color w:val="auto"/>
                <w:sz w:val="24"/>
              </w:rPr>
              <w:t>超五年重新审核项目</w:t>
            </w:r>
          </w:p>
          <w:p w14:paraId="5AD5E95E">
            <w:pPr>
              <w:keepNext w:val="0"/>
              <w:keepLines/>
              <w:pageBreakBefore w:val="0"/>
              <w:widowControl/>
              <w:kinsoku/>
              <w:wordWrap/>
              <w:overflowPunct/>
              <w:topLinePunct w:val="0"/>
              <w:autoSpaceDE/>
              <w:autoSpaceDN/>
              <w:bidi w:val="0"/>
              <w:adjustRightInd w:val="0"/>
              <w:snapToGrid w:val="0"/>
              <w:spacing w:line="240" w:lineRule="auto"/>
              <w:ind w:left="42" w:leftChars="20" w:right="113"/>
              <w:textAlignment w:val="auto"/>
              <w:rPr>
                <w:rFonts w:hint="default" w:ascii="Times New Roman" w:hAnsi="Times New Roman" w:cs="Times New Roman"/>
                <w:color w:val="auto"/>
                <w:sz w:val="24"/>
              </w:rPr>
            </w:pPr>
            <w:r>
              <w:rPr>
                <w:rFonts w:hint="eastAsia" w:cs="Times New Roman"/>
                <w:color w:val="auto"/>
                <w:sz w:val="24"/>
                <w:lang w:eastAsia="zh-CN"/>
              </w:rPr>
              <w:t>□</w:t>
            </w:r>
            <w:r>
              <w:rPr>
                <w:rFonts w:hint="default" w:ascii="Times New Roman" w:hAnsi="Times New Roman" w:cs="Times New Roman"/>
                <w:color w:val="auto"/>
                <w:sz w:val="24"/>
              </w:rPr>
              <w:t>重大变动重新报批项目</w:t>
            </w:r>
          </w:p>
        </w:tc>
      </w:tr>
      <w:tr w14:paraId="7ADDDC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170" w:hRule="atLeast"/>
        </w:trPr>
        <w:tc>
          <w:tcPr>
            <w:tcW w:w="1132" w:type="pct"/>
            <w:noWrap w:val="0"/>
            <w:tcMar>
              <w:top w:w="16" w:type="dxa"/>
              <w:left w:w="16" w:type="dxa"/>
              <w:right w:w="16" w:type="dxa"/>
            </w:tcMar>
            <w:vAlign w:val="center"/>
          </w:tcPr>
          <w:p w14:paraId="240B71CB">
            <w:pPr>
              <w:keepNext w:val="0"/>
              <w:keepLines/>
              <w:pageBreakBefore w:val="0"/>
              <w:widowControl/>
              <w:kinsoku/>
              <w:wordWrap/>
              <w:overflowPunct/>
              <w:topLinePunct w:val="0"/>
              <w:bidi w:val="0"/>
              <w:adjustRightInd w:val="0"/>
              <w:snapToGrid w:val="0"/>
              <w:spacing w:line="240" w:lineRule="auto"/>
              <w:ind w:left="42" w:leftChars="20" w:right="113"/>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项目审批（核准/备案）部门（选填）</w:t>
            </w:r>
          </w:p>
        </w:tc>
        <w:tc>
          <w:tcPr>
            <w:tcW w:w="1308" w:type="pct"/>
            <w:noWrap w:val="0"/>
            <w:vAlign w:val="center"/>
          </w:tcPr>
          <w:p w14:paraId="143632B0">
            <w:pPr>
              <w:pStyle w:val="26"/>
              <w:keepNext w:val="0"/>
              <w:keepLines/>
              <w:pageBreakBefore w:val="0"/>
              <w:widowControl/>
              <w:suppressLineNumbers w:val="0"/>
              <w:kinsoku/>
              <w:wordWrap/>
              <w:overflowPunct/>
              <w:topLinePunct w:val="0"/>
              <w:bidi w:val="0"/>
              <w:spacing w:before="0" w:beforeAutospacing="0" w:after="0" w:afterAutospacing="0" w:line="240" w:lineRule="auto"/>
              <w:ind w:left="42" w:leftChars="20" w:right="113" w:firstLine="0"/>
              <w:jc w:val="center"/>
              <w:rPr>
                <w:rFonts w:hint="default" w:ascii="Times New Roman" w:hAnsi="Times New Roman" w:eastAsia="宋体" w:cs="Times New Roman"/>
                <w:color w:val="auto"/>
                <w:sz w:val="24"/>
                <w:lang w:val="en-US" w:eastAsia="zh-CN"/>
              </w:rPr>
            </w:pPr>
            <w:r>
              <w:rPr>
                <w:rFonts w:hint="default" w:ascii="Times New Roman" w:hAnsi="Times New Roman" w:cs="Times New Roman"/>
                <w:color w:val="auto"/>
                <w:lang w:val="en-US" w:eastAsia="zh-CN"/>
              </w:rPr>
              <w:t>奇台县发展和改革委员会</w:t>
            </w:r>
          </w:p>
        </w:tc>
        <w:tc>
          <w:tcPr>
            <w:tcW w:w="827" w:type="pct"/>
            <w:noWrap w:val="0"/>
            <w:vAlign w:val="center"/>
          </w:tcPr>
          <w:p w14:paraId="32451C21">
            <w:pPr>
              <w:keepNext w:val="0"/>
              <w:keepLines/>
              <w:pageBreakBefore w:val="0"/>
              <w:widowControl/>
              <w:kinsoku/>
              <w:wordWrap/>
              <w:overflowPunct/>
              <w:topLinePunct w:val="0"/>
              <w:bidi w:val="0"/>
              <w:adjustRightInd w:val="0"/>
              <w:snapToGrid w:val="0"/>
              <w:spacing w:line="240" w:lineRule="auto"/>
              <w:ind w:left="42" w:leftChars="20" w:right="113"/>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项目审批（核准/备案）文号（选填）</w:t>
            </w:r>
          </w:p>
        </w:tc>
        <w:tc>
          <w:tcPr>
            <w:tcW w:w="1731" w:type="pct"/>
            <w:noWrap w:val="0"/>
            <w:vAlign w:val="center"/>
          </w:tcPr>
          <w:p w14:paraId="4428DECD">
            <w:pPr>
              <w:keepNext w:val="0"/>
              <w:keepLines/>
              <w:pageBreakBefore w:val="0"/>
              <w:widowControl/>
              <w:kinsoku/>
              <w:wordWrap/>
              <w:overflowPunct/>
              <w:topLinePunct w:val="0"/>
              <w:bidi w:val="0"/>
              <w:adjustRightInd w:val="0"/>
              <w:snapToGrid w:val="0"/>
              <w:spacing w:line="240" w:lineRule="auto"/>
              <w:ind w:left="42" w:leftChars="20" w:right="113"/>
              <w:jc w:val="center"/>
              <w:textAlignment w:val="auto"/>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lang w:val="en-US" w:eastAsia="zh-CN"/>
              </w:rPr>
              <w:t>奇</w:t>
            </w:r>
            <w:r>
              <w:rPr>
                <w:rFonts w:hint="default" w:ascii="Times New Roman" w:hAnsi="Times New Roman" w:eastAsia="宋体" w:cs="Times New Roman"/>
                <w:color w:val="auto"/>
                <w:sz w:val="24"/>
                <w:lang w:eastAsia="zh-CN"/>
              </w:rPr>
              <w:t>发改</w:t>
            </w:r>
            <w:r>
              <w:rPr>
                <w:rFonts w:hint="default" w:ascii="Times New Roman" w:hAnsi="Times New Roman" w:eastAsia="宋体" w:cs="Times New Roman"/>
                <w:color w:val="auto"/>
                <w:sz w:val="24"/>
                <w:lang w:val="en-US" w:eastAsia="zh-CN"/>
              </w:rPr>
              <w:t>项目</w:t>
            </w:r>
            <w:r>
              <w:rPr>
                <w:rFonts w:hint="default" w:ascii="Times New Roman" w:hAnsi="Times New Roman" w:eastAsia="宋体" w:cs="Times New Roman"/>
                <w:color w:val="auto"/>
                <w:sz w:val="24"/>
                <w:lang w:eastAsia="zh-CN"/>
              </w:rPr>
              <w:t>〔202</w:t>
            </w:r>
            <w:r>
              <w:rPr>
                <w:rFonts w:hint="default" w:ascii="Times New Roman" w:hAnsi="Times New Roman" w:eastAsia="宋体" w:cs="Times New Roman"/>
                <w:color w:val="auto"/>
                <w:sz w:val="24"/>
                <w:lang w:val="en-US" w:eastAsia="zh-CN"/>
              </w:rPr>
              <w:t>5</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lang w:val="en-US" w:eastAsia="zh-CN"/>
              </w:rPr>
              <w:t>135</w:t>
            </w:r>
            <w:r>
              <w:rPr>
                <w:rFonts w:hint="default" w:ascii="Times New Roman" w:hAnsi="Times New Roman" w:eastAsia="宋体" w:cs="Times New Roman"/>
                <w:color w:val="auto"/>
                <w:sz w:val="24"/>
                <w:lang w:eastAsia="zh-CN"/>
              </w:rPr>
              <w:t>号</w:t>
            </w:r>
          </w:p>
        </w:tc>
      </w:tr>
      <w:tr w14:paraId="5045DF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03" w:hRule="atLeast"/>
        </w:trPr>
        <w:tc>
          <w:tcPr>
            <w:tcW w:w="1132" w:type="pct"/>
            <w:noWrap w:val="0"/>
            <w:tcMar>
              <w:top w:w="16" w:type="dxa"/>
              <w:left w:w="16" w:type="dxa"/>
              <w:right w:w="16" w:type="dxa"/>
            </w:tcMar>
            <w:vAlign w:val="center"/>
          </w:tcPr>
          <w:p w14:paraId="1065565F">
            <w:pPr>
              <w:keepNext w:val="0"/>
              <w:keepLines/>
              <w:pageBreakBefore w:val="0"/>
              <w:widowControl/>
              <w:kinsoku/>
              <w:wordWrap/>
              <w:overflowPunct/>
              <w:topLinePunct w:val="0"/>
              <w:bidi w:val="0"/>
              <w:adjustRightInd w:val="0"/>
              <w:snapToGrid w:val="0"/>
              <w:spacing w:line="240" w:lineRule="auto"/>
              <w:ind w:left="42" w:leftChars="20" w:right="113"/>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总投资（万元）</w:t>
            </w:r>
          </w:p>
        </w:tc>
        <w:tc>
          <w:tcPr>
            <w:tcW w:w="1308" w:type="pct"/>
            <w:noWrap w:val="0"/>
            <w:vAlign w:val="center"/>
          </w:tcPr>
          <w:p w14:paraId="12EC2D9E">
            <w:pPr>
              <w:keepNext w:val="0"/>
              <w:keepLines/>
              <w:pageBreakBefore w:val="0"/>
              <w:widowControl/>
              <w:kinsoku/>
              <w:wordWrap/>
              <w:overflowPunct/>
              <w:topLinePunct w:val="0"/>
              <w:bidi w:val="0"/>
              <w:adjustRightInd w:val="0"/>
              <w:snapToGrid w:val="0"/>
              <w:spacing w:line="240" w:lineRule="auto"/>
              <w:ind w:left="42" w:leftChars="20" w:right="113"/>
              <w:jc w:val="center"/>
              <w:textAlignment w:val="auto"/>
              <w:rPr>
                <w:rFonts w:hint="default" w:ascii="Times New Roman" w:hAnsi="Times New Roman" w:eastAsia="宋体" w:cs="Times New Roman"/>
                <w:color w:val="auto"/>
                <w:sz w:val="24"/>
                <w:highlight w:val="none"/>
                <w:lang w:eastAsia="zh-CN"/>
              </w:rPr>
            </w:pPr>
            <w:r>
              <w:rPr>
                <w:rFonts w:hint="eastAsia" w:cs="Times New Roman"/>
                <w:color w:val="auto"/>
                <w:sz w:val="24"/>
                <w:highlight w:val="none"/>
                <w:lang w:val="en-US" w:eastAsia="zh-CN"/>
              </w:rPr>
              <w:t>2</w:t>
            </w:r>
            <w:r>
              <w:rPr>
                <w:rFonts w:hint="default" w:ascii="Times New Roman" w:hAnsi="Times New Roman" w:cs="Times New Roman"/>
                <w:color w:val="auto"/>
                <w:sz w:val="24"/>
                <w:highlight w:val="none"/>
                <w:lang w:eastAsia="zh-CN"/>
              </w:rPr>
              <w:t>900</w:t>
            </w:r>
          </w:p>
        </w:tc>
        <w:tc>
          <w:tcPr>
            <w:tcW w:w="827" w:type="pct"/>
            <w:noWrap w:val="0"/>
            <w:tcMar>
              <w:top w:w="16" w:type="dxa"/>
              <w:left w:w="16" w:type="dxa"/>
              <w:right w:w="16" w:type="dxa"/>
            </w:tcMar>
            <w:vAlign w:val="center"/>
          </w:tcPr>
          <w:p w14:paraId="2ACEC5B6">
            <w:pPr>
              <w:keepNext w:val="0"/>
              <w:keepLines/>
              <w:pageBreakBefore w:val="0"/>
              <w:widowControl/>
              <w:kinsoku/>
              <w:wordWrap/>
              <w:overflowPunct/>
              <w:topLinePunct w:val="0"/>
              <w:bidi w:val="0"/>
              <w:adjustRightInd w:val="0"/>
              <w:snapToGrid w:val="0"/>
              <w:spacing w:line="240" w:lineRule="auto"/>
              <w:ind w:left="42" w:leftChars="20" w:right="113"/>
              <w:jc w:val="center"/>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环保投资</w:t>
            </w:r>
          </w:p>
          <w:p w14:paraId="5F173EB6">
            <w:pPr>
              <w:keepNext w:val="0"/>
              <w:keepLines/>
              <w:pageBreakBefore w:val="0"/>
              <w:widowControl/>
              <w:kinsoku/>
              <w:wordWrap/>
              <w:overflowPunct/>
              <w:topLinePunct w:val="0"/>
              <w:bidi w:val="0"/>
              <w:adjustRightInd w:val="0"/>
              <w:snapToGrid w:val="0"/>
              <w:spacing w:line="240" w:lineRule="auto"/>
              <w:ind w:left="42" w:leftChars="20" w:right="113"/>
              <w:jc w:val="center"/>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（万元）</w:t>
            </w:r>
          </w:p>
        </w:tc>
        <w:tc>
          <w:tcPr>
            <w:tcW w:w="1731" w:type="pct"/>
            <w:noWrap w:val="0"/>
            <w:vAlign w:val="center"/>
          </w:tcPr>
          <w:p w14:paraId="4E515CCE">
            <w:pPr>
              <w:keepNext w:val="0"/>
              <w:keepLines/>
              <w:pageBreakBefore w:val="0"/>
              <w:widowControl/>
              <w:kinsoku/>
              <w:wordWrap/>
              <w:overflowPunct/>
              <w:topLinePunct w:val="0"/>
              <w:bidi w:val="0"/>
              <w:adjustRightInd w:val="0"/>
              <w:snapToGrid w:val="0"/>
              <w:spacing w:line="240" w:lineRule="auto"/>
              <w:ind w:left="42" w:leftChars="20" w:right="113"/>
              <w:jc w:val="center"/>
              <w:textAlignment w:val="auto"/>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55.3</w:t>
            </w:r>
          </w:p>
        </w:tc>
      </w:tr>
      <w:tr w14:paraId="0CFED5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1132" w:type="pct"/>
            <w:noWrap w:val="0"/>
            <w:tcMar>
              <w:top w:w="16" w:type="dxa"/>
              <w:left w:w="16" w:type="dxa"/>
              <w:right w:w="16" w:type="dxa"/>
            </w:tcMar>
            <w:vAlign w:val="center"/>
          </w:tcPr>
          <w:p w14:paraId="75ACF822">
            <w:pPr>
              <w:keepNext w:val="0"/>
              <w:keepLines/>
              <w:pageBreakBefore w:val="0"/>
              <w:widowControl/>
              <w:kinsoku/>
              <w:wordWrap/>
              <w:overflowPunct/>
              <w:topLinePunct w:val="0"/>
              <w:bidi w:val="0"/>
              <w:adjustRightInd w:val="0"/>
              <w:snapToGrid w:val="0"/>
              <w:spacing w:line="240" w:lineRule="auto"/>
              <w:ind w:left="42" w:leftChars="20" w:right="113"/>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环保投资占比（%）</w:t>
            </w:r>
          </w:p>
        </w:tc>
        <w:tc>
          <w:tcPr>
            <w:tcW w:w="1308" w:type="pct"/>
            <w:noWrap w:val="0"/>
            <w:vAlign w:val="center"/>
          </w:tcPr>
          <w:p w14:paraId="58952E4C">
            <w:pPr>
              <w:keepNext w:val="0"/>
              <w:keepLines/>
              <w:pageBreakBefore w:val="0"/>
              <w:widowControl/>
              <w:kinsoku/>
              <w:wordWrap/>
              <w:overflowPunct/>
              <w:topLinePunct w:val="0"/>
              <w:bidi w:val="0"/>
              <w:adjustRightInd w:val="0"/>
              <w:snapToGrid w:val="0"/>
              <w:spacing w:line="240" w:lineRule="auto"/>
              <w:ind w:left="42" w:leftChars="20" w:right="113"/>
              <w:jc w:val="center"/>
              <w:textAlignment w:val="auto"/>
              <w:rPr>
                <w:rFonts w:hint="default" w:ascii="Times New Roman" w:hAnsi="Times New Roman" w:eastAsia="宋体" w:cs="Times New Roman"/>
                <w:color w:val="auto"/>
                <w:sz w:val="24"/>
                <w:highlight w:val="none"/>
                <w:lang w:val="en-US"/>
              </w:rPr>
            </w:pPr>
            <w:r>
              <w:rPr>
                <w:rFonts w:hint="eastAsia" w:cs="Times New Roman"/>
                <w:color w:val="auto"/>
                <w:sz w:val="24"/>
                <w:highlight w:val="none"/>
                <w:lang w:val="en-US" w:eastAsia="zh-CN"/>
              </w:rPr>
              <w:t>1.91</w:t>
            </w:r>
          </w:p>
        </w:tc>
        <w:tc>
          <w:tcPr>
            <w:tcW w:w="827" w:type="pct"/>
            <w:noWrap w:val="0"/>
            <w:tcMar>
              <w:top w:w="16" w:type="dxa"/>
              <w:left w:w="16" w:type="dxa"/>
              <w:right w:w="16" w:type="dxa"/>
            </w:tcMar>
            <w:vAlign w:val="center"/>
          </w:tcPr>
          <w:p w14:paraId="37C29FC7">
            <w:pPr>
              <w:keepNext w:val="0"/>
              <w:keepLines/>
              <w:pageBreakBefore w:val="0"/>
              <w:widowControl/>
              <w:kinsoku/>
              <w:wordWrap/>
              <w:overflowPunct/>
              <w:topLinePunct w:val="0"/>
              <w:bidi w:val="0"/>
              <w:adjustRightInd w:val="0"/>
              <w:snapToGrid w:val="0"/>
              <w:spacing w:line="240" w:lineRule="auto"/>
              <w:ind w:left="42" w:leftChars="20" w:right="113"/>
              <w:jc w:val="center"/>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施工工期</w:t>
            </w:r>
          </w:p>
        </w:tc>
        <w:tc>
          <w:tcPr>
            <w:tcW w:w="1731" w:type="pct"/>
            <w:noWrap w:val="0"/>
            <w:vAlign w:val="center"/>
          </w:tcPr>
          <w:p w14:paraId="650D1423">
            <w:pPr>
              <w:keepNext w:val="0"/>
              <w:keepLines/>
              <w:pageBreakBefore w:val="0"/>
              <w:widowControl/>
              <w:kinsoku/>
              <w:wordWrap/>
              <w:overflowPunct/>
              <w:topLinePunct w:val="0"/>
              <w:bidi w:val="0"/>
              <w:adjustRightInd w:val="0"/>
              <w:snapToGrid w:val="0"/>
              <w:spacing w:line="240" w:lineRule="auto"/>
              <w:ind w:left="42" w:leftChars="20" w:right="113"/>
              <w:jc w:val="center"/>
              <w:textAlignment w:val="auto"/>
              <w:rPr>
                <w:rFonts w:hint="default" w:ascii="Times New Roman" w:hAnsi="Times New Roman" w:eastAsia="宋体" w:cs="Times New Roman"/>
                <w:color w:val="auto"/>
                <w:sz w:val="24"/>
                <w:highlight w:val="none"/>
              </w:rPr>
            </w:pPr>
            <w:r>
              <w:rPr>
                <w:rFonts w:hint="eastAsia" w:cs="Times New Roman"/>
                <w:color w:val="auto"/>
                <w:sz w:val="24"/>
                <w:highlight w:val="none"/>
                <w:lang w:val="en-US" w:eastAsia="zh-CN"/>
              </w:rPr>
              <w:t>6</w:t>
            </w:r>
            <w:r>
              <w:rPr>
                <w:rFonts w:hint="default" w:ascii="Times New Roman" w:hAnsi="Times New Roman" w:eastAsia="宋体" w:cs="Times New Roman"/>
                <w:color w:val="auto"/>
                <w:sz w:val="24"/>
                <w:highlight w:val="none"/>
              </w:rPr>
              <w:t>个月</w:t>
            </w:r>
          </w:p>
        </w:tc>
      </w:tr>
      <w:tr w14:paraId="0AC6B7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11" w:hRule="atLeast"/>
        </w:trPr>
        <w:tc>
          <w:tcPr>
            <w:tcW w:w="1132" w:type="pct"/>
            <w:noWrap w:val="0"/>
            <w:tcMar>
              <w:top w:w="16" w:type="dxa"/>
              <w:left w:w="16" w:type="dxa"/>
              <w:right w:w="16" w:type="dxa"/>
            </w:tcMar>
            <w:vAlign w:val="center"/>
          </w:tcPr>
          <w:p w14:paraId="574E637C">
            <w:pPr>
              <w:keepNext w:val="0"/>
              <w:keepLines/>
              <w:pageBreakBefore w:val="0"/>
              <w:widowControl/>
              <w:kinsoku/>
              <w:wordWrap/>
              <w:overflowPunct/>
              <w:topLinePunct w:val="0"/>
              <w:bidi w:val="0"/>
              <w:adjustRightInd w:val="0"/>
              <w:snapToGrid w:val="0"/>
              <w:spacing w:line="240" w:lineRule="auto"/>
              <w:ind w:left="42" w:leftChars="20" w:right="113"/>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是否开工建设</w:t>
            </w:r>
          </w:p>
        </w:tc>
        <w:tc>
          <w:tcPr>
            <w:tcW w:w="3867" w:type="pct"/>
            <w:gridSpan w:val="3"/>
            <w:noWrap w:val="0"/>
            <w:vAlign w:val="center"/>
          </w:tcPr>
          <w:p w14:paraId="098363AA">
            <w:pPr>
              <w:keepNext w:val="0"/>
              <w:keepLines/>
              <w:pageBreakBefore w:val="0"/>
              <w:widowControl/>
              <w:kinsoku/>
              <w:wordWrap/>
              <w:overflowPunct/>
              <w:topLinePunct w:val="0"/>
              <w:bidi w:val="0"/>
              <w:adjustRightInd w:val="0"/>
              <w:snapToGrid w:val="0"/>
              <w:spacing w:line="240" w:lineRule="auto"/>
              <w:ind w:left="42" w:leftChars="20" w:right="113" w:firstLine="105"/>
              <w:jc w:val="left"/>
              <w:textAlignment w:val="auto"/>
              <w:rPr>
                <w:rFonts w:hint="default" w:ascii="Times New Roman" w:hAnsi="Times New Roman" w:cs="Times New Roman"/>
                <w:color w:val="auto"/>
                <w:sz w:val="24"/>
              </w:rPr>
            </w:pPr>
            <w:r>
              <w:rPr>
                <w:rFonts w:hint="default" w:ascii="Times New Roman" w:hAnsi="Times New Roman" w:cs="Times New Roman"/>
                <w:color w:val="auto"/>
                <w:sz w:val="24"/>
              </w:rPr>
              <w:sym w:font="Wingdings 2" w:char="0052"/>
            </w:r>
            <w:r>
              <w:rPr>
                <w:rFonts w:hint="default" w:ascii="Times New Roman" w:hAnsi="Times New Roman" w:cs="Times New Roman"/>
                <w:color w:val="auto"/>
                <w:sz w:val="24"/>
              </w:rPr>
              <w:t>否</w:t>
            </w:r>
          </w:p>
          <w:p w14:paraId="1126D7AB">
            <w:pPr>
              <w:keepNext w:val="0"/>
              <w:keepLines/>
              <w:pageBreakBefore w:val="0"/>
              <w:widowControl/>
              <w:kinsoku/>
              <w:wordWrap/>
              <w:overflowPunct/>
              <w:topLinePunct w:val="0"/>
              <w:bidi w:val="0"/>
              <w:adjustRightInd w:val="0"/>
              <w:snapToGrid w:val="0"/>
              <w:spacing w:line="240" w:lineRule="auto"/>
              <w:ind w:left="42" w:leftChars="20" w:right="113" w:firstLine="92"/>
              <w:jc w:val="left"/>
              <w:textAlignment w:val="auto"/>
              <w:rPr>
                <w:rFonts w:hint="default" w:ascii="Times New Roman" w:hAnsi="Times New Roman" w:eastAsia="宋体" w:cs="Times New Roman"/>
                <w:color w:val="auto"/>
                <w:sz w:val="24"/>
                <w:lang w:eastAsia="zh-CN"/>
              </w:rPr>
            </w:pPr>
            <w:r>
              <w:rPr>
                <w:rFonts w:hint="eastAsia" w:cs="Times New Roman"/>
                <w:color w:val="auto"/>
                <w:sz w:val="24"/>
                <w:lang w:eastAsia="zh-CN"/>
              </w:rPr>
              <w:t>□</w:t>
            </w:r>
            <w:r>
              <w:rPr>
                <w:rFonts w:hint="default" w:ascii="Times New Roman" w:hAnsi="Times New Roman" w:cs="Times New Roman"/>
                <w:color w:val="auto"/>
                <w:sz w:val="24"/>
              </w:rPr>
              <w:t>是</w:t>
            </w:r>
            <w:r>
              <w:rPr>
                <w:rFonts w:hint="default" w:ascii="Times New Roman" w:hAnsi="Times New Roman" w:eastAsia="宋体" w:cs="Times New Roman"/>
                <w:color w:val="auto"/>
                <w:sz w:val="24"/>
                <w:szCs w:val="24"/>
                <w:highlight w:val="none"/>
              </w:rPr>
              <w:t>：</w:t>
            </w:r>
          </w:p>
        </w:tc>
      </w:tr>
      <w:tr w14:paraId="6A0F30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62" w:hRule="atLeast"/>
        </w:trPr>
        <w:tc>
          <w:tcPr>
            <w:tcW w:w="1132" w:type="pct"/>
            <w:noWrap w:val="0"/>
            <w:tcMar>
              <w:top w:w="16" w:type="dxa"/>
              <w:left w:w="16" w:type="dxa"/>
              <w:right w:w="16" w:type="dxa"/>
            </w:tcMar>
            <w:vAlign w:val="center"/>
          </w:tcPr>
          <w:p w14:paraId="0D936DA0">
            <w:pPr>
              <w:keepNext w:val="0"/>
              <w:keepLines/>
              <w:pageBreakBefore w:val="0"/>
              <w:widowControl/>
              <w:kinsoku/>
              <w:wordWrap/>
              <w:overflowPunct/>
              <w:topLinePunct w:val="0"/>
              <w:autoSpaceDE w:val="0"/>
              <w:autoSpaceDN w:val="0"/>
              <w:bidi w:val="0"/>
              <w:adjustRightInd w:val="0"/>
              <w:snapToGrid w:val="0"/>
              <w:spacing w:line="240" w:lineRule="auto"/>
              <w:ind w:left="42" w:leftChars="20" w:right="113"/>
              <w:jc w:val="center"/>
              <w:textAlignment w:val="auto"/>
              <w:rPr>
                <w:rFonts w:hint="default" w:ascii="Times New Roman" w:hAnsi="Times New Roman" w:cs="Times New Roman"/>
                <w:color w:val="auto"/>
                <w:kern w:val="0"/>
                <w:sz w:val="24"/>
              </w:rPr>
            </w:pPr>
            <w:r>
              <w:rPr>
                <w:rFonts w:hint="default" w:ascii="Times New Roman" w:hAnsi="Times New Roman" w:cs="Times New Roman"/>
                <w:color w:val="auto"/>
                <w:kern w:val="0"/>
                <w:sz w:val="24"/>
              </w:rPr>
              <w:t>专项评价设置情况</w:t>
            </w:r>
          </w:p>
        </w:tc>
        <w:tc>
          <w:tcPr>
            <w:tcW w:w="3867" w:type="pct"/>
            <w:gridSpan w:val="3"/>
            <w:noWrap w:val="0"/>
            <w:tcMar>
              <w:top w:w="16" w:type="dxa"/>
              <w:left w:w="16" w:type="dxa"/>
              <w:right w:w="16" w:type="dxa"/>
            </w:tcMar>
            <w:vAlign w:val="center"/>
          </w:tcPr>
          <w:p w14:paraId="2BF73705">
            <w:pPr>
              <w:keepNext w:val="0"/>
              <w:keepLines/>
              <w:pageBreakBefore w:val="0"/>
              <w:widowControl/>
              <w:kinsoku/>
              <w:wordWrap/>
              <w:overflowPunct/>
              <w:topLinePunct w:val="0"/>
              <w:bidi w:val="0"/>
              <w:adjustRightInd w:val="0"/>
              <w:snapToGrid w:val="0"/>
              <w:spacing w:line="240" w:lineRule="auto"/>
              <w:ind w:left="42" w:leftChars="20" w:right="113"/>
              <w:jc w:val="center"/>
              <w:textAlignment w:val="auto"/>
              <w:rPr>
                <w:rFonts w:hint="default" w:ascii="Times New Roman" w:hAnsi="Times New Roman" w:eastAsia="宋体" w:cs="Times New Roman"/>
                <w:color w:val="auto"/>
                <w:kern w:val="0"/>
                <w:sz w:val="24"/>
                <w:lang w:eastAsia="zh-CN"/>
              </w:rPr>
            </w:pPr>
            <w:r>
              <w:rPr>
                <w:rFonts w:hint="default" w:ascii="Times New Roman" w:hAnsi="Times New Roman" w:eastAsia="宋体" w:cs="Times New Roman"/>
                <w:color w:val="auto"/>
                <w:kern w:val="0"/>
                <w:sz w:val="24"/>
                <w:lang w:eastAsia="zh-CN"/>
              </w:rPr>
              <w:t>无</w:t>
            </w:r>
          </w:p>
        </w:tc>
      </w:tr>
      <w:tr w14:paraId="72DB66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00" w:hRule="atLeast"/>
        </w:trPr>
        <w:tc>
          <w:tcPr>
            <w:tcW w:w="1132" w:type="pct"/>
            <w:noWrap w:val="0"/>
            <w:tcMar>
              <w:top w:w="16" w:type="dxa"/>
              <w:left w:w="16" w:type="dxa"/>
              <w:right w:w="16" w:type="dxa"/>
            </w:tcMar>
            <w:vAlign w:val="center"/>
          </w:tcPr>
          <w:p w14:paraId="2AB8105C">
            <w:pPr>
              <w:keepNext w:val="0"/>
              <w:keepLines/>
              <w:pageBreakBefore w:val="0"/>
              <w:widowControl/>
              <w:kinsoku/>
              <w:wordWrap/>
              <w:overflowPunct/>
              <w:topLinePunct w:val="0"/>
              <w:autoSpaceDE w:val="0"/>
              <w:autoSpaceDN w:val="0"/>
              <w:bidi w:val="0"/>
              <w:adjustRightInd w:val="0"/>
              <w:snapToGrid w:val="0"/>
              <w:spacing w:line="240" w:lineRule="auto"/>
              <w:ind w:left="42" w:leftChars="20" w:right="113"/>
              <w:jc w:val="center"/>
              <w:textAlignment w:val="auto"/>
              <w:rPr>
                <w:rFonts w:hint="default" w:ascii="Times New Roman" w:hAnsi="Times New Roman" w:cs="Times New Roman"/>
                <w:color w:val="auto"/>
                <w:kern w:val="0"/>
                <w:sz w:val="24"/>
              </w:rPr>
            </w:pPr>
            <w:r>
              <w:rPr>
                <w:rFonts w:hint="default" w:ascii="Times New Roman" w:hAnsi="Times New Roman" w:cs="Times New Roman"/>
                <w:color w:val="auto"/>
                <w:sz w:val="24"/>
              </w:rPr>
              <w:t>规划情况</w:t>
            </w:r>
          </w:p>
        </w:tc>
        <w:tc>
          <w:tcPr>
            <w:tcW w:w="3867" w:type="pct"/>
            <w:gridSpan w:val="3"/>
            <w:noWrap w:val="0"/>
            <w:tcMar>
              <w:top w:w="16" w:type="dxa"/>
              <w:left w:w="16" w:type="dxa"/>
              <w:right w:w="16" w:type="dxa"/>
            </w:tcMar>
            <w:vAlign w:val="center"/>
          </w:tcPr>
          <w:p w14:paraId="65FEA4CD">
            <w:pPr>
              <w:keepNext w:val="0"/>
              <w:keepLines/>
              <w:pageBreakBefore w:val="0"/>
              <w:widowControl/>
              <w:kinsoku/>
              <w:wordWrap/>
              <w:overflowPunct/>
              <w:topLinePunct w:val="0"/>
              <w:bidi w:val="0"/>
              <w:adjustRightInd w:val="0"/>
              <w:snapToGrid w:val="0"/>
              <w:spacing w:line="240" w:lineRule="auto"/>
              <w:ind w:left="42" w:leftChars="20" w:right="113"/>
              <w:jc w:val="center"/>
              <w:textAlignment w:val="auto"/>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无</w:t>
            </w:r>
          </w:p>
        </w:tc>
      </w:tr>
      <w:tr w14:paraId="2E944C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72" w:hRule="atLeast"/>
        </w:trPr>
        <w:tc>
          <w:tcPr>
            <w:tcW w:w="1132" w:type="pct"/>
            <w:noWrap w:val="0"/>
            <w:tcMar>
              <w:top w:w="16" w:type="dxa"/>
              <w:left w:w="16" w:type="dxa"/>
              <w:right w:w="16" w:type="dxa"/>
            </w:tcMar>
            <w:vAlign w:val="center"/>
          </w:tcPr>
          <w:p w14:paraId="06D0E3B4">
            <w:pPr>
              <w:keepNext w:val="0"/>
              <w:keepLines/>
              <w:pageBreakBefore w:val="0"/>
              <w:widowControl/>
              <w:kinsoku/>
              <w:wordWrap/>
              <w:overflowPunct/>
              <w:topLinePunct w:val="0"/>
              <w:autoSpaceDE w:val="0"/>
              <w:autoSpaceDN w:val="0"/>
              <w:bidi w:val="0"/>
              <w:adjustRightInd w:val="0"/>
              <w:snapToGrid w:val="0"/>
              <w:spacing w:line="240" w:lineRule="auto"/>
              <w:ind w:left="42" w:leftChars="20" w:right="113"/>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规划环境影响</w:t>
            </w:r>
          </w:p>
          <w:p w14:paraId="45A8AD10">
            <w:pPr>
              <w:keepNext w:val="0"/>
              <w:keepLines/>
              <w:pageBreakBefore w:val="0"/>
              <w:widowControl/>
              <w:kinsoku/>
              <w:wordWrap/>
              <w:overflowPunct/>
              <w:topLinePunct w:val="0"/>
              <w:autoSpaceDE w:val="0"/>
              <w:autoSpaceDN w:val="0"/>
              <w:bidi w:val="0"/>
              <w:adjustRightInd w:val="0"/>
              <w:snapToGrid w:val="0"/>
              <w:spacing w:line="240" w:lineRule="auto"/>
              <w:ind w:left="42" w:leftChars="20" w:right="113"/>
              <w:jc w:val="center"/>
              <w:textAlignment w:val="auto"/>
              <w:rPr>
                <w:rFonts w:hint="default" w:ascii="Times New Roman" w:hAnsi="Times New Roman" w:cs="Times New Roman"/>
                <w:color w:val="auto"/>
                <w:kern w:val="0"/>
                <w:sz w:val="24"/>
              </w:rPr>
            </w:pPr>
            <w:r>
              <w:rPr>
                <w:rFonts w:hint="default" w:ascii="Times New Roman" w:hAnsi="Times New Roman" w:cs="Times New Roman"/>
                <w:color w:val="auto"/>
                <w:sz w:val="24"/>
              </w:rPr>
              <w:t>评价情况</w:t>
            </w:r>
          </w:p>
        </w:tc>
        <w:tc>
          <w:tcPr>
            <w:tcW w:w="3867" w:type="pct"/>
            <w:gridSpan w:val="3"/>
            <w:noWrap w:val="0"/>
            <w:tcMar>
              <w:top w:w="16" w:type="dxa"/>
              <w:left w:w="16" w:type="dxa"/>
              <w:right w:w="16" w:type="dxa"/>
            </w:tcMar>
            <w:vAlign w:val="center"/>
          </w:tcPr>
          <w:p w14:paraId="5BA66A8C">
            <w:pPr>
              <w:keepNext w:val="0"/>
              <w:keepLines/>
              <w:pageBreakBefore w:val="0"/>
              <w:widowControl/>
              <w:kinsoku/>
              <w:wordWrap/>
              <w:overflowPunct/>
              <w:topLinePunct w:val="0"/>
              <w:bidi w:val="0"/>
              <w:adjustRightInd w:val="0"/>
              <w:snapToGrid w:val="0"/>
              <w:spacing w:line="240" w:lineRule="auto"/>
              <w:ind w:left="42" w:leftChars="20" w:right="113"/>
              <w:jc w:val="center"/>
              <w:textAlignment w:val="auto"/>
              <w:rPr>
                <w:rFonts w:hint="default" w:ascii="Times New Roman" w:hAnsi="Times New Roman" w:cs="Times New Roman"/>
                <w:color w:val="auto"/>
                <w:kern w:val="0"/>
                <w:sz w:val="24"/>
              </w:rPr>
            </w:pPr>
            <w:r>
              <w:rPr>
                <w:rFonts w:hint="default" w:ascii="Times New Roman" w:hAnsi="Times New Roman" w:cs="Times New Roman"/>
                <w:color w:val="auto"/>
                <w:kern w:val="0"/>
                <w:sz w:val="24"/>
              </w:rPr>
              <w:t>无</w:t>
            </w:r>
          </w:p>
        </w:tc>
      </w:tr>
      <w:tr w14:paraId="544076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14" w:hRule="atLeast"/>
        </w:trPr>
        <w:tc>
          <w:tcPr>
            <w:tcW w:w="1132" w:type="pct"/>
            <w:noWrap w:val="0"/>
            <w:tcMar>
              <w:top w:w="16" w:type="dxa"/>
              <w:left w:w="16" w:type="dxa"/>
              <w:right w:w="16" w:type="dxa"/>
            </w:tcMar>
            <w:vAlign w:val="center"/>
          </w:tcPr>
          <w:p w14:paraId="018AD33D">
            <w:pPr>
              <w:keepNext w:val="0"/>
              <w:keepLines/>
              <w:pageBreakBefore w:val="0"/>
              <w:widowControl/>
              <w:kinsoku/>
              <w:wordWrap/>
              <w:overflowPunct/>
              <w:topLinePunct w:val="0"/>
              <w:autoSpaceDE w:val="0"/>
              <w:autoSpaceDN w:val="0"/>
              <w:bidi w:val="0"/>
              <w:adjustRightInd w:val="0"/>
              <w:snapToGrid w:val="0"/>
              <w:spacing w:line="240" w:lineRule="auto"/>
              <w:ind w:left="42" w:leftChars="20" w:right="113"/>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规划及</w:t>
            </w:r>
            <w:r>
              <w:rPr>
                <w:rFonts w:hint="default" w:ascii="Times New Roman" w:hAnsi="Times New Roman" w:cs="Times New Roman"/>
                <w:color w:val="auto"/>
                <w:sz w:val="24"/>
              </w:rPr>
              <w:t>规划环境影响评价</w:t>
            </w:r>
            <w:r>
              <w:rPr>
                <w:rFonts w:hint="default" w:ascii="Times New Roman" w:hAnsi="Times New Roman" w:cs="Times New Roman"/>
                <w:color w:val="auto"/>
                <w:kern w:val="0"/>
                <w:sz w:val="24"/>
              </w:rPr>
              <w:t>符合性分析</w:t>
            </w:r>
          </w:p>
        </w:tc>
        <w:tc>
          <w:tcPr>
            <w:tcW w:w="3867" w:type="pct"/>
            <w:gridSpan w:val="3"/>
            <w:noWrap w:val="0"/>
            <w:tcMar>
              <w:top w:w="16" w:type="dxa"/>
              <w:left w:w="16" w:type="dxa"/>
              <w:right w:w="16" w:type="dxa"/>
            </w:tcMar>
            <w:vAlign w:val="center"/>
          </w:tcPr>
          <w:p w14:paraId="798CC97E">
            <w:pPr>
              <w:keepNext w:val="0"/>
              <w:keepLines/>
              <w:pageBreakBefore w:val="0"/>
              <w:widowControl/>
              <w:kinsoku/>
              <w:wordWrap/>
              <w:overflowPunct/>
              <w:topLinePunct w:val="0"/>
              <w:autoSpaceDE w:val="0"/>
              <w:autoSpaceDN w:val="0"/>
              <w:bidi w:val="0"/>
              <w:adjustRightInd w:val="0"/>
              <w:snapToGrid w:val="0"/>
              <w:spacing w:line="240" w:lineRule="auto"/>
              <w:ind w:left="42" w:leftChars="20" w:right="113"/>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无</w:t>
            </w:r>
          </w:p>
        </w:tc>
      </w:tr>
      <w:tr w14:paraId="6FDB0B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07" w:hRule="atLeast"/>
        </w:trPr>
        <w:tc>
          <w:tcPr>
            <w:tcW w:w="1132" w:type="pct"/>
            <w:noWrap w:val="0"/>
            <w:tcMar>
              <w:top w:w="16" w:type="dxa"/>
              <w:left w:w="16" w:type="dxa"/>
              <w:right w:w="16" w:type="dxa"/>
            </w:tcMar>
            <w:vAlign w:val="center"/>
          </w:tcPr>
          <w:p w14:paraId="22B7C98C">
            <w:pPr>
              <w:keepNext w:val="0"/>
              <w:keepLines/>
              <w:pageBreakBefore w:val="0"/>
              <w:widowControl/>
              <w:kinsoku/>
              <w:wordWrap/>
              <w:overflowPunct/>
              <w:topLinePunct w:val="0"/>
              <w:autoSpaceDE w:val="0"/>
              <w:autoSpaceDN w:val="0"/>
              <w:bidi w:val="0"/>
              <w:adjustRightInd w:val="0"/>
              <w:snapToGrid w:val="0"/>
              <w:spacing w:line="240" w:lineRule="auto"/>
              <w:ind w:left="42" w:leftChars="20" w:right="113"/>
              <w:jc w:val="center"/>
              <w:rPr>
                <w:rFonts w:hint="default" w:ascii="Times New Roman" w:hAnsi="Times New Roman" w:cs="Times New Roman"/>
                <w:color w:val="auto"/>
                <w:kern w:val="0"/>
                <w:sz w:val="24"/>
              </w:rPr>
            </w:pPr>
            <w:bookmarkStart w:id="13" w:name="_Hlk56690880"/>
            <w:r>
              <w:rPr>
                <w:rFonts w:hint="default" w:ascii="Times New Roman" w:hAnsi="Times New Roman" w:cs="Times New Roman"/>
                <w:color w:val="auto"/>
                <w:kern w:val="0"/>
                <w:sz w:val="24"/>
                <w:lang w:val="en-US" w:eastAsia="zh-CN"/>
              </w:rPr>
              <w:t>项目前期进展</w:t>
            </w:r>
          </w:p>
        </w:tc>
        <w:tc>
          <w:tcPr>
            <w:tcW w:w="3867" w:type="pct"/>
            <w:gridSpan w:val="3"/>
            <w:noWrap w:val="0"/>
            <w:tcMar>
              <w:top w:w="16" w:type="dxa"/>
              <w:left w:w="16" w:type="dxa"/>
              <w:right w:w="16" w:type="dxa"/>
            </w:tcMar>
            <w:vAlign w:val="center"/>
          </w:tcPr>
          <w:p w14:paraId="360E44D3">
            <w:pPr>
              <w:keepNext w:val="0"/>
              <w:keepLines/>
              <w:pageBreakBefore w:val="0"/>
              <w:widowControl/>
              <w:kinsoku/>
              <w:wordWrap/>
              <w:overflowPunct/>
              <w:topLinePunct w:val="0"/>
              <w:autoSpaceDE w:val="0"/>
              <w:autoSpaceDN w:val="0"/>
              <w:bidi w:val="0"/>
              <w:adjustRightInd w:val="0"/>
              <w:snapToGrid w:val="0"/>
              <w:spacing w:line="240" w:lineRule="auto"/>
              <w:ind w:left="42" w:leftChars="20" w:right="113"/>
              <w:jc w:val="left"/>
              <w:rPr>
                <w:rFonts w:hint="default" w:ascii="Times New Roman" w:hAnsi="Times New Roman" w:cs="Times New Roman"/>
                <w:color w:val="auto"/>
                <w:kern w:val="0"/>
                <w:sz w:val="24"/>
                <w:lang w:val="en-US" w:eastAsia="zh-CN"/>
              </w:rPr>
            </w:pPr>
            <w:r>
              <w:rPr>
                <w:rFonts w:hint="default" w:ascii="Times New Roman" w:hAnsi="Times New Roman" w:cs="Times New Roman"/>
                <w:color w:val="auto"/>
                <w:kern w:val="0"/>
                <w:sz w:val="24"/>
                <w:lang w:val="en-US" w:eastAsia="zh-CN"/>
              </w:rPr>
              <w:t>202</w:t>
            </w:r>
            <w:r>
              <w:rPr>
                <w:rFonts w:hint="eastAsia" w:cs="Times New Roman"/>
                <w:color w:val="auto"/>
                <w:kern w:val="0"/>
                <w:sz w:val="24"/>
                <w:lang w:val="en-US" w:eastAsia="zh-CN"/>
              </w:rPr>
              <w:t>5</w:t>
            </w:r>
            <w:r>
              <w:rPr>
                <w:rFonts w:hint="default" w:ascii="Times New Roman" w:hAnsi="Times New Roman" w:cs="Times New Roman"/>
                <w:color w:val="auto"/>
                <w:kern w:val="0"/>
                <w:sz w:val="24"/>
                <w:lang w:val="en-US" w:eastAsia="zh-CN"/>
              </w:rPr>
              <w:t>年</w:t>
            </w:r>
            <w:r>
              <w:rPr>
                <w:rFonts w:hint="eastAsia" w:cs="Times New Roman"/>
                <w:color w:val="auto"/>
                <w:kern w:val="0"/>
                <w:sz w:val="24"/>
                <w:lang w:val="en-US" w:eastAsia="zh-CN"/>
              </w:rPr>
              <w:t>11</w:t>
            </w:r>
            <w:r>
              <w:rPr>
                <w:rFonts w:hint="default" w:ascii="Times New Roman" w:hAnsi="Times New Roman" w:cs="Times New Roman"/>
                <w:color w:val="auto"/>
                <w:kern w:val="0"/>
                <w:sz w:val="24"/>
                <w:lang w:val="en-US" w:eastAsia="zh-CN"/>
              </w:rPr>
              <w:t>月2</w:t>
            </w:r>
            <w:r>
              <w:rPr>
                <w:rFonts w:hint="eastAsia" w:cs="Times New Roman"/>
                <w:color w:val="auto"/>
                <w:kern w:val="0"/>
                <w:sz w:val="24"/>
                <w:lang w:val="en-US" w:eastAsia="zh-CN"/>
              </w:rPr>
              <w:t>4</w:t>
            </w:r>
            <w:r>
              <w:rPr>
                <w:rFonts w:hint="default" w:ascii="Times New Roman" w:hAnsi="Times New Roman" w:cs="Times New Roman"/>
                <w:color w:val="auto"/>
                <w:kern w:val="0"/>
                <w:sz w:val="24"/>
                <w:lang w:val="en-US" w:eastAsia="zh-CN"/>
              </w:rPr>
              <w:t>日取得</w:t>
            </w:r>
            <w:r>
              <w:rPr>
                <w:rFonts w:hint="eastAsia" w:cs="Times New Roman"/>
                <w:color w:val="auto"/>
                <w:kern w:val="0"/>
                <w:sz w:val="24"/>
                <w:lang w:val="en-US" w:eastAsia="zh-CN"/>
              </w:rPr>
              <w:t>奇台县</w:t>
            </w:r>
            <w:r>
              <w:rPr>
                <w:rFonts w:hint="default" w:ascii="Times New Roman" w:hAnsi="Times New Roman" w:cs="Times New Roman"/>
                <w:color w:val="auto"/>
                <w:kern w:val="0"/>
                <w:sz w:val="24"/>
                <w:lang w:val="en-US" w:eastAsia="zh-CN"/>
              </w:rPr>
              <w:t>发展和改革委员会文件（</w:t>
            </w:r>
            <w:r>
              <w:rPr>
                <w:rFonts w:hint="eastAsia" w:cs="Times New Roman"/>
                <w:color w:val="auto"/>
                <w:kern w:val="0"/>
                <w:sz w:val="24"/>
                <w:lang w:val="en-US" w:eastAsia="zh-CN"/>
              </w:rPr>
              <w:t>奇发改项目</w:t>
            </w:r>
            <w:r>
              <w:rPr>
                <w:rFonts w:hint="default" w:ascii="Times New Roman" w:hAnsi="Times New Roman" w:cs="Times New Roman"/>
                <w:color w:val="auto"/>
                <w:kern w:val="0"/>
                <w:sz w:val="24"/>
                <w:lang w:val="en-US" w:eastAsia="zh-CN"/>
              </w:rPr>
              <w:t>〔202</w:t>
            </w:r>
            <w:r>
              <w:rPr>
                <w:rFonts w:hint="eastAsia" w:cs="Times New Roman"/>
                <w:color w:val="auto"/>
                <w:kern w:val="0"/>
                <w:sz w:val="24"/>
                <w:lang w:val="en-US" w:eastAsia="zh-CN"/>
              </w:rPr>
              <w:t>5</w:t>
            </w:r>
            <w:r>
              <w:rPr>
                <w:rFonts w:hint="default" w:ascii="Times New Roman" w:hAnsi="Times New Roman" w:cs="Times New Roman"/>
                <w:color w:val="auto"/>
                <w:kern w:val="0"/>
                <w:sz w:val="24"/>
                <w:lang w:val="en-US" w:eastAsia="zh-CN"/>
              </w:rPr>
              <w:t>〕1</w:t>
            </w:r>
            <w:r>
              <w:rPr>
                <w:rFonts w:hint="eastAsia" w:cs="Times New Roman"/>
                <w:color w:val="auto"/>
                <w:kern w:val="0"/>
                <w:sz w:val="24"/>
                <w:lang w:val="en-US" w:eastAsia="zh-CN"/>
              </w:rPr>
              <w:t>35</w:t>
            </w:r>
            <w:r>
              <w:rPr>
                <w:rFonts w:hint="default" w:ascii="Times New Roman" w:hAnsi="Times New Roman" w:cs="Times New Roman"/>
                <w:color w:val="auto"/>
                <w:kern w:val="0"/>
                <w:sz w:val="24"/>
                <w:lang w:val="en-US" w:eastAsia="zh-CN"/>
              </w:rPr>
              <w:t>号）关于奇台县老奇台镇老干渠上游段提升改造项目可行性研究报告</w:t>
            </w:r>
            <w:r>
              <w:rPr>
                <w:rFonts w:hint="eastAsia" w:cs="Times New Roman"/>
                <w:color w:val="auto"/>
                <w:kern w:val="0"/>
                <w:sz w:val="24"/>
                <w:lang w:val="en-US" w:eastAsia="zh-CN"/>
              </w:rPr>
              <w:t>（</w:t>
            </w:r>
            <w:r>
              <w:rPr>
                <w:rFonts w:hint="default" w:ascii="Times New Roman" w:hAnsi="Times New Roman" w:cs="Times New Roman"/>
                <w:color w:val="auto"/>
                <w:kern w:val="0"/>
                <w:sz w:val="24"/>
                <w:lang w:val="en-US" w:eastAsia="zh-CN"/>
              </w:rPr>
              <w:t>代项目建议书</w:t>
            </w:r>
            <w:r>
              <w:rPr>
                <w:rFonts w:hint="eastAsia" w:cs="Times New Roman"/>
                <w:color w:val="auto"/>
                <w:kern w:val="0"/>
                <w:sz w:val="24"/>
                <w:lang w:val="en-US" w:eastAsia="zh-CN"/>
              </w:rPr>
              <w:t>）</w:t>
            </w:r>
            <w:r>
              <w:rPr>
                <w:rFonts w:hint="default" w:ascii="Times New Roman" w:hAnsi="Times New Roman" w:cs="Times New Roman"/>
                <w:color w:val="auto"/>
                <w:kern w:val="0"/>
                <w:sz w:val="24"/>
                <w:lang w:val="en-US" w:eastAsia="zh-CN"/>
              </w:rPr>
              <w:t>的批复；</w:t>
            </w:r>
          </w:p>
          <w:p w14:paraId="26EB09FD">
            <w:pPr>
              <w:keepNext w:val="0"/>
              <w:keepLines/>
              <w:pageBreakBefore w:val="0"/>
              <w:widowControl/>
              <w:kinsoku/>
              <w:wordWrap/>
              <w:overflowPunct/>
              <w:topLinePunct w:val="0"/>
              <w:autoSpaceDE w:val="0"/>
              <w:autoSpaceDN w:val="0"/>
              <w:bidi w:val="0"/>
              <w:adjustRightInd w:val="0"/>
              <w:snapToGrid w:val="0"/>
              <w:spacing w:line="240" w:lineRule="auto"/>
              <w:ind w:left="42" w:leftChars="20" w:right="113"/>
              <w:jc w:val="left"/>
              <w:rPr>
                <w:rFonts w:hint="default" w:ascii="Times New Roman" w:hAnsi="Times New Roman" w:cs="Times New Roman"/>
                <w:color w:val="auto"/>
                <w:kern w:val="0"/>
                <w:sz w:val="24"/>
              </w:rPr>
            </w:pPr>
            <w:r>
              <w:rPr>
                <w:rFonts w:hint="default" w:ascii="Times New Roman" w:hAnsi="Times New Roman" w:cs="Times New Roman"/>
                <w:color w:val="auto"/>
                <w:kern w:val="0"/>
                <w:sz w:val="24"/>
                <w:lang w:val="en-US" w:eastAsia="zh-CN"/>
              </w:rPr>
              <w:t>2026年5月奇台县水利工程建设管理中心委托我公司进行本环境影响报告表的编制工作。</w:t>
            </w:r>
          </w:p>
        </w:tc>
      </w:tr>
      <w:tr w14:paraId="12A4A8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3482" w:hRule="atLeast"/>
        </w:trPr>
        <w:tc>
          <w:tcPr>
            <w:tcW w:w="1132" w:type="pct"/>
            <w:noWrap w:val="0"/>
            <w:tcMar>
              <w:top w:w="16" w:type="dxa"/>
              <w:left w:w="16" w:type="dxa"/>
              <w:right w:w="16" w:type="dxa"/>
            </w:tcMar>
            <w:vAlign w:val="center"/>
          </w:tcPr>
          <w:p w14:paraId="3E0EB9BB">
            <w:pPr>
              <w:keepNext w:val="0"/>
              <w:keepLines/>
              <w:pageBreakBefore w:val="0"/>
              <w:widowControl/>
              <w:kinsoku/>
              <w:wordWrap/>
              <w:overflowPunct/>
              <w:topLinePunct w:val="0"/>
              <w:autoSpaceDE w:val="0"/>
              <w:autoSpaceDN w:val="0"/>
              <w:bidi w:val="0"/>
              <w:adjustRightInd w:val="0"/>
              <w:snapToGrid w:val="0"/>
              <w:spacing w:line="240" w:lineRule="auto"/>
              <w:ind w:left="42" w:leftChars="20" w:right="113"/>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其他符合性分析</w:t>
            </w:r>
            <w:bookmarkEnd w:id="13"/>
          </w:p>
        </w:tc>
        <w:tc>
          <w:tcPr>
            <w:tcW w:w="3867" w:type="pct"/>
            <w:gridSpan w:val="3"/>
            <w:noWrap w:val="0"/>
            <w:tcMar>
              <w:top w:w="16" w:type="dxa"/>
              <w:left w:w="16" w:type="dxa"/>
              <w:right w:w="16" w:type="dxa"/>
            </w:tcMar>
            <w:vAlign w:val="center"/>
          </w:tcPr>
          <w:p w14:paraId="6CABEC32">
            <w:pPr>
              <w:keepNext w:val="0"/>
              <w:keepLines/>
              <w:pageBreakBefore w:val="0"/>
              <w:widowControl/>
              <w:numPr>
                <w:ilvl w:val="0"/>
                <w:numId w:val="2"/>
              </w:numPr>
              <w:kinsoku/>
              <w:wordWrap/>
              <w:overflowPunct/>
              <w:topLinePunct w:val="0"/>
              <w:autoSpaceDE w:val="0"/>
              <w:autoSpaceDN w:val="0"/>
              <w:bidi w:val="0"/>
              <w:adjustRightInd w:val="0"/>
              <w:snapToGrid w:val="0"/>
              <w:spacing w:before="157" w:beforeLines="50"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rPr>
            </w:pPr>
            <w:r>
              <w:rPr>
                <w:rFonts w:hint="default" w:ascii="Times New Roman" w:hAnsi="Times New Roman" w:eastAsia="宋体" w:cs="Times New Roman"/>
                <w:b/>
                <w:bCs/>
                <w:color w:val="auto"/>
                <w:kern w:val="0"/>
                <w:sz w:val="24"/>
                <w:szCs w:val="24"/>
                <w:highlight w:val="none"/>
              </w:rPr>
              <w:t>与产业政策的符合性分析</w:t>
            </w:r>
          </w:p>
          <w:p w14:paraId="7A69D89E">
            <w:pPr>
              <w:keepNext w:val="0"/>
              <w:keepLines/>
              <w:pageBreakBefore w:val="0"/>
              <w:widowControl/>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lang w:val="en-US" w:eastAsia="zh-CN"/>
              </w:rPr>
              <w:t>根据国家发展和改革委员会发布的关于修改《产业结构调整指导目录（2024年本）》的决定，本项目属于鼓励类“二、水利2．节水供水工程中的灌区及配套设施建设、改造”，202</w:t>
            </w:r>
            <w:r>
              <w:rPr>
                <w:rFonts w:hint="eastAsia" w:cs="Times New Roman"/>
                <w:color w:val="auto"/>
                <w:kern w:val="0"/>
                <w:sz w:val="24"/>
                <w:szCs w:val="24"/>
                <w:highlight w:val="none"/>
                <w:lang w:val="en-US" w:eastAsia="zh-CN"/>
              </w:rPr>
              <w:t>5</w:t>
            </w:r>
            <w:r>
              <w:rPr>
                <w:rFonts w:hint="default" w:ascii="Times New Roman" w:hAnsi="Times New Roman" w:eastAsia="宋体" w:cs="Times New Roman"/>
                <w:color w:val="auto"/>
                <w:kern w:val="0"/>
                <w:sz w:val="24"/>
                <w:szCs w:val="24"/>
                <w:highlight w:val="none"/>
                <w:lang w:val="en-US" w:eastAsia="zh-CN"/>
              </w:rPr>
              <w:t>年11月24</w:t>
            </w:r>
            <w:r>
              <w:rPr>
                <w:rFonts w:hint="eastAsia" w:cs="Times New Roman"/>
                <w:color w:val="auto"/>
                <w:kern w:val="0"/>
                <w:sz w:val="24"/>
                <w:szCs w:val="24"/>
                <w:highlight w:val="none"/>
                <w:lang w:val="en-US" w:eastAsia="zh-CN"/>
              </w:rPr>
              <w:t>日，本</w:t>
            </w:r>
            <w:r>
              <w:rPr>
                <w:rFonts w:hint="default" w:ascii="Times New Roman" w:hAnsi="Times New Roman" w:eastAsia="宋体" w:cs="Times New Roman"/>
                <w:color w:val="auto"/>
                <w:kern w:val="0"/>
                <w:sz w:val="24"/>
                <w:szCs w:val="24"/>
                <w:highlight w:val="none"/>
                <w:lang w:val="en-US" w:eastAsia="zh-CN"/>
              </w:rPr>
              <w:t>项目已取得奇台县发展和改革委员会出具的《关于奇台县老奇台镇老干渠上游段提升改造项目可行性研究报告（代项目建议书）的批复》（奇发改项目〔202</w:t>
            </w:r>
            <w:r>
              <w:rPr>
                <w:rFonts w:hint="eastAsia" w:cs="Times New Roman"/>
                <w:color w:val="auto"/>
                <w:kern w:val="0"/>
                <w:sz w:val="24"/>
                <w:szCs w:val="24"/>
                <w:highlight w:val="none"/>
                <w:lang w:val="en-US" w:eastAsia="zh-CN"/>
              </w:rPr>
              <w:t>5</w:t>
            </w:r>
            <w:r>
              <w:rPr>
                <w:rFonts w:hint="default" w:ascii="Times New Roman" w:hAnsi="Times New Roman" w:eastAsia="宋体" w:cs="Times New Roman"/>
                <w:color w:val="auto"/>
                <w:kern w:val="0"/>
                <w:sz w:val="24"/>
                <w:szCs w:val="24"/>
                <w:highlight w:val="none"/>
                <w:lang w:val="en-US" w:eastAsia="zh-CN"/>
              </w:rPr>
              <w:t>〕</w:t>
            </w:r>
            <w:r>
              <w:rPr>
                <w:rFonts w:hint="eastAsia" w:cs="Times New Roman"/>
                <w:color w:val="auto"/>
                <w:kern w:val="0"/>
                <w:sz w:val="24"/>
                <w:szCs w:val="24"/>
                <w:highlight w:val="none"/>
                <w:lang w:val="en-US" w:eastAsia="zh-CN"/>
              </w:rPr>
              <w:t>135</w:t>
            </w:r>
            <w:r>
              <w:rPr>
                <w:rFonts w:hint="default" w:ascii="Times New Roman" w:hAnsi="Times New Roman" w:eastAsia="宋体" w:cs="Times New Roman"/>
                <w:color w:val="auto"/>
                <w:kern w:val="0"/>
                <w:sz w:val="24"/>
                <w:szCs w:val="24"/>
                <w:highlight w:val="none"/>
                <w:lang w:val="en-US" w:eastAsia="zh-CN"/>
              </w:rPr>
              <w:t>号），同意本项目建设，项目建设符合国家产业政策。</w:t>
            </w:r>
          </w:p>
          <w:p w14:paraId="270DC7BA">
            <w:pPr>
              <w:keepNext w:val="0"/>
              <w:keepLines/>
              <w:pageBreakBefore w:val="0"/>
              <w:widowControl/>
              <w:numPr>
                <w:ilvl w:val="0"/>
                <w:numId w:val="2"/>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rPr>
            </w:pPr>
            <w:r>
              <w:rPr>
                <w:rFonts w:hint="default" w:ascii="Times New Roman" w:hAnsi="Times New Roman" w:eastAsia="宋体" w:cs="Times New Roman"/>
                <w:b/>
                <w:bCs/>
                <w:color w:val="auto"/>
                <w:kern w:val="0"/>
                <w:sz w:val="24"/>
                <w:szCs w:val="24"/>
                <w:highlight w:val="none"/>
                <w:lang w:val="en-US" w:eastAsia="zh-CN"/>
              </w:rPr>
              <w:t>与《新疆生态环境保护“十四五”规划》的符合性分析</w:t>
            </w:r>
          </w:p>
          <w:p w14:paraId="3983A25E">
            <w:pPr>
              <w:keepNext w:val="0"/>
              <w:keepLines/>
              <w:pageBreakBefore w:val="0"/>
              <w:widowControl/>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新疆生态环境保护“十四五”规划》深入贯彻落实习近平生态文明思想，坚持绿水青山就是金山银山的理念，把碳达峰、碳中和纳入生态文明建设整体布局，坚定走生态优先、绿色发展之路，健全生态环境保护机制，加强生态环境保护建设，统筹综合治理、系统治理、源头治理，推进山水林田湖草沙一体化保护和修复，坚决遏制“两高”项目盲目发展，坚决守住生态保护红线，加快推进生态环境治理体系和治理能力现代化，建立健全绿色低碳循环发展经济体系，推动减污降碳协同增效、促进经济社会发展全面绿色转型，让大美新疆天更蓝、山更绿、水更清。</w:t>
            </w:r>
          </w:p>
          <w:p w14:paraId="1F613485">
            <w:pPr>
              <w:keepNext w:val="0"/>
              <w:keepLines/>
              <w:pageBreakBefore w:val="0"/>
              <w:widowControl/>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b/>
                <w:bCs/>
                <w:color w:val="auto"/>
                <w:kern w:val="0"/>
                <w:sz w:val="24"/>
                <w:szCs w:val="24"/>
                <w:highlight w:val="none"/>
              </w:rPr>
            </w:pPr>
            <w:r>
              <w:rPr>
                <w:rFonts w:hint="default" w:ascii="Times New Roman" w:hAnsi="Times New Roman" w:eastAsia="宋体" w:cs="Times New Roman"/>
                <w:color w:val="auto"/>
                <w:kern w:val="0"/>
                <w:sz w:val="24"/>
                <w:szCs w:val="24"/>
                <w:highlight w:val="none"/>
                <w:lang w:val="en-US" w:eastAsia="zh-CN"/>
              </w:rPr>
              <w:t>本项目</w:t>
            </w:r>
            <w:r>
              <w:rPr>
                <w:rFonts w:hint="eastAsia" w:cs="Times New Roman"/>
                <w:color w:val="auto"/>
                <w:kern w:val="0"/>
                <w:sz w:val="24"/>
                <w:szCs w:val="24"/>
                <w:highlight w:val="none"/>
                <w:lang w:val="en-US" w:eastAsia="zh-CN"/>
              </w:rPr>
              <w:t>为防渗</w:t>
            </w:r>
            <w:r>
              <w:rPr>
                <w:rFonts w:hint="default" w:ascii="Times New Roman" w:hAnsi="Times New Roman" w:eastAsia="宋体" w:cs="Times New Roman"/>
                <w:color w:val="auto"/>
                <w:kern w:val="0"/>
                <w:sz w:val="24"/>
                <w:szCs w:val="24"/>
                <w:highlight w:val="none"/>
                <w:lang w:val="en-US" w:eastAsia="zh-CN"/>
              </w:rPr>
              <w:t>渠改建项目，项目建成后不产生废水、废气、固废等污染物，不属于高能耗、高污染的项目。项目建成运行后项目的实施可减少沿渠水土流失，减少淤积灾害，有利于</w:t>
            </w:r>
            <w:r>
              <w:rPr>
                <w:rFonts w:hint="eastAsia" w:cs="Times New Roman"/>
                <w:color w:val="auto"/>
                <w:kern w:val="0"/>
                <w:sz w:val="24"/>
                <w:szCs w:val="24"/>
                <w:highlight w:val="none"/>
                <w:lang w:val="en-US" w:eastAsia="zh-CN"/>
              </w:rPr>
              <w:t>改善</w:t>
            </w:r>
            <w:r>
              <w:rPr>
                <w:rFonts w:hint="default" w:ascii="Times New Roman" w:hAnsi="Times New Roman" w:eastAsia="宋体" w:cs="Times New Roman"/>
                <w:color w:val="auto"/>
                <w:kern w:val="0"/>
                <w:sz w:val="24"/>
                <w:szCs w:val="24"/>
                <w:highlight w:val="none"/>
                <w:lang w:val="en-US" w:eastAsia="zh-CN"/>
              </w:rPr>
              <w:t>灌区的引水条件，提高输水效率；</w:t>
            </w:r>
            <w:r>
              <w:rPr>
                <w:rFonts w:hint="eastAsia" w:cs="Times New Roman"/>
                <w:color w:val="auto"/>
                <w:kern w:val="0"/>
                <w:sz w:val="24"/>
                <w:szCs w:val="24"/>
                <w:highlight w:val="none"/>
                <w:lang w:val="en-US" w:eastAsia="zh-CN"/>
              </w:rPr>
              <w:t>有效提高过水能力和抗冲能力</w:t>
            </w:r>
            <w:r>
              <w:rPr>
                <w:rFonts w:hint="default" w:ascii="Times New Roman" w:hAnsi="Times New Roman" w:eastAsia="宋体" w:cs="Times New Roman"/>
                <w:color w:val="auto"/>
                <w:kern w:val="0"/>
                <w:sz w:val="24"/>
                <w:szCs w:val="24"/>
                <w:highlight w:val="none"/>
                <w:lang w:val="en-US" w:eastAsia="zh-CN"/>
              </w:rPr>
              <w:t>，保障沿渠农田、道路和公共设施的安全运行；有效控制地下水位及土壤盐碱化程度。因此本项目符合《新疆生态环境保护“十四五”规划》要求。</w:t>
            </w:r>
          </w:p>
          <w:p w14:paraId="6AA7F69C">
            <w:pPr>
              <w:keepNext w:val="0"/>
              <w:keepLines/>
              <w:pageBreakBefore w:val="0"/>
              <w:widowControl/>
              <w:numPr>
                <w:ilvl w:val="0"/>
                <w:numId w:val="2"/>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rPr>
            </w:pPr>
            <w:r>
              <w:rPr>
                <w:rFonts w:hint="default" w:ascii="Times New Roman" w:hAnsi="Times New Roman" w:eastAsia="宋体" w:cs="Times New Roman"/>
                <w:b/>
                <w:bCs/>
                <w:color w:val="auto"/>
                <w:kern w:val="0"/>
                <w:sz w:val="24"/>
                <w:szCs w:val="24"/>
                <w:highlight w:val="none"/>
                <w:lang w:val="en-US" w:eastAsia="zh-CN"/>
              </w:rPr>
              <w:t>与《昌吉回族自治州生态环境保护与建设“十四五”规划》符合性分析</w:t>
            </w:r>
          </w:p>
          <w:p w14:paraId="3055B85E">
            <w:pPr>
              <w:keepNext w:val="0"/>
              <w:keepLines/>
              <w:pageBreakBefore w:val="0"/>
              <w:widowControl/>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根据《昌吉回族自治州生态环境保护与建设“十四五”规划》要求，在全面建成小康社会的基础上，综合考虑昌吉回族自治州生态环境保护现阶段的特点和“十四五”期间经济社会发展趋势，“十四五”期间生态环境保护目标设定为：“十四五”时期，昌吉州生态环境质量得到持续改善。全州PM</w:t>
            </w:r>
            <w:r>
              <w:rPr>
                <w:rFonts w:hint="default" w:ascii="Times New Roman" w:hAnsi="Times New Roman" w:eastAsia="宋体" w:cs="Times New Roman"/>
                <w:color w:val="auto"/>
                <w:kern w:val="0"/>
                <w:sz w:val="24"/>
                <w:szCs w:val="24"/>
                <w:highlight w:val="none"/>
                <w:vertAlign w:val="subscript"/>
                <w:lang w:val="en-US" w:eastAsia="zh-CN"/>
              </w:rPr>
              <w:t>2.5</w:t>
            </w:r>
            <w:r>
              <w:rPr>
                <w:rFonts w:hint="default" w:ascii="Times New Roman" w:hAnsi="Times New Roman" w:eastAsia="宋体" w:cs="Times New Roman"/>
                <w:color w:val="auto"/>
                <w:kern w:val="0"/>
                <w:sz w:val="24"/>
                <w:szCs w:val="24"/>
                <w:highlight w:val="none"/>
                <w:lang w:val="en-US" w:eastAsia="zh-CN"/>
              </w:rPr>
              <w:t>、PM</w:t>
            </w:r>
            <w:r>
              <w:rPr>
                <w:rFonts w:hint="default" w:ascii="Times New Roman" w:hAnsi="Times New Roman" w:eastAsia="宋体" w:cs="Times New Roman"/>
                <w:color w:val="auto"/>
                <w:kern w:val="0"/>
                <w:sz w:val="24"/>
                <w:szCs w:val="24"/>
                <w:highlight w:val="none"/>
                <w:vertAlign w:val="subscript"/>
                <w:lang w:val="en-US" w:eastAsia="zh-CN"/>
              </w:rPr>
              <w:t>10</w:t>
            </w:r>
            <w:r>
              <w:rPr>
                <w:rFonts w:hint="default" w:ascii="Times New Roman" w:hAnsi="Times New Roman" w:eastAsia="宋体" w:cs="Times New Roman"/>
                <w:color w:val="auto"/>
                <w:kern w:val="0"/>
                <w:sz w:val="24"/>
                <w:szCs w:val="24"/>
                <w:highlight w:val="none"/>
                <w:lang w:val="en-US" w:eastAsia="zh-CN"/>
              </w:rPr>
              <w:t>浓度持续下降，空气质量稳步提升，严重污染天气持续减少；水环境质量持续改善，水生态建设得到加强；土壤安全利用水平稳中求进；固体废物与化学品环境风险防控能力明显增强，环境风险有效控制；主要污染物排放总量持续减少，有效控制温室气体排放；生态系统质量和稳定性进一步提升，社会经济发展与生态环境保护进一步融合，生态环境治理体系与治理能力现代化迈出重大步伐，治理效能得到新提升，生态文明建设实现新进步，蓝天白云、清水绿岸、良田沃土成为美丽昌吉的鲜明特征，人民群众生态环境</w:t>
            </w:r>
            <w:r>
              <w:rPr>
                <w:rFonts w:hint="eastAsia" w:cs="Times New Roman"/>
                <w:color w:val="auto"/>
                <w:kern w:val="0"/>
                <w:sz w:val="24"/>
                <w:szCs w:val="24"/>
                <w:highlight w:val="none"/>
                <w:lang w:val="en-US" w:eastAsia="zh-CN"/>
              </w:rPr>
              <w:t>获得感、幸福感、安全感</w:t>
            </w:r>
            <w:r>
              <w:rPr>
                <w:rFonts w:hint="default" w:ascii="Times New Roman" w:hAnsi="Times New Roman" w:eastAsia="宋体" w:cs="Times New Roman"/>
                <w:color w:val="auto"/>
                <w:kern w:val="0"/>
                <w:sz w:val="24"/>
                <w:szCs w:val="24"/>
                <w:highlight w:val="none"/>
                <w:lang w:val="en-US" w:eastAsia="zh-CN"/>
              </w:rPr>
              <w:t>进一步提升。坚持“以水定城、以水定地、以水定人、以水定产”的发展思路，强化水资源承载能力刚性约束，大力推进农业、工业、城镇等领域节水。严守水资源管理“三条红线”，严格实行区域用水总量和强度控制，健全州、县（市）、乡（镇）三级行政区用水总量和用水强度控制指标体系，规范农业灌溉用水定额管理，严格执行国家、自治区和行业用水定额标准，强化节水约束性指标管理。建立差异化的水资源政策导向。</w:t>
            </w:r>
          </w:p>
          <w:p w14:paraId="4E6F46D5">
            <w:pPr>
              <w:keepNext w:val="0"/>
              <w:keepLines/>
              <w:pageBreakBefore w:val="0"/>
              <w:widowControl/>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b/>
                <w:bCs/>
                <w:color w:val="auto"/>
                <w:kern w:val="0"/>
                <w:sz w:val="24"/>
                <w:szCs w:val="24"/>
                <w:highlight w:val="none"/>
              </w:rPr>
            </w:pPr>
            <w:r>
              <w:rPr>
                <w:rFonts w:hint="default" w:ascii="Times New Roman" w:hAnsi="Times New Roman" w:eastAsia="宋体" w:cs="Times New Roman"/>
                <w:color w:val="auto"/>
                <w:kern w:val="0"/>
                <w:sz w:val="24"/>
                <w:szCs w:val="24"/>
                <w:highlight w:val="none"/>
                <w:lang w:val="en-US" w:eastAsia="zh-CN"/>
              </w:rPr>
              <w:t>本项目</w:t>
            </w:r>
            <w:r>
              <w:rPr>
                <w:rFonts w:hint="eastAsia" w:cs="Times New Roman"/>
                <w:color w:val="auto"/>
                <w:kern w:val="0"/>
                <w:sz w:val="24"/>
                <w:szCs w:val="24"/>
                <w:highlight w:val="none"/>
                <w:lang w:val="en-US" w:eastAsia="zh-CN"/>
              </w:rPr>
              <w:t>为防渗</w:t>
            </w:r>
            <w:r>
              <w:rPr>
                <w:rFonts w:hint="default" w:ascii="Times New Roman" w:hAnsi="Times New Roman" w:eastAsia="宋体" w:cs="Times New Roman"/>
                <w:color w:val="auto"/>
                <w:kern w:val="0"/>
                <w:sz w:val="24"/>
                <w:szCs w:val="24"/>
                <w:highlight w:val="none"/>
                <w:lang w:val="en-US" w:eastAsia="zh-CN"/>
              </w:rPr>
              <w:t>渠改建项目，项目建成后不产生废水、废气、固废等污染物，不属于高能耗、高污染的项目。项目建成运行后项目的实施可减少沿渠水土流失，减少淤积灾害，有利于</w:t>
            </w:r>
            <w:r>
              <w:rPr>
                <w:rFonts w:hint="eastAsia" w:cs="Times New Roman"/>
                <w:color w:val="auto"/>
                <w:kern w:val="0"/>
                <w:sz w:val="24"/>
                <w:szCs w:val="24"/>
                <w:highlight w:val="none"/>
                <w:lang w:val="en-US" w:eastAsia="zh-CN"/>
              </w:rPr>
              <w:t>改善</w:t>
            </w:r>
            <w:r>
              <w:rPr>
                <w:rFonts w:hint="default" w:ascii="Times New Roman" w:hAnsi="Times New Roman" w:eastAsia="宋体" w:cs="Times New Roman"/>
                <w:color w:val="auto"/>
                <w:kern w:val="0"/>
                <w:sz w:val="24"/>
                <w:szCs w:val="24"/>
                <w:highlight w:val="none"/>
                <w:lang w:val="en-US" w:eastAsia="zh-CN"/>
              </w:rPr>
              <w:t>灌区的引水条件，提高输水效率；</w:t>
            </w:r>
            <w:r>
              <w:rPr>
                <w:rFonts w:hint="eastAsia" w:cs="Times New Roman"/>
                <w:color w:val="auto"/>
                <w:kern w:val="0"/>
                <w:sz w:val="24"/>
                <w:szCs w:val="24"/>
                <w:highlight w:val="none"/>
                <w:lang w:val="en-US" w:eastAsia="zh-CN"/>
              </w:rPr>
              <w:t>有效提高过水能力和抗冲能力</w:t>
            </w:r>
            <w:r>
              <w:rPr>
                <w:rFonts w:hint="default" w:ascii="Times New Roman" w:hAnsi="Times New Roman" w:eastAsia="宋体" w:cs="Times New Roman"/>
                <w:color w:val="auto"/>
                <w:kern w:val="0"/>
                <w:sz w:val="24"/>
                <w:szCs w:val="24"/>
                <w:highlight w:val="none"/>
                <w:lang w:val="en-US" w:eastAsia="zh-CN"/>
              </w:rPr>
              <w:t>，保障沿渠农田、道路和公共设施的安全运行；有效控制地下水位及土壤盐碱化程度。因此本项目符合《昌吉回族自治州生态环境保护与建设“十四五”规划》要求。</w:t>
            </w:r>
          </w:p>
          <w:p w14:paraId="259A1996">
            <w:pPr>
              <w:keepNext w:val="0"/>
              <w:keepLines/>
              <w:pageBreakBefore w:val="0"/>
              <w:widowControl/>
              <w:numPr>
                <w:ilvl w:val="0"/>
                <w:numId w:val="2"/>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rPr>
            </w:pPr>
            <w:r>
              <w:rPr>
                <w:rFonts w:hint="default" w:ascii="Times New Roman" w:hAnsi="Times New Roman" w:eastAsia="宋体" w:cs="Times New Roman"/>
                <w:b/>
                <w:bCs/>
                <w:color w:val="auto"/>
                <w:kern w:val="0"/>
                <w:sz w:val="24"/>
                <w:szCs w:val="24"/>
                <w:highlight w:val="none"/>
                <w:lang w:val="en-US" w:eastAsia="zh-CN"/>
              </w:rPr>
              <w:t>与《新疆维吾尔自治区主体功能区规划》的符合性分析</w:t>
            </w:r>
          </w:p>
          <w:p w14:paraId="0BD9DFAB">
            <w:pPr>
              <w:keepNext w:val="0"/>
              <w:keepLines/>
              <w:pageBreakBefore w:val="0"/>
              <w:widowControl/>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eastAsia="en-US"/>
              </w:rPr>
            </w:pPr>
            <w:r>
              <w:rPr>
                <w:rFonts w:hint="default" w:ascii="Times New Roman" w:hAnsi="Times New Roman" w:eastAsia="宋体" w:cs="Times New Roman"/>
                <w:color w:val="auto"/>
                <w:kern w:val="0"/>
                <w:sz w:val="24"/>
                <w:szCs w:val="24"/>
                <w:highlight w:val="none"/>
                <w:lang w:val="en-US" w:eastAsia="zh-CN"/>
              </w:rPr>
              <w:t>根据主体功能区开发的理念，结合新疆独特的自然地理状况和新时期跨越式发展的需要，《新疆维吾尔自治区主体功能区规划》将新疆国土空间划分为重点开发、限制开发和禁止开发区域；按开发内容，分为城市化地区、农产品主产区和重点生态功能区；按层级，包括国家和自治区两个层面（其中</w:t>
            </w:r>
            <w:r>
              <w:rPr>
                <w:rFonts w:hint="eastAsia" w:cs="Times New Roman"/>
                <w:color w:val="auto"/>
                <w:kern w:val="0"/>
                <w:sz w:val="24"/>
                <w:szCs w:val="24"/>
                <w:highlight w:val="none"/>
                <w:lang w:val="en-US" w:eastAsia="zh-CN"/>
              </w:rPr>
              <w:t>，</w:t>
            </w:r>
            <w:r>
              <w:rPr>
                <w:rFonts w:hint="default" w:ascii="Times New Roman" w:hAnsi="Times New Roman" w:eastAsia="宋体" w:cs="Times New Roman"/>
                <w:color w:val="auto"/>
                <w:kern w:val="0"/>
                <w:sz w:val="24"/>
                <w:szCs w:val="24"/>
                <w:highlight w:val="none"/>
                <w:lang w:val="en-US" w:eastAsia="zh-CN"/>
              </w:rPr>
              <w:t>国家层面主体功能区是《全国主体功能区规划》从我国战略全局出发划定的，自治区层面主体功能区是按要求在国家层面以外的区域划定的）。</w:t>
            </w:r>
          </w:p>
          <w:p w14:paraId="0DE5337D">
            <w:pPr>
              <w:keepNext w:val="0"/>
              <w:keepLines/>
              <w:pageBreakBefore w:val="0"/>
              <w:widowControl/>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重点开发、限制开发和禁止开发三类主体功能区，是基于不同区域的资源环境承载能力、现有开发强度和未来发展潜力，以是否适宜或如何进行大规模、高强度的工业化城镇化开发为基准划分的。新疆主体功能区划中，重点开发区域和限制开发区域覆盖国土全域，而禁止开发区域镶嵌于重点开发区域</w:t>
            </w:r>
            <w:r>
              <w:rPr>
                <w:rFonts w:hint="eastAsia" w:cs="Times New Roman"/>
                <w:color w:val="auto"/>
                <w:kern w:val="0"/>
                <w:sz w:val="24"/>
                <w:szCs w:val="24"/>
                <w:highlight w:val="none"/>
                <w:lang w:val="en-US" w:eastAsia="zh-CN"/>
              </w:rPr>
              <w:t>或</w:t>
            </w:r>
            <w:r>
              <w:rPr>
                <w:rFonts w:hint="default" w:ascii="Times New Roman" w:hAnsi="Times New Roman" w:eastAsia="宋体" w:cs="Times New Roman"/>
                <w:color w:val="auto"/>
                <w:kern w:val="0"/>
                <w:sz w:val="24"/>
                <w:szCs w:val="24"/>
                <w:highlight w:val="none"/>
                <w:lang w:val="en-US" w:eastAsia="zh-CN"/>
              </w:rPr>
              <w:t>限制开发区域内。</w:t>
            </w:r>
          </w:p>
          <w:p w14:paraId="68EF5D19">
            <w:pPr>
              <w:keepNext w:val="0"/>
              <w:keepLines/>
              <w:pageBreakBefore w:val="0"/>
              <w:widowControl/>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项目位于国家级农产品主产区，在全面提升农产品主产区发展水平的同时，从确保新疆及国家粮食安全和食物安全的大局出发，充分发挥各地比较优势，促进农业向区域化、标准化、规模化、产业化方向发展，加强农产品粮食和加工原料供给主导功能，提升农业综合生产能力和整体竞争力，推进粮食、棉花、特色林果和畜牧业发展，重点建设以“天北与天南两带”为主体的国家级农产品主产区。</w:t>
            </w:r>
          </w:p>
          <w:p w14:paraId="25C5B7E5">
            <w:pPr>
              <w:keepNext w:val="0"/>
              <w:keepLines/>
              <w:pageBreakBefore w:val="0"/>
              <w:widowControl/>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b/>
                <w:bCs/>
                <w:color w:val="auto"/>
                <w:kern w:val="0"/>
                <w:sz w:val="24"/>
                <w:szCs w:val="24"/>
                <w:highlight w:val="none"/>
              </w:rPr>
            </w:pPr>
            <w:r>
              <w:rPr>
                <w:rFonts w:hint="default" w:ascii="Times New Roman" w:hAnsi="Times New Roman" w:eastAsia="宋体" w:cs="Times New Roman"/>
                <w:color w:val="auto"/>
                <w:kern w:val="0"/>
                <w:sz w:val="24"/>
                <w:szCs w:val="24"/>
                <w:highlight w:val="none"/>
                <w:lang w:val="en-US" w:eastAsia="zh-CN"/>
              </w:rPr>
              <w:t>本次改造灌渠主要进行防渗，实施后可减少沿渠水土流失，减少淤积灾害，有利于提高灌区的引水条件，提高输水效率；过水能力和抗冲能力有效提高，保障沿渠农田、道路和公共设施的安全运行；有效控制地下水位及土壤盐碱化程度。项目的建设符合《新疆维吾尔自治区主体功能区划》的要求。</w:t>
            </w:r>
          </w:p>
          <w:p w14:paraId="005F699A">
            <w:pPr>
              <w:keepNext w:val="0"/>
              <w:keepLines/>
              <w:pageBreakBefore w:val="0"/>
              <w:widowControl/>
              <w:numPr>
                <w:ilvl w:val="0"/>
                <w:numId w:val="2"/>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rPr>
            </w:pPr>
            <w:r>
              <w:rPr>
                <w:rFonts w:hint="default" w:ascii="Times New Roman" w:hAnsi="Times New Roman" w:eastAsia="宋体" w:cs="Times New Roman"/>
                <w:b/>
                <w:bCs/>
                <w:color w:val="auto"/>
                <w:kern w:val="0"/>
                <w:sz w:val="24"/>
                <w:szCs w:val="24"/>
                <w:highlight w:val="none"/>
                <w:lang w:val="en-US" w:eastAsia="zh-CN"/>
              </w:rPr>
              <w:t>与《新疆生态功能区划》的符合性分析</w:t>
            </w:r>
          </w:p>
          <w:p w14:paraId="7937AC14">
            <w:pPr>
              <w:keepNext w:val="0"/>
              <w:keepLines/>
              <w:pageBreakBefore w:val="0"/>
              <w:widowControl/>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根据生态功能区划的原则和全国的区划方案，新疆的生态功能区划采用生态区、生态亚区、生态功能区三级分区系统。根据地貌特点、温湿状况和典型生态系统类型，生态系统类型与生态系统服务功能类型</w:t>
            </w:r>
            <w:r>
              <w:rPr>
                <w:rFonts w:hint="eastAsia" w:cs="Times New Roman"/>
                <w:color w:val="auto"/>
                <w:kern w:val="0"/>
                <w:sz w:val="24"/>
                <w:szCs w:val="24"/>
                <w:highlight w:val="none"/>
                <w:lang w:val="en-US" w:eastAsia="zh-CN"/>
              </w:rPr>
              <w:t>、</w:t>
            </w:r>
            <w:r>
              <w:rPr>
                <w:rFonts w:hint="default" w:ascii="Times New Roman" w:hAnsi="Times New Roman" w:eastAsia="宋体" w:cs="Times New Roman"/>
                <w:color w:val="auto"/>
                <w:kern w:val="0"/>
                <w:sz w:val="24"/>
                <w:szCs w:val="24"/>
                <w:highlight w:val="none"/>
                <w:lang w:val="en-US" w:eastAsia="zh-CN"/>
              </w:rPr>
              <w:t>生态服务功能重要性和生态环境敏感性，</w:t>
            </w:r>
            <w:r>
              <w:rPr>
                <w:rFonts w:hint="eastAsia" w:cs="Times New Roman"/>
                <w:color w:val="auto"/>
                <w:kern w:val="0"/>
                <w:sz w:val="24"/>
                <w:szCs w:val="24"/>
                <w:highlight w:val="none"/>
                <w:lang w:val="en-US" w:eastAsia="zh-CN"/>
              </w:rPr>
              <w:t>新疆</w:t>
            </w:r>
            <w:r>
              <w:rPr>
                <w:rFonts w:hint="default" w:ascii="Times New Roman" w:hAnsi="Times New Roman" w:eastAsia="宋体" w:cs="Times New Roman"/>
                <w:color w:val="auto"/>
                <w:kern w:val="0"/>
                <w:sz w:val="24"/>
                <w:szCs w:val="24"/>
                <w:highlight w:val="none"/>
                <w:lang w:val="en-US" w:eastAsia="zh-CN"/>
              </w:rPr>
              <w:t>全境共划分出76个生态功能区。</w:t>
            </w:r>
          </w:p>
          <w:p w14:paraId="11032F97">
            <w:pPr>
              <w:keepNext w:val="0"/>
              <w:keepLines/>
              <w:pageBreakBefore w:val="0"/>
              <w:widowControl/>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根据《新疆生态功能区划》，本项目属于Ⅱ准噶尔盆地温性荒漠与绿洲农业生态区</w:t>
            </w:r>
            <w:r>
              <w:rPr>
                <w:rFonts w:hint="eastAsia" w:cs="Times New Roman"/>
                <w:color w:val="auto"/>
                <w:kern w:val="0"/>
                <w:sz w:val="24"/>
                <w:szCs w:val="24"/>
                <w:highlight w:val="none"/>
                <w:lang w:val="en-US" w:eastAsia="zh-CN"/>
              </w:rPr>
              <w:t>—</w:t>
            </w:r>
            <w:r>
              <w:rPr>
                <w:rFonts w:hint="default" w:ascii="Times New Roman" w:hAnsi="Times New Roman" w:eastAsia="宋体" w:cs="Times New Roman"/>
                <w:color w:val="auto"/>
                <w:kern w:val="0"/>
                <w:sz w:val="24"/>
                <w:szCs w:val="24"/>
                <w:highlight w:val="none"/>
                <w:lang w:val="en-US" w:eastAsia="zh-CN"/>
              </w:rPr>
              <w:t>Ⅱ5准噶尔盆地南部荒漠绿洲农业生态亚区</w:t>
            </w:r>
            <w:r>
              <w:rPr>
                <w:rFonts w:hint="eastAsia" w:cs="Times New Roman"/>
                <w:color w:val="auto"/>
                <w:kern w:val="0"/>
                <w:sz w:val="24"/>
                <w:szCs w:val="24"/>
                <w:highlight w:val="none"/>
                <w:lang w:val="en-US" w:eastAsia="zh-CN"/>
              </w:rPr>
              <w:t>—</w:t>
            </w:r>
            <w:r>
              <w:rPr>
                <w:rFonts w:hint="default" w:ascii="Times New Roman" w:hAnsi="Times New Roman" w:eastAsia="宋体" w:cs="Times New Roman"/>
                <w:color w:val="auto"/>
                <w:kern w:val="0"/>
                <w:sz w:val="24"/>
                <w:szCs w:val="24"/>
                <w:highlight w:val="none"/>
                <w:lang w:val="en-US" w:eastAsia="zh-CN"/>
              </w:rPr>
              <w:t>28.</w:t>
            </w:r>
            <w:r>
              <w:rPr>
                <w:rFonts w:hint="eastAsia" w:cs="Times New Roman"/>
                <w:color w:val="auto"/>
                <w:kern w:val="0"/>
                <w:sz w:val="24"/>
                <w:szCs w:val="24"/>
                <w:highlight w:val="none"/>
                <w:lang w:val="en-US" w:eastAsia="zh-CN"/>
              </w:rPr>
              <w:t xml:space="preserve"> 阜康</w:t>
            </w:r>
            <w:r>
              <w:rPr>
                <w:rFonts w:hint="default" w:ascii="Times New Roman" w:hAnsi="Times New Roman" w:eastAsia="宋体" w:cs="Times New Roman"/>
                <w:color w:val="auto"/>
                <w:kern w:val="0"/>
                <w:sz w:val="24"/>
                <w:szCs w:val="24"/>
                <w:highlight w:val="none"/>
                <w:lang w:val="en-US" w:eastAsia="zh-CN"/>
              </w:rPr>
              <w:t>—木垒绿洲农业、荒漠草地保护生态功能区。保护措施是节水灌溉、草场休牧、对坡耕地和沙化土地实施退耕还林（草），在水源无保障、植被稀少、生态脆弱地带禁止开荒</w:t>
            </w:r>
            <w:r>
              <w:rPr>
                <w:rFonts w:hint="eastAsia" w:cs="Times New Roman"/>
                <w:color w:val="auto"/>
                <w:kern w:val="0"/>
                <w:sz w:val="24"/>
                <w:szCs w:val="24"/>
                <w:highlight w:val="none"/>
                <w:lang w:val="en-US" w:eastAsia="zh-CN"/>
              </w:rPr>
              <w:t>，</w:t>
            </w:r>
            <w:r>
              <w:rPr>
                <w:rFonts w:hint="default" w:ascii="Times New Roman" w:hAnsi="Times New Roman" w:eastAsia="宋体" w:cs="Times New Roman"/>
                <w:color w:val="auto"/>
                <w:kern w:val="0"/>
                <w:sz w:val="24"/>
                <w:szCs w:val="24"/>
                <w:highlight w:val="none"/>
                <w:lang w:val="en-US" w:eastAsia="zh-CN"/>
              </w:rPr>
              <w:t>加强农田投入品的使用管理。</w:t>
            </w:r>
          </w:p>
          <w:p w14:paraId="5D28E235">
            <w:pPr>
              <w:keepNext w:val="0"/>
              <w:keepLines/>
              <w:pageBreakBefore w:val="0"/>
              <w:widowControl/>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b/>
                <w:bCs/>
                <w:color w:val="auto"/>
                <w:kern w:val="0"/>
                <w:sz w:val="24"/>
                <w:szCs w:val="24"/>
                <w:highlight w:val="none"/>
              </w:rPr>
            </w:pPr>
            <w:r>
              <w:rPr>
                <w:rFonts w:hint="default" w:ascii="Times New Roman" w:hAnsi="Times New Roman" w:eastAsia="宋体" w:cs="Times New Roman"/>
                <w:color w:val="auto"/>
                <w:kern w:val="0"/>
                <w:sz w:val="24"/>
                <w:szCs w:val="24"/>
                <w:highlight w:val="none"/>
                <w:lang w:val="en-US" w:eastAsia="zh-CN"/>
              </w:rPr>
              <w:t>本次改造灌渠主要进行防渗，实施后可减少沿渠水土流失，减少淤积灾害，有利于提高灌区的引水条件，提高输水效率；过水能力和抗冲能力有效提高，保障沿渠农田、道路和公共设施的安全运行；有效控制地下水位及土壤盐碱化程度。项目建设符合《新疆生态功能区划》要求。</w:t>
            </w:r>
          </w:p>
          <w:p w14:paraId="7C5FAC31">
            <w:pPr>
              <w:keepNext w:val="0"/>
              <w:keepLines/>
              <w:pageBreakBefore w:val="0"/>
              <w:widowControl/>
              <w:numPr>
                <w:ilvl w:val="0"/>
                <w:numId w:val="2"/>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rPr>
            </w:pPr>
            <w:r>
              <w:rPr>
                <w:rFonts w:hint="default" w:ascii="Times New Roman" w:hAnsi="Times New Roman" w:eastAsia="宋体" w:cs="Times New Roman"/>
                <w:b/>
                <w:bCs/>
                <w:color w:val="auto"/>
                <w:kern w:val="0"/>
                <w:sz w:val="24"/>
                <w:szCs w:val="24"/>
                <w:highlight w:val="none"/>
              </w:rPr>
              <w:t>与“三线一单”的符合性分析</w:t>
            </w:r>
          </w:p>
          <w:p w14:paraId="5266A41E">
            <w:pPr>
              <w:keepNext w:val="0"/>
              <w:keepLines/>
              <w:pageBreakBefore w:val="0"/>
              <w:widowControl/>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eastAsia="zh-CN"/>
              </w:rPr>
            </w:pPr>
            <w:r>
              <w:rPr>
                <w:rFonts w:hint="default" w:ascii="Times New Roman" w:hAnsi="Times New Roman" w:eastAsia="宋体" w:cs="Times New Roman"/>
                <w:color w:val="auto"/>
                <w:kern w:val="0"/>
                <w:sz w:val="24"/>
                <w:szCs w:val="24"/>
                <w:highlight w:val="none"/>
                <w:lang w:val="en-US" w:eastAsia="zh-CN"/>
              </w:rPr>
              <w:t>根据《关于以改善环境质量为核心加强环境影响评价管理的通知》（环环评〔2016〕150号）</w:t>
            </w:r>
            <w:r>
              <w:rPr>
                <w:rFonts w:hint="eastAsia" w:cs="Times New Roman"/>
                <w:color w:val="auto"/>
                <w:kern w:val="0"/>
                <w:sz w:val="24"/>
                <w:szCs w:val="24"/>
                <w:highlight w:val="none"/>
                <w:lang w:val="en-US" w:eastAsia="zh-CN"/>
              </w:rPr>
              <w:t>，</w:t>
            </w:r>
            <w:r>
              <w:rPr>
                <w:rFonts w:hint="default" w:ascii="Times New Roman" w:hAnsi="Times New Roman" w:eastAsia="宋体" w:cs="Times New Roman"/>
                <w:color w:val="auto"/>
                <w:kern w:val="0"/>
                <w:sz w:val="24"/>
                <w:szCs w:val="24"/>
                <w:highlight w:val="none"/>
                <w:lang w:val="en-US" w:eastAsia="zh-CN"/>
              </w:rPr>
              <w:t>为适应以改善环境质量为核心的环境管理要求，切实加强环境影响评价管理，落实“生态保护红线、环境质量底线、资源利用上线和生态环境准入清单”约束。</w:t>
            </w:r>
          </w:p>
          <w:p w14:paraId="658D4B48">
            <w:pPr>
              <w:keepNext w:val="0"/>
              <w:keepLines/>
              <w:pageBreakBefore w:val="0"/>
              <w:widowControl/>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eastAsia="zh-CN"/>
              </w:rPr>
            </w:pPr>
            <w:r>
              <w:rPr>
                <w:rFonts w:hint="default" w:ascii="Times New Roman" w:hAnsi="Times New Roman" w:eastAsia="宋体" w:cs="Times New Roman"/>
                <w:color w:val="auto"/>
                <w:kern w:val="0"/>
                <w:sz w:val="24"/>
                <w:szCs w:val="24"/>
                <w:highlight w:val="none"/>
                <w:lang w:val="en-US" w:eastAsia="zh-CN"/>
              </w:rPr>
              <w:t>（1）生态保护红线</w:t>
            </w:r>
          </w:p>
          <w:p w14:paraId="1B47C34E">
            <w:pPr>
              <w:keepNext w:val="0"/>
              <w:keepLines/>
              <w:pageBreakBefore w:val="0"/>
              <w:widowControl/>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根据《新疆维吾尔自治区“三线一单”生态环境分区管控方案（2023调整方案）要求，生态保护红线按照“生态功能不降低、面积不减少、性质不改变”的基本要求，对划定的生态保护红线实施严格管控，保障和维护国家生态安全的底线和生命线。该项目在原河道管理范围内，不新增水利设施用地，经核实，项目区周围无自然保护区、饮用水源保护区等生态保护目标，本项目不涉及生态红线区域，符合生态红线保护要求，不会导致辖区内生态服务功能下降。</w:t>
            </w:r>
          </w:p>
          <w:p w14:paraId="410A6C9C">
            <w:pPr>
              <w:keepNext w:val="0"/>
              <w:keepLines/>
              <w:pageBreakBefore w:val="0"/>
              <w:widowControl/>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eastAsia="zh-CN"/>
              </w:rPr>
            </w:pPr>
            <w:r>
              <w:rPr>
                <w:rFonts w:hint="default" w:ascii="Times New Roman" w:hAnsi="Times New Roman" w:eastAsia="宋体" w:cs="Times New Roman"/>
                <w:color w:val="auto"/>
                <w:kern w:val="0"/>
                <w:sz w:val="24"/>
                <w:szCs w:val="24"/>
                <w:highlight w:val="none"/>
                <w:lang w:val="en-US" w:eastAsia="zh-CN"/>
              </w:rPr>
              <w:t>（2）环境质量底线</w:t>
            </w:r>
          </w:p>
          <w:p w14:paraId="66C61BE5">
            <w:pPr>
              <w:keepNext w:val="0"/>
              <w:keepLines/>
              <w:pageBreakBefore w:val="0"/>
              <w:widowControl/>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eastAsia="zh-CN"/>
              </w:rPr>
            </w:pPr>
            <w:r>
              <w:rPr>
                <w:rFonts w:hint="default" w:ascii="Times New Roman" w:hAnsi="Times New Roman" w:eastAsia="宋体" w:cs="Times New Roman"/>
                <w:color w:val="auto"/>
                <w:kern w:val="0"/>
                <w:sz w:val="24"/>
                <w:szCs w:val="24"/>
                <w:highlight w:val="none"/>
                <w:lang w:val="en-US" w:eastAsia="zh-CN"/>
              </w:rPr>
              <w:t>根据大气环境现状调查，项目区属于大气达标区，本工程为灌区工程，采取了有效的污染防治措施，可确保污染得到有效控制，不会对周围大气环境产生明显影响。</w:t>
            </w:r>
          </w:p>
          <w:p w14:paraId="0E0A4092">
            <w:pPr>
              <w:keepNext w:val="0"/>
              <w:keepLines/>
              <w:pageBreakBefore w:val="0"/>
              <w:widowControl/>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eastAsia="zh-CN"/>
              </w:rPr>
            </w:pPr>
            <w:r>
              <w:rPr>
                <w:rFonts w:hint="default" w:ascii="Times New Roman" w:hAnsi="Times New Roman" w:eastAsia="宋体" w:cs="Times New Roman"/>
                <w:color w:val="auto"/>
                <w:kern w:val="0"/>
                <w:sz w:val="24"/>
                <w:szCs w:val="24"/>
                <w:highlight w:val="none"/>
                <w:lang w:val="en-US" w:eastAsia="zh-CN"/>
              </w:rPr>
              <w:t>（3）资源利用上限</w:t>
            </w:r>
          </w:p>
          <w:p w14:paraId="35B0870A">
            <w:pPr>
              <w:keepNext w:val="0"/>
              <w:keepLines/>
              <w:pageBreakBefore w:val="0"/>
              <w:widowControl/>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eastAsia="zh-CN"/>
              </w:rPr>
            </w:pPr>
            <w:r>
              <w:rPr>
                <w:rFonts w:hint="default" w:ascii="Times New Roman" w:hAnsi="Times New Roman" w:eastAsia="宋体" w:cs="Times New Roman"/>
                <w:color w:val="auto"/>
                <w:kern w:val="0"/>
                <w:sz w:val="24"/>
                <w:szCs w:val="24"/>
                <w:highlight w:val="none"/>
                <w:lang w:val="en-US" w:eastAsia="zh-CN"/>
              </w:rPr>
              <w:t>工程建设过程中会消耗电能，不新增水利设施用地。本工程</w:t>
            </w:r>
            <w:r>
              <w:rPr>
                <w:rFonts w:hint="eastAsia" w:cs="Times New Roman"/>
                <w:color w:val="auto"/>
                <w:kern w:val="0"/>
                <w:sz w:val="24"/>
                <w:szCs w:val="24"/>
                <w:highlight w:val="none"/>
                <w:lang w:val="en-US" w:eastAsia="zh-CN"/>
              </w:rPr>
              <w:t>仅</w:t>
            </w:r>
            <w:r>
              <w:rPr>
                <w:rFonts w:hint="default" w:ascii="Times New Roman" w:hAnsi="Times New Roman" w:eastAsia="宋体" w:cs="Times New Roman"/>
                <w:color w:val="auto"/>
                <w:kern w:val="0"/>
                <w:sz w:val="24"/>
                <w:szCs w:val="24"/>
                <w:highlight w:val="none"/>
                <w:lang w:val="en-US" w:eastAsia="zh-CN"/>
              </w:rPr>
              <w:t>对原有渠道进行防渗衬砌，不会改变区域灌区面积，不会新增灌区水资源用量，不会突破区域水资源利用上线，项目建设资源消耗量相对区域资源利用总量较少，符合区域资源利用要求。</w:t>
            </w:r>
          </w:p>
          <w:p w14:paraId="72A95228">
            <w:pPr>
              <w:keepNext w:val="0"/>
              <w:keepLines/>
              <w:pageBreakBefore w:val="0"/>
              <w:widowControl/>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eastAsia="zh-CN"/>
              </w:rPr>
            </w:pPr>
            <w:r>
              <w:rPr>
                <w:rFonts w:hint="default" w:ascii="Times New Roman" w:hAnsi="Times New Roman" w:eastAsia="宋体" w:cs="Times New Roman"/>
                <w:color w:val="auto"/>
                <w:kern w:val="0"/>
                <w:sz w:val="24"/>
                <w:szCs w:val="24"/>
                <w:highlight w:val="none"/>
                <w:lang w:val="en-US" w:eastAsia="zh-CN"/>
              </w:rPr>
              <w:t>（4）生态环境准入清单</w:t>
            </w:r>
          </w:p>
          <w:p w14:paraId="493866EF">
            <w:pPr>
              <w:keepNext w:val="0"/>
              <w:keepLines/>
              <w:pageBreakBefore w:val="0"/>
              <w:widowControl/>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eastAsia="zh-CN"/>
              </w:rPr>
            </w:pPr>
            <w:r>
              <w:rPr>
                <w:rFonts w:hint="default" w:ascii="Times New Roman" w:hAnsi="Times New Roman" w:eastAsia="宋体" w:cs="Times New Roman"/>
                <w:color w:val="auto"/>
                <w:kern w:val="0"/>
                <w:sz w:val="24"/>
                <w:szCs w:val="24"/>
                <w:highlight w:val="none"/>
                <w:lang w:val="en-US" w:eastAsia="zh-CN"/>
              </w:rPr>
              <w:t>本项目为防渗渠改建工程，属于生态影响类项目，项目的实施可减少沿渠水土流失，减少淤积灾害，有利于提高灌区的引水条件，提高输水效率；过水能力和抗冲能力有效提高，保障沿渠农田、道路和公共设施的安全运行；有效控制地下水位及土壤盐碱化程度。项目施工过程中施工人员租住附近的民宅，运营期没有污染物排放。项目属于一般管控单元，符合生态环境准入清单。</w:t>
            </w:r>
          </w:p>
          <w:p w14:paraId="4DDE01D0">
            <w:pPr>
              <w:keepNext w:val="0"/>
              <w:keepLines/>
              <w:pageBreakBefore w:val="0"/>
              <w:widowControl/>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综上所述，经过与“三线一单”进行对照后，项目符合环境质量底线要求、未涉及资源利用上线、符合生态环境准入清单。</w:t>
            </w:r>
          </w:p>
          <w:p w14:paraId="62A51964">
            <w:pPr>
              <w:keepNext w:val="0"/>
              <w:keepLines/>
              <w:pageBreakBefore w:val="0"/>
              <w:widowControl/>
              <w:numPr>
                <w:ilvl w:val="0"/>
                <w:numId w:val="2"/>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与《新疆维吾尔自治区“三线一单”生态环境分区管控方案》的符合性分析</w:t>
            </w:r>
          </w:p>
          <w:p w14:paraId="469305B8">
            <w:pPr>
              <w:keepNext w:val="0"/>
              <w:keepLines/>
              <w:pageBreakBefore w:val="0"/>
              <w:widowControl/>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eastAsia="en-US"/>
              </w:rPr>
            </w:pP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lang w:val="en-US" w:eastAsia="zh-CN"/>
              </w:rPr>
              <w:t>1</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lang w:eastAsia="en-US"/>
              </w:rPr>
              <w:t>环境管控单元划分</w:t>
            </w:r>
          </w:p>
          <w:p w14:paraId="40D7D00C">
            <w:pPr>
              <w:keepNext w:val="0"/>
              <w:keepLines/>
              <w:pageBreakBefore w:val="0"/>
              <w:widowControl/>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eastAsia="en-US"/>
              </w:rPr>
            </w:pPr>
            <w:r>
              <w:rPr>
                <w:rFonts w:hint="default" w:ascii="Times New Roman" w:hAnsi="Times New Roman" w:eastAsia="宋体" w:cs="Times New Roman"/>
                <w:color w:val="auto"/>
                <w:kern w:val="0"/>
                <w:sz w:val="24"/>
                <w:szCs w:val="24"/>
                <w:highlight w:val="none"/>
                <w:lang w:eastAsia="en-US"/>
              </w:rPr>
              <w:t>根据《新疆维吾尔自治区“三线一单”生态环境分区管控方案》及《新疆维吾尔自治区生态环境分区管控动态更新成果》，自治区共划定1777个环境管控单元，分为优先保护单元、重点管控单元和一般管控单元三类，实施分类管控。优先保护单元925个，主要包括生态保护红线区和生态保护红线区以外的饮用水水源保护区、水源涵养区、防风固沙区、土地沙化防控区、水土流失防控区等一般生态空间管控区。生态保护红线区执行生态保护红线管理办法的有关要求；一般生态空间管控区应以生态环境保护优先为原则，开发建设活动应严格执行相关法律法规要求，严守生态环境质量底线，确保生态功能不降低。重点管控单元713个，主要包括城镇建成区、工业园区和开发强度大、污染物排放强度高的工业聚集区等。重点管控单元要着力优化空间布局，不断提升资源利用效率，有针对性地加强污染物排放管控和环境风险防控，解决生态环境质量不达标、生态环境风险高等问题。一般管控单元139个，主要包括优先保护单元和重点管控单元之外的其他区域。一般管控单元主要落实生态环境保护基本要求，推动区域环境质量持续改善。</w:t>
            </w:r>
          </w:p>
          <w:p w14:paraId="74AB1ABC">
            <w:pPr>
              <w:pStyle w:val="4"/>
              <w:keepNext w:val="0"/>
              <w:keepLines/>
              <w:pageBreakBefore w:val="0"/>
              <w:widowControl/>
              <w:numPr>
                <w:ilvl w:val="2"/>
                <w:numId w:val="0"/>
              </w:numPr>
              <w:kinsoku/>
              <w:wordWrap/>
              <w:overflowPunct/>
              <w:topLinePunct w:val="0"/>
              <w:autoSpaceDE/>
              <w:autoSpaceDN/>
              <w:bidi w:val="0"/>
              <w:adjustRightInd w:val="0"/>
              <w:snapToGrid w:val="0"/>
              <w:spacing w:before="0" w:beforeLines="-2147483648" w:beforeAutospacing="0" w:after="0" w:afterLines="-2147483648" w:afterAutospacing="0" w:line="360" w:lineRule="auto"/>
              <w:ind w:leftChars="0"/>
              <w:jc w:val="center"/>
              <w:textAlignment w:val="auto"/>
              <w:outlineLvl w:val="9"/>
              <w:rPr>
                <w:rFonts w:hint="default" w:ascii="Times New Roman" w:hAnsi="Times New Roman" w:eastAsia="宋体" w:cs="Times New Roman"/>
                <w:color w:val="auto"/>
                <w:kern w:val="0"/>
                <w:sz w:val="24"/>
                <w:szCs w:val="24"/>
                <w:highlight w:val="none"/>
                <w:vertAlign w:val="baseline"/>
                <w:lang w:val="en-US" w:eastAsia="en-US"/>
              </w:rPr>
            </w:pPr>
            <w:r>
              <w:rPr>
                <w:rFonts w:hint="default" w:ascii="Times New Roman" w:hAnsi="Times New Roman" w:eastAsia="宋体" w:cs="Times New Roman"/>
                <w:color w:val="auto"/>
                <w:kern w:val="0"/>
                <w:sz w:val="24"/>
                <w:szCs w:val="24"/>
                <w:highlight w:val="none"/>
                <w:vertAlign w:val="baseline"/>
                <w:lang w:val="en-US" w:eastAsia="en-US"/>
              </w:rPr>
              <w:t>表</w:t>
            </w:r>
            <w:r>
              <w:rPr>
                <w:rFonts w:hint="eastAsia" w:ascii="Times New Roman" w:hAnsi="Times New Roman" w:eastAsia="宋体" w:cs="Times New Roman"/>
                <w:color w:val="auto"/>
                <w:kern w:val="0"/>
                <w:sz w:val="24"/>
                <w:szCs w:val="24"/>
                <w:highlight w:val="none"/>
                <w:vertAlign w:val="baseline"/>
                <w:lang w:val="en-US" w:eastAsia="zh-CN"/>
              </w:rPr>
              <w:t>1-1</w:t>
            </w:r>
            <w:r>
              <w:rPr>
                <w:rFonts w:hint="default" w:ascii="Times New Roman" w:hAnsi="Times New Roman" w:eastAsia="宋体" w:cs="Times New Roman"/>
                <w:color w:val="auto"/>
                <w:kern w:val="0"/>
                <w:sz w:val="24"/>
                <w:szCs w:val="24"/>
                <w:highlight w:val="none"/>
                <w:vertAlign w:val="baseline"/>
                <w:lang w:val="en-US" w:eastAsia="en-US"/>
              </w:rPr>
              <w:t>《新疆维吾尔自治区生态环境分区管控动态更新成果》符合性分析</w:t>
            </w:r>
          </w:p>
          <w:tbl>
            <w:tblPr>
              <w:tblStyle w:val="29"/>
              <w:tblW w:w="4997" w:type="pct"/>
              <w:jc w:val="center"/>
              <w:tblBorders>
                <w:top w:val="single" w:color="auto" w:sz="6" w:space="0"/>
                <w:left w:val="none" w:color="auto" w:sz="0" w:space="0"/>
                <w:bottom w:val="single" w:color="auto" w:sz="6"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507"/>
              <w:gridCol w:w="621"/>
              <w:gridCol w:w="2463"/>
              <w:gridCol w:w="2353"/>
              <w:gridCol w:w="813"/>
            </w:tblGrid>
            <w:tr w14:paraId="3E5A7407">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34" w:type="pct"/>
                  <w:gridSpan w:val="2"/>
                  <w:tcBorders>
                    <w:tl2br w:val="nil"/>
                    <w:tr2bl w:val="nil"/>
                  </w:tcBorders>
                  <w:noWrap w:val="0"/>
                  <w:vAlign w:val="center"/>
                </w:tcPr>
                <w:p w14:paraId="597739EB">
                  <w:pPr>
                    <w:pStyle w:val="62"/>
                    <w:keepNext w:val="0"/>
                    <w:keepLines/>
                    <w:pageBreakBefore w:val="0"/>
                    <w:widowControl/>
                    <w:kinsoku/>
                    <w:wordWrap/>
                    <w:overflowPunct/>
                    <w:topLinePunct w:val="0"/>
                    <w:bidi w:val="0"/>
                    <w:jc w:val="center"/>
                    <w:rPr>
                      <w:rFonts w:cs="Times New Roman"/>
                      <w:b/>
                      <w:bCs/>
                      <w:color w:val="auto"/>
                      <w:szCs w:val="21"/>
                      <w:highlight w:val="none"/>
                    </w:rPr>
                  </w:pPr>
                  <w:r>
                    <w:rPr>
                      <w:rFonts w:cs="Times New Roman"/>
                      <w:b/>
                      <w:bCs/>
                      <w:color w:val="auto"/>
                      <w:szCs w:val="21"/>
                      <w:highlight w:val="none"/>
                    </w:rPr>
                    <w:t>管控维度</w:t>
                  </w:r>
                </w:p>
              </w:tc>
              <w:tc>
                <w:tcPr>
                  <w:tcW w:w="1822" w:type="pct"/>
                  <w:tcBorders>
                    <w:tl2br w:val="nil"/>
                    <w:tr2bl w:val="nil"/>
                  </w:tcBorders>
                  <w:noWrap w:val="0"/>
                  <w:vAlign w:val="center"/>
                </w:tcPr>
                <w:p w14:paraId="635DBF4F">
                  <w:pPr>
                    <w:pStyle w:val="62"/>
                    <w:keepNext w:val="0"/>
                    <w:keepLines/>
                    <w:pageBreakBefore w:val="0"/>
                    <w:widowControl/>
                    <w:kinsoku/>
                    <w:wordWrap/>
                    <w:overflowPunct/>
                    <w:topLinePunct w:val="0"/>
                    <w:bidi w:val="0"/>
                    <w:jc w:val="center"/>
                    <w:rPr>
                      <w:rFonts w:cs="Times New Roman"/>
                      <w:b/>
                      <w:bCs/>
                      <w:color w:val="auto"/>
                      <w:szCs w:val="21"/>
                      <w:highlight w:val="none"/>
                    </w:rPr>
                  </w:pPr>
                  <w:r>
                    <w:rPr>
                      <w:rFonts w:cs="Times New Roman"/>
                      <w:b/>
                      <w:bCs/>
                      <w:color w:val="auto"/>
                      <w:szCs w:val="21"/>
                      <w:highlight w:val="none"/>
                    </w:rPr>
                    <w:t>管控要求</w:t>
                  </w:r>
                </w:p>
              </w:tc>
              <w:tc>
                <w:tcPr>
                  <w:tcW w:w="1741" w:type="pct"/>
                  <w:tcBorders>
                    <w:tl2br w:val="nil"/>
                    <w:tr2bl w:val="nil"/>
                  </w:tcBorders>
                  <w:noWrap w:val="0"/>
                  <w:vAlign w:val="center"/>
                </w:tcPr>
                <w:p w14:paraId="25B6D4EA">
                  <w:pPr>
                    <w:pStyle w:val="62"/>
                    <w:keepNext w:val="0"/>
                    <w:keepLines/>
                    <w:pageBreakBefore w:val="0"/>
                    <w:widowControl/>
                    <w:kinsoku/>
                    <w:wordWrap/>
                    <w:overflowPunct/>
                    <w:topLinePunct w:val="0"/>
                    <w:bidi w:val="0"/>
                    <w:jc w:val="center"/>
                    <w:rPr>
                      <w:rFonts w:cs="Times New Roman"/>
                      <w:b/>
                      <w:bCs/>
                      <w:color w:val="auto"/>
                      <w:szCs w:val="21"/>
                      <w:highlight w:val="none"/>
                    </w:rPr>
                  </w:pPr>
                  <w:r>
                    <w:rPr>
                      <w:rFonts w:cs="Times New Roman"/>
                      <w:b/>
                      <w:bCs/>
                      <w:color w:val="auto"/>
                      <w:szCs w:val="21"/>
                      <w:highlight w:val="none"/>
                    </w:rPr>
                    <w:t>本项目情况</w:t>
                  </w:r>
                </w:p>
              </w:tc>
              <w:tc>
                <w:tcPr>
                  <w:tcW w:w="601" w:type="pct"/>
                  <w:tcBorders>
                    <w:tl2br w:val="nil"/>
                    <w:tr2bl w:val="nil"/>
                  </w:tcBorders>
                  <w:noWrap w:val="0"/>
                  <w:vAlign w:val="center"/>
                </w:tcPr>
                <w:p w14:paraId="4486293A">
                  <w:pPr>
                    <w:pStyle w:val="62"/>
                    <w:keepNext w:val="0"/>
                    <w:keepLines/>
                    <w:pageBreakBefore w:val="0"/>
                    <w:widowControl/>
                    <w:kinsoku/>
                    <w:wordWrap/>
                    <w:overflowPunct/>
                    <w:topLinePunct w:val="0"/>
                    <w:bidi w:val="0"/>
                    <w:jc w:val="center"/>
                    <w:rPr>
                      <w:rFonts w:cs="Times New Roman"/>
                      <w:b/>
                      <w:bCs/>
                      <w:color w:val="auto"/>
                      <w:szCs w:val="21"/>
                      <w:highlight w:val="none"/>
                    </w:rPr>
                  </w:pPr>
                  <w:r>
                    <w:rPr>
                      <w:rFonts w:cs="Times New Roman"/>
                      <w:b/>
                      <w:bCs/>
                      <w:color w:val="auto"/>
                      <w:szCs w:val="21"/>
                      <w:highlight w:val="none"/>
                    </w:rPr>
                    <w:t>符合性</w:t>
                  </w:r>
                </w:p>
              </w:tc>
            </w:tr>
            <w:tr w14:paraId="57085F83">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75" w:type="pct"/>
                  <w:vMerge w:val="restart"/>
                  <w:tcBorders>
                    <w:tl2br w:val="nil"/>
                    <w:tr2bl w:val="nil"/>
                  </w:tcBorders>
                  <w:noWrap w:val="0"/>
                  <w:vAlign w:val="center"/>
                </w:tcPr>
                <w:p w14:paraId="4A54712E">
                  <w:pPr>
                    <w:pStyle w:val="62"/>
                    <w:keepNext w:val="0"/>
                    <w:keepLines/>
                    <w:pageBreakBefore w:val="0"/>
                    <w:widowControl/>
                    <w:kinsoku/>
                    <w:wordWrap/>
                    <w:overflowPunct/>
                    <w:topLinePunct w:val="0"/>
                    <w:bidi w:val="0"/>
                    <w:jc w:val="center"/>
                    <w:rPr>
                      <w:rFonts w:cs="Times New Roman"/>
                      <w:color w:val="auto"/>
                      <w:szCs w:val="21"/>
                      <w:highlight w:val="none"/>
                    </w:rPr>
                  </w:pPr>
                  <w:r>
                    <w:rPr>
                      <w:rFonts w:hint="eastAsia" w:cs="Times New Roman"/>
                      <w:color w:val="auto"/>
                      <w:szCs w:val="21"/>
                      <w:highlight w:val="none"/>
                    </w:rPr>
                    <w:t>A.1空间布局约束</w:t>
                  </w:r>
                </w:p>
              </w:tc>
              <w:tc>
                <w:tcPr>
                  <w:tcW w:w="459" w:type="pct"/>
                  <w:vMerge w:val="restart"/>
                  <w:tcBorders>
                    <w:tl2br w:val="nil"/>
                    <w:tr2bl w:val="nil"/>
                  </w:tcBorders>
                  <w:noWrap w:val="0"/>
                  <w:vAlign w:val="center"/>
                </w:tcPr>
                <w:p w14:paraId="5AEF0B3D">
                  <w:pPr>
                    <w:pStyle w:val="62"/>
                    <w:keepNext w:val="0"/>
                    <w:keepLines/>
                    <w:pageBreakBefore w:val="0"/>
                    <w:widowControl/>
                    <w:kinsoku/>
                    <w:wordWrap/>
                    <w:overflowPunct/>
                    <w:topLinePunct w:val="0"/>
                    <w:bidi w:val="0"/>
                    <w:jc w:val="center"/>
                    <w:rPr>
                      <w:rFonts w:cs="Times New Roman"/>
                      <w:color w:val="auto"/>
                      <w:szCs w:val="21"/>
                      <w:highlight w:val="none"/>
                    </w:rPr>
                  </w:pPr>
                  <w:r>
                    <w:rPr>
                      <w:rFonts w:cs="Times New Roman"/>
                      <w:color w:val="auto"/>
                      <w:szCs w:val="21"/>
                      <w:highlight w:val="none"/>
                    </w:rPr>
                    <w:t>A1.1禁止开发建设的活动</w:t>
                  </w:r>
                </w:p>
              </w:tc>
              <w:tc>
                <w:tcPr>
                  <w:tcW w:w="1822" w:type="pct"/>
                  <w:tcBorders>
                    <w:tl2br w:val="nil"/>
                    <w:tr2bl w:val="nil"/>
                  </w:tcBorders>
                  <w:noWrap w:val="0"/>
                  <w:vAlign w:val="center"/>
                </w:tcPr>
                <w:p w14:paraId="16E78192">
                  <w:pPr>
                    <w:pStyle w:val="62"/>
                    <w:keepNext w:val="0"/>
                    <w:keepLines/>
                    <w:pageBreakBefore w:val="0"/>
                    <w:widowControl/>
                    <w:kinsoku/>
                    <w:wordWrap/>
                    <w:overflowPunct/>
                    <w:topLinePunct w:val="0"/>
                    <w:bidi w:val="0"/>
                    <w:jc w:val="center"/>
                    <w:rPr>
                      <w:rFonts w:cs="Times New Roman"/>
                      <w:color w:val="auto"/>
                      <w:szCs w:val="21"/>
                      <w:highlight w:val="none"/>
                    </w:rPr>
                  </w:pPr>
                  <w:r>
                    <w:rPr>
                      <w:rFonts w:cs="Times New Roman"/>
                      <w:color w:val="auto"/>
                      <w:szCs w:val="21"/>
                      <w:highlight w:val="none"/>
                    </w:rPr>
                    <w:t>[A1.1-1]禁止新建、扩建《产业结构调整指导目录（2024年本）》中淘汰类项目。禁止引入《市场准入负面清单（2022年版）》禁止准入类事项</w:t>
                  </w:r>
                </w:p>
              </w:tc>
              <w:tc>
                <w:tcPr>
                  <w:tcW w:w="1741" w:type="pct"/>
                  <w:tcBorders>
                    <w:tl2br w:val="nil"/>
                    <w:tr2bl w:val="nil"/>
                  </w:tcBorders>
                  <w:noWrap w:val="0"/>
                  <w:vAlign w:val="center"/>
                </w:tcPr>
                <w:p w14:paraId="7F1C4FC3">
                  <w:pPr>
                    <w:pStyle w:val="62"/>
                    <w:keepNext w:val="0"/>
                    <w:keepLines/>
                    <w:pageBreakBefore w:val="0"/>
                    <w:widowControl/>
                    <w:kinsoku/>
                    <w:wordWrap/>
                    <w:overflowPunct/>
                    <w:topLinePunct w:val="0"/>
                    <w:bidi w:val="0"/>
                    <w:jc w:val="center"/>
                    <w:rPr>
                      <w:rFonts w:cs="Times New Roman"/>
                      <w:color w:val="auto"/>
                      <w:szCs w:val="21"/>
                      <w:highlight w:val="none"/>
                    </w:rPr>
                  </w:pPr>
                  <w:r>
                    <w:rPr>
                      <w:rFonts w:cs="Times New Roman"/>
                      <w:color w:val="auto"/>
                      <w:szCs w:val="21"/>
                      <w:highlight w:val="none"/>
                    </w:rPr>
                    <w:t>根据《产业结构调整指导目录（2024年本）》，本项目属于鼓励类</w:t>
                  </w:r>
                  <w:r>
                    <w:rPr>
                      <w:rFonts w:hint="eastAsia" w:cs="Times New Roman"/>
                      <w:color w:val="auto"/>
                      <w:szCs w:val="21"/>
                      <w:highlight w:val="none"/>
                    </w:rPr>
                    <w:t>项目</w:t>
                  </w:r>
                </w:p>
              </w:tc>
              <w:tc>
                <w:tcPr>
                  <w:tcW w:w="601" w:type="pct"/>
                  <w:tcBorders>
                    <w:tl2br w:val="nil"/>
                    <w:tr2bl w:val="nil"/>
                  </w:tcBorders>
                  <w:noWrap w:val="0"/>
                  <w:vAlign w:val="center"/>
                </w:tcPr>
                <w:p w14:paraId="26E31195">
                  <w:pPr>
                    <w:pStyle w:val="62"/>
                    <w:keepNext w:val="0"/>
                    <w:keepLines/>
                    <w:pageBreakBefore w:val="0"/>
                    <w:widowControl/>
                    <w:kinsoku/>
                    <w:wordWrap/>
                    <w:overflowPunct/>
                    <w:topLinePunct w:val="0"/>
                    <w:bidi w:val="0"/>
                    <w:jc w:val="center"/>
                    <w:rPr>
                      <w:rFonts w:cs="Times New Roman"/>
                      <w:color w:val="auto"/>
                      <w:szCs w:val="21"/>
                      <w:highlight w:val="none"/>
                    </w:rPr>
                  </w:pPr>
                  <w:r>
                    <w:rPr>
                      <w:rFonts w:hint="eastAsia" w:cs="Times New Roman"/>
                      <w:color w:val="auto"/>
                      <w:szCs w:val="21"/>
                      <w:highlight w:val="none"/>
                    </w:rPr>
                    <w:t>符合</w:t>
                  </w:r>
                </w:p>
              </w:tc>
            </w:tr>
            <w:tr w14:paraId="7AABD815">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75" w:type="pct"/>
                  <w:vMerge w:val="continue"/>
                  <w:tcBorders>
                    <w:tl2br w:val="nil"/>
                    <w:tr2bl w:val="nil"/>
                  </w:tcBorders>
                  <w:noWrap w:val="0"/>
                  <w:vAlign w:val="center"/>
                </w:tcPr>
                <w:p w14:paraId="79BB2978">
                  <w:pPr>
                    <w:pStyle w:val="62"/>
                    <w:keepNext w:val="0"/>
                    <w:keepLines/>
                    <w:pageBreakBefore w:val="0"/>
                    <w:widowControl/>
                    <w:kinsoku/>
                    <w:wordWrap/>
                    <w:overflowPunct/>
                    <w:topLinePunct w:val="0"/>
                    <w:bidi w:val="0"/>
                    <w:jc w:val="center"/>
                    <w:rPr>
                      <w:rFonts w:cs="Times New Roman"/>
                      <w:color w:val="auto"/>
                      <w:szCs w:val="21"/>
                      <w:highlight w:val="none"/>
                    </w:rPr>
                  </w:pPr>
                </w:p>
              </w:tc>
              <w:tc>
                <w:tcPr>
                  <w:tcW w:w="459" w:type="pct"/>
                  <w:vMerge w:val="continue"/>
                  <w:tcBorders>
                    <w:tl2br w:val="nil"/>
                    <w:tr2bl w:val="nil"/>
                  </w:tcBorders>
                  <w:noWrap w:val="0"/>
                  <w:vAlign w:val="center"/>
                </w:tcPr>
                <w:p w14:paraId="31CDD6F9">
                  <w:pPr>
                    <w:pStyle w:val="62"/>
                    <w:keepNext w:val="0"/>
                    <w:keepLines/>
                    <w:pageBreakBefore w:val="0"/>
                    <w:widowControl/>
                    <w:kinsoku/>
                    <w:wordWrap/>
                    <w:overflowPunct/>
                    <w:topLinePunct w:val="0"/>
                    <w:bidi w:val="0"/>
                    <w:jc w:val="center"/>
                    <w:rPr>
                      <w:rFonts w:cs="Times New Roman"/>
                      <w:color w:val="auto"/>
                      <w:szCs w:val="21"/>
                      <w:highlight w:val="none"/>
                    </w:rPr>
                  </w:pPr>
                </w:p>
              </w:tc>
              <w:tc>
                <w:tcPr>
                  <w:tcW w:w="1822" w:type="pct"/>
                  <w:tcBorders>
                    <w:tl2br w:val="nil"/>
                    <w:tr2bl w:val="nil"/>
                  </w:tcBorders>
                  <w:noWrap w:val="0"/>
                  <w:vAlign w:val="center"/>
                </w:tcPr>
                <w:p w14:paraId="208FD859">
                  <w:pPr>
                    <w:pStyle w:val="62"/>
                    <w:keepNext w:val="0"/>
                    <w:keepLines/>
                    <w:pageBreakBefore w:val="0"/>
                    <w:widowControl/>
                    <w:kinsoku/>
                    <w:wordWrap/>
                    <w:overflowPunct/>
                    <w:topLinePunct w:val="0"/>
                    <w:bidi w:val="0"/>
                    <w:jc w:val="center"/>
                    <w:rPr>
                      <w:rFonts w:cs="Times New Roman"/>
                      <w:color w:val="auto"/>
                      <w:szCs w:val="21"/>
                      <w:highlight w:val="none"/>
                    </w:rPr>
                  </w:pPr>
                  <w:r>
                    <w:rPr>
                      <w:rFonts w:cs="Times New Roman"/>
                      <w:color w:val="auto"/>
                      <w:szCs w:val="21"/>
                      <w:highlight w:val="none"/>
                    </w:rPr>
                    <w:t>A1.1-3禁止在饮用水水源保护区、风景名胜区、自然保护区的核心区和缓冲区、城镇居民区、文化教育科学研究区等人口集中区域以及法律、法规规定的其他禁止养殖区域建设畜禽养殖场、养殖小区。</w:t>
                  </w:r>
                </w:p>
              </w:tc>
              <w:tc>
                <w:tcPr>
                  <w:tcW w:w="1741" w:type="pct"/>
                  <w:vMerge w:val="restart"/>
                  <w:tcBorders>
                    <w:tl2br w:val="nil"/>
                    <w:tr2bl w:val="nil"/>
                  </w:tcBorders>
                  <w:noWrap w:val="0"/>
                  <w:vAlign w:val="center"/>
                </w:tcPr>
                <w:p w14:paraId="2D19FC24">
                  <w:pPr>
                    <w:pStyle w:val="62"/>
                    <w:keepNext w:val="0"/>
                    <w:keepLines/>
                    <w:pageBreakBefore w:val="0"/>
                    <w:widowControl/>
                    <w:kinsoku/>
                    <w:wordWrap/>
                    <w:overflowPunct/>
                    <w:topLinePunct w:val="0"/>
                    <w:bidi w:val="0"/>
                    <w:jc w:val="center"/>
                    <w:rPr>
                      <w:rFonts w:cs="Times New Roman"/>
                      <w:color w:val="auto"/>
                      <w:szCs w:val="21"/>
                      <w:highlight w:val="none"/>
                    </w:rPr>
                  </w:pPr>
                  <w:r>
                    <w:rPr>
                      <w:rFonts w:cs="Times New Roman"/>
                      <w:color w:val="auto"/>
                      <w:szCs w:val="21"/>
                      <w:highlight w:val="none"/>
                    </w:rPr>
                    <w:t>项目评价范围内不涉及水源涵养区、地下水源、饮用水源、自然保护区、风景名胜区、森林公园、重要湿地。</w:t>
                  </w:r>
                </w:p>
              </w:tc>
              <w:tc>
                <w:tcPr>
                  <w:tcW w:w="601" w:type="pct"/>
                  <w:tcBorders>
                    <w:tl2br w:val="nil"/>
                    <w:tr2bl w:val="nil"/>
                  </w:tcBorders>
                  <w:noWrap w:val="0"/>
                  <w:vAlign w:val="center"/>
                </w:tcPr>
                <w:p w14:paraId="69AF4572">
                  <w:pPr>
                    <w:pStyle w:val="62"/>
                    <w:keepNext w:val="0"/>
                    <w:keepLines/>
                    <w:pageBreakBefore w:val="0"/>
                    <w:widowControl/>
                    <w:kinsoku/>
                    <w:wordWrap/>
                    <w:overflowPunct/>
                    <w:topLinePunct w:val="0"/>
                    <w:bidi w:val="0"/>
                    <w:jc w:val="center"/>
                    <w:rPr>
                      <w:rFonts w:cs="Times New Roman"/>
                      <w:color w:val="auto"/>
                      <w:szCs w:val="21"/>
                      <w:highlight w:val="none"/>
                    </w:rPr>
                  </w:pPr>
                  <w:r>
                    <w:rPr>
                      <w:rFonts w:hint="eastAsia" w:cs="Times New Roman"/>
                      <w:color w:val="auto"/>
                      <w:szCs w:val="21"/>
                      <w:highlight w:val="none"/>
                    </w:rPr>
                    <w:t>符合</w:t>
                  </w:r>
                </w:p>
              </w:tc>
            </w:tr>
            <w:tr w14:paraId="2CEDDBEF">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75" w:type="pct"/>
                  <w:vMerge w:val="continue"/>
                  <w:tcBorders>
                    <w:tl2br w:val="nil"/>
                    <w:tr2bl w:val="nil"/>
                  </w:tcBorders>
                  <w:noWrap w:val="0"/>
                  <w:vAlign w:val="center"/>
                </w:tcPr>
                <w:p w14:paraId="04DF5556">
                  <w:pPr>
                    <w:pStyle w:val="63"/>
                    <w:keepNext w:val="0"/>
                    <w:keepLines/>
                    <w:pageBreakBefore w:val="0"/>
                    <w:widowControl/>
                    <w:kinsoku/>
                    <w:wordWrap/>
                    <w:overflowPunct/>
                    <w:topLinePunct w:val="0"/>
                    <w:bidi w:val="0"/>
                    <w:rPr>
                      <w:color w:val="auto"/>
                      <w:szCs w:val="21"/>
                      <w:highlight w:val="none"/>
                      <w:lang w:val="en-US"/>
                    </w:rPr>
                  </w:pPr>
                </w:p>
              </w:tc>
              <w:tc>
                <w:tcPr>
                  <w:tcW w:w="459" w:type="pct"/>
                  <w:vMerge w:val="continue"/>
                  <w:tcBorders>
                    <w:tl2br w:val="nil"/>
                    <w:tr2bl w:val="nil"/>
                  </w:tcBorders>
                  <w:noWrap w:val="0"/>
                  <w:vAlign w:val="center"/>
                </w:tcPr>
                <w:p w14:paraId="27C8D4EC">
                  <w:pPr>
                    <w:pStyle w:val="63"/>
                    <w:keepNext w:val="0"/>
                    <w:keepLines/>
                    <w:pageBreakBefore w:val="0"/>
                    <w:widowControl/>
                    <w:kinsoku/>
                    <w:wordWrap/>
                    <w:overflowPunct/>
                    <w:topLinePunct w:val="0"/>
                    <w:bidi w:val="0"/>
                    <w:rPr>
                      <w:color w:val="auto"/>
                      <w:szCs w:val="21"/>
                      <w:highlight w:val="none"/>
                      <w:lang w:val="en-US"/>
                    </w:rPr>
                  </w:pPr>
                </w:p>
              </w:tc>
              <w:tc>
                <w:tcPr>
                  <w:tcW w:w="1822" w:type="pct"/>
                  <w:tcBorders>
                    <w:tl2br w:val="nil"/>
                    <w:tr2bl w:val="nil"/>
                  </w:tcBorders>
                  <w:noWrap w:val="0"/>
                  <w:vAlign w:val="center"/>
                </w:tcPr>
                <w:p w14:paraId="480D9083">
                  <w:pPr>
                    <w:pStyle w:val="63"/>
                    <w:keepNext w:val="0"/>
                    <w:keepLines/>
                    <w:pageBreakBefore w:val="0"/>
                    <w:widowControl/>
                    <w:kinsoku/>
                    <w:wordWrap/>
                    <w:overflowPunct/>
                    <w:topLinePunct w:val="0"/>
                    <w:bidi w:val="0"/>
                    <w:rPr>
                      <w:color w:val="auto"/>
                      <w:szCs w:val="21"/>
                      <w:highlight w:val="none"/>
                      <w:lang w:val="en-US"/>
                    </w:rPr>
                  </w:pPr>
                  <w:r>
                    <w:rPr>
                      <w:color w:val="auto"/>
                      <w:szCs w:val="21"/>
                      <w:highlight w:val="none"/>
                      <w:lang w:val="en-US"/>
                    </w:rPr>
                    <w:t>A1.1-4禁止在水源涵养区、地下水源、饮用水源、自然保护区、风景名胜区、森林公园、重要湿地及人群密集区等生态敏感区域内进行煤炭、石油、天然气开发。</w:t>
                  </w:r>
                </w:p>
              </w:tc>
              <w:tc>
                <w:tcPr>
                  <w:tcW w:w="1741" w:type="pct"/>
                  <w:vMerge w:val="continue"/>
                  <w:tcBorders>
                    <w:tl2br w:val="nil"/>
                    <w:tr2bl w:val="nil"/>
                  </w:tcBorders>
                  <w:noWrap w:val="0"/>
                  <w:vAlign w:val="center"/>
                </w:tcPr>
                <w:p w14:paraId="0442D50A">
                  <w:pPr>
                    <w:pStyle w:val="62"/>
                    <w:keepNext w:val="0"/>
                    <w:keepLines/>
                    <w:pageBreakBefore w:val="0"/>
                    <w:widowControl/>
                    <w:kinsoku/>
                    <w:wordWrap/>
                    <w:overflowPunct/>
                    <w:topLinePunct w:val="0"/>
                    <w:bidi w:val="0"/>
                    <w:jc w:val="center"/>
                    <w:rPr>
                      <w:rFonts w:cs="Times New Roman"/>
                      <w:color w:val="auto"/>
                      <w:szCs w:val="21"/>
                      <w:highlight w:val="none"/>
                    </w:rPr>
                  </w:pPr>
                </w:p>
              </w:tc>
              <w:tc>
                <w:tcPr>
                  <w:tcW w:w="601" w:type="pct"/>
                  <w:tcBorders>
                    <w:tl2br w:val="nil"/>
                    <w:tr2bl w:val="nil"/>
                  </w:tcBorders>
                  <w:noWrap w:val="0"/>
                  <w:vAlign w:val="center"/>
                </w:tcPr>
                <w:p w14:paraId="0ADE4010">
                  <w:pPr>
                    <w:pStyle w:val="62"/>
                    <w:keepNext w:val="0"/>
                    <w:keepLines/>
                    <w:pageBreakBefore w:val="0"/>
                    <w:widowControl/>
                    <w:kinsoku/>
                    <w:wordWrap/>
                    <w:overflowPunct/>
                    <w:topLinePunct w:val="0"/>
                    <w:bidi w:val="0"/>
                    <w:jc w:val="center"/>
                    <w:rPr>
                      <w:rFonts w:cs="Times New Roman"/>
                      <w:color w:val="auto"/>
                      <w:szCs w:val="21"/>
                      <w:highlight w:val="none"/>
                    </w:rPr>
                  </w:pPr>
                  <w:r>
                    <w:rPr>
                      <w:rFonts w:hint="eastAsia" w:cs="Times New Roman"/>
                      <w:color w:val="auto"/>
                      <w:szCs w:val="21"/>
                      <w:highlight w:val="none"/>
                    </w:rPr>
                    <w:t>符合</w:t>
                  </w:r>
                </w:p>
              </w:tc>
            </w:tr>
            <w:tr w14:paraId="55AC12D7">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75" w:type="pct"/>
                  <w:vMerge w:val="continue"/>
                  <w:tcBorders>
                    <w:tl2br w:val="nil"/>
                    <w:tr2bl w:val="nil"/>
                  </w:tcBorders>
                  <w:noWrap w:val="0"/>
                  <w:vAlign w:val="center"/>
                </w:tcPr>
                <w:p w14:paraId="641B5849">
                  <w:pPr>
                    <w:pStyle w:val="63"/>
                    <w:keepNext w:val="0"/>
                    <w:keepLines/>
                    <w:pageBreakBefore w:val="0"/>
                    <w:widowControl/>
                    <w:kinsoku/>
                    <w:wordWrap/>
                    <w:overflowPunct/>
                    <w:topLinePunct w:val="0"/>
                    <w:bidi w:val="0"/>
                    <w:rPr>
                      <w:color w:val="auto"/>
                      <w:szCs w:val="21"/>
                      <w:highlight w:val="none"/>
                      <w:lang w:val="en-US"/>
                    </w:rPr>
                  </w:pPr>
                </w:p>
              </w:tc>
              <w:tc>
                <w:tcPr>
                  <w:tcW w:w="459" w:type="pct"/>
                  <w:vMerge w:val="continue"/>
                  <w:tcBorders>
                    <w:tl2br w:val="nil"/>
                    <w:tr2bl w:val="nil"/>
                  </w:tcBorders>
                  <w:noWrap w:val="0"/>
                  <w:vAlign w:val="center"/>
                </w:tcPr>
                <w:p w14:paraId="412CBF89">
                  <w:pPr>
                    <w:pStyle w:val="63"/>
                    <w:keepNext w:val="0"/>
                    <w:keepLines/>
                    <w:pageBreakBefore w:val="0"/>
                    <w:widowControl/>
                    <w:kinsoku/>
                    <w:wordWrap/>
                    <w:overflowPunct/>
                    <w:topLinePunct w:val="0"/>
                    <w:bidi w:val="0"/>
                    <w:rPr>
                      <w:color w:val="auto"/>
                      <w:szCs w:val="21"/>
                      <w:highlight w:val="none"/>
                      <w:lang w:val="en-US"/>
                    </w:rPr>
                  </w:pPr>
                </w:p>
              </w:tc>
              <w:tc>
                <w:tcPr>
                  <w:tcW w:w="1822" w:type="pct"/>
                  <w:tcBorders>
                    <w:tl2br w:val="nil"/>
                    <w:tr2bl w:val="nil"/>
                  </w:tcBorders>
                  <w:noWrap w:val="0"/>
                  <w:vAlign w:val="center"/>
                </w:tcPr>
                <w:p w14:paraId="2FA0056A">
                  <w:pPr>
                    <w:pStyle w:val="63"/>
                    <w:keepNext w:val="0"/>
                    <w:keepLines/>
                    <w:pageBreakBefore w:val="0"/>
                    <w:widowControl/>
                    <w:kinsoku/>
                    <w:wordWrap/>
                    <w:overflowPunct/>
                    <w:topLinePunct w:val="0"/>
                    <w:bidi w:val="0"/>
                    <w:rPr>
                      <w:color w:val="auto"/>
                      <w:szCs w:val="21"/>
                      <w:highlight w:val="none"/>
                      <w:lang w:val="en-US"/>
                    </w:rPr>
                  </w:pPr>
                  <w:r>
                    <w:rPr>
                      <w:color w:val="auto"/>
                      <w:szCs w:val="21"/>
                      <w:highlight w:val="none"/>
                      <w:lang w:val="en-US"/>
                    </w:rPr>
                    <w:t>A1.1-6禁止在自治区行政区域内引进能（水）耗不符合相关国家标准中准入值要求且污染物排放和环境风险防控不符合国家（地方）标准及有关产业准入条件的高污染（排放）、高能（水）耗、高环境风险的工业项目。</w:t>
                  </w:r>
                </w:p>
              </w:tc>
              <w:tc>
                <w:tcPr>
                  <w:tcW w:w="1741" w:type="pct"/>
                  <w:tcBorders>
                    <w:tl2br w:val="nil"/>
                    <w:tr2bl w:val="nil"/>
                  </w:tcBorders>
                  <w:noWrap w:val="0"/>
                  <w:vAlign w:val="center"/>
                </w:tcPr>
                <w:p w14:paraId="050D8B45">
                  <w:pPr>
                    <w:pStyle w:val="62"/>
                    <w:keepNext w:val="0"/>
                    <w:keepLines/>
                    <w:pageBreakBefore w:val="0"/>
                    <w:widowControl/>
                    <w:kinsoku/>
                    <w:wordWrap/>
                    <w:overflowPunct/>
                    <w:topLinePunct w:val="0"/>
                    <w:bidi w:val="0"/>
                    <w:jc w:val="center"/>
                    <w:rPr>
                      <w:rFonts w:cs="Times New Roman"/>
                      <w:color w:val="auto"/>
                      <w:szCs w:val="21"/>
                      <w:highlight w:val="none"/>
                    </w:rPr>
                  </w:pPr>
                  <w:r>
                    <w:rPr>
                      <w:rFonts w:cs="Times New Roman"/>
                      <w:color w:val="auto"/>
                      <w:szCs w:val="21"/>
                      <w:highlight w:val="none"/>
                    </w:rPr>
                    <w:t>项目为生态影响类项目，不属于高污染（排放）、高能（水）耗、高环境风险的工业项目。</w:t>
                  </w:r>
                </w:p>
              </w:tc>
              <w:tc>
                <w:tcPr>
                  <w:tcW w:w="601" w:type="pct"/>
                  <w:tcBorders>
                    <w:tl2br w:val="nil"/>
                    <w:tr2bl w:val="nil"/>
                  </w:tcBorders>
                  <w:noWrap w:val="0"/>
                  <w:vAlign w:val="center"/>
                </w:tcPr>
                <w:p w14:paraId="20BB6D59">
                  <w:pPr>
                    <w:pStyle w:val="62"/>
                    <w:keepNext w:val="0"/>
                    <w:keepLines/>
                    <w:pageBreakBefore w:val="0"/>
                    <w:widowControl/>
                    <w:kinsoku/>
                    <w:wordWrap/>
                    <w:overflowPunct/>
                    <w:topLinePunct w:val="0"/>
                    <w:bidi w:val="0"/>
                    <w:jc w:val="center"/>
                    <w:rPr>
                      <w:rFonts w:cs="Times New Roman"/>
                      <w:color w:val="auto"/>
                      <w:szCs w:val="21"/>
                      <w:highlight w:val="none"/>
                    </w:rPr>
                  </w:pPr>
                  <w:r>
                    <w:rPr>
                      <w:rFonts w:hint="eastAsia" w:cs="Times New Roman"/>
                      <w:color w:val="auto"/>
                      <w:szCs w:val="21"/>
                      <w:highlight w:val="none"/>
                    </w:rPr>
                    <w:t>符合</w:t>
                  </w:r>
                </w:p>
              </w:tc>
            </w:tr>
            <w:tr w14:paraId="121DC5CB">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75" w:type="pct"/>
                  <w:vMerge w:val="continue"/>
                  <w:tcBorders>
                    <w:tl2br w:val="nil"/>
                    <w:tr2bl w:val="nil"/>
                  </w:tcBorders>
                  <w:noWrap w:val="0"/>
                  <w:vAlign w:val="center"/>
                </w:tcPr>
                <w:p w14:paraId="3BD14BB7">
                  <w:pPr>
                    <w:pStyle w:val="63"/>
                    <w:keepNext w:val="0"/>
                    <w:keepLines/>
                    <w:pageBreakBefore w:val="0"/>
                    <w:widowControl/>
                    <w:kinsoku/>
                    <w:wordWrap/>
                    <w:overflowPunct/>
                    <w:topLinePunct w:val="0"/>
                    <w:bidi w:val="0"/>
                    <w:rPr>
                      <w:color w:val="auto"/>
                      <w:szCs w:val="21"/>
                      <w:highlight w:val="none"/>
                      <w:lang w:val="en-US"/>
                    </w:rPr>
                  </w:pPr>
                </w:p>
              </w:tc>
              <w:tc>
                <w:tcPr>
                  <w:tcW w:w="459" w:type="pct"/>
                  <w:vMerge w:val="restart"/>
                  <w:tcBorders>
                    <w:tl2br w:val="nil"/>
                    <w:tr2bl w:val="nil"/>
                  </w:tcBorders>
                  <w:noWrap w:val="0"/>
                  <w:vAlign w:val="center"/>
                </w:tcPr>
                <w:p w14:paraId="5284566F">
                  <w:pPr>
                    <w:pStyle w:val="63"/>
                    <w:keepNext w:val="0"/>
                    <w:keepLines/>
                    <w:pageBreakBefore w:val="0"/>
                    <w:widowControl/>
                    <w:kinsoku/>
                    <w:wordWrap/>
                    <w:overflowPunct/>
                    <w:topLinePunct w:val="0"/>
                    <w:bidi w:val="0"/>
                    <w:rPr>
                      <w:color w:val="auto"/>
                      <w:szCs w:val="21"/>
                      <w:highlight w:val="none"/>
                      <w:lang w:val="en-US"/>
                    </w:rPr>
                  </w:pPr>
                  <w:r>
                    <w:rPr>
                      <w:color w:val="auto"/>
                      <w:szCs w:val="21"/>
                      <w:highlight w:val="none"/>
                      <w:lang w:val="en-US"/>
                    </w:rPr>
                    <w:t>A1.2限制开发建设的活动</w:t>
                  </w:r>
                </w:p>
              </w:tc>
              <w:tc>
                <w:tcPr>
                  <w:tcW w:w="1822" w:type="pct"/>
                  <w:tcBorders>
                    <w:tl2br w:val="nil"/>
                    <w:tr2bl w:val="nil"/>
                  </w:tcBorders>
                  <w:noWrap w:val="0"/>
                  <w:vAlign w:val="center"/>
                </w:tcPr>
                <w:p w14:paraId="1DF8B29A">
                  <w:pPr>
                    <w:pStyle w:val="63"/>
                    <w:keepNext w:val="0"/>
                    <w:keepLines/>
                    <w:pageBreakBefore w:val="0"/>
                    <w:widowControl/>
                    <w:kinsoku/>
                    <w:wordWrap/>
                    <w:overflowPunct/>
                    <w:topLinePunct w:val="0"/>
                    <w:bidi w:val="0"/>
                    <w:rPr>
                      <w:color w:val="auto"/>
                      <w:szCs w:val="21"/>
                      <w:highlight w:val="none"/>
                      <w:lang w:val="en-US"/>
                    </w:rPr>
                  </w:pPr>
                  <w:r>
                    <w:rPr>
                      <w:color w:val="auto"/>
                      <w:szCs w:val="21"/>
                      <w:highlight w:val="none"/>
                      <w:lang w:val="en-US"/>
                    </w:rPr>
                    <w:t>A1.2-1严格控制缺水地区、水污染严重区域和敏感区域高耗水、高污染行业发展。</w:t>
                  </w:r>
                </w:p>
              </w:tc>
              <w:tc>
                <w:tcPr>
                  <w:tcW w:w="1741" w:type="pct"/>
                  <w:tcBorders>
                    <w:tl2br w:val="nil"/>
                    <w:tr2bl w:val="nil"/>
                  </w:tcBorders>
                  <w:noWrap w:val="0"/>
                  <w:vAlign w:val="center"/>
                </w:tcPr>
                <w:p w14:paraId="62DC537C">
                  <w:pPr>
                    <w:pStyle w:val="62"/>
                    <w:keepNext w:val="0"/>
                    <w:keepLines/>
                    <w:pageBreakBefore w:val="0"/>
                    <w:widowControl/>
                    <w:kinsoku/>
                    <w:wordWrap/>
                    <w:overflowPunct/>
                    <w:topLinePunct w:val="0"/>
                    <w:bidi w:val="0"/>
                    <w:jc w:val="center"/>
                    <w:rPr>
                      <w:rFonts w:cs="Times New Roman"/>
                      <w:color w:val="auto"/>
                      <w:szCs w:val="21"/>
                      <w:highlight w:val="none"/>
                    </w:rPr>
                  </w:pPr>
                  <w:r>
                    <w:rPr>
                      <w:rFonts w:cs="Times New Roman"/>
                      <w:color w:val="auto"/>
                      <w:szCs w:val="21"/>
                      <w:highlight w:val="none"/>
                    </w:rPr>
                    <w:t>项目的实施有利于</w:t>
                  </w:r>
                  <w:r>
                    <w:rPr>
                      <w:rFonts w:hint="eastAsia" w:cs="Times New Roman"/>
                      <w:color w:val="auto"/>
                      <w:szCs w:val="21"/>
                      <w:highlight w:val="none"/>
                      <w:lang w:val="en-US" w:eastAsia="zh-CN"/>
                    </w:rPr>
                    <w:t>提高流域灌溉水利用系数</w:t>
                  </w:r>
                  <w:r>
                    <w:rPr>
                      <w:rFonts w:cs="Times New Roman"/>
                      <w:color w:val="auto"/>
                      <w:szCs w:val="21"/>
                      <w:highlight w:val="none"/>
                    </w:rPr>
                    <w:t>。</w:t>
                  </w:r>
                </w:p>
              </w:tc>
              <w:tc>
                <w:tcPr>
                  <w:tcW w:w="601" w:type="pct"/>
                  <w:tcBorders>
                    <w:tl2br w:val="nil"/>
                    <w:tr2bl w:val="nil"/>
                  </w:tcBorders>
                  <w:noWrap w:val="0"/>
                  <w:vAlign w:val="center"/>
                </w:tcPr>
                <w:p w14:paraId="2D10C06C">
                  <w:pPr>
                    <w:pStyle w:val="62"/>
                    <w:keepNext w:val="0"/>
                    <w:keepLines/>
                    <w:pageBreakBefore w:val="0"/>
                    <w:widowControl/>
                    <w:kinsoku/>
                    <w:wordWrap/>
                    <w:overflowPunct/>
                    <w:topLinePunct w:val="0"/>
                    <w:bidi w:val="0"/>
                    <w:jc w:val="center"/>
                    <w:rPr>
                      <w:rFonts w:cs="Times New Roman"/>
                      <w:color w:val="auto"/>
                      <w:szCs w:val="21"/>
                      <w:highlight w:val="none"/>
                    </w:rPr>
                  </w:pPr>
                  <w:r>
                    <w:rPr>
                      <w:rFonts w:hint="eastAsia" w:cs="Times New Roman"/>
                      <w:color w:val="auto"/>
                      <w:szCs w:val="21"/>
                      <w:highlight w:val="none"/>
                    </w:rPr>
                    <w:t>符合</w:t>
                  </w:r>
                </w:p>
              </w:tc>
            </w:tr>
            <w:tr w14:paraId="08156DE0">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75" w:type="pct"/>
                  <w:vMerge w:val="continue"/>
                  <w:tcBorders>
                    <w:tl2br w:val="nil"/>
                    <w:tr2bl w:val="nil"/>
                  </w:tcBorders>
                  <w:noWrap w:val="0"/>
                  <w:vAlign w:val="center"/>
                </w:tcPr>
                <w:p w14:paraId="17AC056A">
                  <w:pPr>
                    <w:pStyle w:val="63"/>
                    <w:keepNext w:val="0"/>
                    <w:keepLines/>
                    <w:pageBreakBefore w:val="0"/>
                    <w:widowControl/>
                    <w:kinsoku/>
                    <w:wordWrap/>
                    <w:overflowPunct/>
                    <w:topLinePunct w:val="0"/>
                    <w:bidi w:val="0"/>
                    <w:rPr>
                      <w:color w:val="auto"/>
                      <w:szCs w:val="21"/>
                      <w:highlight w:val="none"/>
                      <w:lang w:val="en-US"/>
                    </w:rPr>
                  </w:pPr>
                </w:p>
              </w:tc>
              <w:tc>
                <w:tcPr>
                  <w:tcW w:w="459" w:type="pct"/>
                  <w:vMerge w:val="continue"/>
                  <w:tcBorders>
                    <w:tl2br w:val="nil"/>
                    <w:tr2bl w:val="nil"/>
                  </w:tcBorders>
                  <w:noWrap w:val="0"/>
                  <w:vAlign w:val="center"/>
                </w:tcPr>
                <w:p w14:paraId="492048CE">
                  <w:pPr>
                    <w:pStyle w:val="63"/>
                    <w:keepNext w:val="0"/>
                    <w:keepLines/>
                    <w:pageBreakBefore w:val="0"/>
                    <w:widowControl/>
                    <w:kinsoku/>
                    <w:wordWrap/>
                    <w:overflowPunct/>
                    <w:topLinePunct w:val="0"/>
                    <w:bidi w:val="0"/>
                    <w:rPr>
                      <w:color w:val="auto"/>
                      <w:szCs w:val="21"/>
                      <w:highlight w:val="none"/>
                      <w:lang w:val="en-US"/>
                    </w:rPr>
                  </w:pPr>
                </w:p>
              </w:tc>
              <w:tc>
                <w:tcPr>
                  <w:tcW w:w="1822" w:type="pct"/>
                  <w:tcBorders>
                    <w:tl2br w:val="nil"/>
                    <w:tr2bl w:val="nil"/>
                  </w:tcBorders>
                  <w:noWrap w:val="0"/>
                  <w:vAlign w:val="center"/>
                </w:tcPr>
                <w:p w14:paraId="771BD674">
                  <w:pPr>
                    <w:pStyle w:val="63"/>
                    <w:keepNext w:val="0"/>
                    <w:keepLines/>
                    <w:pageBreakBefore w:val="0"/>
                    <w:widowControl/>
                    <w:kinsoku/>
                    <w:wordWrap/>
                    <w:overflowPunct/>
                    <w:topLinePunct w:val="0"/>
                    <w:bidi w:val="0"/>
                    <w:rPr>
                      <w:color w:val="auto"/>
                      <w:szCs w:val="21"/>
                      <w:highlight w:val="none"/>
                      <w:lang w:val="en-US"/>
                    </w:rPr>
                  </w:pPr>
                  <w:r>
                    <w:rPr>
                      <w:color w:val="auto"/>
                      <w:szCs w:val="21"/>
                      <w:highlight w:val="none"/>
                      <w:lang w:val="en-US"/>
                    </w:rPr>
                    <w:t>A1.2-2建设项目用地原则上不得占用永久基本农田，确需占用永久基本农田的建设项目须符合《中华人民共和国基本农田保护条例》中相关要求，占用耕地、林地或草地的建设项目须按照国家、自治区相关补偿要求进行补偿。</w:t>
                  </w:r>
                </w:p>
              </w:tc>
              <w:tc>
                <w:tcPr>
                  <w:tcW w:w="1741" w:type="pct"/>
                  <w:tcBorders>
                    <w:tl2br w:val="nil"/>
                    <w:tr2bl w:val="nil"/>
                  </w:tcBorders>
                  <w:noWrap w:val="0"/>
                  <w:vAlign w:val="center"/>
                </w:tcPr>
                <w:p w14:paraId="1810C5EB">
                  <w:pPr>
                    <w:pStyle w:val="62"/>
                    <w:keepNext w:val="0"/>
                    <w:keepLines/>
                    <w:pageBreakBefore w:val="0"/>
                    <w:widowControl/>
                    <w:kinsoku/>
                    <w:wordWrap/>
                    <w:overflowPunct/>
                    <w:topLinePunct w:val="0"/>
                    <w:bidi w:val="0"/>
                    <w:jc w:val="center"/>
                    <w:rPr>
                      <w:rFonts w:cs="Times New Roman"/>
                      <w:color w:val="auto"/>
                      <w:szCs w:val="21"/>
                      <w:highlight w:val="none"/>
                    </w:rPr>
                  </w:pPr>
                  <w:r>
                    <w:rPr>
                      <w:rFonts w:cs="Times New Roman"/>
                      <w:color w:val="auto"/>
                      <w:szCs w:val="21"/>
                      <w:highlight w:val="none"/>
                    </w:rPr>
                    <w:t>项目不占用永久基本农田，项目建设有利于</w:t>
                  </w:r>
                  <w:r>
                    <w:rPr>
                      <w:rFonts w:hint="eastAsia" w:cs="Times New Roman"/>
                      <w:color w:val="auto"/>
                      <w:szCs w:val="21"/>
                      <w:highlight w:val="none"/>
                      <w:lang w:val="en-US" w:eastAsia="zh-CN"/>
                    </w:rPr>
                    <w:t>提高流域灌溉水利用系数</w:t>
                  </w:r>
                  <w:r>
                    <w:rPr>
                      <w:rFonts w:cs="Times New Roman"/>
                      <w:color w:val="auto"/>
                      <w:szCs w:val="21"/>
                      <w:highlight w:val="none"/>
                    </w:rPr>
                    <w:t>。</w:t>
                  </w:r>
                </w:p>
              </w:tc>
              <w:tc>
                <w:tcPr>
                  <w:tcW w:w="601" w:type="pct"/>
                  <w:tcBorders>
                    <w:tl2br w:val="nil"/>
                    <w:tr2bl w:val="nil"/>
                  </w:tcBorders>
                  <w:noWrap w:val="0"/>
                  <w:vAlign w:val="center"/>
                </w:tcPr>
                <w:p w14:paraId="663E386F">
                  <w:pPr>
                    <w:pStyle w:val="62"/>
                    <w:keepNext w:val="0"/>
                    <w:keepLines/>
                    <w:pageBreakBefore w:val="0"/>
                    <w:widowControl/>
                    <w:kinsoku/>
                    <w:wordWrap/>
                    <w:overflowPunct/>
                    <w:topLinePunct w:val="0"/>
                    <w:bidi w:val="0"/>
                    <w:jc w:val="center"/>
                    <w:rPr>
                      <w:rFonts w:cs="Times New Roman"/>
                      <w:color w:val="auto"/>
                      <w:szCs w:val="21"/>
                      <w:highlight w:val="none"/>
                    </w:rPr>
                  </w:pPr>
                  <w:r>
                    <w:rPr>
                      <w:rFonts w:hint="eastAsia" w:cs="Times New Roman"/>
                      <w:color w:val="auto"/>
                      <w:szCs w:val="21"/>
                      <w:highlight w:val="none"/>
                    </w:rPr>
                    <w:t>符合</w:t>
                  </w:r>
                </w:p>
              </w:tc>
            </w:tr>
            <w:tr w14:paraId="2A5F7D57">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75" w:type="pct"/>
                  <w:vMerge w:val="continue"/>
                  <w:tcBorders>
                    <w:tl2br w:val="nil"/>
                    <w:tr2bl w:val="nil"/>
                  </w:tcBorders>
                  <w:noWrap w:val="0"/>
                  <w:vAlign w:val="center"/>
                </w:tcPr>
                <w:p w14:paraId="139ED9AF">
                  <w:pPr>
                    <w:pStyle w:val="63"/>
                    <w:keepNext w:val="0"/>
                    <w:keepLines/>
                    <w:pageBreakBefore w:val="0"/>
                    <w:widowControl/>
                    <w:kinsoku/>
                    <w:wordWrap/>
                    <w:overflowPunct/>
                    <w:topLinePunct w:val="0"/>
                    <w:bidi w:val="0"/>
                    <w:rPr>
                      <w:color w:val="auto"/>
                      <w:szCs w:val="21"/>
                      <w:highlight w:val="none"/>
                      <w:lang w:val="en-US"/>
                    </w:rPr>
                  </w:pPr>
                </w:p>
              </w:tc>
              <w:tc>
                <w:tcPr>
                  <w:tcW w:w="459" w:type="pct"/>
                  <w:vMerge w:val="continue"/>
                  <w:tcBorders>
                    <w:tl2br w:val="nil"/>
                    <w:tr2bl w:val="nil"/>
                  </w:tcBorders>
                  <w:noWrap w:val="0"/>
                  <w:vAlign w:val="center"/>
                </w:tcPr>
                <w:p w14:paraId="23CEB952">
                  <w:pPr>
                    <w:pStyle w:val="63"/>
                    <w:keepNext w:val="0"/>
                    <w:keepLines/>
                    <w:pageBreakBefore w:val="0"/>
                    <w:widowControl/>
                    <w:kinsoku/>
                    <w:wordWrap/>
                    <w:overflowPunct/>
                    <w:topLinePunct w:val="0"/>
                    <w:bidi w:val="0"/>
                    <w:rPr>
                      <w:color w:val="auto"/>
                      <w:szCs w:val="21"/>
                      <w:highlight w:val="none"/>
                      <w:lang w:val="en-US"/>
                    </w:rPr>
                  </w:pPr>
                </w:p>
              </w:tc>
              <w:tc>
                <w:tcPr>
                  <w:tcW w:w="1822" w:type="pct"/>
                  <w:tcBorders>
                    <w:tl2br w:val="nil"/>
                    <w:tr2bl w:val="nil"/>
                  </w:tcBorders>
                  <w:noWrap w:val="0"/>
                  <w:vAlign w:val="center"/>
                </w:tcPr>
                <w:p w14:paraId="05AF7676">
                  <w:pPr>
                    <w:pStyle w:val="63"/>
                    <w:keepNext w:val="0"/>
                    <w:keepLines/>
                    <w:pageBreakBefore w:val="0"/>
                    <w:widowControl/>
                    <w:kinsoku/>
                    <w:wordWrap/>
                    <w:overflowPunct/>
                    <w:topLinePunct w:val="0"/>
                    <w:bidi w:val="0"/>
                    <w:rPr>
                      <w:color w:val="auto"/>
                      <w:szCs w:val="21"/>
                      <w:highlight w:val="none"/>
                      <w:lang w:val="en-US"/>
                    </w:rPr>
                  </w:pPr>
                  <w:r>
                    <w:rPr>
                      <w:color w:val="auto"/>
                      <w:szCs w:val="21"/>
                      <w:highlight w:val="none"/>
                      <w:lang w:val="en-US"/>
                    </w:rPr>
                    <w:t>A1.2-5严格管控自然保护地范围内非生态活动，稳妥推进核心区内居民、耕地有序退出，矿权依法依规退出。</w:t>
                  </w:r>
                </w:p>
              </w:tc>
              <w:tc>
                <w:tcPr>
                  <w:tcW w:w="1741" w:type="pct"/>
                  <w:tcBorders>
                    <w:tl2br w:val="nil"/>
                    <w:tr2bl w:val="nil"/>
                  </w:tcBorders>
                  <w:noWrap w:val="0"/>
                  <w:vAlign w:val="center"/>
                </w:tcPr>
                <w:p w14:paraId="03FFA7E5">
                  <w:pPr>
                    <w:pStyle w:val="62"/>
                    <w:keepNext w:val="0"/>
                    <w:keepLines/>
                    <w:pageBreakBefore w:val="0"/>
                    <w:widowControl/>
                    <w:kinsoku/>
                    <w:wordWrap/>
                    <w:overflowPunct/>
                    <w:topLinePunct w:val="0"/>
                    <w:bidi w:val="0"/>
                    <w:jc w:val="center"/>
                    <w:rPr>
                      <w:rFonts w:cs="Times New Roman"/>
                      <w:color w:val="auto"/>
                      <w:szCs w:val="21"/>
                      <w:highlight w:val="none"/>
                    </w:rPr>
                  </w:pPr>
                  <w:r>
                    <w:rPr>
                      <w:rFonts w:hint="eastAsia" w:cs="Times New Roman"/>
                      <w:color w:val="auto"/>
                      <w:szCs w:val="21"/>
                      <w:highlight w:val="none"/>
                    </w:rPr>
                    <w:t>项目不占用自然保护地</w:t>
                  </w:r>
                </w:p>
              </w:tc>
              <w:tc>
                <w:tcPr>
                  <w:tcW w:w="601" w:type="pct"/>
                  <w:tcBorders>
                    <w:tl2br w:val="nil"/>
                    <w:tr2bl w:val="nil"/>
                  </w:tcBorders>
                  <w:noWrap w:val="0"/>
                  <w:vAlign w:val="center"/>
                </w:tcPr>
                <w:p w14:paraId="7A85057E">
                  <w:pPr>
                    <w:pStyle w:val="62"/>
                    <w:keepNext w:val="0"/>
                    <w:keepLines/>
                    <w:pageBreakBefore w:val="0"/>
                    <w:widowControl/>
                    <w:kinsoku/>
                    <w:wordWrap/>
                    <w:overflowPunct/>
                    <w:topLinePunct w:val="0"/>
                    <w:bidi w:val="0"/>
                    <w:jc w:val="center"/>
                    <w:rPr>
                      <w:rFonts w:cs="Times New Roman"/>
                      <w:color w:val="auto"/>
                      <w:szCs w:val="21"/>
                      <w:highlight w:val="none"/>
                    </w:rPr>
                  </w:pPr>
                  <w:r>
                    <w:rPr>
                      <w:rFonts w:hint="eastAsia" w:cs="Times New Roman"/>
                      <w:color w:val="auto"/>
                      <w:szCs w:val="21"/>
                      <w:highlight w:val="none"/>
                    </w:rPr>
                    <w:t>符合</w:t>
                  </w:r>
                </w:p>
              </w:tc>
            </w:tr>
            <w:tr w14:paraId="0139704D">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75" w:type="pct"/>
                  <w:vMerge w:val="restart"/>
                  <w:tcBorders>
                    <w:tl2br w:val="nil"/>
                    <w:tr2bl w:val="nil"/>
                  </w:tcBorders>
                  <w:noWrap w:val="0"/>
                  <w:vAlign w:val="center"/>
                </w:tcPr>
                <w:p w14:paraId="0AA6AC3B">
                  <w:pPr>
                    <w:pStyle w:val="63"/>
                    <w:keepNext w:val="0"/>
                    <w:keepLines/>
                    <w:pageBreakBefore w:val="0"/>
                    <w:widowControl/>
                    <w:kinsoku/>
                    <w:wordWrap/>
                    <w:overflowPunct/>
                    <w:topLinePunct w:val="0"/>
                    <w:bidi w:val="0"/>
                    <w:rPr>
                      <w:color w:val="auto"/>
                      <w:szCs w:val="21"/>
                      <w:highlight w:val="none"/>
                      <w:lang w:val="en-US"/>
                    </w:rPr>
                  </w:pPr>
                  <w:r>
                    <w:rPr>
                      <w:rFonts w:hint="eastAsia"/>
                      <w:color w:val="auto"/>
                      <w:szCs w:val="21"/>
                      <w:highlight w:val="none"/>
                      <w:lang w:val="en-US"/>
                    </w:rPr>
                    <w:t>A.1空间布局约束</w:t>
                  </w:r>
                </w:p>
              </w:tc>
              <w:tc>
                <w:tcPr>
                  <w:tcW w:w="459" w:type="pct"/>
                  <w:vMerge w:val="restart"/>
                  <w:tcBorders>
                    <w:tl2br w:val="nil"/>
                    <w:tr2bl w:val="nil"/>
                  </w:tcBorders>
                  <w:noWrap w:val="0"/>
                  <w:vAlign w:val="center"/>
                </w:tcPr>
                <w:p w14:paraId="03BD75F1">
                  <w:pPr>
                    <w:pStyle w:val="63"/>
                    <w:keepNext w:val="0"/>
                    <w:keepLines/>
                    <w:pageBreakBefore w:val="0"/>
                    <w:widowControl/>
                    <w:kinsoku/>
                    <w:wordWrap/>
                    <w:overflowPunct/>
                    <w:topLinePunct w:val="0"/>
                    <w:bidi w:val="0"/>
                    <w:rPr>
                      <w:color w:val="auto"/>
                      <w:szCs w:val="21"/>
                      <w:highlight w:val="none"/>
                      <w:lang w:val="en-US"/>
                    </w:rPr>
                  </w:pPr>
                  <w:r>
                    <w:rPr>
                      <w:color w:val="auto"/>
                      <w:szCs w:val="21"/>
                      <w:highlight w:val="none"/>
                      <w:lang w:val="en-US"/>
                    </w:rPr>
                    <w:t>A1.3不符合空间布局要求活动的退出要求</w:t>
                  </w:r>
                </w:p>
              </w:tc>
              <w:tc>
                <w:tcPr>
                  <w:tcW w:w="1822" w:type="pct"/>
                  <w:tcBorders>
                    <w:tl2br w:val="nil"/>
                    <w:tr2bl w:val="nil"/>
                  </w:tcBorders>
                  <w:noWrap w:val="0"/>
                  <w:vAlign w:val="center"/>
                </w:tcPr>
                <w:p w14:paraId="15EFC2A1">
                  <w:pPr>
                    <w:pStyle w:val="63"/>
                    <w:keepNext w:val="0"/>
                    <w:keepLines/>
                    <w:pageBreakBefore w:val="0"/>
                    <w:widowControl/>
                    <w:kinsoku/>
                    <w:wordWrap/>
                    <w:overflowPunct/>
                    <w:topLinePunct w:val="0"/>
                    <w:bidi w:val="0"/>
                    <w:rPr>
                      <w:color w:val="auto"/>
                      <w:szCs w:val="21"/>
                      <w:highlight w:val="none"/>
                      <w:lang w:val="en-US"/>
                    </w:rPr>
                  </w:pPr>
                  <w:r>
                    <w:rPr>
                      <w:color w:val="auto"/>
                      <w:szCs w:val="21"/>
                      <w:highlight w:val="none"/>
                      <w:lang w:val="en-US"/>
                    </w:rPr>
                    <w:t>A1.3-1任何单位和个人不得在水源涵养区、饮用水水源保护区内和河流、湖泊、水库周围建设重化工、涉重金属等工业污染项目；对已建成的工业污染项目，当地人民政府应当组织限期搬迁。</w:t>
                  </w:r>
                </w:p>
              </w:tc>
              <w:tc>
                <w:tcPr>
                  <w:tcW w:w="1741" w:type="pct"/>
                  <w:tcBorders>
                    <w:tl2br w:val="nil"/>
                    <w:tr2bl w:val="nil"/>
                  </w:tcBorders>
                  <w:noWrap w:val="0"/>
                  <w:vAlign w:val="center"/>
                </w:tcPr>
                <w:p w14:paraId="28E29B1E">
                  <w:pPr>
                    <w:pStyle w:val="62"/>
                    <w:keepNext w:val="0"/>
                    <w:keepLines/>
                    <w:pageBreakBefore w:val="0"/>
                    <w:widowControl/>
                    <w:kinsoku/>
                    <w:wordWrap/>
                    <w:overflowPunct/>
                    <w:topLinePunct w:val="0"/>
                    <w:bidi w:val="0"/>
                    <w:jc w:val="center"/>
                    <w:rPr>
                      <w:rFonts w:cs="Times New Roman"/>
                      <w:color w:val="auto"/>
                      <w:szCs w:val="21"/>
                      <w:highlight w:val="none"/>
                    </w:rPr>
                  </w:pPr>
                  <w:r>
                    <w:rPr>
                      <w:rFonts w:cs="Times New Roman"/>
                      <w:color w:val="auto"/>
                      <w:szCs w:val="21"/>
                      <w:highlight w:val="none"/>
                    </w:rPr>
                    <w:t>项目评价范围内不涉及水源涵养区、地下水源、饮用水源、自然保护区、风景名胜区、森林公园、重要湿地等，属于生态影响类项目，不涉及工业污染。</w:t>
                  </w:r>
                </w:p>
              </w:tc>
              <w:tc>
                <w:tcPr>
                  <w:tcW w:w="601" w:type="pct"/>
                  <w:tcBorders>
                    <w:tl2br w:val="nil"/>
                    <w:tr2bl w:val="nil"/>
                  </w:tcBorders>
                  <w:noWrap w:val="0"/>
                  <w:vAlign w:val="center"/>
                </w:tcPr>
                <w:p w14:paraId="5BB7D973">
                  <w:pPr>
                    <w:pStyle w:val="62"/>
                    <w:keepNext w:val="0"/>
                    <w:keepLines/>
                    <w:pageBreakBefore w:val="0"/>
                    <w:widowControl/>
                    <w:kinsoku/>
                    <w:wordWrap/>
                    <w:overflowPunct/>
                    <w:topLinePunct w:val="0"/>
                    <w:bidi w:val="0"/>
                    <w:jc w:val="center"/>
                    <w:rPr>
                      <w:rFonts w:hint="eastAsia" w:cs="Times New Roman"/>
                      <w:color w:val="auto"/>
                      <w:szCs w:val="21"/>
                      <w:highlight w:val="none"/>
                    </w:rPr>
                  </w:pPr>
                  <w:r>
                    <w:rPr>
                      <w:rFonts w:hint="eastAsia" w:cs="Times New Roman"/>
                      <w:color w:val="auto"/>
                      <w:szCs w:val="21"/>
                      <w:highlight w:val="none"/>
                    </w:rPr>
                    <w:t>符合</w:t>
                  </w:r>
                </w:p>
              </w:tc>
            </w:tr>
            <w:tr w14:paraId="69D9422D">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75" w:type="pct"/>
                  <w:vMerge w:val="continue"/>
                  <w:tcBorders>
                    <w:tl2br w:val="nil"/>
                    <w:tr2bl w:val="nil"/>
                  </w:tcBorders>
                  <w:noWrap w:val="0"/>
                  <w:vAlign w:val="center"/>
                </w:tcPr>
                <w:p w14:paraId="3DD31B28">
                  <w:pPr>
                    <w:pStyle w:val="63"/>
                    <w:keepNext w:val="0"/>
                    <w:keepLines/>
                    <w:pageBreakBefore w:val="0"/>
                    <w:widowControl/>
                    <w:kinsoku/>
                    <w:wordWrap/>
                    <w:overflowPunct/>
                    <w:topLinePunct w:val="0"/>
                    <w:bidi w:val="0"/>
                    <w:rPr>
                      <w:color w:val="auto"/>
                      <w:szCs w:val="21"/>
                      <w:highlight w:val="none"/>
                      <w:lang w:val="en-US"/>
                    </w:rPr>
                  </w:pPr>
                </w:p>
              </w:tc>
              <w:tc>
                <w:tcPr>
                  <w:tcW w:w="459" w:type="pct"/>
                  <w:vMerge w:val="continue"/>
                  <w:tcBorders>
                    <w:tl2br w:val="nil"/>
                    <w:tr2bl w:val="nil"/>
                  </w:tcBorders>
                  <w:noWrap w:val="0"/>
                  <w:vAlign w:val="center"/>
                </w:tcPr>
                <w:p w14:paraId="5AF411E9">
                  <w:pPr>
                    <w:pStyle w:val="63"/>
                    <w:keepNext w:val="0"/>
                    <w:keepLines/>
                    <w:pageBreakBefore w:val="0"/>
                    <w:widowControl/>
                    <w:kinsoku/>
                    <w:wordWrap/>
                    <w:overflowPunct/>
                    <w:topLinePunct w:val="0"/>
                    <w:bidi w:val="0"/>
                    <w:rPr>
                      <w:color w:val="auto"/>
                      <w:szCs w:val="21"/>
                      <w:highlight w:val="none"/>
                      <w:lang w:val="en-US"/>
                    </w:rPr>
                  </w:pPr>
                </w:p>
              </w:tc>
              <w:tc>
                <w:tcPr>
                  <w:tcW w:w="1822" w:type="pct"/>
                  <w:tcBorders>
                    <w:tl2br w:val="nil"/>
                    <w:tr2bl w:val="nil"/>
                  </w:tcBorders>
                  <w:noWrap w:val="0"/>
                  <w:vAlign w:val="center"/>
                </w:tcPr>
                <w:p w14:paraId="58B7F327">
                  <w:pPr>
                    <w:pStyle w:val="63"/>
                    <w:keepNext w:val="0"/>
                    <w:keepLines/>
                    <w:pageBreakBefore w:val="0"/>
                    <w:widowControl/>
                    <w:kinsoku/>
                    <w:wordWrap/>
                    <w:overflowPunct/>
                    <w:topLinePunct w:val="0"/>
                    <w:bidi w:val="0"/>
                    <w:rPr>
                      <w:color w:val="auto"/>
                      <w:szCs w:val="21"/>
                      <w:highlight w:val="none"/>
                      <w:lang w:val="en-US"/>
                    </w:rPr>
                  </w:pPr>
                  <w:r>
                    <w:rPr>
                      <w:color w:val="auto"/>
                      <w:szCs w:val="21"/>
                      <w:highlight w:val="none"/>
                      <w:lang w:val="en-US"/>
                    </w:rPr>
                    <w:t>A1.3-2对不符合国家产业政策、严重污染水环境的生产项目全部予以取缔。</w:t>
                  </w:r>
                </w:p>
              </w:tc>
              <w:tc>
                <w:tcPr>
                  <w:tcW w:w="1741" w:type="pct"/>
                  <w:tcBorders>
                    <w:tl2br w:val="nil"/>
                    <w:tr2bl w:val="nil"/>
                  </w:tcBorders>
                  <w:noWrap w:val="0"/>
                  <w:vAlign w:val="center"/>
                </w:tcPr>
                <w:p w14:paraId="7B42D9F9">
                  <w:pPr>
                    <w:pStyle w:val="62"/>
                    <w:keepNext w:val="0"/>
                    <w:keepLines/>
                    <w:pageBreakBefore w:val="0"/>
                    <w:widowControl/>
                    <w:kinsoku/>
                    <w:wordWrap/>
                    <w:overflowPunct/>
                    <w:topLinePunct w:val="0"/>
                    <w:bidi w:val="0"/>
                    <w:jc w:val="center"/>
                    <w:rPr>
                      <w:rFonts w:cs="Times New Roman"/>
                      <w:color w:val="auto"/>
                      <w:szCs w:val="21"/>
                      <w:highlight w:val="none"/>
                    </w:rPr>
                  </w:pPr>
                  <w:r>
                    <w:rPr>
                      <w:rFonts w:hint="eastAsia" w:cs="Times New Roman"/>
                      <w:color w:val="auto"/>
                      <w:szCs w:val="21"/>
                      <w:highlight w:val="none"/>
                    </w:rPr>
                    <w:t>本项目为鼓励类项目，不属于严重污染水环境的项目</w:t>
                  </w:r>
                </w:p>
              </w:tc>
              <w:tc>
                <w:tcPr>
                  <w:tcW w:w="601" w:type="pct"/>
                  <w:tcBorders>
                    <w:tl2br w:val="nil"/>
                    <w:tr2bl w:val="nil"/>
                  </w:tcBorders>
                  <w:noWrap w:val="0"/>
                  <w:vAlign w:val="center"/>
                </w:tcPr>
                <w:p w14:paraId="7F7D8646">
                  <w:pPr>
                    <w:pStyle w:val="62"/>
                    <w:keepNext w:val="0"/>
                    <w:keepLines/>
                    <w:pageBreakBefore w:val="0"/>
                    <w:widowControl/>
                    <w:kinsoku/>
                    <w:wordWrap/>
                    <w:overflowPunct/>
                    <w:topLinePunct w:val="0"/>
                    <w:bidi w:val="0"/>
                    <w:jc w:val="center"/>
                    <w:rPr>
                      <w:rFonts w:hint="eastAsia" w:cs="Times New Roman"/>
                      <w:color w:val="auto"/>
                      <w:szCs w:val="21"/>
                      <w:highlight w:val="none"/>
                    </w:rPr>
                  </w:pPr>
                  <w:r>
                    <w:rPr>
                      <w:rFonts w:hint="eastAsia" w:cs="Times New Roman"/>
                      <w:color w:val="auto"/>
                      <w:szCs w:val="21"/>
                      <w:highlight w:val="none"/>
                    </w:rPr>
                    <w:t>符合</w:t>
                  </w:r>
                </w:p>
              </w:tc>
            </w:tr>
            <w:tr w14:paraId="1FEE2389">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75" w:type="pct"/>
                  <w:vMerge w:val="continue"/>
                  <w:tcBorders>
                    <w:tl2br w:val="nil"/>
                    <w:tr2bl w:val="nil"/>
                  </w:tcBorders>
                  <w:noWrap w:val="0"/>
                  <w:vAlign w:val="center"/>
                </w:tcPr>
                <w:p w14:paraId="489AC729">
                  <w:pPr>
                    <w:pStyle w:val="63"/>
                    <w:keepNext w:val="0"/>
                    <w:keepLines/>
                    <w:pageBreakBefore w:val="0"/>
                    <w:widowControl/>
                    <w:kinsoku/>
                    <w:wordWrap/>
                    <w:overflowPunct/>
                    <w:topLinePunct w:val="0"/>
                    <w:bidi w:val="0"/>
                    <w:rPr>
                      <w:color w:val="auto"/>
                      <w:szCs w:val="21"/>
                      <w:highlight w:val="none"/>
                      <w:lang w:val="en-US"/>
                    </w:rPr>
                  </w:pPr>
                </w:p>
              </w:tc>
              <w:tc>
                <w:tcPr>
                  <w:tcW w:w="459" w:type="pct"/>
                  <w:tcBorders>
                    <w:tl2br w:val="nil"/>
                    <w:tr2bl w:val="nil"/>
                  </w:tcBorders>
                  <w:noWrap w:val="0"/>
                  <w:vAlign w:val="center"/>
                </w:tcPr>
                <w:p w14:paraId="6D5D27D0">
                  <w:pPr>
                    <w:pStyle w:val="63"/>
                    <w:keepNext w:val="0"/>
                    <w:keepLines/>
                    <w:pageBreakBefore w:val="0"/>
                    <w:widowControl/>
                    <w:kinsoku/>
                    <w:wordWrap/>
                    <w:overflowPunct/>
                    <w:topLinePunct w:val="0"/>
                    <w:bidi w:val="0"/>
                    <w:rPr>
                      <w:color w:val="auto"/>
                      <w:szCs w:val="21"/>
                      <w:highlight w:val="none"/>
                      <w:lang w:val="en-US"/>
                    </w:rPr>
                  </w:pPr>
                  <w:r>
                    <w:rPr>
                      <w:color w:val="auto"/>
                      <w:szCs w:val="21"/>
                      <w:highlight w:val="none"/>
                      <w:lang w:val="en-US"/>
                    </w:rPr>
                    <w:t>A1.4其他布局要求</w:t>
                  </w:r>
                </w:p>
              </w:tc>
              <w:tc>
                <w:tcPr>
                  <w:tcW w:w="1822" w:type="pct"/>
                  <w:tcBorders>
                    <w:tl2br w:val="nil"/>
                    <w:tr2bl w:val="nil"/>
                  </w:tcBorders>
                  <w:noWrap w:val="0"/>
                  <w:vAlign w:val="center"/>
                </w:tcPr>
                <w:p w14:paraId="0530163F">
                  <w:pPr>
                    <w:pStyle w:val="63"/>
                    <w:keepNext w:val="0"/>
                    <w:keepLines/>
                    <w:pageBreakBefore w:val="0"/>
                    <w:widowControl/>
                    <w:kinsoku/>
                    <w:wordWrap/>
                    <w:overflowPunct/>
                    <w:topLinePunct w:val="0"/>
                    <w:bidi w:val="0"/>
                    <w:rPr>
                      <w:color w:val="auto"/>
                      <w:szCs w:val="21"/>
                      <w:highlight w:val="none"/>
                      <w:lang w:val="en-US"/>
                    </w:rPr>
                  </w:pPr>
                  <w:r>
                    <w:rPr>
                      <w:color w:val="auto"/>
                      <w:szCs w:val="21"/>
                      <w:highlight w:val="none"/>
                      <w:lang w:val="en-US"/>
                    </w:rPr>
                    <w:t>A1.4-1一切开发建设活动应符合国家、自治区主体功能区规划、自治区和各地颁布实施的生态环境功能区划、国民经济发展规划、产业发展规划、国土空间规划等相关规划及重点生态功能区负面清单要求，符合区域或产业规划环评要求。</w:t>
                  </w:r>
                </w:p>
              </w:tc>
              <w:tc>
                <w:tcPr>
                  <w:tcW w:w="1741" w:type="pct"/>
                  <w:tcBorders>
                    <w:tl2br w:val="nil"/>
                    <w:tr2bl w:val="nil"/>
                  </w:tcBorders>
                  <w:noWrap w:val="0"/>
                  <w:vAlign w:val="center"/>
                </w:tcPr>
                <w:p w14:paraId="69B80460">
                  <w:pPr>
                    <w:pStyle w:val="62"/>
                    <w:keepNext w:val="0"/>
                    <w:keepLines/>
                    <w:pageBreakBefore w:val="0"/>
                    <w:widowControl/>
                    <w:kinsoku/>
                    <w:wordWrap/>
                    <w:overflowPunct/>
                    <w:topLinePunct w:val="0"/>
                    <w:bidi w:val="0"/>
                    <w:jc w:val="center"/>
                    <w:rPr>
                      <w:rFonts w:cs="Times New Roman"/>
                      <w:color w:val="auto"/>
                      <w:szCs w:val="21"/>
                      <w:highlight w:val="none"/>
                    </w:rPr>
                  </w:pPr>
                  <w:r>
                    <w:rPr>
                      <w:rFonts w:hint="eastAsia" w:cs="Times New Roman"/>
                      <w:color w:val="auto"/>
                      <w:szCs w:val="21"/>
                      <w:highlight w:val="none"/>
                    </w:rPr>
                    <w:t>本项目符合</w:t>
                  </w:r>
                  <w:r>
                    <w:rPr>
                      <w:rFonts w:cs="Times New Roman"/>
                      <w:color w:val="auto"/>
                      <w:szCs w:val="21"/>
                      <w:highlight w:val="none"/>
                    </w:rPr>
                    <w:t>自治区主体功能区规划、自治区和各地颁布实施的生态环境功能区划</w:t>
                  </w:r>
                  <w:r>
                    <w:rPr>
                      <w:rFonts w:hint="eastAsia" w:cs="Times New Roman"/>
                      <w:color w:val="auto"/>
                      <w:szCs w:val="21"/>
                      <w:highlight w:val="none"/>
                    </w:rPr>
                    <w:t>等要求</w:t>
                  </w:r>
                </w:p>
              </w:tc>
              <w:tc>
                <w:tcPr>
                  <w:tcW w:w="601" w:type="pct"/>
                  <w:tcBorders>
                    <w:tl2br w:val="nil"/>
                    <w:tr2bl w:val="nil"/>
                  </w:tcBorders>
                  <w:noWrap w:val="0"/>
                  <w:vAlign w:val="center"/>
                </w:tcPr>
                <w:p w14:paraId="59B85B6A">
                  <w:pPr>
                    <w:pStyle w:val="62"/>
                    <w:keepNext w:val="0"/>
                    <w:keepLines/>
                    <w:pageBreakBefore w:val="0"/>
                    <w:widowControl/>
                    <w:kinsoku/>
                    <w:wordWrap/>
                    <w:overflowPunct/>
                    <w:topLinePunct w:val="0"/>
                    <w:bidi w:val="0"/>
                    <w:jc w:val="center"/>
                    <w:rPr>
                      <w:rFonts w:hint="eastAsia" w:cs="Times New Roman"/>
                      <w:color w:val="auto"/>
                      <w:szCs w:val="21"/>
                      <w:highlight w:val="none"/>
                    </w:rPr>
                  </w:pPr>
                  <w:r>
                    <w:rPr>
                      <w:rFonts w:hint="eastAsia" w:cs="Times New Roman"/>
                      <w:color w:val="auto"/>
                      <w:szCs w:val="21"/>
                      <w:highlight w:val="none"/>
                    </w:rPr>
                    <w:t>符合</w:t>
                  </w:r>
                </w:p>
              </w:tc>
            </w:tr>
            <w:tr w14:paraId="6ED08BE4">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75" w:type="pct"/>
                  <w:vMerge w:val="restart"/>
                  <w:tcBorders>
                    <w:tl2br w:val="nil"/>
                    <w:tr2bl w:val="nil"/>
                  </w:tcBorders>
                  <w:noWrap w:val="0"/>
                  <w:vAlign w:val="center"/>
                </w:tcPr>
                <w:p w14:paraId="5DC92AD6">
                  <w:pPr>
                    <w:pStyle w:val="63"/>
                    <w:keepNext w:val="0"/>
                    <w:keepLines/>
                    <w:pageBreakBefore w:val="0"/>
                    <w:widowControl/>
                    <w:kinsoku/>
                    <w:wordWrap/>
                    <w:overflowPunct/>
                    <w:topLinePunct w:val="0"/>
                    <w:bidi w:val="0"/>
                    <w:rPr>
                      <w:color w:val="auto"/>
                      <w:szCs w:val="21"/>
                      <w:highlight w:val="none"/>
                      <w:lang w:val="en-US"/>
                    </w:rPr>
                  </w:pPr>
                  <w:r>
                    <w:rPr>
                      <w:rFonts w:hint="eastAsia"/>
                      <w:color w:val="auto"/>
                      <w:szCs w:val="21"/>
                      <w:highlight w:val="none"/>
                      <w:lang w:val="en-US"/>
                    </w:rPr>
                    <w:t>A.2污染物排放控制</w:t>
                  </w:r>
                </w:p>
              </w:tc>
              <w:tc>
                <w:tcPr>
                  <w:tcW w:w="459" w:type="pct"/>
                  <w:vMerge w:val="restart"/>
                  <w:tcBorders>
                    <w:tl2br w:val="nil"/>
                    <w:tr2bl w:val="nil"/>
                  </w:tcBorders>
                  <w:noWrap w:val="0"/>
                  <w:vAlign w:val="center"/>
                </w:tcPr>
                <w:p w14:paraId="5E6965D3">
                  <w:pPr>
                    <w:pStyle w:val="63"/>
                    <w:keepNext w:val="0"/>
                    <w:keepLines/>
                    <w:pageBreakBefore w:val="0"/>
                    <w:widowControl/>
                    <w:kinsoku/>
                    <w:wordWrap/>
                    <w:overflowPunct/>
                    <w:topLinePunct w:val="0"/>
                    <w:bidi w:val="0"/>
                    <w:rPr>
                      <w:color w:val="auto"/>
                      <w:szCs w:val="21"/>
                      <w:highlight w:val="none"/>
                      <w:lang w:val="en-US"/>
                    </w:rPr>
                  </w:pPr>
                  <w:r>
                    <w:rPr>
                      <w:color w:val="auto"/>
                      <w:szCs w:val="21"/>
                      <w:highlight w:val="none"/>
                      <w:lang w:val="en-US"/>
                    </w:rPr>
                    <w:t>A2.1污染物削减/替代要求</w:t>
                  </w:r>
                </w:p>
              </w:tc>
              <w:tc>
                <w:tcPr>
                  <w:tcW w:w="1822" w:type="pct"/>
                  <w:tcBorders>
                    <w:tl2br w:val="nil"/>
                    <w:tr2bl w:val="nil"/>
                  </w:tcBorders>
                  <w:noWrap w:val="0"/>
                  <w:vAlign w:val="center"/>
                </w:tcPr>
                <w:p w14:paraId="26F1161A">
                  <w:pPr>
                    <w:pStyle w:val="63"/>
                    <w:keepNext w:val="0"/>
                    <w:keepLines/>
                    <w:pageBreakBefore w:val="0"/>
                    <w:widowControl/>
                    <w:kinsoku/>
                    <w:wordWrap/>
                    <w:overflowPunct/>
                    <w:topLinePunct w:val="0"/>
                    <w:bidi w:val="0"/>
                    <w:rPr>
                      <w:color w:val="auto"/>
                      <w:szCs w:val="21"/>
                      <w:highlight w:val="none"/>
                      <w:lang w:val="en-US"/>
                    </w:rPr>
                  </w:pPr>
                  <w:r>
                    <w:rPr>
                      <w:color w:val="auto"/>
                      <w:szCs w:val="21"/>
                      <w:highlight w:val="none"/>
                      <w:lang w:val="en-US"/>
                    </w:rPr>
                    <w:t>A2.1-1新、改、扩建重点行业建设项目应符合</w:t>
                  </w:r>
                  <w:r>
                    <w:rPr>
                      <w:rFonts w:hint="eastAsia"/>
                      <w:color w:val="auto"/>
                      <w:szCs w:val="21"/>
                      <w:highlight w:val="none"/>
                      <w:lang w:val="en-US"/>
                    </w:rPr>
                    <w:t>“</w:t>
                  </w:r>
                  <w:r>
                    <w:rPr>
                      <w:color w:val="auto"/>
                      <w:szCs w:val="21"/>
                      <w:highlight w:val="none"/>
                      <w:lang w:val="en-US"/>
                    </w:rPr>
                    <w:t>三线一单</w:t>
                  </w:r>
                  <w:r>
                    <w:rPr>
                      <w:rFonts w:hint="eastAsia"/>
                      <w:color w:val="auto"/>
                      <w:szCs w:val="21"/>
                      <w:highlight w:val="none"/>
                      <w:lang w:val="en-US"/>
                    </w:rPr>
                    <w:t>”</w:t>
                  </w:r>
                  <w:r>
                    <w:rPr>
                      <w:color w:val="auto"/>
                      <w:szCs w:val="21"/>
                      <w:highlight w:val="none"/>
                      <w:lang w:val="en-US"/>
                    </w:rPr>
                    <w:t>、产业政策、区域环评、规划环评和行业环境准入管控要求。重点区域的新、改、扩建重点行业建设项目应遵循重点重金属污染物排放</w:t>
                  </w:r>
                  <w:r>
                    <w:rPr>
                      <w:rFonts w:hint="eastAsia"/>
                      <w:color w:val="auto"/>
                      <w:szCs w:val="21"/>
                      <w:highlight w:val="none"/>
                      <w:lang w:val="en-US"/>
                    </w:rPr>
                    <w:t>“</w:t>
                  </w:r>
                  <w:r>
                    <w:rPr>
                      <w:color w:val="auto"/>
                      <w:szCs w:val="21"/>
                      <w:highlight w:val="none"/>
                      <w:lang w:val="en-US"/>
                    </w:rPr>
                    <w:t>减量替代</w:t>
                  </w:r>
                  <w:r>
                    <w:rPr>
                      <w:rFonts w:hint="eastAsia"/>
                      <w:color w:val="auto"/>
                      <w:szCs w:val="21"/>
                      <w:highlight w:val="none"/>
                      <w:lang w:val="en-US"/>
                    </w:rPr>
                    <w:t>”</w:t>
                  </w:r>
                  <w:r>
                    <w:rPr>
                      <w:color w:val="auto"/>
                      <w:szCs w:val="21"/>
                      <w:highlight w:val="none"/>
                      <w:lang w:val="en-US"/>
                    </w:rPr>
                    <w:t>原则。</w:t>
                  </w:r>
                </w:p>
              </w:tc>
              <w:tc>
                <w:tcPr>
                  <w:tcW w:w="1741" w:type="pct"/>
                  <w:vMerge w:val="restart"/>
                  <w:tcBorders>
                    <w:tl2br w:val="nil"/>
                    <w:tr2bl w:val="nil"/>
                  </w:tcBorders>
                  <w:noWrap w:val="0"/>
                  <w:vAlign w:val="center"/>
                </w:tcPr>
                <w:p w14:paraId="3D1D6C36">
                  <w:pPr>
                    <w:pStyle w:val="62"/>
                    <w:keepNext w:val="0"/>
                    <w:keepLines/>
                    <w:pageBreakBefore w:val="0"/>
                    <w:widowControl/>
                    <w:kinsoku/>
                    <w:wordWrap/>
                    <w:overflowPunct/>
                    <w:topLinePunct w:val="0"/>
                    <w:bidi w:val="0"/>
                    <w:jc w:val="center"/>
                    <w:rPr>
                      <w:rFonts w:cs="Times New Roman"/>
                      <w:color w:val="auto"/>
                      <w:szCs w:val="21"/>
                      <w:highlight w:val="none"/>
                    </w:rPr>
                  </w:pPr>
                  <w:r>
                    <w:rPr>
                      <w:rFonts w:cs="Times New Roman"/>
                      <w:color w:val="auto"/>
                      <w:szCs w:val="21"/>
                      <w:highlight w:val="none"/>
                    </w:rPr>
                    <w:t>本项目</w:t>
                  </w:r>
                  <w:r>
                    <w:rPr>
                      <w:rFonts w:hint="eastAsia" w:cs="Times New Roman"/>
                      <w:color w:val="auto"/>
                      <w:szCs w:val="21"/>
                      <w:highlight w:val="none"/>
                      <w:lang w:eastAsia="zh-CN"/>
                    </w:rPr>
                    <w:t>属于</w:t>
                  </w:r>
                  <w:r>
                    <w:rPr>
                      <w:rFonts w:cs="Times New Roman"/>
                      <w:color w:val="auto"/>
                      <w:szCs w:val="21"/>
                      <w:highlight w:val="none"/>
                    </w:rPr>
                    <w:t>生态影响类项目，不设总量控制指标，不涉及污染物削减/替代。</w:t>
                  </w:r>
                </w:p>
              </w:tc>
              <w:tc>
                <w:tcPr>
                  <w:tcW w:w="601" w:type="pct"/>
                  <w:tcBorders>
                    <w:tl2br w:val="nil"/>
                    <w:tr2bl w:val="nil"/>
                  </w:tcBorders>
                  <w:noWrap w:val="0"/>
                  <w:vAlign w:val="center"/>
                </w:tcPr>
                <w:p w14:paraId="02FD4253">
                  <w:pPr>
                    <w:pStyle w:val="62"/>
                    <w:keepNext w:val="0"/>
                    <w:keepLines/>
                    <w:pageBreakBefore w:val="0"/>
                    <w:widowControl/>
                    <w:kinsoku/>
                    <w:wordWrap/>
                    <w:overflowPunct/>
                    <w:topLinePunct w:val="0"/>
                    <w:bidi w:val="0"/>
                    <w:jc w:val="center"/>
                    <w:rPr>
                      <w:rFonts w:hint="eastAsia" w:cs="Times New Roman"/>
                      <w:color w:val="auto"/>
                      <w:szCs w:val="21"/>
                      <w:highlight w:val="none"/>
                    </w:rPr>
                  </w:pPr>
                  <w:r>
                    <w:rPr>
                      <w:rFonts w:hint="eastAsia" w:cs="Times New Roman"/>
                      <w:color w:val="auto"/>
                      <w:szCs w:val="21"/>
                      <w:highlight w:val="none"/>
                    </w:rPr>
                    <w:t>符合</w:t>
                  </w:r>
                </w:p>
              </w:tc>
            </w:tr>
            <w:tr w14:paraId="3FABB014">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75" w:type="pct"/>
                  <w:vMerge w:val="continue"/>
                  <w:tcBorders>
                    <w:tl2br w:val="nil"/>
                    <w:tr2bl w:val="nil"/>
                  </w:tcBorders>
                  <w:noWrap w:val="0"/>
                  <w:vAlign w:val="center"/>
                </w:tcPr>
                <w:p w14:paraId="7CCF9B94">
                  <w:pPr>
                    <w:pStyle w:val="63"/>
                    <w:keepNext w:val="0"/>
                    <w:keepLines/>
                    <w:pageBreakBefore w:val="0"/>
                    <w:widowControl/>
                    <w:kinsoku/>
                    <w:wordWrap/>
                    <w:overflowPunct/>
                    <w:topLinePunct w:val="0"/>
                    <w:bidi w:val="0"/>
                    <w:rPr>
                      <w:color w:val="auto"/>
                      <w:szCs w:val="21"/>
                      <w:highlight w:val="none"/>
                      <w:lang w:val="en-US"/>
                    </w:rPr>
                  </w:pPr>
                </w:p>
              </w:tc>
              <w:tc>
                <w:tcPr>
                  <w:tcW w:w="459" w:type="pct"/>
                  <w:vMerge w:val="continue"/>
                  <w:tcBorders>
                    <w:tl2br w:val="nil"/>
                    <w:tr2bl w:val="nil"/>
                  </w:tcBorders>
                  <w:noWrap w:val="0"/>
                  <w:vAlign w:val="center"/>
                </w:tcPr>
                <w:p w14:paraId="6055E3A2">
                  <w:pPr>
                    <w:pStyle w:val="63"/>
                    <w:keepNext w:val="0"/>
                    <w:keepLines/>
                    <w:pageBreakBefore w:val="0"/>
                    <w:widowControl/>
                    <w:kinsoku/>
                    <w:wordWrap/>
                    <w:overflowPunct/>
                    <w:topLinePunct w:val="0"/>
                    <w:bidi w:val="0"/>
                    <w:rPr>
                      <w:color w:val="auto"/>
                      <w:szCs w:val="21"/>
                      <w:highlight w:val="none"/>
                      <w:lang w:val="en-US"/>
                    </w:rPr>
                  </w:pPr>
                </w:p>
              </w:tc>
              <w:tc>
                <w:tcPr>
                  <w:tcW w:w="1822" w:type="pct"/>
                  <w:tcBorders>
                    <w:tl2br w:val="nil"/>
                    <w:tr2bl w:val="nil"/>
                  </w:tcBorders>
                  <w:noWrap w:val="0"/>
                  <w:vAlign w:val="center"/>
                </w:tcPr>
                <w:p w14:paraId="3A96DCCC">
                  <w:pPr>
                    <w:pStyle w:val="63"/>
                    <w:keepNext w:val="0"/>
                    <w:keepLines/>
                    <w:pageBreakBefore w:val="0"/>
                    <w:widowControl/>
                    <w:kinsoku/>
                    <w:wordWrap/>
                    <w:overflowPunct/>
                    <w:topLinePunct w:val="0"/>
                    <w:bidi w:val="0"/>
                    <w:rPr>
                      <w:color w:val="auto"/>
                      <w:szCs w:val="21"/>
                      <w:highlight w:val="none"/>
                      <w:lang w:val="en-US"/>
                    </w:rPr>
                  </w:pPr>
                  <w:r>
                    <w:rPr>
                      <w:color w:val="auto"/>
                      <w:szCs w:val="21"/>
                      <w:highlight w:val="none"/>
                      <w:lang w:val="en-US"/>
                    </w:rPr>
                    <w:t>A2.1-3促进大气污染物与</w:t>
                  </w:r>
                  <w:r>
                    <w:rPr>
                      <w:rFonts w:hint="eastAsia"/>
                      <w:color w:val="auto"/>
                      <w:szCs w:val="21"/>
                      <w:highlight w:val="none"/>
                      <w:lang w:val="en-US"/>
                    </w:rPr>
                    <w:t>温室</w:t>
                  </w:r>
                  <w:r>
                    <w:rPr>
                      <w:color w:val="auto"/>
                      <w:szCs w:val="21"/>
                      <w:highlight w:val="none"/>
                      <w:lang w:val="en-US"/>
                    </w:rPr>
                    <w:t>气体协同控制。实施污染物和温室气体协同控制，实现减污降碳协同效应。开展工业、农业温室气体和污染减排协同控制研究，减少温室气体和污染物排放。强化污水、垃圾等集中处置设施环境管理，协同控制氢氟碳化物、甲烷、</w:t>
                  </w:r>
                  <w:r>
                    <w:rPr>
                      <w:rFonts w:hint="eastAsia"/>
                      <w:color w:val="auto"/>
                      <w:szCs w:val="21"/>
                      <w:highlight w:val="none"/>
                      <w:lang w:val="en-US" w:eastAsia="zh-CN"/>
                    </w:rPr>
                    <w:t>氧化亚氮</w:t>
                  </w:r>
                  <w:r>
                    <w:rPr>
                      <w:color w:val="auto"/>
                      <w:szCs w:val="21"/>
                      <w:highlight w:val="none"/>
                      <w:lang w:val="en-US"/>
                    </w:rPr>
                    <w:t>等温室气体。加强节约能源与大气污染防治协同有效衔接，促进大气污染防治协同增效。</w:t>
                  </w:r>
                </w:p>
              </w:tc>
              <w:tc>
                <w:tcPr>
                  <w:tcW w:w="1741" w:type="pct"/>
                  <w:vMerge w:val="continue"/>
                  <w:tcBorders>
                    <w:tl2br w:val="nil"/>
                    <w:tr2bl w:val="nil"/>
                  </w:tcBorders>
                  <w:noWrap w:val="0"/>
                  <w:vAlign w:val="center"/>
                </w:tcPr>
                <w:p w14:paraId="66C71D60">
                  <w:pPr>
                    <w:pStyle w:val="62"/>
                    <w:keepNext w:val="0"/>
                    <w:keepLines/>
                    <w:pageBreakBefore w:val="0"/>
                    <w:widowControl/>
                    <w:kinsoku/>
                    <w:wordWrap/>
                    <w:overflowPunct/>
                    <w:topLinePunct w:val="0"/>
                    <w:bidi w:val="0"/>
                    <w:jc w:val="center"/>
                    <w:rPr>
                      <w:rFonts w:cs="Times New Roman"/>
                      <w:color w:val="auto"/>
                      <w:szCs w:val="21"/>
                      <w:highlight w:val="none"/>
                    </w:rPr>
                  </w:pPr>
                </w:p>
              </w:tc>
              <w:tc>
                <w:tcPr>
                  <w:tcW w:w="601" w:type="pct"/>
                  <w:tcBorders>
                    <w:tl2br w:val="nil"/>
                    <w:tr2bl w:val="nil"/>
                  </w:tcBorders>
                  <w:noWrap w:val="0"/>
                  <w:vAlign w:val="center"/>
                </w:tcPr>
                <w:p w14:paraId="5D92498F">
                  <w:pPr>
                    <w:pStyle w:val="62"/>
                    <w:keepNext w:val="0"/>
                    <w:keepLines/>
                    <w:pageBreakBefore w:val="0"/>
                    <w:widowControl/>
                    <w:kinsoku/>
                    <w:wordWrap/>
                    <w:overflowPunct/>
                    <w:topLinePunct w:val="0"/>
                    <w:bidi w:val="0"/>
                    <w:jc w:val="center"/>
                    <w:rPr>
                      <w:rFonts w:hint="eastAsia" w:cs="Times New Roman"/>
                      <w:color w:val="auto"/>
                      <w:szCs w:val="21"/>
                      <w:highlight w:val="none"/>
                    </w:rPr>
                  </w:pPr>
                  <w:r>
                    <w:rPr>
                      <w:rFonts w:hint="eastAsia" w:cs="Times New Roman"/>
                      <w:color w:val="auto"/>
                      <w:szCs w:val="21"/>
                      <w:highlight w:val="none"/>
                    </w:rPr>
                    <w:t>符合</w:t>
                  </w:r>
                </w:p>
              </w:tc>
            </w:tr>
            <w:tr w14:paraId="4FA8361F">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75" w:type="pct"/>
                  <w:vMerge w:val="restart"/>
                  <w:tcBorders>
                    <w:tl2br w:val="nil"/>
                    <w:tr2bl w:val="nil"/>
                  </w:tcBorders>
                  <w:noWrap w:val="0"/>
                  <w:vAlign w:val="center"/>
                </w:tcPr>
                <w:p w14:paraId="28FC7033">
                  <w:pPr>
                    <w:pStyle w:val="63"/>
                    <w:keepNext w:val="0"/>
                    <w:keepLines/>
                    <w:pageBreakBefore w:val="0"/>
                    <w:widowControl/>
                    <w:kinsoku/>
                    <w:wordWrap/>
                    <w:overflowPunct/>
                    <w:topLinePunct w:val="0"/>
                    <w:bidi w:val="0"/>
                    <w:rPr>
                      <w:color w:val="auto"/>
                      <w:szCs w:val="21"/>
                      <w:highlight w:val="none"/>
                      <w:lang w:val="en-US"/>
                    </w:rPr>
                  </w:pPr>
                  <w:r>
                    <w:rPr>
                      <w:rFonts w:hint="eastAsia"/>
                      <w:color w:val="auto"/>
                      <w:szCs w:val="21"/>
                      <w:highlight w:val="none"/>
                      <w:lang w:val="en-US"/>
                    </w:rPr>
                    <w:t>A.2污染物排放控制</w:t>
                  </w:r>
                </w:p>
              </w:tc>
              <w:tc>
                <w:tcPr>
                  <w:tcW w:w="459" w:type="pct"/>
                  <w:vMerge w:val="restart"/>
                  <w:tcBorders>
                    <w:tl2br w:val="nil"/>
                    <w:tr2bl w:val="nil"/>
                  </w:tcBorders>
                  <w:noWrap w:val="0"/>
                  <w:vAlign w:val="center"/>
                </w:tcPr>
                <w:p w14:paraId="72BB4701">
                  <w:pPr>
                    <w:pStyle w:val="63"/>
                    <w:keepNext w:val="0"/>
                    <w:keepLines/>
                    <w:pageBreakBefore w:val="0"/>
                    <w:widowControl/>
                    <w:kinsoku/>
                    <w:wordWrap/>
                    <w:overflowPunct/>
                    <w:topLinePunct w:val="0"/>
                    <w:bidi w:val="0"/>
                    <w:rPr>
                      <w:color w:val="auto"/>
                      <w:szCs w:val="21"/>
                      <w:highlight w:val="none"/>
                      <w:lang w:val="en-US"/>
                    </w:rPr>
                  </w:pPr>
                  <w:r>
                    <w:rPr>
                      <w:color w:val="auto"/>
                      <w:szCs w:val="21"/>
                      <w:highlight w:val="none"/>
                      <w:lang w:val="en-US"/>
                    </w:rPr>
                    <w:t>A2.2污染控制措施要求</w:t>
                  </w:r>
                </w:p>
              </w:tc>
              <w:tc>
                <w:tcPr>
                  <w:tcW w:w="1822" w:type="pct"/>
                  <w:tcBorders>
                    <w:tl2br w:val="nil"/>
                    <w:tr2bl w:val="nil"/>
                  </w:tcBorders>
                  <w:noWrap w:val="0"/>
                  <w:vAlign w:val="center"/>
                </w:tcPr>
                <w:p w14:paraId="5EF79944">
                  <w:pPr>
                    <w:pStyle w:val="63"/>
                    <w:keepNext w:val="0"/>
                    <w:keepLines/>
                    <w:pageBreakBefore w:val="0"/>
                    <w:widowControl/>
                    <w:kinsoku/>
                    <w:wordWrap/>
                    <w:overflowPunct/>
                    <w:topLinePunct w:val="0"/>
                    <w:bidi w:val="0"/>
                    <w:rPr>
                      <w:color w:val="auto"/>
                      <w:szCs w:val="21"/>
                      <w:highlight w:val="none"/>
                      <w:lang w:val="en-US"/>
                    </w:rPr>
                  </w:pPr>
                  <w:r>
                    <w:rPr>
                      <w:color w:val="auto"/>
                      <w:szCs w:val="21"/>
                      <w:highlight w:val="none"/>
                      <w:lang w:val="en-US"/>
                    </w:rPr>
                    <w:t>A2.2-3强化重点区域大气污染联防联控，合理确定产业布局，推动区域内统一产业准入和排放标准。实施水泥行业错峰生产，推进散煤整治、挥发性有机污染物综合治理、钢铁、水泥、焦化和燃煤工业锅炉行业超低排放改造、燃气锅炉低氨燃烧改造、工业园区内轨道运输（大宗货物</w:t>
                  </w:r>
                  <w:r>
                    <w:rPr>
                      <w:rFonts w:hint="eastAsia"/>
                      <w:color w:val="auto"/>
                      <w:szCs w:val="21"/>
                      <w:highlight w:val="none"/>
                      <w:lang w:val="en-US"/>
                    </w:rPr>
                    <w:t>“</w:t>
                  </w:r>
                  <w:r>
                    <w:rPr>
                      <w:color w:val="auto"/>
                      <w:szCs w:val="21"/>
                      <w:highlight w:val="none"/>
                      <w:lang w:val="en-US"/>
                    </w:rPr>
                    <w:t>公转铁</w:t>
                  </w:r>
                  <w:r>
                    <w:rPr>
                      <w:rFonts w:hint="eastAsia"/>
                      <w:color w:val="auto"/>
                      <w:szCs w:val="21"/>
                      <w:highlight w:val="none"/>
                      <w:lang w:val="en-US"/>
                    </w:rPr>
                    <w:t>”</w:t>
                  </w:r>
                  <w:r>
                    <w:rPr>
                      <w:color w:val="auto"/>
                      <w:szCs w:val="21"/>
                      <w:highlight w:val="none"/>
                      <w:lang w:val="en-US"/>
                    </w:rPr>
                    <w:t>）、柴油货车治理、锅炉炉窑综合治理等工程项目。全面推行绿色施工，持续推动城市建成区重污染企业搬迁或关闭退出。</w:t>
                  </w:r>
                </w:p>
              </w:tc>
              <w:tc>
                <w:tcPr>
                  <w:tcW w:w="1741" w:type="pct"/>
                  <w:tcBorders>
                    <w:tl2br w:val="nil"/>
                    <w:tr2bl w:val="nil"/>
                  </w:tcBorders>
                  <w:noWrap w:val="0"/>
                  <w:vAlign w:val="center"/>
                </w:tcPr>
                <w:p w14:paraId="411B48D8">
                  <w:pPr>
                    <w:pStyle w:val="62"/>
                    <w:keepNext w:val="0"/>
                    <w:keepLines/>
                    <w:pageBreakBefore w:val="0"/>
                    <w:widowControl/>
                    <w:kinsoku/>
                    <w:wordWrap/>
                    <w:overflowPunct/>
                    <w:topLinePunct w:val="0"/>
                    <w:bidi w:val="0"/>
                    <w:jc w:val="center"/>
                    <w:rPr>
                      <w:rFonts w:cs="Times New Roman"/>
                      <w:color w:val="auto"/>
                      <w:szCs w:val="21"/>
                      <w:highlight w:val="none"/>
                    </w:rPr>
                  </w:pPr>
                  <w:r>
                    <w:rPr>
                      <w:rFonts w:cs="Times New Roman"/>
                      <w:color w:val="auto"/>
                      <w:szCs w:val="21"/>
                      <w:highlight w:val="none"/>
                    </w:rPr>
                    <w:t>本项目属生态影响类项目，主要环境空气污染为施工期影响，主要是施工场地扬尘，施工机械废气和车辆运输废气等。采取洒水抑尘、分段施工、进出场车辆遮盖、起尘物料洒水降尘、运输车辆限载、限速、场地围挡等环境保护措施后，可以将影响降到最低，且影响会随着施工的结束</w:t>
                  </w:r>
                  <w:r>
                    <w:rPr>
                      <w:rFonts w:hint="eastAsia" w:cs="Times New Roman"/>
                      <w:color w:val="auto"/>
                      <w:szCs w:val="21"/>
                      <w:highlight w:val="none"/>
                      <w:lang w:eastAsia="zh-CN"/>
                    </w:rPr>
                    <w:t>而</w:t>
                  </w:r>
                  <w:r>
                    <w:rPr>
                      <w:rFonts w:cs="Times New Roman"/>
                      <w:color w:val="auto"/>
                      <w:szCs w:val="21"/>
                      <w:highlight w:val="none"/>
                    </w:rPr>
                    <w:t>消失。运营期无废气。</w:t>
                  </w:r>
                </w:p>
              </w:tc>
              <w:tc>
                <w:tcPr>
                  <w:tcW w:w="601" w:type="pct"/>
                  <w:tcBorders>
                    <w:tl2br w:val="nil"/>
                    <w:tr2bl w:val="nil"/>
                  </w:tcBorders>
                  <w:noWrap w:val="0"/>
                  <w:vAlign w:val="center"/>
                </w:tcPr>
                <w:p w14:paraId="079DA2A7">
                  <w:pPr>
                    <w:pStyle w:val="62"/>
                    <w:keepNext w:val="0"/>
                    <w:keepLines/>
                    <w:pageBreakBefore w:val="0"/>
                    <w:widowControl/>
                    <w:kinsoku/>
                    <w:wordWrap/>
                    <w:overflowPunct/>
                    <w:topLinePunct w:val="0"/>
                    <w:bidi w:val="0"/>
                    <w:jc w:val="center"/>
                    <w:rPr>
                      <w:rFonts w:hint="eastAsia" w:cs="Times New Roman"/>
                      <w:color w:val="auto"/>
                      <w:szCs w:val="21"/>
                      <w:highlight w:val="none"/>
                    </w:rPr>
                  </w:pPr>
                  <w:r>
                    <w:rPr>
                      <w:rFonts w:hint="eastAsia" w:cs="Times New Roman"/>
                      <w:color w:val="auto"/>
                      <w:szCs w:val="21"/>
                      <w:highlight w:val="none"/>
                    </w:rPr>
                    <w:t>符合</w:t>
                  </w:r>
                </w:p>
              </w:tc>
            </w:tr>
            <w:tr w14:paraId="412E5B2C">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75" w:type="pct"/>
                  <w:vMerge w:val="continue"/>
                  <w:tcBorders>
                    <w:tl2br w:val="nil"/>
                    <w:tr2bl w:val="nil"/>
                  </w:tcBorders>
                  <w:noWrap w:val="0"/>
                  <w:vAlign w:val="center"/>
                </w:tcPr>
                <w:p w14:paraId="6BA22E08">
                  <w:pPr>
                    <w:pStyle w:val="63"/>
                    <w:keepNext w:val="0"/>
                    <w:keepLines/>
                    <w:pageBreakBefore w:val="0"/>
                    <w:widowControl/>
                    <w:kinsoku/>
                    <w:wordWrap/>
                    <w:overflowPunct/>
                    <w:topLinePunct w:val="0"/>
                    <w:bidi w:val="0"/>
                    <w:rPr>
                      <w:color w:val="auto"/>
                      <w:szCs w:val="21"/>
                      <w:highlight w:val="none"/>
                      <w:lang w:val="en-US"/>
                    </w:rPr>
                  </w:pPr>
                </w:p>
              </w:tc>
              <w:tc>
                <w:tcPr>
                  <w:tcW w:w="459" w:type="pct"/>
                  <w:vMerge w:val="continue"/>
                  <w:tcBorders>
                    <w:tl2br w:val="nil"/>
                    <w:tr2bl w:val="nil"/>
                  </w:tcBorders>
                  <w:noWrap w:val="0"/>
                  <w:vAlign w:val="center"/>
                </w:tcPr>
                <w:p w14:paraId="70177063">
                  <w:pPr>
                    <w:pStyle w:val="63"/>
                    <w:keepNext w:val="0"/>
                    <w:keepLines/>
                    <w:pageBreakBefore w:val="0"/>
                    <w:widowControl/>
                    <w:kinsoku/>
                    <w:wordWrap/>
                    <w:overflowPunct/>
                    <w:topLinePunct w:val="0"/>
                    <w:bidi w:val="0"/>
                    <w:rPr>
                      <w:color w:val="auto"/>
                      <w:szCs w:val="21"/>
                      <w:highlight w:val="none"/>
                      <w:lang w:val="en-US"/>
                    </w:rPr>
                  </w:pPr>
                </w:p>
              </w:tc>
              <w:tc>
                <w:tcPr>
                  <w:tcW w:w="1822" w:type="pct"/>
                  <w:tcBorders>
                    <w:tl2br w:val="nil"/>
                    <w:tr2bl w:val="nil"/>
                  </w:tcBorders>
                  <w:noWrap w:val="0"/>
                  <w:vAlign w:val="center"/>
                </w:tcPr>
                <w:p w14:paraId="34E80067">
                  <w:pPr>
                    <w:pStyle w:val="63"/>
                    <w:keepNext w:val="0"/>
                    <w:keepLines/>
                    <w:pageBreakBefore w:val="0"/>
                    <w:widowControl/>
                    <w:kinsoku/>
                    <w:wordWrap/>
                    <w:overflowPunct/>
                    <w:topLinePunct w:val="0"/>
                    <w:bidi w:val="0"/>
                    <w:rPr>
                      <w:color w:val="auto"/>
                      <w:szCs w:val="21"/>
                      <w:highlight w:val="none"/>
                      <w:lang w:val="en-US"/>
                    </w:rPr>
                  </w:pPr>
                  <w:r>
                    <w:rPr>
                      <w:color w:val="auto"/>
                      <w:szCs w:val="21"/>
                      <w:highlight w:val="none"/>
                      <w:lang w:val="en-US"/>
                    </w:rPr>
                    <w:t>A2.2-4</w:t>
                  </w:r>
                  <w:r>
                    <w:rPr>
                      <w:rFonts w:hint="eastAsia"/>
                      <w:color w:val="auto"/>
                      <w:szCs w:val="21"/>
                      <w:highlight w:val="none"/>
                      <w:lang w:val="en-US" w:eastAsia="zh-CN"/>
                    </w:rPr>
                    <w:t xml:space="preserve"> </w:t>
                  </w:r>
                  <w:r>
                    <w:rPr>
                      <w:color w:val="auto"/>
                      <w:szCs w:val="21"/>
                      <w:highlight w:val="none"/>
                      <w:lang w:val="en-US"/>
                    </w:rPr>
                    <w:t>强化用水定额管理。推进地下水超采综合治理。开展河湖生态流量（水量）确定工作，强化生态用水保障。</w:t>
                  </w:r>
                </w:p>
              </w:tc>
              <w:tc>
                <w:tcPr>
                  <w:tcW w:w="1741" w:type="pct"/>
                  <w:tcBorders>
                    <w:tl2br w:val="nil"/>
                    <w:tr2bl w:val="nil"/>
                  </w:tcBorders>
                  <w:noWrap w:val="0"/>
                  <w:vAlign w:val="center"/>
                </w:tcPr>
                <w:p w14:paraId="250DDEE0">
                  <w:pPr>
                    <w:pStyle w:val="62"/>
                    <w:keepNext w:val="0"/>
                    <w:keepLines/>
                    <w:pageBreakBefore w:val="0"/>
                    <w:widowControl/>
                    <w:kinsoku/>
                    <w:wordWrap/>
                    <w:overflowPunct/>
                    <w:topLinePunct w:val="0"/>
                    <w:bidi w:val="0"/>
                    <w:jc w:val="center"/>
                    <w:rPr>
                      <w:rFonts w:cs="Times New Roman"/>
                      <w:color w:val="auto"/>
                      <w:szCs w:val="21"/>
                      <w:highlight w:val="none"/>
                    </w:rPr>
                  </w:pPr>
                  <w:r>
                    <w:rPr>
                      <w:rFonts w:hint="eastAsia"/>
                      <w:color w:val="auto"/>
                      <w:sz w:val="21"/>
                      <w:szCs w:val="21"/>
                      <w:highlight w:val="none"/>
                      <w:lang w:val="en-US" w:eastAsia="zh-CN"/>
                    </w:rPr>
                    <w:t>本项目为防渗渠改建工程</w:t>
                  </w:r>
                </w:p>
              </w:tc>
              <w:tc>
                <w:tcPr>
                  <w:tcW w:w="601" w:type="pct"/>
                  <w:tcBorders>
                    <w:tl2br w:val="nil"/>
                    <w:tr2bl w:val="nil"/>
                  </w:tcBorders>
                  <w:noWrap w:val="0"/>
                  <w:vAlign w:val="center"/>
                </w:tcPr>
                <w:p w14:paraId="3A89A974">
                  <w:pPr>
                    <w:pStyle w:val="62"/>
                    <w:keepNext w:val="0"/>
                    <w:keepLines/>
                    <w:pageBreakBefore w:val="0"/>
                    <w:widowControl/>
                    <w:kinsoku/>
                    <w:wordWrap/>
                    <w:overflowPunct/>
                    <w:topLinePunct w:val="0"/>
                    <w:bidi w:val="0"/>
                    <w:jc w:val="center"/>
                    <w:rPr>
                      <w:rFonts w:hint="eastAsia" w:cs="Times New Roman"/>
                      <w:color w:val="auto"/>
                      <w:szCs w:val="21"/>
                      <w:highlight w:val="none"/>
                    </w:rPr>
                  </w:pPr>
                  <w:r>
                    <w:rPr>
                      <w:rFonts w:hint="eastAsia" w:cs="Times New Roman"/>
                      <w:color w:val="auto"/>
                      <w:szCs w:val="21"/>
                      <w:highlight w:val="none"/>
                    </w:rPr>
                    <w:t>符合</w:t>
                  </w:r>
                </w:p>
              </w:tc>
            </w:tr>
            <w:tr w14:paraId="6C78E215">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75" w:type="pct"/>
                  <w:tcBorders>
                    <w:tl2br w:val="nil"/>
                    <w:tr2bl w:val="nil"/>
                  </w:tcBorders>
                  <w:noWrap w:val="0"/>
                  <w:vAlign w:val="center"/>
                </w:tcPr>
                <w:p w14:paraId="3D090606">
                  <w:pPr>
                    <w:pStyle w:val="63"/>
                    <w:keepNext w:val="0"/>
                    <w:keepLines/>
                    <w:pageBreakBefore w:val="0"/>
                    <w:widowControl/>
                    <w:kinsoku/>
                    <w:wordWrap/>
                    <w:overflowPunct/>
                    <w:topLinePunct w:val="0"/>
                    <w:bidi w:val="0"/>
                    <w:rPr>
                      <w:color w:val="auto"/>
                      <w:szCs w:val="21"/>
                      <w:highlight w:val="none"/>
                      <w:lang w:val="en-US"/>
                    </w:rPr>
                  </w:pPr>
                  <w:r>
                    <w:rPr>
                      <w:rFonts w:hint="eastAsia"/>
                      <w:color w:val="auto"/>
                      <w:szCs w:val="21"/>
                      <w:highlight w:val="none"/>
                      <w:lang w:val="en-US"/>
                    </w:rPr>
                    <w:t>A.3环境风险防控</w:t>
                  </w:r>
                </w:p>
              </w:tc>
              <w:tc>
                <w:tcPr>
                  <w:tcW w:w="459" w:type="pct"/>
                  <w:tcBorders>
                    <w:tl2br w:val="nil"/>
                    <w:tr2bl w:val="nil"/>
                  </w:tcBorders>
                  <w:noWrap w:val="0"/>
                  <w:vAlign w:val="center"/>
                </w:tcPr>
                <w:p w14:paraId="33C6D04A">
                  <w:pPr>
                    <w:pStyle w:val="63"/>
                    <w:keepNext w:val="0"/>
                    <w:keepLines/>
                    <w:pageBreakBefore w:val="0"/>
                    <w:widowControl/>
                    <w:kinsoku/>
                    <w:wordWrap/>
                    <w:overflowPunct/>
                    <w:topLinePunct w:val="0"/>
                    <w:bidi w:val="0"/>
                    <w:rPr>
                      <w:color w:val="auto"/>
                      <w:szCs w:val="21"/>
                      <w:highlight w:val="none"/>
                      <w:lang w:val="en-US"/>
                    </w:rPr>
                  </w:pPr>
                  <w:r>
                    <w:rPr>
                      <w:color w:val="auto"/>
                      <w:szCs w:val="21"/>
                      <w:highlight w:val="none"/>
                      <w:lang w:val="en-US"/>
                    </w:rPr>
                    <w:t>A3.1人居环境要求</w:t>
                  </w:r>
                </w:p>
              </w:tc>
              <w:tc>
                <w:tcPr>
                  <w:tcW w:w="1822" w:type="pct"/>
                  <w:tcBorders>
                    <w:tl2br w:val="nil"/>
                    <w:tr2bl w:val="nil"/>
                  </w:tcBorders>
                  <w:noWrap w:val="0"/>
                  <w:vAlign w:val="center"/>
                </w:tcPr>
                <w:p w14:paraId="6325954C">
                  <w:pPr>
                    <w:pStyle w:val="63"/>
                    <w:keepNext w:val="0"/>
                    <w:keepLines/>
                    <w:pageBreakBefore w:val="0"/>
                    <w:widowControl/>
                    <w:kinsoku/>
                    <w:wordWrap/>
                    <w:overflowPunct/>
                    <w:topLinePunct w:val="0"/>
                    <w:bidi w:val="0"/>
                    <w:rPr>
                      <w:color w:val="auto"/>
                      <w:szCs w:val="21"/>
                      <w:highlight w:val="none"/>
                      <w:lang w:val="en-US"/>
                    </w:rPr>
                  </w:pPr>
                  <w:r>
                    <w:rPr>
                      <w:color w:val="auto"/>
                      <w:szCs w:val="21"/>
                      <w:highlight w:val="none"/>
                      <w:lang w:val="en-US"/>
                    </w:rPr>
                    <w:t>A3.1-2对跨国境河流、涉及县级及以上集中式饮用水水源地的河流、其他重要环境敏感目标的河流，建立健全流域上下游突发水污染事件</w:t>
                  </w:r>
                  <w:r>
                    <w:rPr>
                      <w:rFonts w:hint="eastAsia"/>
                      <w:color w:val="auto"/>
                      <w:szCs w:val="21"/>
                      <w:highlight w:val="none"/>
                      <w:lang w:val="en-US"/>
                    </w:rPr>
                    <w:t>联防联控机制</w:t>
                  </w:r>
                  <w:r>
                    <w:rPr>
                      <w:color w:val="auto"/>
                      <w:szCs w:val="21"/>
                      <w:highlight w:val="none"/>
                      <w:lang w:val="en-US"/>
                    </w:rPr>
                    <w:t>，建立流域环境应急基础信息动态更新长效机制，绘制全流域</w:t>
                  </w:r>
                  <w:r>
                    <w:rPr>
                      <w:rFonts w:hint="eastAsia"/>
                      <w:color w:val="auto"/>
                      <w:szCs w:val="21"/>
                      <w:highlight w:val="none"/>
                      <w:lang w:val="en-US"/>
                    </w:rPr>
                    <w:t>“</w:t>
                  </w:r>
                  <w:r>
                    <w:rPr>
                      <w:color w:val="auto"/>
                      <w:szCs w:val="21"/>
                      <w:highlight w:val="none"/>
                      <w:lang w:val="en-US"/>
                    </w:rPr>
                    <w:t>一河一策一图</w:t>
                  </w:r>
                  <w:r>
                    <w:rPr>
                      <w:rFonts w:hint="eastAsia"/>
                      <w:color w:val="auto"/>
                      <w:szCs w:val="21"/>
                      <w:highlight w:val="none"/>
                      <w:lang w:val="en-US"/>
                    </w:rPr>
                    <w:t>”</w:t>
                  </w:r>
                  <w:r>
                    <w:rPr>
                      <w:color w:val="auto"/>
                      <w:szCs w:val="21"/>
                      <w:highlight w:val="none"/>
                      <w:lang w:val="en-US"/>
                    </w:rPr>
                    <w:t>。建立健全跨部门、跨区域的环境应急协调联动处置机制，强化流域上下游、兵地各部门协调，实施联合监测、联合执法、应急联动、信息共享，形成</w:t>
                  </w:r>
                  <w:r>
                    <w:rPr>
                      <w:rFonts w:hint="eastAsia"/>
                      <w:color w:val="auto"/>
                      <w:szCs w:val="21"/>
                      <w:highlight w:val="none"/>
                      <w:lang w:val="en-US"/>
                    </w:rPr>
                    <w:t>“</w:t>
                  </w:r>
                  <w:r>
                    <w:rPr>
                      <w:color w:val="auto"/>
                      <w:szCs w:val="21"/>
                      <w:highlight w:val="none"/>
                      <w:lang w:val="en-US"/>
                    </w:rPr>
                    <w:t>政府引导、多元联动、社会参与、专业救援</w:t>
                  </w:r>
                  <w:r>
                    <w:rPr>
                      <w:rFonts w:hint="eastAsia"/>
                      <w:color w:val="auto"/>
                      <w:szCs w:val="21"/>
                      <w:highlight w:val="none"/>
                      <w:lang w:val="en-US"/>
                    </w:rPr>
                    <w:t>”</w:t>
                  </w:r>
                  <w:r>
                    <w:rPr>
                      <w:color w:val="auto"/>
                      <w:szCs w:val="21"/>
                      <w:highlight w:val="none"/>
                      <w:lang w:val="en-US"/>
                    </w:rPr>
                    <w:t>的环境应急处置机制，持续开展应急综合演练，实现从被动应对到主动防控的重大转变。加强流域突发水环境事件应急能力建设，提升应急响应水平，加强监测预警、拦污控污、信息通报、协同处置、基础保障等工作，防范重大生态环境风险，坚决守住生态环境安全底线。</w:t>
                  </w:r>
                </w:p>
              </w:tc>
              <w:tc>
                <w:tcPr>
                  <w:tcW w:w="1741" w:type="pct"/>
                  <w:tcBorders>
                    <w:tl2br w:val="nil"/>
                    <w:tr2bl w:val="nil"/>
                  </w:tcBorders>
                  <w:noWrap w:val="0"/>
                  <w:vAlign w:val="center"/>
                </w:tcPr>
                <w:p w14:paraId="3C4CF95B">
                  <w:pPr>
                    <w:pStyle w:val="62"/>
                    <w:keepNext w:val="0"/>
                    <w:keepLines/>
                    <w:pageBreakBefore w:val="0"/>
                    <w:widowControl/>
                    <w:kinsoku/>
                    <w:wordWrap/>
                    <w:overflowPunct/>
                    <w:topLinePunct w:val="0"/>
                    <w:bidi w:val="0"/>
                    <w:jc w:val="center"/>
                    <w:rPr>
                      <w:rFonts w:cs="Times New Roman"/>
                      <w:color w:val="auto"/>
                      <w:szCs w:val="21"/>
                      <w:highlight w:val="none"/>
                    </w:rPr>
                  </w:pPr>
                  <w:r>
                    <w:rPr>
                      <w:rFonts w:hint="default" w:ascii="Times New Roman" w:hAnsi="Times New Roman" w:eastAsia="宋体" w:cs="Times New Roman"/>
                      <w:color w:val="auto"/>
                      <w:sz w:val="21"/>
                      <w:szCs w:val="21"/>
                      <w:highlight w:val="none"/>
                      <w:lang w:val="en-US" w:eastAsia="zh-CN"/>
                    </w:rPr>
                    <w:t>本项目生活区租用</w:t>
                  </w:r>
                  <w:r>
                    <w:rPr>
                      <w:rFonts w:hint="eastAsia" w:ascii="Times New Roman" w:hAnsi="Times New Roman" w:eastAsia="宋体" w:cs="Times New Roman"/>
                      <w:color w:val="auto"/>
                      <w:sz w:val="21"/>
                      <w:szCs w:val="21"/>
                      <w:highlight w:val="none"/>
                      <w:lang w:val="en-US" w:eastAsia="zh-CN"/>
                    </w:rPr>
                    <w:t>东塘村</w:t>
                  </w:r>
                  <w:r>
                    <w:rPr>
                      <w:rFonts w:hint="default" w:ascii="Times New Roman" w:hAnsi="Times New Roman" w:eastAsia="宋体" w:cs="Times New Roman"/>
                      <w:color w:val="auto"/>
                      <w:sz w:val="21"/>
                      <w:szCs w:val="21"/>
                      <w:highlight w:val="none"/>
                      <w:lang w:val="en-US" w:eastAsia="zh-CN"/>
                    </w:rPr>
                    <w:t>村民房，排水依托民房现有</w:t>
                  </w:r>
                  <w:r>
                    <w:rPr>
                      <w:rFonts w:hint="eastAsia" w:ascii="Times New Roman" w:hAnsi="Times New Roman" w:eastAsia="宋体" w:cs="Times New Roman"/>
                      <w:color w:val="auto"/>
                      <w:sz w:val="21"/>
                      <w:szCs w:val="21"/>
                      <w:highlight w:val="none"/>
                      <w:lang w:val="en-US" w:eastAsia="zh-CN"/>
                    </w:rPr>
                    <w:t>排水</w:t>
                  </w:r>
                  <w:r>
                    <w:rPr>
                      <w:rFonts w:hint="default" w:ascii="Times New Roman" w:hAnsi="Times New Roman" w:eastAsia="宋体" w:cs="Times New Roman"/>
                      <w:color w:val="auto"/>
                      <w:sz w:val="21"/>
                      <w:szCs w:val="21"/>
                      <w:highlight w:val="none"/>
                      <w:lang w:val="en-US" w:eastAsia="zh-CN"/>
                    </w:rPr>
                    <w:t>设施，故本项目不在施工现场设置生活区</w:t>
                  </w: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pacing w:val="1"/>
                      <w:sz w:val="21"/>
                      <w:szCs w:val="21"/>
                      <w:highlight w:val="none"/>
                    </w:rPr>
                    <w:t>施工</w:t>
                  </w:r>
                  <w:r>
                    <w:rPr>
                      <w:color w:val="auto"/>
                      <w:spacing w:val="1"/>
                      <w:szCs w:val="21"/>
                      <w:highlight w:val="none"/>
                    </w:rPr>
                    <w:t>期</w:t>
                  </w:r>
                  <w:r>
                    <w:rPr>
                      <w:rFonts w:hint="eastAsia"/>
                      <w:color w:val="auto"/>
                      <w:spacing w:val="1"/>
                      <w:szCs w:val="21"/>
                      <w:highlight w:val="none"/>
                      <w:lang w:val="en-US" w:eastAsia="zh-CN"/>
                    </w:rPr>
                    <w:t>混凝土拌合废水经沉淀池处理后排入蓄水池内，上清液用于施工生产和洒水；车辆及设备冲洗的废水经沉淀池处理后，上清液用于施工生产和洒水降尘；</w:t>
                  </w:r>
                  <w:r>
                    <w:rPr>
                      <w:rFonts w:cs="Times New Roman"/>
                      <w:color w:val="auto"/>
                      <w:szCs w:val="21"/>
                      <w:highlight w:val="none"/>
                    </w:rPr>
                    <w:t>项目施工期产生的扬尘、废水和固废均能得到</w:t>
                  </w:r>
                  <w:r>
                    <w:rPr>
                      <w:rFonts w:hint="eastAsia" w:cs="Times New Roman"/>
                      <w:color w:val="auto"/>
                      <w:szCs w:val="21"/>
                      <w:highlight w:val="none"/>
                      <w:lang w:eastAsia="zh-CN"/>
                    </w:rPr>
                    <w:t>妥善处理</w:t>
                  </w:r>
                  <w:r>
                    <w:rPr>
                      <w:rFonts w:cs="Times New Roman"/>
                      <w:color w:val="auto"/>
                      <w:szCs w:val="21"/>
                      <w:highlight w:val="none"/>
                    </w:rPr>
                    <w:t>，运营期无污染物排放，不涉及风险防控。</w:t>
                  </w:r>
                </w:p>
              </w:tc>
              <w:tc>
                <w:tcPr>
                  <w:tcW w:w="601" w:type="pct"/>
                  <w:tcBorders>
                    <w:tl2br w:val="nil"/>
                    <w:tr2bl w:val="nil"/>
                  </w:tcBorders>
                  <w:noWrap w:val="0"/>
                  <w:vAlign w:val="center"/>
                </w:tcPr>
                <w:p w14:paraId="339F5426">
                  <w:pPr>
                    <w:pStyle w:val="62"/>
                    <w:keepNext w:val="0"/>
                    <w:keepLines/>
                    <w:pageBreakBefore w:val="0"/>
                    <w:widowControl/>
                    <w:kinsoku/>
                    <w:wordWrap/>
                    <w:overflowPunct/>
                    <w:topLinePunct w:val="0"/>
                    <w:bidi w:val="0"/>
                    <w:jc w:val="center"/>
                    <w:rPr>
                      <w:rFonts w:hint="eastAsia" w:cs="Times New Roman"/>
                      <w:color w:val="auto"/>
                      <w:szCs w:val="21"/>
                      <w:highlight w:val="none"/>
                    </w:rPr>
                  </w:pPr>
                  <w:r>
                    <w:rPr>
                      <w:rFonts w:hint="eastAsia" w:cs="Times New Roman"/>
                      <w:color w:val="auto"/>
                      <w:szCs w:val="21"/>
                      <w:highlight w:val="none"/>
                    </w:rPr>
                    <w:t>符合</w:t>
                  </w:r>
                </w:p>
              </w:tc>
            </w:tr>
            <w:tr w14:paraId="5720EEB1">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75" w:type="pct"/>
                  <w:tcBorders>
                    <w:tl2br w:val="nil"/>
                    <w:tr2bl w:val="nil"/>
                  </w:tcBorders>
                  <w:noWrap w:val="0"/>
                  <w:vAlign w:val="center"/>
                </w:tcPr>
                <w:p w14:paraId="432CA7D4">
                  <w:pPr>
                    <w:pStyle w:val="63"/>
                    <w:keepNext w:val="0"/>
                    <w:keepLines/>
                    <w:pageBreakBefore w:val="0"/>
                    <w:widowControl/>
                    <w:kinsoku/>
                    <w:wordWrap/>
                    <w:overflowPunct/>
                    <w:topLinePunct w:val="0"/>
                    <w:bidi w:val="0"/>
                    <w:rPr>
                      <w:color w:val="auto"/>
                      <w:szCs w:val="21"/>
                      <w:highlight w:val="none"/>
                      <w:lang w:val="en-US"/>
                    </w:rPr>
                  </w:pPr>
                  <w:r>
                    <w:rPr>
                      <w:rFonts w:hint="eastAsia"/>
                      <w:color w:val="auto"/>
                      <w:szCs w:val="21"/>
                      <w:highlight w:val="none"/>
                      <w:lang w:val="en-US"/>
                    </w:rPr>
                    <w:t>A.3环境风险防控</w:t>
                  </w:r>
                </w:p>
              </w:tc>
              <w:tc>
                <w:tcPr>
                  <w:tcW w:w="459" w:type="pct"/>
                  <w:tcBorders>
                    <w:tl2br w:val="nil"/>
                    <w:tr2bl w:val="nil"/>
                  </w:tcBorders>
                  <w:noWrap w:val="0"/>
                  <w:vAlign w:val="center"/>
                </w:tcPr>
                <w:p w14:paraId="6CC299F3">
                  <w:pPr>
                    <w:pStyle w:val="63"/>
                    <w:keepNext w:val="0"/>
                    <w:keepLines/>
                    <w:pageBreakBefore w:val="0"/>
                    <w:widowControl/>
                    <w:kinsoku/>
                    <w:wordWrap/>
                    <w:overflowPunct/>
                    <w:topLinePunct w:val="0"/>
                    <w:bidi w:val="0"/>
                    <w:rPr>
                      <w:color w:val="auto"/>
                      <w:szCs w:val="21"/>
                      <w:highlight w:val="none"/>
                      <w:lang w:val="en-US"/>
                    </w:rPr>
                  </w:pPr>
                  <w:r>
                    <w:rPr>
                      <w:color w:val="auto"/>
                      <w:szCs w:val="21"/>
                      <w:highlight w:val="none"/>
                      <w:lang w:val="en-US"/>
                    </w:rPr>
                    <w:t>A3.2联防联控要求</w:t>
                  </w:r>
                </w:p>
              </w:tc>
              <w:tc>
                <w:tcPr>
                  <w:tcW w:w="1822" w:type="pct"/>
                  <w:tcBorders>
                    <w:tl2br w:val="nil"/>
                    <w:tr2bl w:val="nil"/>
                  </w:tcBorders>
                  <w:noWrap w:val="0"/>
                  <w:vAlign w:val="center"/>
                </w:tcPr>
                <w:p w14:paraId="2616058E">
                  <w:pPr>
                    <w:pStyle w:val="63"/>
                    <w:keepNext w:val="0"/>
                    <w:keepLines/>
                    <w:pageBreakBefore w:val="0"/>
                    <w:widowControl/>
                    <w:kinsoku/>
                    <w:wordWrap/>
                    <w:overflowPunct/>
                    <w:topLinePunct w:val="0"/>
                    <w:bidi w:val="0"/>
                    <w:rPr>
                      <w:color w:val="auto"/>
                      <w:szCs w:val="21"/>
                      <w:highlight w:val="none"/>
                      <w:lang w:val="en-US"/>
                    </w:rPr>
                  </w:pPr>
                  <w:r>
                    <w:rPr>
                      <w:color w:val="auto"/>
                      <w:szCs w:val="21"/>
                      <w:highlight w:val="none"/>
                      <w:lang w:val="en-US"/>
                    </w:rPr>
                    <w:t>A3.2-3加强新污染物多环境介质协同治理。排放重点管控新污染物的企事业单位应采取污染控制措施，达到相关污染物排放标准及环境质量目标要求；按照排污许可管理有关要求，依法申领排污许可证或填写排污登记表，并在其中载明执行的污染控制标准要求及采取的污染控制措施。排放重点管控新污染物的企事业单位和其他生产经营者应按照相关法律法规要求，对排放（污）口及其周边环境定期开展环境监测，评估环境风险，排查整治环境安全隐患，依法公开新污染物信息，采取措施防范环境风险。土壤污染重点监管单位应严格控制有毒有害物质排放，建立土壤污染隐患排查制度，防止有毒有害物质渗漏、流失、扬散。</w:t>
                  </w:r>
                </w:p>
              </w:tc>
              <w:tc>
                <w:tcPr>
                  <w:tcW w:w="1741" w:type="pct"/>
                  <w:tcBorders>
                    <w:tl2br w:val="nil"/>
                    <w:tr2bl w:val="nil"/>
                  </w:tcBorders>
                  <w:noWrap w:val="0"/>
                  <w:vAlign w:val="center"/>
                </w:tcPr>
                <w:p w14:paraId="0B81324C">
                  <w:pPr>
                    <w:pStyle w:val="62"/>
                    <w:keepNext w:val="0"/>
                    <w:keepLines/>
                    <w:pageBreakBefore w:val="0"/>
                    <w:widowControl/>
                    <w:kinsoku/>
                    <w:wordWrap/>
                    <w:overflowPunct/>
                    <w:topLinePunct w:val="0"/>
                    <w:bidi w:val="0"/>
                    <w:jc w:val="center"/>
                    <w:rPr>
                      <w:rFonts w:cs="Times New Roman"/>
                      <w:color w:val="auto"/>
                      <w:szCs w:val="21"/>
                      <w:highlight w:val="none"/>
                    </w:rPr>
                  </w:pPr>
                  <w:r>
                    <w:rPr>
                      <w:rFonts w:cs="Times New Roman"/>
                      <w:color w:val="auto"/>
                      <w:szCs w:val="21"/>
                      <w:highlight w:val="none"/>
                    </w:rPr>
                    <w:t>施工扬尘采取洒水抑尘、分段施工、进出场车辆苫盖；选择符合排放标准的施工机械，加强车辆及机械设备维护保养，减少尾气排放。噪声采取加强管理、优化施工方案、采用低噪声设备，合理安排施工时间。</w:t>
                  </w:r>
                  <w:r>
                    <w:rPr>
                      <w:rFonts w:hint="eastAsia" w:cs="Times New Roman"/>
                      <w:color w:val="auto"/>
                      <w:szCs w:val="21"/>
                      <w:highlight w:val="none"/>
                      <w:lang w:val="en-US" w:eastAsia="zh-CN"/>
                    </w:rPr>
                    <w:t>弃方均综合利用，全部渠道培后利用，</w:t>
                  </w:r>
                  <w:r>
                    <w:rPr>
                      <w:rFonts w:hint="eastAsia" w:ascii="宋体" w:hAnsi="宋体"/>
                      <w:color w:val="auto"/>
                      <w:szCs w:val="21"/>
                      <w:highlight w:val="none"/>
                    </w:rPr>
                    <w:t>建筑垃圾</w:t>
                  </w:r>
                  <w:r>
                    <w:rPr>
                      <w:rFonts w:cs="Times New Roman"/>
                      <w:color w:val="auto"/>
                      <w:szCs w:val="21"/>
                      <w:highlight w:val="none"/>
                    </w:rPr>
                    <w:t>应进行分类收集、分类管理，能够回收利用的尽量回收综合利用</w:t>
                  </w:r>
                  <w:r>
                    <w:rPr>
                      <w:rFonts w:hint="eastAsia" w:cs="Times New Roman"/>
                      <w:color w:val="auto"/>
                      <w:szCs w:val="21"/>
                      <w:highlight w:val="none"/>
                      <w:lang w:eastAsia="zh-CN"/>
                    </w:rPr>
                    <w:t>，</w:t>
                  </w:r>
                  <w:r>
                    <w:rPr>
                      <w:rFonts w:cs="Times New Roman"/>
                      <w:color w:val="auto"/>
                      <w:szCs w:val="21"/>
                      <w:highlight w:val="none"/>
                    </w:rPr>
                    <w:t>对于不能回收利用的</w:t>
                  </w:r>
                  <w:r>
                    <w:rPr>
                      <w:rFonts w:hint="eastAsia" w:ascii="宋体" w:hAnsi="宋体"/>
                      <w:color w:val="auto"/>
                      <w:szCs w:val="21"/>
                      <w:highlight w:val="none"/>
                    </w:rPr>
                    <w:t>收集后送县建筑垃圾填埋场填埋处置；</w:t>
                  </w:r>
                  <w:r>
                    <w:rPr>
                      <w:rFonts w:hint="eastAsia"/>
                      <w:color w:val="auto"/>
                      <w:highlight w:val="none"/>
                      <w:lang w:val="en-US" w:eastAsia="zh-CN"/>
                    </w:rPr>
                    <w:t>生活垃圾</w:t>
                  </w:r>
                  <w:r>
                    <w:rPr>
                      <w:rFonts w:hint="eastAsia"/>
                      <w:color w:val="auto"/>
                      <w:szCs w:val="21"/>
                      <w:highlight w:val="none"/>
                    </w:rPr>
                    <w:t>统一收集，</w:t>
                  </w:r>
                  <w:r>
                    <w:rPr>
                      <w:rFonts w:hint="eastAsia"/>
                      <w:color w:val="auto"/>
                      <w:szCs w:val="21"/>
                      <w:highlight w:val="none"/>
                      <w:lang w:val="en-US" w:eastAsia="zh-CN"/>
                    </w:rPr>
                    <w:t>交由当地环卫部门处理</w:t>
                  </w:r>
                  <w:r>
                    <w:rPr>
                      <w:rFonts w:hint="eastAsia" w:cs="Times New Roman"/>
                      <w:color w:val="auto"/>
                      <w:szCs w:val="21"/>
                      <w:highlight w:val="none"/>
                      <w:lang w:eastAsia="zh-CN"/>
                    </w:rPr>
                    <w:t>；</w:t>
                  </w:r>
                  <w:r>
                    <w:rPr>
                      <w:rFonts w:hint="eastAsia" w:cs="Times New Roman"/>
                      <w:color w:val="auto"/>
                      <w:szCs w:val="21"/>
                      <w:highlight w:val="none"/>
                      <w:lang w:val="en-US" w:eastAsia="zh-CN"/>
                    </w:rPr>
                    <w:t>沉淀池产生的泥沙在施工结束后统一拉至奇台县建筑垃圾填埋场处置</w:t>
                  </w:r>
                  <w:r>
                    <w:rPr>
                      <w:rFonts w:cs="Times New Roman"/>
                      <w:color w:val="auto"/>
                      <w:szCs w:val="21"/>
                      <w:highlight w:val="none"/>
                    </w:rPr>
                    <w:t>。在采取上述措施后，施工期的不利环境影响能够得到缓解和控制，污染物对周围环境和环境保护目标造成的</w:t>
                  </w:r>
                  <w:r>
                    <w:rPr>
                      <w:rFonts w:hint="eastAsia" w:cs="Times New Roman"/>
                      <w:color w:val="auto"/>
                      <w:szCs w:val="21"/>
                      <w:highlight w:val="none"/>
                    </w:rPr>
                    <w:t>影响</w:t>
                  </w:r>
                  <w:r>
                    <w:rPr>
                      <w:rFonts w:cs="Times New Roman"/>
                      <w:color w:val="auto"/>
                      <w:szCs w:val="21"/>
                      <w:highlight w:val="none"/>
                    </w:rPr>
                    <w:t>较小。</w:t>
                  </w:r>
                </w:p>
              </w:tc>
              <w:tc>
                <w:tcPr>
                  <w:tcW w:w="601" w:type="pct"/>
                  <w:tcBorders>
                    <w:tl2br w:val="nil"/>
                    <w:tr2bl w:val="nil"/>
                  </w:tcBorders>
                  <w:noWrap w:val="0"/>
                  <w:vAlign w:val="center"/>
                </w:tcPr>
                <w:p w14:paraId="0BE61C35">
                  <w:pPr>
                    <w:pStyle w:val="62"/>
                    <w:keepNext w:val="0"/>
                    <w:keepLines/>
                    <w:pageBreakBefore w:val="0"/>
                    <w:widowControl/>
                    <w:kinsoku/>
                    <w:wordWrap/>
                    <w:overflowPunct/>
                    <w:topLinePunct w:val="0"/>
                    <w:bidi w:val="0"/>
                    <w:jc w:val="center"/>
                    <w:rPr>
                      <w:rFonts w:hint="eastAsia" w:cs="Times New Roman"/>
                      <w:color w:val="auto"/>
                      <w:szCs w:val="21"/>
                      <w:highlight w:val="none"/>
                    </w:rPr>
                  </w:pPr>
                  <w:r>
                    <w:rPr>
                      <w:rFonts w:hint="eastAsia" w:cs="Times New Roman"/>
                      <w:color w:val="auto"/>
                      <w:szCs w:val="21"/>
                      <w:highlight w:val="none"/>
                    </w:rPr>
                    <w:t>符合</w:t>
                  </w:r>
                </w:p>
              </w:tc>
            </w:tr>
            <w:tr w14:paraId="75DEFB27">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75" w:type="pct"/>
                  <w:tcBorders>
                    <w:tl2br w:val="nil"/>
                    <w:tr2bl w:val="nil"/>
                  </w:tcBorders>
                  <w:noWrap w:val="0"/>
                  <w:vAlign w:val="center"/>
                </w:tcPr>
                <w:p w14:paraId="1440DF21">
                  <w:pPr>
                    <w:pStyle w:val="63"/>
                    <w:keepNext w:val="0"/>
                    <w:keepLines/>
                    <w:pageBreakBefore w:val="0"/>
                    <w:widowControl/>
                    <w:kinsoku/>
                    <w:wordWrap/>
                    <w:overflowPunct/>
                    <w:topLinePunct w:val="0"/>
                    <w:bidi w:val="0"/>
                    <w:rPr>
                      <w:color w:val="auto"/>
                      <w:szCs w:val="21"/>
                      <w:highlight w:val="none"/>
                      <w:lang w:val="en-US"/>
                    </w:rPr>
                  </w:pPr>
                  <w:r>
                    <w:rPr>
                      <w:rFonts w:hint="eastAsia"/>
                      <w:color w:val="auto"/>
                      <w:szCs w:val="21"/>
                      <w:highlight w:val="none"/>
                      <w:lang w:val="en-US"/>
                    </w:rPr>
                    <w:t>A.3环境风险防控</w:t>
                  </w:r>
                </w:p>
              </w:tc>
              <w:tc>
                <w:tcPr>
                  <w:tcW w:w="459" w:type="pct"/>
                  <w:tcBorders>
                    <w:tl2br w:val="nil"/>
                    <w:tr2bl w:val="nil"/>
                  </w:tcBorders>
                  <w:noWrap w:val="0"/>
                  <w:vAlign w:val="center"/>
                </w:tcPr>
                <w:p w14:paraId="6D5900A0">
                  <w:pPr>
                    <w:pStyle w:val="63"/>
                    <w:keepNext w:val="0"/>
                    <w:keepLines/>
                    <w:pageBreakBefore w:val="0"/>
                    <w:widowControl/>
                    <w:kinsoku/>
                    <w:wordWrap/>
                    <w:overflowPunct/>
                    <w:topLinePunct w:val="0"/>
                    <w:bidi w:val="0"/>
                    <w:rPr>
                      <w:color w:val="auto"/>
                      <w:szCs w:val="21"/>
                      <w:highlight w:val="none"/>
                      <w:lang w:val="en-US"/>
                    </w:rPr>
                  </w:pPr>
                  <w:r>
                    <w:rPr>
                      <w:color w:val="auto"/>
                      <w:szCs w:val="21"/>
                      <w:highlight w:val="none"/>
                      <w:lang w:val="en-US"/>
                    </w:rPr>
                    <w:t>A3.2联防联控要求</w:t>
                  </w:r>
                </w:p>
              </w:tc>
              <w:tc>
                <w:tcPr>
                  <w:tcW w:w="1822" w:type="pct"/>
                  <w:tcBorders>
                    <w:tl2br w:val="nil"/>
                    <w:tr2bl w:val="nil"/>
                  </w:tcBorders>
                  <w:noWrap w:val="0"/>
                  <w:vAlign w:val="center"/>
                </w:tcPr>
                <w:p w14:paraId="48839DB6">
                  <w:pPr>
                    <w:pStyle w:val="63"/>
                    <w:keepNext w:val="0"/>
                    <w:keepLines/>
                    <w:pageBreakBefore w:val="0"/>
                    <w:widowControl/>
                    <w:kinsoku/>
                    <w:wordWrap/>
                    <w:overflowPunct/>
                    <w:topLinePunct w:val="0"/>
                    <w:bidi w:val="0"/>
                    <w:rPr>
                      <w:color w:val="auto"/>
                      <w:szCs w:val="21"/>
                      <w:highlight w:val="none"/>
                      <w:lang w:val="en-US"/>
                    </w:rPr>
                  </w:pPr>
                  <w:r>
                    <w:rPr>
                      <w:color w:val="auto"/>
                      <w:szCs w:val="21"/>
                      <w:highlight w:val="none"/>
                      <w:lang w:val="en-US"/>
                    </w:rPr>
                    <w:t>A3.2-5强化生态环境应急管理。实施企业突发生态环境应急预案电子化备案，完成县级以上政府突发环境事件应急预案修编。完善区域和企业应急处置物资储备系统，结合新疆各地特征污染物的特性，加强应急物资储备及应急物资信息化建设，掌握社会应急物资储备动态信息，妥善应对各类突发生态环境事件。加强应急监测装备配置，定期开展应急演练，增强实战能力。</w:t>
                  </w:r>
                </w:p>
              </w:tc>
              <w:tc>
                <w:tcPr>
                  <w:tcW w:w="1741" w:type="pct"/>
                  <w:tcBorders>
                    <w:tl2br w:val="nil"/>
                    <w:tr2bl w:val="nil"/>
                  </w:tcBorders>
                  <w:noWrap w:val="0"/>
                  <w:vAlign w:val="center"/>
                </w:tcPr>
                <w:p w14:paraId="5AB4782C">
                  <w:pPr>
                    <w:pStyle w:val="62"/>
                    <w:keepNext w:val="0"/>
                    <w:keepLines/>
                    <w:pageBreakBefore w:val="0"/>
                    <w:widowControl/>
                    <w:kinsoku/>
                    <w:wordWrap/>
                    <w:overflowPunct/>
                    <w:topLinePunct w:val="0"/>
                    <w:bidi w:val="0"/>
                    <w:jc w:val="center"/>
                    <w:rPr>
                      <w:rFonts w:cs="Times New Roman"/>
                      <w:color w:val="auto"/>
                      <w:szCs w:val="21"/>
                      <w:highlight w:val="none"/>
                    </w:rPr>
                  </w:pPr>
                  <w:r>
                    <w:rPr>
                      <w:rFonts w:cs="Times New Roman"/>
                      <w:color w:val="auto"/>
                      <w:szCs w:val="21"/>
                      <w:highlight w:val="none"/>
                    </w:rPr>
                    <w:t>为保证本工程环境保护工作的顺利实施和长期进行，保持区域生态系统的良性发展，提出环境管理方面的制度和建议：①在该工程施工方案中应有环境保护的条款，施工方应严格执行设计和环境影响评价中提出的影响防治措施；②认真贯彻国家和地方有关环境保护的方针、政策、法规、条例，接受上级部门的工作指导、管理和各级环保机构的监督；执行环保法规，落实环境影响评价、设计与环保工作计划中的每一项环保措施；③加强施工单位人员的环保教育，按照环保要求文明施工、规范作业；④环境管理机构人员应对施工活动进行全过程环境监督，以保证施工期环境保护措施的全面落实。</w:t>
                  </w:r>
                </w:p>
              </w:tc>
              <w:tc>
                <w:tcPr>
                  <w:tcW w:w="601" w:type="pct"/>
                  <w:tcBorders>
                    <w:tl2br w:val="nil"/>
                    <w:tr2bl w:val="nil"/>
                  </w:tcBorders>
                  <w:noWrap w:val="0"/>
                  <w:vAlign w:val="center"/>
                </w:tcPr>
                <w:p w14:paraId="0A820FD4">
                  <w:pPr>
                    <w:pStyle w:val="62"/>
                    <w:keepNext w:val="0"/>
                    <w:keepLines/>
                    <w:pageBreakBefore w:val="0"/>
                    <w:widowControl/>
                    <w:kinsoku/>
                    <w:wordWrap/>
                    <w:overflowPunct/>
                    <w:topLinePunct w:val="0"/>
                    <w:bidi w:val="0"/>
                    <w:jc w:val="center"/>
                    <w:rPr>
                      <w:rFonts w:hint="eastAsia" w:cs="Times New Roman"/>
                      <w:color w:val="auto"/>
                      <w:szCs w:val="21"/>
                      <w:highlight w:val="none"/>
                    </w:rPr>
                  </w:pPr>
                  <w:r>
                    <w:rPr>
                      <w:rFonts w:hint="eastAsia" w:cs="Times New Roman"/>
                      <w:color w:val="auto"/>
                      <w:szCs w:val="21"/>
                      <w:highlight w:val="none"/>
                    </w:rPr>
                    <w:t>符合</w:t>
                  </w:r>
                </w:p>
              </w:tc>
            </w:tr>
            <w:tr w14:paraId="2A81C645">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75" w:type="pct"/>
                  <w:vMerge w:val="restart"/>
                  <w:tcBorders>
                    <w:tl2br w:val="nil"/>
                    <w:tr2bl w:val="nil"/>
                  </w:tcBorders>
                  <w:noWrap w:val="0"/>
                  <w:vAlign w:val="center"/>
                </w:tcPr>
                <w:p w14:paraId="3E54BB28">
                  <w:pPr>
                    <w:pStyle w:val="63"/>
                    <w:keepNext w:val="0"/>
                    <w:keepLines/>
                    <w:pageBreakBefore w:val="0"/>
                    <w:widowControl/>
                    <w:kinsoku/>
                    <w:wordWrap/>
                    <w:overflowPunct/>
                    <w:topLinePunct w:val="0"/>
                    <w:bidi w:val="0"/>
                    <w:rPr>
                      <w:color w:val="auto"/>
                      <w:szCs w:val="21"/>
                      <w:highlight w:val="none"/>
                      <w:lang w:val="en-US"/>
                    </w:rPr>
                  </w:pPr>
                  <w:r>
                    <w:rPr>
                      <w:rFonts w:hint="eastAsia"/>
                      <w:color w:val="auto"/>
                      <w:szCs w:val="21"/>
                      <w:highlight w:val="none"/>
                      <w:lang w:val="en-US"/>
                    </w:rPr>
                    <w:t>A.4资源利用要求</w:t>
                  </w:r>
                </w:p>
              </w:tc>
              <w:tc>
                <w:tcPr>
                  <w:tcW w:w="459" w:type="pct"/>
                  <w:tcBorders>
                    <w:tl2br w:val="nil"/>
                    <w:tr2bl w:val="nil"/>
                  </w:tcBorders>
                  <w:noWrap w:val="0"/>
                  <w:vAlign w:val="center"/>
                </w:tcPr>
                <w:p w14:paraId="22305951">
                  <w:pPr>
                    <w:pStyle w:val="63"/>
                    <w:keepNext w:val="0"/>
                    <w:keepLines/>
                    <w:pageBreakBefore w:val="0"/>
                    <w:widowControl/>
                    <w:kinsoku/>
                    <w:wordWrap/>
                    <w:overflowPunct/>
                    <w:topLinePunct w:val="0"/>
                    <w:bidi w:val="0"/>
                    <w:rPr>
                      <w:color w:val="auto"/>
                      <w:szCs w:val="21"/>
                      <w:highlight w:val="none"/>
                      <w:lang w:val="en-US"/>
                    </w:rPr>
                  </w:pPr>
                  <w:r>
                    <w:rPr>
                      <w:color w:val="auto"/>
                      <w:szCs w:val="21"/>
                      <w:highlight w:val="none"/>
                      <w:lang w:val="en-US"/>
                    </w:rPr>
                    <w:t>A4.1水资源</w:t>
                  </w:r>
                </w:p>
              </w:tc>
              <w:tc>
                <w:tcPr>
                  <w:tcW w:w="1822" w:type="pct"/>
                  <w:tcBorders>
                    <w:tl2br w:val="nil"/>
                    <w:tr2bl w:val="nil"/>
                  </w:tcBorders>
                  <w:noWrap w:val="0"/>
                  <w:vAlign w:val="center"/>
                </w:tcPr>
                <w:p w14:paraId="43E5823A">
                  <w:pPr>
                    <w:pStyle w:val="63"/>
                    <w:keepNext w:val="0"/>
                    <w:keepLines/>
                    <w:pageBreakBefore w:val="0"/>
                    <w:widowControl/>
                    <w:kinsoku/>
                    <w:wordWrap/>
                    <w:overflowPunct/>
                    <w:topLinePunct w:val="0"/>
                    <w:bidi w:val="0"/>
                    <w:rPr>
                      <w:color w:val="auto"/>
                      <w:szCs w:val="21"/>
                      <w:highlight w:val="none"/>
                      <w:lang w:val="en-US"/>
                    </w:rPr>
                  </w:pPr>
                  <w:r>
                    <w:rPr>
                      <w:color w:val="auto"/>
                      <w:szCs w:val="21"/>
                      <w:highlight w:val="none"/>
                      <w:lang w:val="en-US"/>
                    </w:rPr>
                    <w:t>A4.1-1自治区用水总量2025年、2030年控制在国家下达的指标内</w:t>
                  </w:r>
                  <w:r>
                    <w:rPr>
                      <w:rFonts w:hint="eastAsia"/>
                      <w:color w:val="auto"/>
                      <w:szCs w:val="21"/>
                      <w:highlight w:val="none"/>
                      <w:lang w:val="en-US"/>
                    </w:rPr>
                    <w:t>。</w:t>
                  </w:r>
                </w:p>
              </w:tc>
              <w:tc>
                <w:tcPr>
                  <w:tcW w:w="1741" w:type="pct"/>
                  <w:tcBorders>
                    <w:tl2br w:val="nil"/>
                    <w:tr2bl w:val="nil"/>
                  </w:tcBorders>
                  <w:noWrap w:val="0"/>
                  <w:vAlign w:val="center"/>
                </w:tcPr>
                <w:p w14:paraId="1E61BF88">
                  <w:pPr>
                    <w:pStyle w:val="62"/>
                    <w:keepNext w:val="0"/>
                    <w:keepLines/>
                    <w:pageBreakBefore w:val="0"/>
                    <w:widowControl/>
                    <w:kinsoku/>
                    <w:wordWrap/>
                    <w:overflowPunct/>
                    <w:topLinePunct w:val="0"/>
                    <w:bidi w:val="0"/>
                    <w:jc w:val="center"/>
                    <w:rPr>
                      <w:rFonts w:cs="Times New Roman"/>
                      <w:color w:val="auto"/>
                      <w:szCs w:val="21"/>
                      <w:highlight w:val="none"/>
                    </w:rPr>
                  </w:pPr>
                  <w:r>
                    <w:rPr>
                      <w:rFonts w:cs="Times New Roman"/>
                      <w:color w:val="auto"/>
                      <w:szCs w:val="21"/>
                      <w:highlight w:val="none"/>
                    </w:rPr>
                    <w:t>项目的实施有利于节约水资源。</w:t>
                  </w:r>
                </w:p>
              </w:tc>
              <w:tc>
                <w:tcPr>
                  <w:tcW w:w="601" w:type="pct"/>
                  <w:tcBorders>
                    <w:tl2br w:val="nil"/>
                    <w:tr2bl w:val="nil"/>
                  </w:tcBorders>
                  <w:noWrap w:val="0"/>
                  <w:vAlign w:val="center"/>
                </w:tcPr>
                <w:p w14:paraId="7161927A">
                  <w:pPr>
                    <w:pStyle w:val="62"/>
                    <w:keepNext w:val="0"/>
                    <w:keepLines/>
                    <w:pageBreakBefore w:val="0"/>
                    <w:widowControl/>
                    <w:kinsoku/>
                    <w:wordWrap/>
                    <w:overflowPunct/>
                    <w:topLinePunct w:val="0"/>
                    <w:bidi w:val="0"/>
                    <w:jc w:val="center"/>
                    <w:rPr>
                      <w:rFonts w:hint="eastAsia" w:cs="Times New Roman"/>
                      <w:color w:val="auto"/>
                      <w:szCs w:val="21"/>
                      <w:highlight w:val="none"/>
                    </w:rPr>
                  </w:pPr>
                  <w:r>
                    <w:rPr>
                      <w:rFonts w:hint="eastAsia" w:cs="Times New Roman"/>
                      <w:color w:val="auto"/>
                      <w:szCs w:val="21"/>
                      <w:highlight w:val="none"/>
                    </w:rPr>
                    <w:t>符合</w:t>
                  </w:r>
                </w:p>
              </w:tc>
            </w:tr>
            <w:tr w14:paraId="42BA5418">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75" w:type="pct"/>
                  <w:vMerge w:val="continue"/>
                  <w:tcBorders>
                    <w:tl2br w:val="nil"/>
                    <w:tr2bl w:val="nil"/>
                  </w:tcBorders>
                  <w:noWrap w:val="0"/>
                  <w:vAlign w:val="center"/>
                </w:tcPr>
                <w:p w14:paraId="6B86FF97">
                  <w:pPr>
                    <w:pStyle w:val="63"/>
                    <w:keepNext w:val="0"/>
                    <w:keepLines/>
                    <w:pageBreakBefore w:val="0"/>
                    <w:widowControl/>
                    <w:kinsoku/>
                    <w:wordWrap/>
                    <w:overflowPunct/>
                    <w:topLinePunct w:val="0"/>
                    <w:bidi w:val="0"/>
                    <w:rPr>
                      <w:color w:val="auto"/>
                      <w:szCs w:val="21"/>
                      <w:highlight w:val="none"/>
                      <w:lang w:val="en-US"/>
                    </w:rPr>
                  </w:pPr>
                </w:p>
              </w:tc>
              <w:tc>
                <w:tcPr>
                  <w:tcW w:w="459" w:type="pct"/>
                  <w:tcBorders>
                    <w:tl2br w:val="nil"/>
                    <w:tr2bl w:val="nil"/>
                  </w:tcBorders>
                  <w:noWrap w:val="0"/>
                  <w:vAlign w:val="center"/>
                </w:tcPr>
                <w:p w14:paraId="2B147CE6">
                  <w:pPr>
                    <w:pStyle w:val="63"/>
                    <w:keepNext w:val="0"/>
                    <w:keepLines/>
                    <w:pageBreakBefore w:val="0"/>
                    <w:widowControl/>
                    <w:kinsoku/>
                    <w:wordWrap/>
                    <w:overflowPunct/>
                    <w:topLinePunct w:val="0"/>
                    <w:bidi w:val="0"/>
                    <w:rPr>
                      <w:color w:val="auto"/>
                      <w:szCs w:val="21"/>
                      <w:highlight w:val="none"/>
                      <w:lang w:val="en-US"/>
                    </w:rPr>
                  </w:pPr>
                  <w:r>
                    <w:rPr>
                      <w:color w:val="auto"/>
                      <w:szCs w:val="21"/>
                      <w:highlight w:val="none"/>
                      <w:lang w:val="en-US"/>
                    </w:rPr>
                    <w:t>A4.2土地资源</w:t>
                  </w:r>
                </w:p>
              </w:tc>
              <w:tc>
                <w:tcPr>
                  <w:tcW w:w="1822" w:type="pct"/>
                  <w:tcBorders>
                    <w:tl2br w:val="nil"/>
                    <w:tr2bl w:val="nil"/>
                  </w:tcBorders>
                  <w:noWrap w:val="0"/>
                  <w:vAlign w:val="center"/>
                </w:tcPr>
                <w:p w14:paraId="4E404F32">
                  <w:pPr>
                    <w:pStyle w:val="63"/>
                    <w:keepNext w:val="0"/>
                    <w:keepLines/>
                    <w:pageBreakBefore w:val="0"/>
                    <w:widowControl/>
                    <w:kinsoku/>
                    <w:wordWrap/>
                    <w:overflowPunct/>
                    <w:topLinePunct w:val="0"/>
                    <w:bidi w:val="0"/>
                    <w:rPr>
                      <w:color w:val="auto"/>
                      <w:szCs w:val="21"/>
                      <w:highlight w:val="none"/>
                      <w:lang w:val="en-US"/>
                    </w:rPr>
                  </w:pPr>
                  <w:r>
                    <w:rPr>
                      <w:color w:val="auto"/>
                      <w:szCs w:val="21"/>
                      <w:highlight w:val="none"/>
                      <w:lang w:val="en-US"/>
                    </w:rPr>
                    <w:t>A4.2-1土地资源上线指标控制在最终批复的国土空间规划控制</w:t>
                  </w:r>
                  <w:r>
                    <w:rPr>
                      <w:rFonts w:hint="eastAsia"/>
                      <w:color w:val="auto"/>
                      <w:szCs w:val="21"/>
                      <w:highlight w:val="none"/>
                      <w:lang w:val="en-US" w:eastAsia="zh-CN"/>
                    </w:rPr>
                    <w:t>土地</w:t>
                  </w:r>
                  <w:r>
                    <w:rPr>
                      <w:color w:val="auto"/>
                      <w:szCs w:val="21"/>
                      <w:highlight w:val="none"/>
                      <w:lang w:val="en-US"/>
                    </w:rPr>
                    <w:t>资源指标内</w:t>
                  </w:r>
                </w:p>
              </w:tc>
              <w:tc>
                <w:tcPr>
                  <w:tcW w:w="1741" w:type="pct"/>
                  <w:tcBorders>
                    <w:tl2br w:val="nil"/>
                    <w:tr2bl w:val="nil"/>
                  </w:tcBorders>
                  <w:noWrap w:val="0"/>
                  <w:vAlign w:val="center"/>
                </w:tcPr>
                <w:p w14:paraId="22C864F1">
                  <w:pPr>
                    <w:pStyle w:val="62"/>
                    <w:keepNext w:val="0"/>
                    <w:keepLines/>
                    <w:pageBreakBefore w:val="0"/>
                    <w:widowControl/>
                    <w:kinsoku/>
                    <w:wordWrap/>
                    <w:overflowPunct/>
                    <w:topLinePunct w:val="0"/>
                    <w:bidi w:val="0"/>
                    <w:jc w:val="center"/>
                    <w:rPr>
                      <w:rFonts w:cs="Times New Roman"/>
                      <w:color w:val="auto"/>
                      <w:szCs w:val="21"/>
                      <w:highlight w:val="none"/>
                    </w:rPr>
                  </w:pPr>
                  <w:r>
                    <w:rPr>
                      <w:rFonts w:hint="eastAsia" w:cs="Times New Roman"/>
                      <w:color w:val="auto"/>
                      <w:szCs w:val="21"/>
                      <w:highlight w:val="none"/>
                    </w:rPr>
                    <w:t>项目新增占用</w:t>
                  </w:r>
                  <w:r>
                    <w:rPr>
                      <w:rFonts w:cs="Times New Roman"/>
                      <w:color w:val="auto"/>
                      <w:szCs w:val="21"/>
                      <w:highlight w:val="none"/>
                    </w:rPr>
                    <w:t>土地资源消耗少，项目总体上不会突破资源利用</w:t>
                  </w:r>
                  <w:r>
                    <w:rPr>
                      <w:rFonts w:hint="eastAsia" w:cs="Times New Roman"/>
                      <w:color w:val="auto"/>
                      <w:szCs w:val="21"/>
                      <w:highlight w:val="none"/>
                      <w:lang w:eastAsia="zh-CN"/>
                    </w:rPr>
                    <w:t>上限</w:t>
                  </w:r>
                  <w:r>
                    <w:rPr>
                      <w:rFonts w:cs="Times New Roman"/>
                      <w:color w:val="auto"/>
                      <w:szCs w:val="21"/>
                      <w:highlight w:val="none"/>
                    </w:rPr>
                    <w:t>，符合土地资源控制要求。</w:t>
                  </w:r>
                </w:p>
              </w:tc>
              <w:tc>
                <w:tcPr>
                  <w:tcW w:w="601" w:type="pct"/>
                  <w:tcBorders>
                    <w:tl2br w:val="nil"/>
                    <w:tr2bl w:val="nil"/>
                  </w:tcBorders>
                  <w:noWrap w:val="0"/>
                  <w:vAlign w:val="center"/>
                </w:tcPr>
                <w:p w14:paraId="21F2967E">
                  <w:pPr>
                    <w:pStyle w:val="62"/>
                    <w:keepNext w:val="0"/>
                    <w:keepLines/>
                    <w:pageBreakBefore w:val="0"/>
                    <w:widowControl/>
                    <w:kinsoku/>
                    <w:wordWrap/>
                    <w:overflowPunct/>
                    <w:topLinePunct w:val="0"/>
                    <w:bidi w:val="0"/>
                    <w:jc w:val="center"/>
                    <w:rPr>
                      <w:rFonts w:hint="eastAsia" w:cs="Times New Roman"/>
                      <w:color w:val="auto"/>
                      <w:szCs w:val="21"/>
                      <w:highlight w:val="none"/>
                    </w:rPr>
                  </w:pPr>
                  <w:r>
                    <w:rPr>
                      <w:rFonts w:hint="eastAsia" w:cs="Times New Roman"/>
                      <w:color w:val="auto"/>
                      <w:szCs w:val="21"/>
                      <w:highlight w:val="none"/>
                    </w:rPr>
                    <w:t>符合</w:t>
                  </w:r>
                </w:p>
              </w:tc>
            </w:tr>
            <w:tr w14:paraId="2784054A">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75" w:type="pct"/>
                  <w:vMerge w:val="continue"/>
                  <w:tcBorders>
                    <w:tl2br w:val="nil"/>
                    <w:tr2bl w:val="nil"/>
                  </w:tcBorders>
                  <w:noWrap w:val="0"/>
                  <w:vAlign w:val="center"/>
                </w:tcPr>
                <w:p w14:paraId="0FF7790D">
                  <w:pPr>
                    <w:pStyle w:val="63"/>
                    <w:keepNext w:val="0"/>
                    <w:keepLines/>
                    <w:pageBreakBefore w:val="0"/>
                    <w:widowControl/>
                    <w:kinsoku/>
                    <w:wordWrap/>
                    <w:overflowPunct/>
                    <w:topLinePunct w:val="0"/>
                    <w:bidi w:val="0"/>
                    <w:rPr>
                      <w:color w:val="auto"/>
                      <w:szCs w:val="21"/>
                      <w:highlight w:val="none"/>
                      <w:lang w:val="en-US"/>
                    </w:rPr>
                  </w:pPr>
                </w:p>
              </w:tc>
              <w:tc>
                <w:tcPr>
                  <w:tcW w:w="459" w:type="pct"/>
                  <w:tcBorders>
                    <w:tl2br w:val="nil"/>
                    <w:tr2bl w:val="nil"/>
                  </w:tcBorders>
                  <w:noWrap w:val="0"/>
                  <w:vAlign w:val="center"/>
                </w:tcPr>
                <w:p w14:paraId="0EBAB3D6">
                  <w:pPr>
                    <w:pStyle w:val="63"/>
                    <w:keepNext w:val="0"/>
                    <w:keepLines/>
                    <w:pageBreakBefore w:val="0"/>
                    <w:widowControl/>
                    <w:kinsoku/>
                    <w:wordWrap/>
                    <w:overflowPunct/>
                    <w:topLinePunct w:val="0"/>
                    <w:bidi w:val="0"/>
                    <w:rPr>
                      <w:color w:val="auto"/>
                      <w:szCs w:val="21"/>
                      <w:highlight w:val="none"/>
                      <w:lang w:val="en-US"/>
                    </w:rPr>
                  </w:pPr>
                  <w:r>
                    <w:rPr>
                      <w:color w:val="auto"/>
                      <w:szCs w:val="21"/>
                      <w:highlight w:val="none"/>
                      <w:lang w:val="en-US"/>
                    </w:rPr>
                    <w:t>A4.3能源利用</w:t>
                  </w:r>
                </w:p>
              </w:tc>
              <w:tc>
                <w:tcPr>
                  <w:tcW w:w="1822" w:type="pct"/>
                  <w:tcBorders>
                    <w:tl2br w:val="nil"/>
                    <w:tr2bl w:val="nil"/>
                  </w:tcBorders>
                  <w:noWrap w:val="0"/>
                  <w:vAlign w:val="center"/>
                </w:tcPr>
                <w:p w14:paraId="78402FC3">
                  <w:pPr>
                    <w:pStyle w:val="63"/>
                    <w:keepNext w:val="0"/>
                    <w:keepLines/>
                    <w:pageBreakBefore w:val="0"/>
                    <w:widowControl/>
                    <w:kinsoku/>
                    <w:wordWrap/>
                    <w:overflowPunct/>
                    <w:topLinePunct w:val="0"/>
                    <w:bidi w:val="0"/>
                    <w:rPr>
                      <w:color w:val="auto"/>
                      <w:szCs w:val="21"/>
                      <w:highlight w:val="none"/>
                      <w:lang w:val="en-US"/>
                    </w:rPr>
                  </w:pPr>
                  <w:r>
                    <w:rPr>
                      <w:color w:val="auto"/>
                      <w:szCs w:val="21"/>
                      <w:highlight w:val="none"/>
                      <w:lang w:val="en-US"/>
                    </w:rPr>
                    <w:t>A4.3-1单位地区生产总值二氧化碳排放降低水平完成国家下达指标</w:t>
                  </w:r>
                </w:p>
              </w:tc>
              <w:tc>
                <w:tcPr>
                  <w:tcW w:w="1741" w:type="pct"/>
                  <w:tcBorders>
                    <w:tl2br w:val="nil"/>
                    <w:tr2bl w:val="nil"/>
                  </w:tcBorders>
                  <w:noWrap w:val="0"/>
                  <w:vAlign w:val="center"/>
                </w:tcPr>
                <w:p w14:paraId="77388A2D">
                  <w:pPr>
                    <w:pStyle w:val="62"/>
                    <w:keepNext w:val="0"/>
                    <w:keepLines/>
                    <w:pageBreakBefore w:val="0"/>
                    <w:widowControl/>
                    <w:kinsoku/>
                    <w:wordWrap/>
                    <w:overflowPunct/>
                    <w:topLinePunct w:val="0"/>
                    <w:bidi w:val="0"/>
                    <w:jc w:val="center"/>
                    <w:rPr>
                      <w:rFonts w:cs="Times New Roman"/>
                      <w:color w:val="auto"/>
                      <w:szCs w:val="21"/>
                      <w:highlight w:val="none"/>
                    </w:rPr>
                  </w:pPr>
                  <w:r>
                    <w:rPr>
                      <w:rFonts w:cs="Times New Roman"/>
                      <w:color w:val="auto"/>
                      <w:szCs w:val="21"/>
                      <w:highlight w:val="none"/>
                    </w:rPr>
                    <w:t>不涉及</w:t>
                  </w:r>
                </w:p>
              </w:tc>
              <w:tc>
                <w:tcPr>
                  <w:tcW w:w="601" w:type="pct"/>
                  <w:tcBorders>
                    <w:tl2br w:val="nil"/>
                    <w:tr2bl w:val="nil"/>
                  </w:tcBorders>
                  <w:noWrap w:val="0"/>
                  <w:vAlign w:val="center"/>
                </w:tcPr>
                <w:p w14:paraId="29939E9C">
                  <w:pPr>
                    <w:pStyle w:val="62"/>
                    <w:keepNext w:val="0"/>
                    <w:keepLines/>
                    <w:pageBreakBefore w:val="0"/>
                    <w:widowControl/>
                    <w:kinsoku/>
                    <w:wordWrap/>
                    <w:overflowPunct/>
                    <w:topLinePunct w:val="0"/>
                    <w:bidi w:val="0"/>
                    <w:jc w:val="center"/>
                    <w:rPr>
                      <w:rFonts w:hint="eastAsia" w:cs="Times New Roman"/>
                      <w:color w:val="auto"/>
                      <w:szCs w:val="21"/>
                      <w:highlight w:val="none"/>
                    </w:rPr>
                  </w:pPr>
                  <w:r>
                    <w:rPr>
                      <w:rFonts w:hint="eastAsia" w:cs="Times New Roman"/>
                      <w:color w:val="auto"/>
                      <w:szCs w:val="21"/>
                      <w:highlight w:val="none"/>
                    </w:rPr>
                    <w:t>符合</w:t>
                  </w:r>
                </w:p>
              </w:tc>
            </w:tr>
            <w:tr w14:paraId="1937B998">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75" w:type="pct"/>
                  <w:vMerge w:val="continue"/>
                  <w:tcBorders>
                    <w:tl2br w:val="nil"/>
                    <w:tr2bl w:val="nil"/>
                  </w:tcBorders>
                  <w:noWrap w:val="0"/>
                  <w:vAlign w:val="center"/>
                </w:tcPr>
                <w:p w14:paraId="403F7991">
                  <w:pPr>
                    <w:pStyle w:val="63"/>
                    <w:keepNext w:val="0"/>
                    <w:keepLines/>
                    <w:pageBreakBefore w:val="0"/>
                    <w:widowControl/>
                    <w:kinsoku/>
                    <w:wordWrap/>
                    <w:overflowPunct/>
                    <w:topLinePunct w:val="0"/>
                    <w:bidi w:val="0"/>
                    <w:rPr>
                      <w:color w:val="auto"/>
                      <w:szCs w:val="21"/>
                      <w:highlight w:val="none"/>
                      <w:lang w:val="en-US"/>
                    </w:rPr>
                  </w:pPr>
                </w:p>
              </w:tc>
              <w:tc>
                <w:tcPr>
                  <w:tcW w:w="459" w:type="pct"/>
                  <w:tcBorders>
                    <w:tl2br w:val="nil"/>
                    <w:tr2bl w:val="nil"/>
                  </w:tcBorders>
                  <w:noWrap w:val="0"/>
                  <w:vAlign w:val="center"/>
                </w:tcPr>
                <w:p w14:paraId="2792616C">
                  <w:pPr>
                    <w:pStyle w:val="63"/>
                    <w:keepNext w:val="0"/>
                    <w:keepLines/>
                    <w:pageBreakBefore w:val="0"/>
                    <w:widowControl/>
                    <w:kinsoku/>
                    <w:wordWrap/>
                    <w:overflowPunct/>
                    <w:topLinePunct w:val="0"/>
                    <w:bidi w:val="0"/>
                    <w:rPr>
                      <w:color w:val="auto"/>
                      <w:szCs w:val="21"/>
                      <w:highlight w:val="none"/>
                      <w:lang w:val="en-US"/>
                    </w:rPr>
                  </w:pPr>
                  <w:r>
                    <w:rPr>
                      <w:color w:val="auto"/>
                      <w:szCs w:val="21"/>
                      <w:highlight w:val="none"/>
                      <w:lang w:val="en-US"/>
                    </w:rPr>
                    <w:t>A4.4禁燃区要求</w:t>
                  </w:r>
                </w:p>
              </w:tc>
              <w:tc>
                <w:tcPr>
                  <w:tcW w:w="1822" w:type="pct"/>
                  <w:tcBorders>
                    <w:tl2br w:val="nil"/>
                    <w:tr2bl w:val="nil"/>
                  </w:tcBorders>
                  <w:noWrap w:val="0"/>
                  <w:vAlign w:val="center"/>
                </w:tcPr>
                <w:p w14:paraId="6B477788">
                  <w:pPr>
                    <w:pStyle w:val="63"/>
                    <w:keepNext w:val="0"/>
                    <w:keepLines/>
                    <w:pageBreakBefore w:val="0"/>
                    <w:widowControl/>
                    <w:kinsoku/>
                    <w:wordWrap/>
                    <w:overflowPunct/>
                    <w:topLinePunct w:val="0"/>
                    <w:bidi w:val="0"/>
                    <w:rPr>
                      <w:color w:val="auto"/>
                      <w:szCs w:val="21"/>
                      <w:highlight w:val="none"/>
                      <w:lang w:val="en-US"/>
                    </w:rPr>
                  </w:pPr>
                  <w:r>
                    <w:rPr>
                      <w:color w:val="auto"/>
                      <w:szCs w:val="21"/>
                      <w:highlight w:val="none"/>
                      <w:lang w:val="en-US"/>
                    </w:rPr>
                    <w:t>A4.4-1在禁燃区内，禁止销售、燃用高污染燃料；禁止新建、扩建燃用高污染燃料的设施。已建成的，应当在规定期限内改用清洁能源。</w:t>
                  </w:r>
                </w:p>
              </w:tc>
              <w:tc>
                <w:tcPr>
                  <w:tcW w:w="1741" w:type="pct"/>
                  <w:tcBorders>
                    <w:tl2br w:val="nil"/>
                    <w:tr2bl w:val="nil"/>
                  </w:tcBorders>
                  <w:noWrap w:val="0"/>
                  <w:vAlign w:val="center"/>
                </w:tcPr>
                <w:p w14:paraId="0137D674">
                  <w:pPr>
                    <w:pStyle w:val="62"/>
                    <w:keepNext w:val="0"/>
                    <w:keepLines/>
                    <w:pageBreakBefore w:val="0"/>
                    <w:widowControl/>
                    <w:kinsoku/>
                    <w:wordWrap/>
                    <w:overflowPunct/>
                    <w:topLinePunct w:val="0"/>
                    <w:bidi w:val="0"/>
                    <w:jc w:val="center"/>
                    <w:rPr>
                      <w:rFonts w:cs="Times New Roman"/>
                      <w:color w:val="auto"/>
                      <w:szCs w:val="21"/>
                      <w:highlight w:val="none"/>
                    </w:rPr>
                  </w:pPr>
                  <w:r>
                    <w:rPr>
                      <w:rFonts w:cs="Times New Roman"/>
                      <w:color w:val="auto"/>
                      <w:szCs w:val="21"/>
                      <w:highlight w:val="none"/>
                    </w:rPr>
                    <w:t>不涉及</w:t>
                  </w:r>
                </w:p>
              </w:tc>
              <w:tc>
                <w:tcPr>
                  <w:tcW w:w="601" w:type="pct"/>
                  <w:tcBorders>
                    <w:tl2br w:val="nil"/>
                    <w:tr2bl w:val="nil"/>
                  </w:tcBorders>
                  <w:noWrap w:val="0"/>
                  <w:vAlign w:val="center"/>
                </w:tcPr>
                <w:p w14:paraId="1E347B2C">
                  <w:pPr>
                    <w:pStyle w:val="62"/>
                    <w:keepNext w:val="0"/>
                    <w:keepLines/>
                    <w:pageBreakBefore w:val="0"/>
                    <w:widowControl/>
                    <w:kinsoku/>
                    <w:wordWrap/>
                    <w:overflowPunct/>
                    <w:topLinePunct w:val="0"/>
                    <w:bidi w:val="0"/>
                    <w:jc w:val="center"/>
                    <w:rPr>
                      <w:rFonts w:hint="eastAsia" w:cs="Times New Roman"/>
                      <w:color w:val="auto"/>
                      <w:szCs w:val="21"/>
                      <w:highlight w:val="none"/>
                    </w:rPr>
                  </w:pPr>
                  <w:r>
                    <w:rPr>
                      <w:rFonts w:hint="eastAsia" w:cs="Times New Roman"/>
                      <w:color w:val="auto"/>
                      <w:szCs w:val="21"/>
                      <w:highlight w:val="none"/>
                    </w:rPr>
                    <w:t>符合</w:t>
                  </w:r>
                </w:p>
              </w:tc>
            </w:tr>
            <w:tr w14:paraId="3FBC341A">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75" w:type="pct"/>
                  <w:vMerge w:val="continue"/>
                  <w:tcBorders>
                    <w:tl2br w:val="nil"/>
                    <w:tr2bl w:val="nil"/>
                  </w:tcBorders>
                  <w:noWrap w:val="0"/>
                  <w:vAlign w:val="center"/>
                </w:tcPr>
                <w:p w14:paraId="0B2E75FF">
                  <w:pPr>
                    <w:pStyle w:val="63"/>
                    <w:keepNext w:val="0"/>
                    <w:keepLines/>
                    <w:pageBreakBefore w:val="0"/>
                    <w:widowControl/>
                    <w:kinsoku/>
                    <w:wordWrap/>
                    <w:overflowPunct/>
                    <w:topLinePunct w:val="0"/>
                    <w:bidi w:val="0"/>
                    <w:rPr>
                      <w:color w:val="auto"/>
                      <w:szCs w:val="21"/>
                      <w:highlight w:val="none"/>
                      <w:lang w:val="en-US"/>
                    </w:rPr>
                  </w:pPr>
                </w:p>
              </w:tc>
              <w:tc>
                <w:tcPr>
                  <w:tcW w:w="459" w:type="pct"/>
                  <w:tcBorders>
                    <w:tl2br w:val="nil"/>
                    <w:tr2bl w:val="nil"/>
                  </w:tcBorders>
                  <w:noWrap w:val="0"/>
                  <w:vAlign w:val="center"/>
                </w:tcPr>
                <w:p w14:paraId="695BFA7F">
                  <w:pPr>
                    <w:pStyle w:val="63"/>
                    <w:keepNext w:val="0"/>
                    <w:keepLines/>
                    <w:pageBreakBefore w:val="0"/>
                    <w:widowControl/>
                    <w:kinsoku/>
                    <w:wordWrap/>
                    <w:overflowPunct/>
                    <w:topLinePunct w:val="0"/>
                    <w:bidi w:val="0"/>
                    <w:rPr>
                      <w:color w:val="auto"/>
                      <w:szCs w:val="21"/>
                      <w:highlight w:val="none"/>
                      <w:lang w:val="en-US"/>
                    </w:rPr>
                  </w:pPr>
                  <w:r>
                    <w:rPr>
                      <w:color w:val="auto"/>
                      <w:szCs w:val="21"/>
                      <w:highlight w:val="none"/>
                      <w:lang w:val="en-US"/>
                    </w:rPr>
                    <w:t>A4.5</w:t>
                  </w:r>
                </w:p>
                <w:p w14:paraId="4A3E7585">
                  <w:pPr>
                    <w:pStyle w:val="63"/>
                    <w:keepNext w:val="0"/>
                    <w:keepLines/>
                    <w:pageBreakBefore w:val="0"/>
                    <w:widowControl/>
                    <w:kinsoku/>
                    <w:wordWrap/>
                    <w:overflowPunct/>
                    <w:topLinePunct w:val="0"/>
                    <w:bidi w:val="0"/>
                    <w:rPr>
                      <w:color w:val="auto"/>
                      <w:szCs w:val="21"/>
                      <w:highlight w:val="none"/>
                      <w:lang w:val="en-US"/>
                    </w:rPr>
                  </w:pPr>
                  <w:r>
                    <w:rPr>
                      <w:color w:val="auto"/>
                      <w:szCs w:val="21"/>
                      <w:highlight w:val="none"/>
                      <w:lang w:val="en-US"/>
                    </w:rPr>
                    <w:t>资源综合利用</w:t>
                  </w:r>
                </w:p>
              </w:tc>
              <w:tc>
                <w:tcPr>
                  <w:tcW w:w="1822" w:type="pct"/>
                  <w:tcBorders>
                    <w:tl2br w:val="nil"/>
                    <w:tr2bl w:val="nil"/>
                  </w:tcBorders>
                  <w:noWrap w:val="0"/>
                  <w:vAlign w:val="center"/>
                </w:tcPr>
                <w:p w14:paraId="1313978A">
                  <w:pPr>
                    <w:pStyle w:val="63"/>
                    <w:keepNext w:val="0"/>
                    <w:keepLines/>
                    <w:pageBreakBefore w:val="0"/>
                    <w:widowControl/>
                    <w:kinsoku/>
                    <w:wordWrap/>
                    <w:overflowPunct/>
                    <w:topLinePunct w:val="0"/>
                    <w:bidi w:val="0"/>
                    <w:rPr>
                      <w:color w:val="auto"/>
                      <w:szCs w:val="21"/>
                      <w:highlight w:val="none"/>
                      <w:lang w:val="en-US"/>
                    </w:rPr>
                  </w:pPr>
                  <w:r>
                    <w:rPr>
                      <w:color w:val="auto"/>
                      <w:szCs w:val="21"/>
                      <w:highlight w:val="none"/>
                      <w:lang w:val="en-US"/>
                    </w:rPr>
                    <w:t>A4.5-1加强固体废物源头减量、资源化利用和无害化处置，最大限度减少填埋量。推进工业固体废物精细化、名录化环境管理，促进大宗工业固废综合利用、主要农业废弃物全量利用。加快构建废旧物资回收和循环利用体系，健全强制报废制度和废旧家电、消费电子等耐用消费品回收处理体系，推行生产企业</w:t>
                  </w:r>
                  <w:r>
                    <w:rPr>
                      <w:rFonts w:hint="eastAsia"/>
                      <w:color w:val="auto"/>
                      <w:szCs w:val="21"/>
                      <w:highlight w:val="none"/>
                      <w:lang w:val="en-US"/>
                    </w:rPr>
                    <w:t>“</w:t>
                  </w:r>
                  <w:r>
                    <w:rPr>
                      <w:color w:val="auto"/>
                      <w:szCs w:val="21"/>
                      <w:highlight w:val="none"/>
                      <w:lang w:val="en-US"/>
                    </w:rPr>
                    <w:t>逆向回收</w:t>
                  </w:r>
                  <w:r>
                    <w:rPr>
                      <w:rFonts w:hint="eastAsia"/>
                      <w:color w:val="auto"/>
                      <w:szCs w:val="21"/>
                      <w:highlight w:val="none"/>
                      <w:lang w:val="en-US"/>
                    </w:rPr>
                    <w:t>”</w:t>
                  </w:r>
                  <w:r>
                    <w:rPr>
                      <w:color w:val="auto"/>
                      <w:szCs w:val="21"/>
                      <w:highlight w:val="none"/>
                      <w:lang w:val="en-US"/>
                    </w:rPr>
                    <w:t>等模式。以尾矿和共伴生矿、</w:t>
                  </w:r>
                  <w:r>
                    <w:rPr>
                      <w:rFonts w:hint="eastAsia"/>
                      <w:color w:val="auto"/>
                      <w:szCs w:val="21"/>
                      <w:highlight w:val="none"/>
                      <w:lang w:val="en-US" w:eastAsia="zh-CN"/>
                    </w:rPr>
                    <w:t>煤矸石</w:t>
                  </w:r>
                  <w:r>
                    <w:rPr>
                      <w:color w:val="auto"/>
                      <w:szCs w:val="21"/>
                      <w:highlight w:val="none"/>
                      <w:lang w:val="en-US"/>
                    </w:rPr>
                    <w:t>、炉渣、粉煤灰、脱硫石膏、冶炼渣、建筑垃圾等为重点，持续推进固体废物综合利用和环境整治，不断提高大宗固体废物资源化利用水平。推行生活垃圾分类，加快建设县（市）生活垃圾处理设施，到2025年，全疆城市生活垃圾无害化处理率达到99%以上。</w:t>
                  </w:r>
                </w:p>
              </w:tc>
              <w:tc>
                <w:tcPr>
                  <w:tcW w:w="1741" w:type="pct"/>
                  <w:tcBorders>
                    <w:tl2br w:val="nil"/>
                    <w:tr2bl w:val="nil"/>
                  </w:tcBorders>
                  <w:noWrap w:val="0"/>
                  <w:vAlign w:val="center"/>
                </w:tcPr>
                <w:p w14:paraId="07A59AE6">
                  <w:pPr>
                    <w:pStyle w:val="62"/>
                    <w:keepNext w:val="0"/>
                    <w:keepLines/>
                    <w:pageBreakBefore w:val="0"/>
                    <w:widowControl/>
                    <w:kinsoku/>
                    <w:wordWrap/>
                    <w:overflowPunct/>
                    <w:topLinePunct w:val="0"/>
                    <w:bidi w:val="0"/>
                    <w:jc w:val="center"/>
                    <w:rPr>
                      <w:rFonts w:cs="Times New Roman"/>
                      <w:color w:val="auto"/>
                      <w:szCs w:val="21"/>
                      <w:highlight w:val="none"/>
                    </w:rPr>
                  </w:pPr>
                  <w:r>
                    <w:rPr>
                      <w:rFonts w:cs="Times New Roman"/>
                      <w:color w:val="auto"/>
                      <w:szCs w:val="21"/>
                      <w:highlight w:val="none"/>
                    </w:rPr>
                    <w:t>本项目固体废物为</w:t>
                  </w:r>
                  <w:r>
                    <w:rPr>
                      <w:rFonts w:hint="eastAsia" w:cs="Times New Roman"/>
                      <w:color w:val="auto"/>
                      <w:szCs w:val="21"/>
                      <w:highlight w:val="none"/>
                      <w:lang w:val="en-US" w:eastAsia="zh-CN"/>
                    </w:rPr>
                    <w:t>多余土方、</w:t>
                  </w:r>
                  <w:r>
                    <w:rPr>
                      <w:rFonts w:hint="eastAsia" w:cs="Times New Roman"/>
                      <w:color w:val="auto"/>
                      <w:szCs w:val="21"/>
                      <w:highlight w:val="none"/>
                    </w:rPr>
                    <w:t>建筑垃圾和</w:t>
                  </w:r>
                  <w:r>
                    <w:rPr>
                      <w:rFonts w:cs="Times New Roman"/>
                      <w:color w:val="auto"/>
                      <w:szCs w:val="21"/>
                      <w:highlight w:val="none"/>
                    </w:rPr>
                    <w:t>施工人员生活垃圾。</w:t>
                  </w:r>
                  <w:r>
                    <w:rPr>
                      <w:rFonts w:hint="eastAsia" w:cs="Times New Roman"/>
                      <w:color w:val="auto"/>
                      <w:szCs w:val="21"/>
                      <w:highlight w:val="none"/>
                      <w:lang w:val="en-US" w:eastAsia="zh-CN"/>
                    </w:rPr>
                    <w:t>弃方均综合利用，全部渠道回填后利用</w:t>
                  </w:r>
                  <w:r>
                    <w:rPr>
                      <w:rFonts w:hint="eastAsia" w:cs="Times New Roman"/>
                      <w:color w:val="auto"/>
                      <w:szCs w:val="21"/>
                      <w:highlight w:val="none"/>
                      <w:lang w:eastAsia="zh-CN"/>
                    </w:rPr>
                    <w:t>；</w:t>
                  </w:r>
                  <w:r>
                    <w:rPr>
                      <w:rFonts w:hint="eastAsia" w:ascii="宋体" w:hAnsi="宋体"/>
                      <w:color w:val="auto"/>
                      <w:szCs w:val="21"/>
                      <w:highlight w:val="none"/>
                    </w:rPr>
                    <w:t>建筑垃圾</w:t>
                  </w:r>
                  <w:r>
                    <w:rPr>
                      <w:rFonts w:cs="Times New Roman"/>
                      <w:color w:val="auto"/>
                      <w:szCs w:val="21"/>
                      <w:highlight w:val="none"/>
                    </w:rPr>
                    <w:t>应进行分类收集、分类管理，能够回收利用的尽量回收综合利用</w:t>
                  </w:r>
                  <w:r>
                    <w:rPr>
                      <w:rFonts w:hint="eastAsia" w:cs="Times New Roman"/>
                      <w:color w:val="auto"/>
                      <w:szCs w:val="21"/>
                      <w:highlight w:val="none"/>
                      <w:lang w:eastAsia="zh-CN"/>
                    </w:rPr>
                    <w:t>，</w:t>
                  </w:r>
                  <w:r>
                    <w:rPr>
                      <w:rFonts w:cs="Times New Roman"/>
                      <w:color w:val="auto"/>
                      <w:szCs w:val="21"/>
                      <w:highlight w:val="none"/>
                    </w:rPr>
                    <w:t>对于不能回收利用的</w:t>
                  </w:r>
                  <w:r>
                    <w:rPr>
                      <w:rFonts w:hint="eastAsia" w:ascii="宋体" w:hAnsi="宋体"/>
                      <w:color w:val="auto"/>
                      <w:szCs w:val="21"/>
                      <w:highlight w:val="none"/>
                    </w:rPr>
                    <w:t>收集后送县建筑垃圾填埋场填埋处置；</w:t>
                  </w:r>
                  <w:r>
                    <w:rPr>
                      <w:rFonts w:hint="eastAsia"/>
                      <w:color w:val="auto"/>
                      <w:highlight w:val="none"/>
                      <w:lang w:val="en-US" w:eastAsia="zh-CN"/>
                    </w:rPr>
                    <w:t>生活垃圾</w:t>
                  </w:r>
                  <w:r>
                    <w:rPr>
                      <w:rFonts w:hint="eastAsia"/>
                      <w:color w:val="auto"/>
                      <w:szCs w:val="21"/>
                      <w:highlight w:val="none"/>
                    </w:rPr>
                    <w:t>统一收集，</w:t>
                  </w:r>
                  <w:r>
                    <w:rPr>
                      <w:rFonts w:hint="eastAsia"/>
                      <w:color w:val="auto"/>
                      <w:szCs w:val="21"/>
                      <w:highlight w:val="none"/>
                      <w:lang w:val="en-US" w:eastAsia="zh-CN"/>
                    </w:rPr>
                    <w:t>交由</w:t>
                  </w:r>
                  <w:r>
                    <w:rPr>
                      <w:rFonts w:hint="eastAsia"/>
                      <w:color w:val="auto"/>
                      <w:szCs w:val="21"/>
                      <w:highlight w:val="none"/>
                    </w:rPr>
                    <w:t>奇台县生活垃圾填埋场处理</w:t>
                  </w:r>
                  <w:r>
                    <w:rPr>
                      <w:rFonts w:hint="eastAsia" w:cs="Times New Roman"/>
                      <w:color w:val="auto"/>
                      <w:szCs w:val="21"/>
                      <w:highlight w:val="none"/>
                      <w:lang w:eastAsia="zh-CN"/>
                    </w:rPr>
                    <w:t>；</w:t>
                  </w:r>
                  <w:r>
                    <w:rPr>
                      <w:rFonts w:hint="eastAsia" w:cs="Times New Roman"/>
                      <w:color w:val="auto"/>
                      <w:szCs w:val="21"/>
                      <w:highlight w:val="none"/>
                      <w:lang w:val="en-US" w:eastAsia="zh-CN"/>
                    </w:rPr>
                    <w:t>沉淀池产生的泥沙在施工结束后统一拉至奇台县建筑垃圾填埋场处置</w:t>
                  </w:r>
                  <w:r>
                    <w:rPr>
                      <w:rFonts w:hint="eastAsia" w:cs="Times New Roman"/>
                      <w:color w:val="auto"/>
                      <w:szCs w:val="21"/>
                      <w:highlight w:val="none"/>
                      <w:lang w:eastAsia="zh-CN"/>
                    </w:rPr>
                    <w:t>。</w:t>
                  </w:r>
                </w:p>
              </w:tc>
              <w:tc>
                <w:tcPr>
                  <w:tcW w:w="601" w:type="pct"/>
                  <w:tcBorders>
                    <w:tl2br w:val="nil"/>
                    <w:tr2bl w:val="nil"/>
                  </w:tcBorders>
                  <w:noWrap w:val="0"/>
                  <w:vAlign w:val="center"/>
                </w:tcPr>
                <w:p w14:paraId="2B5B9EA2">
                  <w:pPr>
                    <w:pStyle w:val="62"/>
                    <w:keepNext w:val="0"/>
                    <w:keepLines/>
                    <w:pageBreakBefore w:val="0"/>
                    <w:widowControl/>
                    <w:kinsoku/>
                    <w:wordWrap/>
                    <w:overflowPunct/>
                    <w:topLinePunct w:val="0"/>
                    <w:bidi w:val="0"/>
                    <w:jc w:val="center"/>
                    <w:rPr>
                      <w:rFonts w:cs="Times New Roman"/>
                      <w:color w:val="auto"/>
                      <w:szCs w:val="21"/>
                      <w:highlight w:val="none"/>
                    </w:rPr>
                  </w:pPr>
                  <w:r>
                    <w:rPr>
                      <w:rFonts w:hint="eastAsia" w:cs="Times New Roman"/>
                      <w:color w:val="auto"/>
                      <w:szCs w:val="21"/>
                      <w:highlight w:val="none"/>
                    </w:rPr>
                    <w:t>符合</w:t>
                  </w:r>
                </w:p>
              </w:tc>
            </w:tr>
          </w:tbl>
          <w:p w14:paraId="2B83A903">
            <w:pPr>
              <w:keepNext w:val="0"/>
              <w:keepLines/>
              <w:pageBreakBefore w:val="0"/>
              <w:widowControl/>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color w:val="auto"/>
                <w:lang w:eastAsia="en-US"/>
              </w:rPr>
            </w:pPr>
            <w:r>
              <w:rPr>
                <w:rFonts w:hint="default" w:ascii="Times New Roman" w:hAnsi="Times New Roman" w:eastAsia="宋体" w:cs="Times New Roman"/>
                <w:color w:val="auto"/>
                <w:kern w:val="0"/>
                <w:sz w:val="24"/>
                <w:szCs w:val="24"/>
                <w:highlight w:val="none"/>
                <w:lang w:eastAsia="en-US"/>
              </w:rPr>
              <w:t>项目符合《新疆维吾尔自治区生态环境分区管控动态更新成果》（新环环评发〔2024〕157号）文件的要求。</w:t>
            </w:r>
          </w:p>
          <w:p w14:paraId="7385B26A">
            <w:pPr>
              <w:keepNext w:val="0"/>
              <w:keepLines/>
              <w:pageBreakBefore w:val="0"/>
              <w:widowControl/>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eastAsia="en-US"/>
              </w:rPr>
            </w:pPr>
            <w:r>
              <w:rPr>
                <w:rFonts w:hint="default" w:ascii="Times New Roman" w:hAnsi="Times New Roman" w:eastAsia="宋体" w:cs="Times New Roman"/>
                <w:color w:val="auto"/>
                <w:kern w:val="0"/>
                <w:sz w:val="24"/>
                <w:szCs w:val="24"/>
                <w:highlight w:val="none"/>
                <w:lang w:eastAsia="en-US"/>
              </w:rPr>
              <w:t>（2）《新疆维吾尔自治区七大片区“三线一单”生态环境分区管控要求》符合性分析</w:t>
            </w:r>
          </w:p>
          <w:p w14:paraId="02864A60">
            <w:pPr>
              <w:keepNext w:val="0"/>
              <w:keepLines/>
              <w:pageBreakBefore w:val="0"/>
              <w:widowControl/>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eastAsia="en-US"/>
              </w:rPr>
            </w:pPr>
            <w:r>
              <w:rPr>
                <w:rFonts w:hint="default" w:ascii="Times New Roman" w:hAnsi="Times New Roman" w:eastAsia="宋体" w:cs="Times New Roman"/>
                <w:color w:val="auto"/>
                <w:kern w:val="0"/>
                <w:sz w:val="24"/>
                <w:szCs w:val="24"/>
                <w:highlight w:val="none"/>
                <w:lang w:val="en-US" w:eastAsia="en-US"/>
              </w:rPr>
              <w:t>按照《新疆维吾尔自治区“三线一单”生态环境分区管控方案》，全区划分为七大片区，包括北疆北部（塔城地区、阿勒泰地区）、伊犁河谷、克奎乌</w:t>
            </w:r>
            <w:r>
              <w:rPr>
                <w:rFonts w:hint="eastAsia" w:cs="Times New Roman"/>
                <w:color w:val="auto"/>
                <w:kern w:val="0"/>
                <w:sz w:val="24"/>
                <w:szCs w:val="24"/>
                <w:highlight w:val="none"/>
                <w:lang w:val="en-US" w:eastAsia="zh-CN"/>
              </w:rPr>
              <w:t>－</w:t>
            </w:r>
            <w:r>
              <w:rPr>
                <w:rFonts w:hint="default" w:ascii="Times New Roman" w:hAnsi="Times New Roman" w:eastAsia="宋体" w:cs="Times New Roman"/>
                <w:color w:val="auto"/>
                <w:kern w:val="0"/>
                <w:sz w:val="24"/>
                <w:szCs w:val="24"/>
                <w:highlight w:val="none"/>
                <w:lang w:val="en-US" w:eastAsia="en-US"/>
              </w:rPr>
              <w:t>博州、乌昌石、吐哈、天山南坡（巴州、阿克苏地区）和南疆三地州片区。</w:t>
            </w:r>
          </w:p>
          <w:p w14:paraId="7E4E9344">
            <w:pPr>
              <w:keepNext w:val="0"/>
              <w:keepLines/>
              <w:pageBreakBefore w:val="0"/>
              <w:widowControl/>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eastAsia="en-US"/>
              </w:rPr>
            </w:pPr>
            <w:r>
              <w:rPr>
                <w:rFonts w:hint="default" w:ascii="Times New Roman" w:hAnsi="Times New Roman" w:eastAsia="宋体" w:cs="Times New Roman"/>
                <w:color w:val="auto"/>
                <w:kern w:val="0"/>
                <w:sz w:val="24"/>
                <w:szCs w:val="24"/>
                <w:highlight w:val="none"/>
                <w:lang w:val="en-US" w:eastAsia="en-US"/>
              </w:rPr>
              <w:t>根据管控方案</w:t>
            </w:r>
            <w:r>
              <w:rPr>
                <w:rFonts w:hint="eastAsia" w:cs="Times New Roman"/>
                <w:color w:val="auto"/>
                <w:kern w:val="0"/>
                <w:sz w:val="24"/>
                <w:szCs w:val="24"/>
                <w:highlight w:val="none"/>
                <w:lang w:val="en-US" w:eastAsia="zh-CN"/>
              </w:rPr>
              <w:t>，北疆</w:t>
            </w:r>
            <w:r>
              <w:rPr>
                <w:rFonts w:hint="default" w:ascii="Times New Roman" w:hAnsi="Times New Roman" w:eastAsia="宋体" w:cs="Times New Roman"/>
                <w:color w:val="auto"/>
                <w:kern w:val="0"/>
                <w:sz w:val="24"/>
                <w:szCs w:val="24"/>
                <w:highlight w:val="none"/>
                <w:lang w:val="en-US" w:eastAsia="en-US"/>
              </w:rPr>
              <w:t>北部片区重点阿尔泰山、准噶尔西部山地等水源涵养功能和生物多样性功能维护；伊犁河谷片区重点维护伊犁河上游山区水源涵养</w:t>
            </w:r>
            <w:r>
              <w:rPr>
                <w:rFonts w:hint="eastAsia" w:cs="Times New Roman"/>
                <w:color w:val="auto"/>
                <w:kern w:val="0"/>
                <w:sz w:val="24"/>
                <w:szCs w:val="24"/>
                <w:highlight w:val="none"/>
                <w:lang w:val="en-US" w:eastAsia="zh-CN"/>
              </w:rPr>
              <w:t>功能和</w:t>
            </w:r>
            <w:r>
              <w:rPr>
                <w:rFonts w:hint="default" w:ascii="Times New Roman" w:hAnsi="Times New Roman" w:eastAsia="宋体" w:cs="Times New Roman"/>
                <w:color w:val="auto"/>
                <w:kern w:val="0"/>
                <w:sz w:val="24"/>
                <w:szCs w:val="24"/>
                <w:highlight w:val="none"/>
                <w:lang w:val="en-US" w:eastAsia="en-US"/>
              </w:rPr>
              <w:t>生物多样性保护；克奎乌—博州片区执行大气污染物特别排放限值，生物多样性维护和荒漠化防治；乌昌石片区大气污染治理，建成区及周边敏感区域不再布局建设煤化工、电解铝等新增产能项目；吐哈片区荒漠化防治和水资源利用率提升；天山南坡片区塔里木盆地北缘荒漠化防治，保障生态用水和博斯腾湖综合治理；南疆三地州片区绿洲边缘地区生态防护林建设和水土资源利用效率。</w:t>
            </w:r>
          </w:p>
          <w:p w14:paraId="74AE739C">
            <w:pPr>
              <w:keepNext w:val="0"/>
              <w:keepLines/>
              <w:pageBreakBefore w:val="0"/>
              <w:widowControl/>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eastAsia="en-US"/>
              </w:rPr>
            </w:pPr>
            <w:r>
              <w:rPr>
                <w:rFonts w:hint="default" w:ascii="Times New Roman" w:hAnsi="Times New Roman" w:eastAsia="宋体" w:cs="Times New Roman"/>
                <w:color w:val="auto"/>
                <w:kern w:val="0"/>
                <w:sz w:val="24"/>
                <w:szCs w:val="24"/>
                <w:highlight w:val="none"/>
                <w:lang w:val="en-US" w:eastAsia="en-US"/>
              </w:rPr>
              <w:t>本项目位于昌吉州奇台县，属乌昌石片区，项目对原有渠道采取现浇砼压顶板防渗处理，建成后可减少沿渠水土流失，减少淤积灾害，有利于提高灌区的引水条件，提高输水效率；过水能力和抗冲能力有效提高，保障沿渠农田、道路和公共设施的安全运行；有效控制地下水位及土壤盐碱化程度，且运营期不产生污染物。因此项目建设符合《新疆维吾尔自治区七大片区“三线一单”生态环境分区管控要求（2021年版）》。</w:t>
            </w:r>
          </w:p>
          <w:p w14:paraId="17838B6A">
            <w:pPr>
              <w:keepNext w:val="0"/>
              <w:keepLines/>
              <w:pageBreakBefore w:val="0"/>
              <w:widowControl/>
              <w:numPr>
                <w:ilvl w:val="0"/>
                <w:numId w:val="3"/>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与昌吉州“三线一单”环境管控单元生态环境准入清单（2023版）符合性分析</w:t>
            </w:r>
          </w:p>
          <w:p w14:paraId="24A96FA0">
            <w:pPr>
              <w:keepNext w:val="0"/>
              <w:keepLines/>
              <w:pageBreakBefore w:val="0"/>
              <w:widowControl/>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en-US"/>
              </w:rPr>
            </w:pPr>
            <w:r>
              <w:rPr>
                <w:rFonts w:hint="default" w:ascii="Times New Roman" w:hAnsi="Times New Roman" w:eastAsia="宋体" w:cs="Times New Roman"/>
                <w:color w:val="auto"/>
                <w:kern w:val="0"/>
                <w:sz w:val="24"/>
                <w:szCs w:val="24"/>
                <w:highlight w:val="none"/>
                <w:lang w:val="en-US" w:eastAsia="en-US"/>
              </w:rPr>
              <w:t>昌吉回族自治州共划分119个环境管控单元，分为优先保护单元、重点管控单元、一般管控单元三类，实施分类管控。</w:t>
            </w:r>
          </w:p>
          <w:p w14:paraId="063B7B4B">
            <w:pPr>
              <w:keepNext w:val="0"/>
              <w:keepLines/>
              <w:pageBreakBefore w:val="0"/>
              <w:widowControl/>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eastAsia" w:eastAsia="宋体"/>
                <w:color w:val="auto"/>
                <w:lang w:val="en-US" w:eastAsia="zh-CN"/>
              </w:rPr>
            </w:pPr>
            <w:r>
              <w:rPr>
                <w:rFonts w:hint="default" w:ascii="Times New Roman" w:hAnsi="Times New Roman" w:eastAsia="宋体" w:cs="Times New Roman"/>
                <w:color w:val="auto"/>
                <w:kern w:val="0"/>
                <w:sz w:val="24"/>
                <w:szCs w:val="24"/>
                <w:highlight w:val="none"/>
                <w:lang w:val="en-US" w:eastAsia="en-US"/>
              </w:rPr>
              <w:t>本项目位于昌吉回族自治州奇台县老奇台镇，通过对比昌吉回族自治州环境管控单元发布图及昌吉回族自治州生态环境准入清单，本项目属于奇台县一般管控单元（ZH65232530001），本项目</w:t>
            </w:r>
            <w:r>
              <w:rPr>
                <w:rFonts w:hint="eastAsia" w:cs="Times New Roman"/>
                <w:color w:val="auto"/>
                <w:kern w:val="0"/>
                <w:sz w:val="24"/>
                <w:szCs w:val="24"/>
                <w:highlight w:val="none"/>
                <w:lang w:val="en-US" w:eastAsia="zh-CN"/>
              </w:rPr>
              <w:t>与该清单的</w:t>
            </w:r>
            <w:r>
              <w:rPr>
                <w:rFonts w:hint="default" w:ascii="Times New Roman" w:hAnsi="Times New Roman" w:eastAsia="宋体" w:cs="Times New Roman"/>
                <w:color w:val="auto"/>
                <w:kern w:val="0"/>
                <w:sz w:val="24"/>
                <w:szCs w:val="24"/>
                <w:highlight w:val="none"/>
                <w:lang w:val="en-US" w:eastAsia="en-US"/>
              </w:rPr>
              <w:t>符合性见表1-</w:t>
            </w:r>
            <w:r>
              <w:rPr>
                <w:rFonts w:hint="eastAsia" w:ascii="Times New Roman" w:hAnsi="Times New Roman" w:eastAsia="宋体" w:cs="Times New Roman"/>
                <w:color w:val="auto"/>
                <w:kern w:val="0"/>
                <w:sz w:val="24"/>
                <w:szCs w:val="24"/>
                <w:highlight w:val="none"/>
                <w:lang w:val="en-US" w:eastAsia="zh-CN"/>
              </w:rPr>
              <w:t>2</w:t>
            </w:r>
          </w:p>
          <w:p w14:paraId="2E557EB0">
            <w:pPr>
              <w:pStyle w:val="4"/>
              <w:keepNext w:val="0"/>
              <w:keepLines/>
              <w:pageBreakBefore w:val="0"/>
              <w:widowControl/>
              <w:numPr>
                <w:ilvl w:val="2"/>
                <w:numId w:val="0"/>
              </w:numPr>
              <w:kinsoku/>
              <w:wordWrap/>
              <w:overflowPunct/>
              <w:topLinePunct w:val="0"/>
              <w:autoSpaceDE/>
              <w:autoSpaceDN/>
              <w:bidi w:val="0"/>
              <w:adjustRightInd w:val="0"/>
              <w:snapToGrid w:val="0"/>
              <w:spacing w:before="0" w:beforeLines="-2147483648" w:beforeAutospacing="0" w:after="0" w:afterLines="-2147483648" w:afterAutospacing="0" w:line="360" w:lineRule="auto"/>
              <w:ind w:leftChars="0"/>
              <w:jc w:val="center"/>
              <w:textAlignment w:val="auto"/>
              <w:outlineLvl w:val="9"/>
              <w:rPr>
                <w:rFonts w:hint="default" w:ascii="Times New Roman" w:hAnsi="Times New Roman" w:eastAsia="宋体" w:cs="Times New Roman"/>
                <w:color w:val="auto"/>
                <w:kern w:val="0"/>
                <w:sz w:val="24"/>
                <w:szCs w:val="24"/>
                <w:highlight w:val="none"/>
                <w:vertAlign w:val="baseline"/>
                <w:lang w:val="en-US" w:eastAsia="zh-CN"/>
              </w:rPr>
            </w:pPr>
            <w:r>
              <w:rPr>
                <w:rFonts w:hint="default" w:ascii="Times New Roman" w:hAnsi="Times New Roman" w:eastAsia="宋体" w:cs="Times New Roman"/>
                <w:color w:val="auto"/>
                <w:kern w:val="0"/>
                <w:sz w:val="24"/>
                <w:szCs w:val="24"/>
                <w:highlight w:val="none"/>
                <w:vertAlign w:val="baseline"/>
                <w:lang w:val="en-US" w:eastAsia="zh-CN"/>
              </w:rPr>
              <w:t>表1-</w:t>
            </w:r>
            <w:r>
              <w:rPr>
                <w:rFonts w:hint="eastAsia" w:cs="Times New Roman"/>
                <w:color w:val="auto"/>
                <w:kern w:val="0"/>
                <w:sz w:val="24"/>
                <w:szCs w:val="24"/>
                <w:highlight w:val="none"/>
                <w:vertAlign w:val="baseline"/>
                <w:lang w:val="en-US" w:eastAsia="zh-CN"/>
              </w:rPr>
              <w:t>2</w:t>
            </w:r>
            <w:r>
              <w:rPr>
                <w:rFonts w:hint="default" w:ascii="Times New Roman" w:hAnsi="Times New Roman" w:eastAsia="宋体" w:cs="Times New Roman"/>
                <w:color w:val="auto"/>
                <w:kern w:val="0"/>
                <w:sz w:val="24"/>
                <w:szCs w:val="24"/>
                <w:highlight w:val="none"/>
                <w:vertAlign w:val="baseline"/>
                <w:lang w:val="en-US" w:eastAsia="zh-CN"/>
              </w:rPr>
              <w:t>项目与昌吉州“三线一单”环境管控单元生态环境准入清单符合性分析一览表</w:t>
            </w:r>
          </w:p>
          <w:tbl>
            <w:tblPr>
              <w:tblStyle w:val="30"/>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3"/>
              <w:gridCol w:w="835"/>
              <w:gridCol w:w="1650"/>
              <w:gridCol w:w="2014"/>
              <w:gridCol w:w="549"/>
            </w:tblGrid>
            <w:tr w14:paraId="64BBC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261" w:type="pct"/>
                  <w:tcBorders>
                    <w:tl2br w:val="nil"/>
                    <w:tr2bl w:val="nil"/>
                  </w:tcBorders>
                  <w:noWrap w:val="0"/>
                  <w:vAlign w:val="center"/>
                </w:tcPr>
                <w:p w14:paraId="459A318D">
                  <w:pPr>
                    <w:pStyle w:val="16"/>
                    <w:keepNext w:val="0"/>
                    <w:keepLines/>
                    <w:pageBreakBefore w:val="0"/>
                    <w:widowControl/>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b/>
                      <w:bCs/>
                      <w:color w:val="auto"/>
                      <w:kern w:val="21"/>
                      <w:sz w:val="21"/>
                      <w:szCs w:val="21"/>
                      <w:highlight w:val="none"/>
                      <w:vertAlign w:val="baseline"/>
                      <w:lang w:val="en-US" w:eastAsia="zh-CN"/>
                    </w:rPr>
                  </w:pPr>
                  <w:r>
                    <w:rPr>
                      <w:rFonts w:hint="default" w:ascii="Times New Roman" w:hAnsi="Times New Roman" w:eastAsia="宋体" w:cs="Times New Roman"/>
                      <w:b/>
                      <w:bCs/>
                      <w:color w:val="auto"/>
                      <w:kern w:val="21"/>
                      <w:sz w:val="21"/>
                      <w:szCs w:val="21"/>
                      <w:highlight w:val="none"/>
                      <w:vertAlign w:val="baseline"/>
                      <w:lang w:val="en-US" w:eastAsia="zh-CN"/>
                    </w:rPr>
                    <w:t>管控单元</w:t>
                  </w:r>
                </w:p>
              </w:tc>
              <w:tc>
                <w:tcPr>
                  <w:tcW w:w="618" w:type="pct"/>
                  <w:tcBorders>
                    <w:tl2br w:val="nil"/>
                    <w:tr2bl w:val="nil"/>
                  </w:tcBorders>
                  <w:noWrap w:val="0"/>
                  <w:vAlign w:val="center"/>
                </w:tcPr>
                <w:p w14:paraId="73073C37">
                  <w:pPr>
                    <w:pStyle w:val="16"/>
                    <w:keepNext w:val="0"/>
                    <w:keepLines/>
                    <w:pageBreakBefore w:val="0"/>
                    <w:widowControl/>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b/>
                      <w:bCs/>
                      <w:color w:val="auto"/>
                      <w:kern w:val="21"/>
                      <w:sz w:val="21"/>
                      <w:szCs w:val="21"/>
                      <w:highlight w:val="none"/>
                      <w:vertAlign w:val="baseline"/>
                      <w:lang w:val="en-US" w:eastAsia="zh-CN"/>
                    </w:rPr>
                  </w:pPr>
                  <w:r>
                    <w:rPr>
                      <w:rFonts w:hint="default" w:ascii="Times New Roman" w:hAnsi="Times New Roman" w:eastAsia="宋体" w:cs="Times New Roman"/>
                      <w:b/>
                      <w:bCs/>
                      <w:color w:val="auto"/>
                      <w:kern w:val="21"/>
                      <w:sz w:val="21"/>
                      <w:szCs w:val="21"/>
                      <w:highlight w:val="none"/>
                      <w:vertAlign w:val="baseline"/>
                      <w:lang w:val="en-US" w:eastAsia="zh-CN"/>
                    </w:rPr>
                    <w:t>管控维度</w:t>
                  </w:r>
                </w:p>
              </w:tc>
              <w:tc>
                <w:tcPr>
                  <w:tcW w:w="1222" w:type="pct"/>
                  <w:tcBorders>
                    <w:tl2br w:val="nil"/>
                    <w:tr2bl w:val="nil"/>
                  </w:tcBorders>
                  <w:noWrap w:val="0"/>
                  <w:vAlign w:val="center"/>
                </w:tcPr>
                <w:p w14:paraId="5C87E85D">
                  <w:pPr>
                    <w:pStyle w:val="16"/>
                    <w:keepNext w:val="0"/>
                    <w:keepLines/>
                    <w:pageBreakBefore w:val="0"/>
                    <w:widowControl/>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b/>
                      <w:bCs/>
                      <w:color w:val="auto"/>
                      <w:kern w:val="21"/>
                      <w:sz w:val="21"/>
                      <w:szCs w:val="21"/>
                      <w:highlight w:val="none"/>
                      <w:vertAlign w:val="baseline"/>
                      <w:lang w:val="en-US" w:eastAsia="zh-CN"/>
                    </w:rPr>
                  </w:pPr>
                  <w:r>
                    <w:rPr>
                      <w:rFonts w:hint="default" w:ascii="Times New Roman" w:hAnsi="Times New Roman" w:eastAsia="宋体" w:cs="Times New Roman"/>
                      <w:b/>
                      <w:bCs/>
                      <w:color w:val="auto"/>
                      <w:kern w:val="21"/>
                      <w:sz w:val="21"/>
                      <w:szCs w:val="21"/>
                      <w:highlight w:val="none"/>
                      <w:vertAlign w:val="baseline"/>
                      <w:lang w:val="en-US" w:eastAsia="zh-CN"/>
                    </w:rPr>
                    <w:t>管控内容</w:t>
                  </w:r>
                </w:p>
              </w:tc>
              <w:tc>
                <w:tcPr>
                  <w:tcW w:w="1491" w:type="pct"/>
                  <w:tcBorders>
                    <w:tl2br w:val="nil"/>
                    <w:tr2bl w:val="nil"/>
                  </w:tcBorders>
                  <w:noWrap w:val="0"/>
                  <w:vAlign w:val="center"/>
                </w:tcPr>
                <w:p w14:paraId="0BF75BB8">
                  <w:pPr>
                    <w:pStyle w:val="16"/>
                    <w:keepNext w:val="0"/>
                    <w:keepLines/>
                    <w:pageBreakBefore w:val="0"/>
                    <w:widowControl/>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b/>
                      <w:bCs/>
                      <w:color w:val="auto"/>
                      <w:kern w:val="21"/>
                      <w:sz w:val="21"/>
                      <w:szCs w:val="21"/>
                      <w:highlight w:val="none"/>
                      <w:vertAlign w:val="baseline"/>
                      <w:lang w:val="en-US" w:eastAsia="zh-CN"/>
                    </w:rPr>
                  </w:pPr>
                  <w:r>
                    <w:rPr>
                      <w:rFonts w:hint="default" w:ascii="Times New Roman" w:hAnsi="Times New Roman" w:eastAsia="宋体" w:cs="Times New Roman"/>
                      <w:b/>
                      <w:bCs/>
                      <w:color w:val="auto"/>
                      <w:kern w:val="21"/>
                      <w:sz w:val="21"/>
                      <w:szCs w:val="21"/>
                      <w:highlight w:val="none"/>
                      <w:vertAlign w:val="baseline"/>
                      <w:lang w:val="en-US" w:eastAsia="zh-CN"/>
                    </w:rPr>
                    <w:t>项目概况</w:t>
                  </w:r>
                </w:p>
              </w:tc>
              <w:tc>
                <w:tcPr>
                  <w:tcW w:w="406" w:type="pct"/>
                  <w:tcBorders>
                    <w:tl2br w:val="nil"/>
                    <w:tr2bl w:val="nil"/>
                  </w:tcBorders>
                  <w:noWrap w:val="0"/>
                  <w:vAlign w:val="center"/>
                </w:tcPr>
                <w:p w14:paraId="547E5568">
                  <w:pPr>
                    <w:pStyle w:val="16"/>
                    <w:keepNext w:val="0"/>
                    <w:keepLines/>
                    <w:pageBreakBefore w:val="0"/>
                    <w:widowControl/>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b/>
                      <w:bCs/>
                      <w:color w:val="auto"/>
                      <w:kern w:val="21"/>
                      <w:sz w:val="21"/>
                      <w:szCs w:val="21"/>
                      <w:highlight w:val="none"/>
                      <w:vertAlign w:val="baseline"/>
                      <w:lang w:val="en-US" w:eastAsia="zh-CN"/>
                    </w:rPr>
                  </w:pPr>
                  <w:r>
                    <w:rPr>
                      <w:rFonts w:hint="default" w:ascii="Times New Roman" w:hAnsi="Times New Roman" w:eastAsia="宋体" w:cs="Times New Roman"/>
                      <w:b/>
                      <w:bCs/>
                      <w:color w:val="auto"/>
                      <w:kern w:val="21"/>
                      <w:sz w:val="21"/>
                      <w:szCs w:val="21"/>
                      <w:highlight w:val="none"/>
                      <w:vertAlign w:val="baseline"/>
                      <w:lang w:val="en-US" w:eastAsia="zh-CN"/>
                    </w:rPr>
                    <w:t>符合性</w:t>
                  </w:r>
                </w:p>
              </w:tc>
            </w:tr>
            <w:tr w14:paraId="7B968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261" w:type="pct"/>
                  <w:vMerge w:val="restart"/>
                  <w:tcBorders>
                    <w:tl2br w:val="nil"/>
                    <w:tr2bl w:val="nil"/>
                  </w:tcBorders>
                  <w:noWrap w:val="0"/>
                  <w:vAlign w:val="center"/>
                </w:tcPr>
                <w:p w14:paraId="474EE2AB">
                  <w:pPr>
                    <w:pStyle w:val="16"/>
                    <w:keepNext w:val="0"/>
                    <w:keepLines/>
                    <w:pageBreakBefore w:val="0"/>
                    <w:widowControl/>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b/>
                      <w:bCs/>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奇台县一般管控单元，环境管控单元编码：</w:t>
                  </w:r>
                  <w:r>
                    <w:rPr>
                      <w:rFonts w:hint="eastAsia" w:cs="Times New Roman"/>
                      <w:color w:val="auto"/>
                      <w:kern w:val="21"/>
                      <w:sz w:val="21"/>
                      <w:szCs w:val="21"/>
                      <w:highlight w:val="none"/>
                      <w:vertAlign w:val="baseline"/>
                      <w:lang w:val="en-US" w:eastAsia="zh-CN"/>
                    </w:rPr>
                    <w:t>ZH65232530001</w:t>
                  </w:r>
                </w:p>
              </w:tc>
              <w:tc>
                <w:tcPr>
                  <w:tcW w:w="618" w:type="pct"/>
                  <w:tcBorders>
                    <w:tl2br w:val="nil"/>
                    <w:tr2bl w:val="nil"/>
                  </w:tcBorders>
                  <w:noWrap w:val="0"/>
                  <w:vAlign w:val="center"/>
                </w:tcPr>
                <w:p w14:paraId="0C414DF8">
                  <w:pPr>
                    <w:pStyle w:val="16"/>
                    <w:keepNext w:val="0"/>
                    <w:keepLines/>
                    <w:pageBreakBefore w:val="0"/>
                    <w:widowControl/>
                    <w:kinsoku/>
                    <w:wordWrap/>
                    <w:overflowPunct/>
                    <w:topLinePunct w:val="0"/>
                    <w:autoSpaceDE/>
                    <w:autoSpaceDN/>
                    <w:bidi w:val="0"/>
                    <w:adjustRightInd/>
                    <w:snapToGrid/>
                    <w:spacing w:after="0" w:line="240" w:lineRule="auto"/>
                    <w:ind w:left="42" w:leftChars="20" w:right="113" w:rightChars="0"/>
                    <w:jc w:val="center"/>
                    <w:textAlignment w:val="auto"/>
                    <w:rPr>
                      <w:rFonts w:hint="default" w:ascii="Times New Roman" w:hAnsi="Times New Roman" w:eastAsia="宋体" w:cs="Times New Roman"/>
                      <w:b/>
                      <w:bCs/>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空间布局约束</w:t>
                  </w:r>
                </w:p>
              </w:tc>
              <w:tc>
                <w:tcPr>
                  <w:tcW w:w="1222" w:type="pct"/>
                  <w:tcBorders>
                    <w:tl2br w:val="nil"/>
                    <w:tr2bl w:val="nil"/>
                  </w:tcBorders>
                  <w:noWrap w:val="0"/>
                  <w:vAlign w:val="center"/>
                </w:tcPr>
                <w:p w14:paraId="4F474F80">
                  <w:pPr>
                    <w:pStyle w:val="16"/>
                    <w:keepNext w:val="0"/>
                    <w:keepLines/>
                    <w:pageBreakBefore w:val="0"/>
                    <w:widowControl/>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1、执行自治区总体准入要求中关于一般环境管控单元的准入要求（表2-4A7.1）。</w:t>
                  </w:r>
                </w:p>
              </w:tc>
              <w:tc>
                <w:tcPr>
                  <w:tcW w:w="1491" w:type="pct"/>
                  <w:tcBorders>
                    <w:tl2br w:val="nil"/>
                    <w:tr2bl w:val="nil"/>
                  </w:tcBorders>
                  <w:noWrap w:val="0"/>
                  <w:vAlign w:val="center"/>
                </w:tcPr>
                <w:p w14:paraId="164F7E4A">
                  <w:pPr>
                    <w:pStyle w:val="16"/>
                    <w:keepNext w:val="0"/>
                    <w:keepLines/>
                    <w:pageBreakBefore w:val="0"/>
                    <w:widowControl/>
                    <w:kinsoku/>
                    <w:wordWrap/>
                    <w:overflowPunct/>
                    <w:topLinePunct w:val="0"/>
                    <w:autoSpaceDE/>
                    <w:autoSpaceDN/>
                    <w:bidi w:val="0"/>
                    <w:adjustRightInd/>
                    <w:snapToGrid/>
                    <w:spacing w:after="0" w:line="240" w:lineRule="auto"/>
                    <w:ind w:left="42" w:leftChars="20" w:right="113"/>
                    <w:jc w:val="both"/>
                    <w:textAlignment w:val="auto"/>
                    <w:rPr>
                      <w:rFonts w:hint="default" w:ascii="Times New Roman" w:hAnsi="Times New Roman" w:eastAsia="宋体" w:cs="Times New Roman"/>
                      <w:b/>
                      <w:bCs/>
                      <w:color w:val="auto"/>
                      <w:kern w:val="21"/>
                      <w:sz w:val="21"/>
                      <w:szCs w:val="21"/>
                      <w:highlight w:val="none"/>
                      <w:vertAlign w:val="baseline"/>
                      <w:lang w:val="en-US" w:eastAsia="zh-CN"/>
                    </w:rPr>
                  </w:pPr>
                  <w:r>
                    <w:rPr>
                      <w:rFonts w:hint="default" w:ascii="Times New Roman" w:hAnsi="Times New Roman" w:cs="Times New Roman"/>
                      <w:color w:val="auto"/>
                      <w:lang w:val="en-US" w:eastAsia="zh-CN"/>
                    </w:rPr>
                    <w:t>本项目进行渠道防渗改建，为民生工程，不属于高污染、高风险污染类工业项目</w:t>
                  </w:r>
                </w:p>
              </w:tc>
              <w:tc>
                <w:tcPr>
                  <w:tcW w:w="406" w:type="pct"/>
                  <w:tcBorders>
                    <w:tl2br w:val="nil"/>
                    <w:tr2bl w:val="nil"/>
                  </w:tcBorders>
                  <w:noWrap w:val="0"/>
                  <w:vAlign w:val="center"/>
                </w:tcPr>
                <w:p w14:paraId="631213B0">
                  <w:pPr>
                    <w:pStyle w:val="16"/>
                    <w:keepNext w:val="0"/>
                    <w:keepLines/>
                    <w:pageBreakBefore w:val="0"/>
                    <w:widowControl/>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符合</w:t>
                  </w:r>
                </w:p>
              </w:tc>
            </w:tr>
            <w:tr w14:paraId="0FE25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261" w:type="pct"/>
                  <w:vMerge w:val="continue"/>
                  <w:tcBorders>
                    <w:tl2br w:val="nil"/>
                    <w:tr2bl w:val="nil"/>
                  </w:tcBorders>
                  <w:noWrap w:val="0"/>
                  <w:vAlign w:val="center"/>
                </w:tcPr>
                <w:p w14:paraId="6ED214AA">
                  <w:pPr>
                    <w:pStyle w:val="16"/>
                    <w:keepNext w:val="0"/>
                    <w:keepLines/>
                    <w:pageBreakBefore w:val="0"/>
                    <w:widowControl/>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b/>
                      <w:bCs/>
                      <w:color w:val="auto"/>
                      <w:kern w:val="21"/>
                      <w:sz w:val="21"/>
                      <w:szCs w:val="21"/>
                      <w:highlight w:val="none"/>
                      <w:vertAlign w:val="baseline"/>
                      <w:lang w:val="en-US" w:eastAsia="zh-CN"/>
                    </w:rPr>
                  </w:pPr>
                </w:p>
              </w:tc>
              <w:tc>
                <w:tcPr>
                  <w:tcW w:w="618" w:type="pct"/>
                  <w:tcBorders>
                    <w:tl2br w:val="nil"/>
                    <w:tr2bl w:val="nil"/>
                  </w:tcBorders>
                  <w:noWrap w:val="0"/>
                  <w:vAlign w:val="center"/>
                </w:tcPr>
                <w:p w14:paraId="1E7AF997">
                  <w:pPr>
                    <w:pStyle w:val="16"/>
                    <w:keepNext w:val="0"/>
                    <w:keepLines/>
                    <w:pageBreakBefore w:val="0"/>
                    <w:widowControl/>
                    <w:kinsoku/>
                    <w:wordWrap/>
                    <w:overflowPunct/>
                    <w:topLinePunct w:val="0"/>
                    <w:autoSpaceDE/>
                    <w:autoSpaceDN/>
                    <w:bidi w:val="0"/>
                    <w:adjustRightInd/>
                    <w:snapToGrid/>
                    <w:spacing w:after="0" w:line="240" w:lineRule="auto"/>
                    <w:ind w:left="42" w:leftChars="20" w:right="113" w:rightChars="0"/>
                    <w:jc w:val="center"/>
                    <w:textAlignment w:val="auto"/>
                    <w:rPr>
                      <w:rFonts w:hint="default" w:ascii="Times New Roman" w:hAnsi="Times New Roman" w:eastAsia="宋体" w:cs="Times New Roman"/>
                      <w:b/>
                      <w:bCs/>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污染物排放管控</w:t>
                  </w:r>
                </w:p>
              </w:tc>
              <w:tc>
                <w:tcPr>
                  <w:tcW w:w="1222" w:type="pct"/>
                  <w:tcBorders>
                    <w:tl2br w:val="nil"/>
                    <w:tr2bl w:val="nil"/>
                  </w:tcBorders>
                  <w:noWrap w:val="0"/>
                  <w:vAlign w:val="center"/>
                </w:tcPr>
                <w:p w14:paraId="6789D83E">
                  <w:pPr>
                    <w:pStyle w:val="16"/>
                    <w:keepNext w:val="0"/>
                    <w:keepLines/>
                    <w:pageBreakBefore w:val="0"/>
                    <w:widowControl/>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1、执行自治区总体准入要求中关于一般环境管控单元的准入要求（表2-4A7.2）。</w:t>
                  </w:r>
                </w:p>
              </w:tc>
              <w:tc>
                <w:tcPr>
                  <w:tcW w:w="1491" w:type="pct"/>
                  <w:tcBorders>
                    <w:tl2br w:val="nil"/>
                    <w:tr2bl w:val="nil"/>
                  </w:tcBorders>
                  <w:noWrap w:val="0"/>
                  <w:vAlign w:val="center"/>
                </w:tcPr>
                <w:p w14:paraId="01848B74">
                  <w:pPr>
                    <w:pStyle w:val="16"/>
                    <w:keepNext w:val="0"/>
                    <w:keepLines/>
                    <w:pageBreakBefore w:val="0"/>
                    <w:widowControl/>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本项目渠道防渗改建工程，沿现状渠线进行防渗</w:t>
                  </w:r>
                  <w:r>
                    <w:rPr>
                      <w:rFonts w:hint="eastAsia" w:cs="Times New Roman"/>
                      <w:color w:val="auto"/>
                      <w:lang w:val="en-US" w:eastAsia="zh-CN"/>
                    </w:rPr>
                    <w:t>新建及</w:t>
                  </w:r>
                  <w:r>
                    <w:rPr>
                      <w:rFonts w:hint="eastAsia" w:ascii="Times New Roman" w:hAnsi="Times New Roman" w:cs="Times New Roman"/>
                      <w:color w:val="auto"/>
                      <w:lang w:val="en-US" w:eastAsia="zh-CN"/>
                    </w:rPr>
                    <w:t>改建，施工期将对渠道沿线大气环境造成一定程度的不利影响，但随着施工的结束，影响也就消除。运营期无污染产生。</w:t>
                  </w:r>
                </w:p>
              </w:tc>
              <w:tc>
                <w:tcPr>
                  <w:tcW w:w="406" w:type="pct"/>
                  <w:tcBorders>
                    <w:tl2br w:val="nil"/>
                    <w:tr2bl w:val="nil"/>
                  </w:tcBorders>
                  <w:noWrap w:val="0"/>
                  <w:vAlign w:val="center"/>
                </w:tcPr>
                <w:p w14:paraId="75B95789">
                  <w:pPr>
                    <w:pStyle w:val="16"/>
                    <w:keepNext w:val="0"/>
                    <w:keepLines/>
                    <w:pageBreakBefore w:val="0"/>
                    <w:widowControl/>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符合</w:t>
                  </w:r>
                </w:p>
              </w:tc>
            </w:tr>
            <w:tr w14:paraId="793BC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261" w:type="pct"/>
                  <w:vMerge w:val="continue"/>
                  <w:tcBorders>
                    <w:tl2br w:val="nil"/>
                    <w:tr2bl w:val="nil"/>
                  </w:tcBorders>
                  <w:noWrap w:val="0"/>
                  <w:vAlign w:val="center"/>
                </w:tcPr>
                <w:p w14:paraId="4338B966">
                  <w:pPr>
                    <w:pStyle w:val="16"/>
                    <w:keepNext w:val="0"/>
                    <w:keepLines/>
                    <w:pageBreakBefore w:val="0"/>
                    <w:widowControl/>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b/>
                      <w:bCs/>
                      <w:color w:val="auto"/>
                      <w:kern w:val="21"/>
                      <w:sz w:val="21"/>
                      <w:szCs w:val="21"/>
                      <w:highlight w:val="none"/>
                      <w:vertAlign w:val="baseline"/>
                      <w:lang w:val="en-US" w:eastAsia="zh-CN"/>
                    </w:rPr>
                  </w:pPr>
                </w:p>
              </w:tc>
              <w:tc>
                <w:tcPr>
                  <w:tcW w:w="618" w:type="pct"/>
                  <w:tcBorders>
                    <w:tl2br w:val="nil"/>
                    <w:tr2bl w:val="nil"/>
                  </w:tcBorders>
                  <w:noWrap w:val="0"/>
                  <w:vAlign w:val="center"/>
                </w:tcPr>
                <w:p w14:paraId="1122DFD5">
                  <w:pPr>
                    <w:pStyle w:val="16"/>
                    <w:keepNext w:val="0"/>
                    <w:keepLines/>
                    <w:pageBreakBefore w:val="0"/>
                    <w:widowControl/>
                    <w:kinsoku/>
                    <w:wordWrap/>
                    <w:overflowPunct/>
                    <w:topLinePunct w:val="0"/>
                    <w:autoSpaceDE/>
                    <w:autoSpaceDN/>
                    <w:bidi w:val="0"/>
                    <w:adjustRightInd/>
                    <w:snapToGrid/>
                    <w:spacing w:after="0" w:line="240" w:lineRule="auto"/>
                    <w:ind w:left="42" w:leftChars="20" w:right="113" w:rightChars="0"/>
                    <w:jc w:val="center"/>
                    <w:textAlignment w:val="auto"/>
                    <w:rPr>
                      <w:rFonts w:hint="default" w:ascii="Times New Roman" w:hAnsi="Times New Roman" w:eastAsia="宋体" w:cs="Times New Roman"/>
                      <w:b/>
                      <w:bCs/>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环境风险防控</w:t>
                  </w:r>
                </w:p>
              </w:tc>
              <w:tc>
                <w:tcPr>
                  <w:tcW w:w="1222" w:type="pct"/>
                  <w:tcBorders>
                    <w:tl2br w:val="nil"/>
                    <w:tr2bl w:val="nil"/>
                  </w:tcBorders>
                  <w:noWrap w:val="0"/>
                  <w:vAlign w:val="center"/>
                </w:tcPr>
                <w:p w14:paraId="090570CF">
                  <w:pPr>
                    <w:pStyle w:val="16"/>
                    <w:keepNext w:val="0"/>
                    <w:keepLines/>
                    <w:pageBreakBefore w:val="0"/>
                    <w:widowControl/>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1、执行自治区总体准入要求中关于一般环境管控单元的准入要求（表2-4A7.3）。</w:t>
                  </w:r>
                </w:p>
              </w:tc>
              <w:tc>
                <w:tcPr>
                  <w:tcW w:w="1491" w:type="pct"/>
                  <w:tcBorders>
                    <w:tl2br w:val="nil"/>
                    <w:tr2bl w:val="nil"/>
                  </w:tcBorders>
                  <w:noWrap w:val="0"/>
                  <w:vAlign w:val="center"/>
                </w:tcPr>
                <w:p w14:paraId="598F9327">
                  <w:pPr>
                    <w:pStyle w:val="16"/>
                    <w:keepNext w:val="0"/>
                    <w:keepLines/>
                    <w:pageBreakBefore w:val="0"/>
                    <w:widowControl/>
                    <w:kinsoku/>
                    <w:wordWrap/>
                    <w:overflowPunct/>
                    <w:topLinePunct w:val="0"/>
                    <w:autoSpaceDE/>
                    <w:autoSpaceDN/>
                    <w:bidi w:val="0"/>
                    <w:adjustRightInd/>
                    <w:snapToGrid/>
                    <w:spacing w:after="0" w:line="240" w:lineRule="auto"/>
                    <w:ind w:left="42" w:leftChars="20" w:right="113"/>
                    <w:jc w:val="both"/>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项目不涉及饮用水水源地。</w:t>
                  </w:r>
                </w:p>
              </w:tc>
              <w:tc>
                <w:tcPr>
                  <w:tcW w:w="406" w:type="pct"/>
                  <w:tcBorders>
                    <w:tl2br w:val="nil"/>
                    <w:tr2bl w:val="nil"/>
                  </w:tcBorders>
                  <w:noWrap w:val="0"/>
                  <w:vAlign w:val="center"/>
                </w:tcPr>
                <w:p w14:paraId="6461F495">
                  <w:pPr>
                    <w:pStyle w:val="16"/>
                    <w:keepNext w:val="0"/>
                    <w:keepLines/>
                    <w:pageBreakBefore w:val="0"/>
                    <w:widowControl/>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符合</w:t>
                  </w:r>
                </w:p>
              </w:tc>
            </w:tr>
            <w:tr w14:paraId="7902E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261" w:type="pct"/>
                  <w:vMerge w:val="continue"/>
                  <w:tcBorders>
                    <w:tl2br w:val="nil"/>
                    <w:tr2bl w:val="nil"/>
                  </w:tcBorders>
                  <w:noWrap w:val="0"/>
                  <w:vAlign w:val="center"/>
                </w:tcPr>
                <w:p w14:paraId="4EBAC754">
                  <w:pPr>
                    <w:pStyle w:val="16"/>
                    <w:keepNext w:val="0"/>
                    <w:keepLines/>
                    <w:pageBreakBefore w:val="0"/>
                    <w:widowControl/>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b/>
                      <w:bCs/>
                      <w:color w:val="auto"/>
                      <w:kern w:val="21"/>
                      <w:sz w:val="21"/>
                      <w:szCs w:val="21"/>
                      <w:highlight w:val="none"/>
                      <w:vertAlign w:val="baseline"/>
                      <w:lang w:val="en-US" w:eastAsia="zh-CN"/>
                    </w:rPr>
                  </w:pPr>
                </w:p>
              </w:tc>
              <w:tc>
                <w:tcPr>
                  <w:tcW w:w="618" w:type="pct"/>
                  <w:tcBorders>
                    <w:tl2br w:val="nil"/>
                    <w:tr2bl w:val="nil"/>
                  </w:tcBorders>
                  <w:noWrap w:val="0"/>
                  <w:vAlign w:val="center"/>
                </w:tcPr>
                <w:p w14:paraId="31CC1EFC">
                  <w:pPr>
                    <w:pStyle w:val="16"/>
                    <w:keepNext w:val="0"/>
                    <w:keepLines/>
                    <w:pageBreakBefore w:val="0"/>
                    <w:widowControl/>
                    <w:kinsoku/>
                    <w:wordWrap/>
                    <w:overflowPunct/>
                    <w:topLinePunct w:val="0"/>
                    <w:autoSpaceDE/>
                    <w:autoSpaceDN/>
                    <w:bidi w:val="0"/>
                    <w:adjustRightInd/>
                    <w:snapToGrid/>
                    <w:spacing w:after="0" w:line="240" w:lineRule="auto"/>
                    <w:ind w:left="42" w:leftChars="20" w:right="113" w:rightChars="0"/>
                    <w:jc w:val="center"/>
                    <w:textAlignment w:val="auto"/>
                    <w:rPr>
                      <w:rFonts w:hint="default" w:ascii="Times New Roman" w:hAnsi="Times New Roman" w:eastAsia="宋体" w:cs="Times New Roman"/>
                      <w:b/>
                      <w:bCs/>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资源利用效率</w:t>
                  </w:r>
                </w:p>
              </w:tc>
              <w:tc>
                <w:tcPr>
                  <w:tcW w:w="1222" w:type="pct"/>
                  <w:tcBorders>
                    <w:tl2br w:val="nil"/>
                    <w:tr2bl w:val="nil"/>
                  </w:tcBorders>
                  <w:noWrap w:val="0"/>
                  <w:vAlign w:val="center"/>
                </w:tcPr>
                <w:p w14:paraId="45F09419">
                  <w:pPr>
                    <w:pStyle w:val="16"/>
                    <w:keepNext w:val="0"/>
                    <w:keepLines/>
                    <w:pageBreakBefore w:val="0"/>
                    <w:widowControl/>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1、执行自治区总体准入要求中关于一般环境管控单元的准入要求（表2-4A7.4）。</w:t>
                  </w:r>
                </w:p>
              </w:tc>
              <w:tc>
                <w:tcPr>
                  <w:tcW w:w="1491" w:type="pct"/>
                  <w:tcBorders>
                    <w:tl2br w:val="nil"/>
                    <w:tr2bl w:val="nil"/>
                  </w:tcBorders>
                  <w:noWrap w:val="0"/>
                  <w:vAlign w:val="center"/>
                </w:tcPr>
                <w:p w14:paraId="5ACCE90C">
                  <w:pPr>
                    <w:pStyle w:val="16"/>
                    <w:keepNext w:val="0"/>
                    <w:keepLines/>
                    <w:pageBreakBefore w:val="0"/>
                    <w:widowControl/>
                    <w:kinsoku/>
                    <w:wordWrap/>
                    <w:overflowPunct/>
                    <w:topLinePunct w:val="0"/>
                    <w:autoSpaceDE/>
                    <w:autoSpaceDN/>
                    <w:bidi w:val="0"/>
                    <w:adjustRightInd/>
                    <w:snapToGrid/>
                    <w:spacing w:after="0" w:line="240" w:lineRule="auto"/>
                    <w:ind w:left="42" w:leftChars="20" w:right="113"/>
                    <w:jc w:val="both"/>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本次</w:t>
                  </w:r>
                  <w:r>
                    <w:rPr>
                      <w:rFonts w:hint="eastAsia" w:cs="Times New Roman"/>
                      <w:color w:val="auto"/>
                      <w:lang w:val="en-US" w:eastAsia="zh-CN"/>
                    </w:rPr>
                    <w:t>新建及</w:t>
                  </w:r>
                  <w:r>
                    <w:rPr>
                      <w:rFonts w:hint="default" w:ascii="Times New Roman" w:hAnsi="Times New Roman" w:cs="Times New Roman"/>
                      <w:color w:val="auto"/>
                      <w:lang w:val="en-US" w:eastAsia="zh-CN"/>
                    </w:rPr>
                    <w:t>改造灌渠主要进行防渗，提高灌溉水利用效率。</w:t>
                  </w:r>
                </w:p>
              </w:tc>
              <w:tc>
                <w:tcPr>
                  <w:tcW w:w="406" w:type="pct"/>
                  <w:tcBorders>
                    <w:tl2br w:val="nil"/>
                    <w:tr2bl w:val="nil"/>
                  </w:tcBorders>
                  <w:noWrap w:val="0"/>
                  <w:vAlign w:val="center"/>
                </w:tcPr>
                <w:p w14:paraId="4B0F8937">
                  <w:pPr>
                    <w:pStyle w:val="16"/>
                    <w:keepNext w:val="0"/>
                    <w:keepLines/>
                    <w:pageBreakBefore w:val="0"/>
                    <w:widowControl/>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符合</w:t>
                  </w:r>
                </w:p>
              </w:tc>
            </w:tr>
          </w:tbl>
          <w:p w14:paraId="74C67AD4">
            <w:pPr>
              <w:keepNext w:val="0"/>
              <w:keepLines/>
              <w:pageBreakBefore w:val="0"/>
              <w:widowControl/>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综上所述，本项目与昌吉回族自治州“三线一单”生态环境分区管控方案及生态环境准入清单是相符的。项目与昌吉回族自治州环境管控分布图的位置关系图详见附图2。</w:t>
            </w:r>
          </w:p>
          <w:p w14:paraId="0C672DF4">
            <w:pPr>
              <w:keepNext w:val="0"/>
              <w:keepLines/>
              <w:pageBreakBefore w:val="0"/>
              <w:widowControl/>
              <w:numPr>
                <w:ilvl w:val="0"/>
                <w:numId w:val="3"/>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《第六师</w:t>
            </w:r>
            <w:r>
              <w:rPr>
                <w:rFonts w:hint="eastAsia" w:ascii="Times New Roman" w:hAnsi="Times New Roman" w:eastAsia="宋体" w:cs="Times New Roman"/>
                <w:color w:val="auto"/>
                <w:kern w:val="0"/>
                <w:sz w:val="24"/>
                <w:szCs w:val="24"/>
                <w:highlight w:val="none"/>
                <w:lang w:val="en-US" w:eastAsia="zh-CN"/>
              </w:rPr>
              <w:t>五家渠市</w:t>
            </w:r>
            <w:r>
              <w:rPr>
                <w:rFonts w:hint="default" w:ascii="Times New Roman" w:hAnsi="Times New Roman" w:eastAsia="宋体" w:cs="Times New Roman"/>
                <w:color w:val="auto"/>
                <w:kern w:val="0"/>
                <w:sz w:val="24"/>
                <w:szCs w:val="24"/>
                <w:highlight w:val="none"/>
                <w:lang w:val="en-US" w:eastAsia="zh-CN"/>
              </w:rPr>
              <w:t>“三线一单”生态环境分区管控方案》符合性分析</w:t>
            </w:r>
          </w:p>
          <w:p w14:paraId="3BB8F78C">
            <w:pPr>
              <w:keepNext w:val="0"/>
              <w:keepLines/>
              <w:pageBreakBefore w:val="0"/>
              <w:widowControl/>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本项目</w:t>
            </w:r>
            <w:r>
              <w:rPr>
                <w:rFonts w:hint="eastAsia" w:ascii="Times New Roman" w:hAnsi="Times New Roman" w:eastAsia="宋体" w:cs="Times New Roman"/>
                <w:color w:val="auto"/>
                <w:kern w:val="0"/>
                <w:sz w:val="24"/>
                <w:szCs w:val="24"/>
                <w:highlight w:val="none"/>
                <w:lang w:val="en-US" w:eastAsia="zh-CN"/>
              </w:rPr>
              <w:t>防渗渠</w:t>
            </w:r>
            <w:r>
              <w:rPr>
                <w:rFonts w:hint="default" w:ascii="Times New Roman" w:hAnsi="Times New Roman" w:eastAsia="宋体" w:cs="Times New Roman"/>
                <w:color w:val="auto"/>
                <w:kern w:val="0"/>
                <w:sz w:val="24"/>
                <w:szCs w:val="24"/>
                <w:highlight w:val="none"/>
                <w:lang w:val="en-US" w:eastAsia="zh-CN"/>
              </w:rPr>
              <w:t>部分位于</w:t>
            </w:r>
            <w:r>
              <w:rPr>
                <w:rFonts w:hint="eastAsia" w:ascii="Times New Roman" w:hAnsi="Times New Roman" w:eastAsia="宋体" w:cs="Times New Roman"/>
                <w:color w:val="auto"/>
                <w:kern w:val="0"/>
                <w:sz w:val="24"/>
                <w:szCs w:val="24"/>
                <w:highlight w:val="none"/>
                <w:lang w:val="en-US" w:eastAsia="zh-CN"/>
              </w:rPr>
              <w:t>五家渠奇台农场</w:t>
            </w:r>
            <w:r>
              <w:rPr>
                <w:rFonts w:hint="default" w:ascii="Times New Roman" w:hAnsi="Times New Roman" w:eastAsia="宋体" w:cs="Times New Roman"/>
                <w:color w:val="auto"/>
                <w:kern w:val="0"/>
                <w:sz w:val="24"/>
                <w:szCs w:val="24"/>
                <w:highlight w:val="none"/>
                <w:lang w:val="en-US" w:eastAsia="zh-CN"/>
              </w:rPr>
              <w:t>，根据关于印发《新疆生产建设兵团“三线一单”生态环境分区管控方案》的通知（新兵发〔2021〕16号），本项目属于奇台农场一般管控单元（ZH65761330001）</w:t>
            </w:r>
            <w:r>
              <w:rPr>
                <w:rFonts w:hint="eastAsia" w:cs="Times New Roman"/>
                <w:color w:val="auto"/>
                <w:kern w:val="0"/>
                <w:sz w:val="24"/>
                <w:szCs w:val="24"/>
                <w:highlight w:val="none"/>
                <w:lang w:val="en-US" w:eastAsia="zh-CN"/>
              </w:rPr>
              <w:t>，本</w:t>
            </w:r>
            <w:r>
              <w:rPr>
                <w:rFonts w:hint="default" w:ascii="Times New Roman" w:hAnsi="Times New Roman" w:eastAsia="宋体" w:cs="Times New Roman"/>
                <w:color w:val="auto"/>
                <w:kern w:val="0"/>
                <w:sz w:val="24"/>
                <w:szCs w:val="24"/>
                <w:highlight w:val="none"/>
                <w:lang w:val="en-US" w:eastAsia="zh-CN"/>
              </w:rPr>
              <w:t>项目所在环境管控单元管控要求详见表1-</w:t>
            </w:r>
            <w:r>
              <w:rPr>
                <w:rFonts w:hint="eastAsia" w:ascii="Times New Roman" w:hAnsi="Times New Roman" w:eastAsia="宋体" w:cs="Times New Roman"/>
                <w:color w:val="auto"/>
                <w:kern w:val="0"/>
                <w:sz w:val="24"/>
                <w:szCs w:val="24"/>
                <w:highlight w:val="none"/>
                <w:lang w:val="en-US" w:eastAsia="zh-CN"/>
              </w:rPr>
              <w:t>3</w:t>
            </w:r>
            <w:r>
              <w:rPr>
                <w:rFonts w:hint="default" w:ascii="Times New Roman" w:hAnsi="Times New Roman" w:eastAsia="宋体" w:cs="Times New Roman"/>
                <w:color w:val="auto"/>
                <w:kern w:val="0"/>
                <w:sz w:val="24"/>
                <w:szCs w:val="24"/>
                <w:highlight w:val="none"/>
                <w:lang w:val="en-US" w:eastAsia="zh-CN"/>
              </w:rPr>
              <w:t>。</w:t>
            </w:r>
          </w:p>
          <w:p w14:paraId="4783C103">
            <w:pPr>
              <w:pStyle w:val="4"/>
              <w:keepNext w:val="0"/>
              <w:keepLines/>
              <w:pageBreakBefore w:val="0"/>
              <w:widowControl/>
              <w:numPr>
                <w:ilvl w:val="2"/>
                <w:numId w:val="0"/>
              </w:numPr>
              <w:kinsoku/>
              <w:wordWrap/>
              <w:overflowPunct/>
              <w:topLinePunct w:val="0"/>
              <w:autoSpaceDE/>
              <w:autoSpaceDN/>
              <w:bidi w:val="0"/>
              <w:adjustRightInd w:val="0"/>
              <w:snapToGrid w:val="0"/>
              <w:spacing w:before="0" w:beforeLines="-2147483648" w:beforeAutospacing="0" w:after="0" w:afterLines="-2147483648" w:afterAutospacing="0" w:line="360" w:lineRule="auto"/>
              <w:ind w:leftChars="0"/>
              <w:jc w:val="center"/>
              <w:textAlignment w:val="auto"/>
              <w:outlineLvl w:val="9"/>
              <w:rPr>
                <w:rFonts w:hint="default" w:ascii="Times New Roman" w:hAnsi="Times New Roman" w:eastAsia="宋体" w:cs="Times New Roman"/>
                <w:color w:val="auto"/>
                <w:kern w:val="0"/>
                <w:sz w:val="24"/>
                <w:szCs w:val="24"/>
                <w:highlight w:val="none"/>
                <w:vertAlign w:val="baseline"/>
                <w:lang w:val="en-US" w:eastAsia="zh-CN"/>
              </w:rPr>
            </w:pPr>
            <w:r>
              <w:rPr>
                <w:rFonts w:hint="default" w:ascii="Times New Roman" w:hAnsi="Times New Roman" w:eastAsia="宋体" w:cs="Times New Roman"/>
                <w:color w:val="auto"/>
                <w:kern w:val="0"/>
                <w:sz w:val="24"/>
                <w:szCs w:val="24"/>
                <w:highlight w:val="none"/>
                <w:vertAlign w:val="baseline"/>
                <w:lang w:val="en-US" w:eastAsia="zh-CN"/>
              </w:rPr>
              <w:t>表1-</w:t>
            </w:r>
            <w:r>
              <w:rPr>
                <w:rFonts w:hint="eastAsia" w:ascii="Times New Roman" w:hAnsi="Times New Roman" w:eastAsia="宋体" w:cs="Times New Roman"/>
                <w:color w:val="auto"/>
                <w:kern w:val="0"/>
                <w:sz w:val="24"/>
                <w:szCs w:val="24"/>
                <w:highlight w:val="none"/>
                <w:vertAlign w:val="baseline"/>
                <w:lang w:val="en-US" w:eastAsia="zh-CN"/>
              </w:rPr>
              <w:t>3</w:t>
            </w:r>
            <w:r>
              <w:rPr>
                <w:rFonts w:hint="default" w:ascii="Times New Roman" w:hAnsi="Times New Roman" w:eastAsia="宋体" w:cs="Times New Roman"/>
                <w:color w:val="auto"/>
                <w:kern w:val="0"/>
                <w:sz w:val="24"/>
                <w:szCs w:val="24"/>
                <w:highlight w:val="none"/>
                <w:vertAlign w:val="baseline"/>
                <w:lang w:val="en-US" w:eastAsia="zh-CN"/>
              </w:rPr>
              <w:t>项目与第六师</w:t>
            </w:r>
            <w:r>
              <w:rPr>
                <w:rFonts w:hint="eastAsia" w:ascii="Times New Roman" w:hAnsi="Times New Roman" w:eastAsia="宋体" w:cs="Times New Roman"/>
                <w:color w:val="auto"/>
                <w:kern w:val="0"/>
                <w:sz w:val="24"/>
                <w:szCs w:val="24"/>
                <w:highlight w:val="none"/>
                <w:vertAlign w:val="baseline"/>
                <w:lang w:val="en-US" w:eastAsia="zh-CN"/>
              </w:rPr>
              <w:t>五家渠市</w:t>
            </w:r>
            <w:r>
              <w:rPr>
                <w:rFonts w:hint="default" w:ascii="Times New Roman" w:hAnsi="Times New Roman" w:eastAsia="宋体" w:cs="Times New Roman"/>
                <w:color w:val="auto"/>
                <w:kern w:val="0"/>
                <w:sz w:val="24"/>
                <w:szCs w:val="24"/>
                <w:highlight w:val="none"/>
                <w:vertAlign w:val="baseline"/>
                <w:lang w:val="en-US" w:eastAsia="zh-CN"/>
              </w:rPr>
              <w:t>“三线一单”</w:t>
            </w:r>
            <w:r>
              <w:rPr>
                <w:rFonts w:hint="eastAsia" w:ascii="Times New Roman" w:hAnsi="Times New Roman" w:eastAsia="宋体" w:cs="Times New Roman"/>
                <w:color w:val="auto"/>
                <w:kern w:val="0"/>
                <w:sz w:val="24"/>
                <w:szCs w:val="24"/>
                <w:highlight w:val="none"/>
                <w:vertAlign w:val="baseline"/>
                <w:lang w:val="en-US" w:eastAsia="zh-CN"/>
              </w:rPr>
              <w:t>生态</w:t>
            </w:r>
            <w:r>
              <w:rPr>
                <w:rFonts w:hint="default" w:ascii="Times New Roman" w:hAnsi="Times New Roman" w:eastAsia="宋体" w:cs="Times New Roman"/>
                <w:color w:val="auto"/>
                <w:kern w:val="0"/>
                <w:sz w:val="24"/>
                <w:szCs w:val="24"/>
                <w:highlight w:val="none"/>
                <w:vertAlign w:val="baseline"/>
                <w:lang w:val="en-US" w:eastAsia="zh-CN"/>
              </w:rPr>
              <w:t>环境</w:t>
            </w:r>
            <w:r>
              <w:rPr>
                <w:rFonts w:hint="eastAsia" w:ascii="Times New Roman" w:hAnsi="Times New Roman" w:eastAsia="宋体" w:cs="Times New Roman"/>
                <w:color w:val="auto"/>
                <w:kern w:val="0"/>
                <w:sz w:val="24"/>
                <w:szCs w:val="24"/>
                <w:highlight w:val="none"/>
                <w:vertAlign w:val="baseline"/>
                <w:lang w:val="en-US" w:eastAsia="zh-CN"/>
              </w:rPr>
              <w:t>分区管控方案</w:t>
            </w:r>
            <w:r>
              <w:rPr>
                <w:rFonts w:hint="default" w:ascii="Times New Roman" w:hAnsi="Times New Roman" w:eastAsia="宋体" w:cs="Times New Roman"/>
                <w:color w:val="auto"/>
                <w:kern w:val="0"/>
                <w:sz w:val="24"/>
                <w:szCs w:val="24"/>
                <w:highlight w:val="none"/>
                <w:vertAlign w:val="baseline"/>
                <w:lang w:val="en-US" w:eastAsia="zh-CN"/>
              </w:rPr>
              <w:t>符合性分析一览表</w:t>
            </w:r>
          </w:p>
          <w:tbl>
            <w:tblPr>
              <w:tblStyle w:val="30"/>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3"/>
              <w:gridCol w:w="835"/>
              <w:gridCol w:w="1650"/>
              <w:gridCol w:w="2014"/>
              <w:gridCol w:w="549"/>
            </w:tblGrid>
            <w:tr w14:paraId="5A405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261" w:type="pct"/>
                  <w:tcBorders>
                    <w:tl2br w:val="nil"/>
                    <w:tr2bl w:val="nil"/>
                  </w:tcBorders>
                  <w:noWrap w:val="0"/>
                  <w:vAlign w:val="center"/>
                </w:tcPr>
                <w:p w14:paraId="4B8B98D2">
                  <w:pPr>
                    <w:pStyle w:val="22"/>
                    <w:keepNext w:val="0"/>
                    <w:keepLines/>
                    <w:pageBreakBefore w:val="0"/>
                    <w:widowControl/>
                    <w:kinsoku/>
                    <w:wordWrap/>
                    <w:overflowPunct/>
                    <w:topLinePunct w:val="0"/>
                    <w:bidi w:val="0"/>
                    <w:rPr>
                      <w:rFonts w:hint="default"/>
                      <w:color w:val="auto"/>
                      <w:lang w:val="en-US" w:eastAsia="zh-CN"/>
                    </w:rPr>
                  </w:pPr>
                  <w:r>
                    <w:rPr>
                      <w:rFonts w:hint="default"/>
                      <w:color w:val="auto"/>
                      <w:lang w:val="en-US" w:eastAsia="zh-CN"/>
                    </w:rPr>
                    <w:t>管控单元</w:t>
                  </w:r>
                </w:p>
              </w:tc>
              <w:tc>
                <w:tcPr>
                  <w:tcW w:w="618" w:type="pct"/>
                  <w:tcBorders>
                    <w:tl2br w:val="nil"/>
                    <w:tr2bl w:val="nil"/>
                  </w:tcBorders>
                  <w:noWrap w:val="0"/>
                  <w:vAlign w:val="center"/>
                </w:tcPr>
                <w:p w14:paraId="7474688F">
                  <w:pPr>
                    <w:pStyle w:val="22"/>
                    <w:keepNext w:val="0"/>
                    <w:keepLines/>
                    <w:pageBreakBefore w:val="0"/>
                    <w:widowControl/>
                    <w:kinsoku/>
                    <w:wordWrap/>
                    <w:overflowPunct/>
                    <w:topLinePunct w:val="0"/>
                    <w:bidi w:val="0"/>
                    <w:rPr>
                      <w:rFonts w:hint="default"/>
                      <w:color w:val="auto"/>
                      <w:lang w:val="en-US" w:eastAsia="zh-CN"/>
                    </w:rPr>
                  </w:pPr>
                  <w:r>
                    <w:rPr>
                      <w:rFonts w:hint="default"/>
                      <w:color w:val="auto"/>
                      <w:lang w:val="en-US" w:eastAsia="zh-CN"/>
                    </w:rPr>
                    <w:t>管控维度</w:t>
                  </w:r>
                </w:p>
              </w:tc>
              <w:tc>
                <w:tcPr>
                  <w:tcW w:w="1222" w:type="pct"/>
                  <w:tcBorders>
                    <w:tl2br w:val="nil"/>
                    <w:tr2bl w:val="nil"/>
                  </w:tcBorders>
                  <w:noWrap w:val="0"/>
                  <w:vAlign w:val="center"/>
                </w:tcPr>
                <w:p w14:paraId="3CF1A63C">
                  <w:pPr>
                    <w:pStyle w:val="22"/>
                    <w:keepNext w:val="0"/>
                    <w:keepLines/>
                    <w:pageBreakBefore w:val="0"/>
                    <w:widowControl/>
                    <w:kinsoku/>
                    <w:wordWrap/>
                    <w:overflowPunct/>
                    <w:topLinePunct w:val="0"/>
                    <w:bidi w:val="0"/>
                    <w:rPr>
                      <w:rFonts w:hint="default"/>
                      <w:color w:val="auto"/>
                      <w:lang w:val="en-US" w:eastAsia="zh-CN"/>
                    </w:rPr>
                  </w:pPr>
                  <w:r>
                    <w:rPr>
                      <w:rFonts w:hint="default"/>
                      <w:color w:val="auto"/>
                      <w:lang w:val="en-US" w:eastAsia="zh-CN"/>
                    </w:rPr>
                    <w:t>管控内容</w:t>
                  </w:r>
                </w:p>
              </w:tc>
              <w:tc>
                <w:tcPr>
                  <w:tcW w:w="1491" w:type="pct"/>
                  <w:tcBorders>
                    <w:tl2br w:val="nil"/>
                    <w:tr2bl w:val="nil"/>
                  </w:tcBorders>
                  <w:noWrap w:val="0"/>
                  <w:vAlign w:val="center"/>
                </w:tcPr>
                <w:p w14:paraId="3B315314">
                  <w:pPr>
                    <w:pStyle w:val="22"/>
                    <w:keepNext w:val="0"/>
                    <w:keepLines/>
                    <w:pageBreakBefore w:val="0"/>
                    <w:widowControl/>
                    <w:kinsoku/>
                    <w:wordWrap/>
                    <w:overflowPunct/>
                    <w:topLinePunct w:val="0"/>
                    <w:bidi w:val="0"/>
                    <w:rPr>
                      <w:rFonts w:hint="default"/>
                      <w:color w:val="auto"/>
                      <w:lang w:val="en-US" w:eastAsia="zh-CN"/>
                    </w:rPr>
                  </w:pPr>
                  <w:r>
                    <w:rPr>
                      <w:rFonts w:hint="default"/>
                      <w:color w:val="auto"/>
                      <w:lang w:val="en-US" w:eastAsia="zh-CN"/>
                    </w:rPr>
                    <w:t>项目概况</w:t>
                  </w:r>
                </w:p>
              </w:tc>
              <w:tc>
                <w:tcPr>
                  <w:tcW w:w="406" w:type="pct"/>
                  <w:tcBorders>
                    <w:tl2br w:val="nil"/>
                    <w:tr2bl w:val="nil"/>
                  </w:tcBorders>
                  <w:noWrap w:val="0"/>
                  <w:vAlign w:val="center"/>
                </w:tcPr>
                <w:p w14:paraId="681A5507">
                  <w:pPr>
                    <w:pStyle w:val="22"/>
                    <w:keepNext w:val="0"/>
                    <w:keepLines/>
                    <w:pageBreakBefore w:val="0"/>
                    <w:widowControl/>
                    <w:kinsoku/>
                    <w:wordWrap/>
                    <w:overflowPunct/>
                    <w:topLinePunct w:val="0"/>
                    <w:bidi w:val="0"/>
                    <w:rPr>
                      <w:rFonts w:hint="default"/>
                      <w:color w:val="auto"/>
                      <w:lang w:val="en-US" w:eastAsia="zh-CN"/>
                    </w:rPr>
                  </w:pPr>
                  <w:r>
                    <w:rPr>
                      <w:rFonts w:hint="default"/>
                      <w:color w:val="auto"/>
                      <w:lang w:val="en-US" w:eastAsia="zh-CN"/>
                    </w:rPr>
                    <w:t>符合性</w:t>
                  </w:r>
                </w:p>
              </w:tc>
            </w:tr>
            <w:tr w14:paraId="16AD3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261" w:type="pct"/>
                  <w:vMerge w:val="restart"/>
                  <w:tcBorders>
                    <w:tl2br w:val="nil"/>
                    <w:tr2bl w:val="nil"/>
                  </w:tcBorders>
                  <w:noWrap w:val="0"/>
                  <w:vAlign w:val="center"/>
                </w:tcPr>
                <w:p w14:paraId="42D0E958">
                  <w:pPr>
                    <w:pStyle w:val="22"/>
                    <w:keepNext w:val="0"/>
                    <w:keepLines/>
                    <w:pageBreakBefore w:val="0"/>
                    <w:widowControl/>
                    <w:kinsoku/>
                    <w:wordWrap/>
                    <w:overflowPunct/>
                    <w:topLinePunct w:val="0"/>
                    <w:bidi w:val="0"/>
                    <w:rPr>
                      <w:rFonts w:hint="default"/>
                      <w:color w:val="auto"/>
                      <w:lang w:val="en-US" w:eastAsia="zh-CN"/>
                    </w:rPr>
                  </w:pPr>
                  <w:r>
                    <w:rPr>
                      <w:rFonts w:hint="default"/>
                      <w:color w:val="auto"/>
                      <w:lang w:val="en-US" w:eastAsia="zh-CN"/>
                    </w:rPr>
                    <w:t>奇台农场一般管控单元，环境管控单元编码：ZH65761330001</w:t>
                  </w:r>
                </w:p>
              </w:tc>
              <w:tc>
                <w:tcPr>
                  <w:tcW w:w="618" w:type="pct"/>
                  <w:tcBorders>
                    <w:tl2br w:val="nil"/>
                    <w:tr2bl w:val="nil"/>
                  </w:tcBorders>
                  <w:noWrap w:val="0"/>
                  <w:vAlign w:val="center"/>
                </w:tcPr>
                <w:p w14:paraId="2067063F">
                  <w:pPr>
                    <w:pStyle w:val="22"/>
                    <w:keepNext w:val="0"/>
                    <w:keepLines/>
                    <w:pageBreakBefore w:val="0"/>
                    <w:widowControl/>
                    <w:kinsoku/>
                    <w:wordWrap/>
                    <w:overflowPunct/>
                    <w:topLinePunct w:val="0"/>
                    <w:bidi w:val="0"/>
                    <w:rPr>
                      <w:rFonts w:hint="default"/>
                      <w:color w:val="auto"/>
                      <w:lang w:val="en-US" w:eastAsia="zh-CN"/>
                    </w:rPr>
                  </w:pPr>
                  <w:r>
                    <w:rPr>
                      <w:rFonts w:hint="default"/>
                      <w:color w:val="auto"/>
                      <w:lang w:val="en-US" w:eastAsia="zh-CN"/>
                    </w:rPr>
                    <w:t>空间布局约束</w:t>
                  </w:r>
                </w:p>
              </w:tc>
              <w:tc>
                <w:tcPr>
                  <w:tcW w:w="1222" w:type="pct"/>
                  <w:tcBorders>
                    <w:tl2br w:val="nil"/>
                    <w:tr2bl w:val="nil"/>
                  </w:tcBorders>
                  <w:noWrap w:val="0"/>
                  <w:vAlign w:val="center"/>
                </w:tcPr>
                <w:p w14:paraId="44B40241">
                  <w:pPr>
                    <w:pStyle w:val="22"/>
                    <w:keepNext w:val="0"/>
                    <w:keepLines/>
                    <w:pageBreakBefore w:val="0"/>
                    <w:widowControl/>
                    <w:kinsoku/>
                    <w:wordWrap/>
                    <w:overflowPunct/>
                    <w:topLinePunct w:val="0"/>
                    <w:bidi w:val="0"/>
                    <w:rPr>
                      <w:rFonts w:hint="default"/>
                      <w:color w:val="auto"/>
                      <w:lang w:val="en-US" w:eastAsia="zh-CN"/>
                    </w:rPr>
                  </w:pPr>
                  <w:r>
                    <w:rPr>
                      <w:rFonts w:hint="default"/>
                      <w:color w:val="auto"/>
                      <w:lang w:val="en-US" w:eastAsia="zh-CN"/>
                    </w:rPr>
                    <w:t>（1）执行师市空间布局约束总体管控要求。</w:t>
                  </w:r>
                </w:p>
              </w:tc>
              <w:tc>
                <w:tcPr>
                  <w:tcW w:w="1491" w:type="pct"/>
                  <w:tcBorders>
                    <w:tl2br w:val="nil"/>
                    <w:tr2bl w:val="nil"/>
                  </w:tcBorders>
                  <w:noWrap w:val="0"/>
                  <w:vAlign w:val="center"/>
                </w:tcPr>
                <w:p w14:paraId="65DBA3CA">
                  <w:pPr>
                    <w:pStyle w:val="22"/>
                    <w:keepNext w:val="0"/>
                    <w:keepLines/>
                    <w:pageBreakBefore w:val="0"/>
                    <w:widowControl/>
                    <w:kinsoku/>
                    <w:wordWrap/>
                    <w:overflowPunct/>
                    <w:topLinePunct w:val="0"/>
                    <w:bidi w:val="0"/>
                    <w:rPr>
                      <w:rFonts w:hint="default"/>
                      <w:color w:val="auto"/>
                      <w:lang w:val="en-US" w:eastAsia="zh-CN"/>
                    </w:rPr>
                  </w:pPr>
                  <w:r>
                    <w:rPr>
                      <w:rFonts w:hint="default"/>
                      <w:color w:val="auto"/>
                      <w:lang w:val="en-US" w:eastAsia="zh-CN"/>
                    </w:rPr>
                    <w:t>本项目进行渠道防渗改建，为民生工程，不属于高污染、高风险污染类工业项目</w:t>
                  </w:r>
                </w:p>
              </w:tc>
              <w:tc>
                <w:tcPr>
                  <w:tcW w:w="406" w:type="pct"/>
                  <w:tcBorders>
                    <w:tl2br w:val="nil"/>
                    <w:tr2bl w:val="nil"/>
                  </w:tcBorders>
                  <w:noWrap w:val="0"/>
                  <w:vAlign w:val="center"/>
                </w:tcPr>
                <w:p w14:paraId="67B71648">
                  <w:pPr>
                    <w:pStyle w:val="22"/>
                    <w:keepNext w:val="0"/>
                    <w:keepLines/>
                    <w:pageBreakBefore w:val="0"/>
                    <w:widowControl/>
                    <w:kinsoku/>
                    <w:wordWrap/>
                    <w:overflowPunct/>
                    <w:topLinePunct w:val="0"/>
                    <w:bidi w:val="0"/>
                    <w:rPr>
                      <w:rFonts w:hint="default"/>
                      <w:color w:val="auto"/>
                      <w:lang w:val="en-US" w:eastAsia="zh-CN"/>
                    </w:rPr>
                  </w:pPr>
                  <w:r>
                    <w:rPr>
                      <w:rFonts w:hint="default"/>
                      <w:color w:val="auto"/>
                      <w:lang w:val="en-US" w:eastAsia="zh-CN"/>
                    </w:rPr>
                    <w:t>符合</w:t>
                  </w:r>
                </w:p>
              </w:tc>
            </w:tr>
            <w:tr w14:paraId="2A877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261" w:type="pct"/>
                  <w:vMerge w:val="continue"/>
                  <w:tcBorders>
                    <w:tl2br w:val="nil"/>
                    <w:tr2bl w:val="nil"/>
                  </w:tcBorders>
                  <w:noWrap w:val="0"/>
                  <w:vAlign w:val="center"/>
                </w:tcPr>
                <w:p w14:paraId="466E6688">
                  <w:pPr>
                    <w:pStyle w:val="22"/>
                    <w:keepNext w:val="0"/>
                    <w:keepLines/>
                    <w:pageBreakBefore w:val="0"/>
                    <w:widowControl/>
                    <w:kinsoku/>
                    <w:wordWrap/>
                    <w:overflowPunct/>
                    <w:topLinePunct w:val="0"/>
                    <w:bidi w:val="0"/>
                    <w:rPr>
                      <w:rFonts w:hint="default"/>
                      <w:color w:val="auto"/>
                      <w:lang w:val="en-US" w:eastAsia="zh-CN"/>
                    </w:rPr>
                  </w:pPr>
                </w:p>
              </w:tc>
              <w:tc>
                <w:tcPr>
                  <w:tcW w:w="618" w:type="pct"/>
                  <w:tcBorders>
                    <w:tl2br w:val="nil"/>
                    <w:tr2bl w:val="nil"/>
                  </w:tcBorders>
                  <w:noWrap w:val="0"/>
                  <w:vAlign w:val="center"/>
                </w:tcPr>
                <w:p w14:paraId="5723EA94">
                  <w:pPr>
                    <w:pStyle w:val="22"/>
                    <w:keepNext w:val="0"/>
                    <w:keepLines/>
                    <w:pageBreakBefore w:val="0"/>
                    <w:widowControl/>
                    <w:kinsoku/>
                    <w:wordWrap/>
                    <w:overflowPunct/>
                    <w:topLinePunct w:val="0"/>
                    <w:bidi w:val="0"/>
                    <w:rPr>
                      <w:rFonts w:hint="default"/>
                      <w:color w:val="auto"/>
                      <w:lang w:val="en-US" w:eastAsia="zh-CN"/>
                    </w:rPr>
                  </w:pPr>
                  <w:r>
                    <w:rPr>
                      <w:rFonts w:hint="default"/>
                      <w:color w:val="auto"/>
                      <w:lang w:val="en-US" w:eastAsia="zh-CN"/>
                    </w:rPr>
                    <w:t>污染物排放管控</w:t>
                  </w:r>
                </w:p>
              </w:tc>
              <w:tc>
                <w:tcPr>
                  <w:tcW w:w="1222" w:type="pct"/>
                  <w:tcBorders>
                    <w:tl2br w:val="nil"/>
                    <w:tr2bl w:val="nil"/>
                  </w:tcBorders>
                  <w:noWrap w:val="0"/>
                  <w:vAlign w:val="center"/>
                </w:tcPr>
                <w:p w14:paraId="7E0328D7">
                  <w:pPr>
                    <w:pStyle w:val="22"/>
                    <w:keepNext w:val="0"/>
                    <w:keepLines/>
                    <w:pageBreakBefore w:val="0"/>
                    <w:widowControl/>
                    <w:kinsoku/>
                    <w:wordWrap/>
                    <w:overflowPunct/>
                    <w:topLinePunct w:val="0"/>
                    <w:bidi w:val="0"/>
                    <w:rPr>
                      <w:rFonts w:hint="default"/>
                      <w:color w:val="auto"/>
                      <w:lang w:val="en-US" w:eastAsia="zh-CN"/>
                    </w:rPr>
                  </w:pPr>
                  <w:r>
                    <w:rPr>
                      <w:rFonts w:hint="default"/>
                      <w:color w:val="auto"/>
                      <w:lang w:val="en-US" w:eastAsia="zh-CN"/>
                    </w:rPr>
                    <w:t>（1）在连队建设符合本地特点的小型污水处理站，同时新建污水管网、完善污水收集系统，将污泥运送到团场统一处理。加强生活垃圾处理。加强改厕与生活污水治理的有效衔接。（2）合理使用化肥农药，鼓励使用配方肥。加强废弃农膜回收利用，提高农膜质量，严厉打击违法生产和销售不合格农膜的行为。</w:t>
                  </w:r>
                </w:p>
              </w:tc>
              <w:tc>
                <w:tcPr>
                  <w:tcW w:w="1491" w:type="pct"/>
                  <w:tcBorders>
                    <w:tl2br w:val="nil"/>
                    <w:tr2bl w:val="nil"/>
                  </w:tcBorders>
                  <w:noWrap w:val="0"/>
                  <w:vAlign w:val="center"/>
                </w:tcPr>
                <w:p w14:paraId="035ED631">
                  <w:pPr>
                    <w:pStyle w:val="22"/>
                    <w:keepNext w:val="0"/>
                    <w:keepLines/>
                    <w:pageBreakBefore w:val="0"/>
                    <w:widowControl/>
                    <w:kinsoku/>
                    <w:wordWrap/>
                    <w:overflowPunct/>
                    <w:topLinePunct w:val="0"/>
                    <w:bidi w:val="0"/>
                    <w:rPr>
                      <w:rFonts w:hint="default"/>
                      <w:color w:val="auto"/>
                      <w:lang w:val="en-US" w:eastAsia="zh-CN"/>
                    </w:rPr>
                  </w:pPr>
                  <w:r>
                    <w:rPr>
                      <w:rFonts w:hint="default"/>
                      <w:color w:val="auto"/>
                      <w:lang w:val="en-US" w:eastAsia="zh-CN"/>
                    </w:rPr>
                    <w:t>本项目渠道防渗工程，沿现状渠线进行新建及改建，施工期将对渠道沿线大气环境造成一定程度的不利影响，但随着施工的结束，影响也就消除。运营期无污染产生。</w:t>
                  </w:r>
                </w:p>
              </w:tc>
              <w:tc>
                <w:tcPr>
                  <w:tcW w:w="406" w:type="pct"/>
                  <w:tcBorders>
                    <w:tl2br w:val="nil"/>
                    <w:tr2bl w:val="nil"/>
                  </w:tcBorders>
                  <w:noWrap w:val="0"/>
                  <w:vAlign w:val="center"/>
                </w:tcPr>
                <w:p w14:paraId="194CE13F">
                  <w:pPr>
                    <w:pStyle w:val="22"/>
                    <w:keepNext w:val="0"/>
                    <w:keepLines/>
                    <w:pageBreakBefore w:val="0"/>
                    <w:widowControl/>
                    <w:kinsoku/>
                    <w:wordWrap/>
                    <w:overflowPunct/>
                    <w:topLinePunct w:val="0"/>
                    <w:bidi w:val="0"/>
                    <w:rPr>
                      <w:rFonts w:hint="default"/>
                      <w:color w:val="auto"/>
                      <w:lang w:val="en-US" w:eastAsia="zh-CN"/>
                    </w:rPr>
                  </w:pPr>
                  <w:r>
                    <w:rPr>
                      <w:rFonts w:hint="default"/>
                      <w:color w:val="auto"/>
                      <w:lang w:val="en-US" w:eastAsia="zh-CN"/>
                    </w:rPr>
                    <w:t>符合</w:t>
                  </w:r>
                </w:p>
              </w:tc>
            </w:tr>
            <w:tr w14:paraId="01A0E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261" w:type="pct"/>
                  <w:vMerge w:val="continue"/>
                  <w:tcBorders>
                    <w:tl2br w:val="nil"/>
                    <w:tr2bl w:val="nil"/>
                  </w:tcBorders>
                  <w:noWrap w:val="0"/>
                  <w:vAlign w:val="center"/>
                </w:tcPr>
                <w:p w14:paraId="448A9203">
                  <w:pPr>
                    <w:pStyle w:val="22"/>
                    <w:keepNext w:val="0"/>
                    <w:keepLines/>
                    <w:pageBreakBefore w:val="0"/>
                    <w:widowControl/>
                    <w:kinsoku/>
                    <w:wordWrap/>
                    <w:overflowPunct/>
                    <w:topLinePunct w:val="0"/>
                    <w:bidi w:val="0"/>
                    <w:rPr>
                      <w:rFonts w:hint="default"/>
                      <w:color w:val="auto"/>
                      <w:lang w:val="en-US" w:eastAsia="zh-CN"/>
                    </w:rPr>
                  </w:pPr>
                </w:p>
              </w:tc>
              <w:tc>
                <w:tcPr>
                  <w:tcW w:w="618" w:type="pct"/>
                  <w:tcBorders>
                    <w:tl2br w:val="nil"/>
                    <w:tr2bl w:val="nil"/>
                  </w:tcBorders>
                  <w:noWrap w:val="0"/>
                  <w:vAlign w:val="center"/>
                </w:tcPr>
                <w:p w14:paraId="5A14B4EF">
                  <w:pPr>
                    <w:pStyle w:val="22"/>
                    <w:keepNext w:val="0"/>
                    <w:keepLines/>
                    <w:pageBreakBefore w:val="0"/>
                    <w:widowControl/>
                    <w:kinsoku/>
                    <w:wordWrap/>
                    <w:overflowPunct/>
                    <w:topLinePunct w:val="0"/>
                    <w:bidi w:val="0"/>
                    <w:rPr>
                      <w:rFonts w:hint="default"/>
                      <w:color w:val="auto"/>
                      <w:lang w:val="en-US" w:eastAsia="zh-CN"/>
                    </w:rPr>
                  </w:pPr>
                  <w:r>
                    <w:rPr>
                      <w:rFonts w:hint="default"/>
                      <w:color w:val="auto"/>
                      <w:lang w:val="en-US" w:eastAsia="zh-CN"/>
                    </w:rPr>
                    <w:t>环境风险防控</w:t>
                  </w:r>
                </w:p>
              </w:tc>
              <w:tc>
                <w:tcPr>
                  <w:tcW w:w="1222" w:type="pct"/>
                  <w:tcBorders>
                    <w:tl2br w:val="nil"/>
                    <w:tr2bl w:val="nil"/>
                  </w:tcBorders>
                  <w:noWrap w:val="0"/>
                  <w:vAlign w:val="center"/>
                </w:tcPr>
                <w:p w14:paraId="68ECDA38">
                  <w:pPr>
                    <w:pStyle w:val="22"/>
                    <w:keepNext w:val="0"/>
                    <w:keepLines/>
                    <w:pageBreakBefore w:val="0"/>
                    <w:widowControl/>
                    <w:kinsoku/>
                    <w:wordWrap/>
                    <w:overflowPunct/>
                    <w:topLinePunct w:val="0"/>
                    <w:bidi w:val="0"/>
                    <w:rPr>
                      <w:rFonts w:hint="default"/>
                      <w:color w:val="auto"/>
                      <w:lang w:val="en-US" w:eastAsia="zh-CN"/>
                    </w:rPr>
                  </w:pPr>
                  <w:r>
                    <w:rPr>
                      <w:rFonts w:hint="default"/>
                      <w:color w:val="auto"/>
                      <w:lang w:val="en-US" w:eastAsia="zh-CN"/>
                    </w:rPr>
                    <w:t>（1）对耕地面积减少或土壤环境质量下降的团场要进行预警提醒。</w:t>
                  </w:r>
                </w:p>
              </w:tc>
              <w:tc>
                <w:tcPr>
                  <w:tcW w:w="1491" w:type="pct"/>
                  <w:tcBorders>
                    <w:tl2br w:val="nil"/>
                    <w:tr2bl w:val="nil"/>
                  </w:tcBorders>
                  <w:noWrap w:val="0"/>
                  <w:vAlign w:val="center"/>
                </w:tcPr>
                <w:p w14:paraId="4E85B2DD">
                  <w:pPr>
                    <w:pStyle w:val="22"/>
                    <w:keepNext w:val="0"/>
                    <w:keepLines/>
                    <w:pageBreakBefore w:val="0"/>
                    <w:widowControl/>
                    <w:kinsoku/>
                    <w:wordWrap/>
                    <w:overflowPunct/>
                    <w:topLinePunct w:val="0"/>
                    <w:bidi w:val="0"/>
                    <w:rPr>
                      <w:rFonts w:hint="default"/>
                      <w:color w:val="auto"/>
                      <w:lang w:val="en-US" w:eastAsia="zh-CN"/>
                    </w:rPr>
                  </w:pPr>
                  <w:r>
                    <w:rPr>
                      <w:rFonts w:hint="default"/>
                      <w:color w:val="auto"/>
                      <w:lang w:val="en-US" w:eastAsia="zh-CN"/>
                    </w:rPr>
                    <w:t>项目不涉及</w:t>
                  </w:r>
                  <w:r>
                    <w:rPr>
                      <w:rFonts w:hint="eastAsia"/>
                      <w:color w:val="auto"/>
                      <w:lang w:val="en-US" w:eastAsia="zh-CN"/>
                    </w:rPr>
                    <w:t>耕地</w:t>
                  </w:r>
                  <w:r>
                    <w:rPr>
                      <w:rFonts w:hint="default"/>
                      <w:color w:val="auto"/>
                      <w:lang w:val="en-US" w:eastAsia="zh-CN"/>
                    </w:rPr>
                    <w:t>。</w:t>
                  </w:r>
                </w:p>
              </w:tc>
              <w:tc>
                <w:tcPr>
                  <w:tcW w:w="406" w:type="pct"/>
                  <w:tcBorders>
                    <w:tl2br w:val="nil"/>
                    <w:tr2bl w:val="nil"/>
                  </w:tcBorders>
                  <w:noWrap w:val="0"/>
                  <w:vAlign w:val="center"/>
                </w:tcPr>
                <w:p w14:paraId="19C88974">
                  <w:pPr>
                    <w:pStyle w:val="22"/>
                    <w:keepNext w:val="0"/>
                    <w:keepLines/>
                    <w:pageBreakBefore w:val="0"/>
                    <w:widowControl/>
                    <w:kinsoku/>
                    <w:wordWrap/>
                    <w:overflowPunct/>
                    <w:topLinePunct w:val="0"/>
                    <w:bidi w:val="0"/>
                    <w:rPr>
                      <w:rFonts w:hint="default"/>
                      <w:color w:val="auto"/>
                      <w:lang w:val="en-US" w:eastAsia="zh-CN"/>
                    </w:rPr>
                  </w:pPr>
                  <w:r>
                    <w:rPr>
                      <w:rFonts w:hint="default"/>
                      <w:color w:val="auto"/>
                      <w:lang w:val="en-US" w:eastAsia="zh-CN"/>
                    </w:rPr>
                    <w:t>符合</w:t>
                  </w:r>
                </w:p>
              </w:tc>
            </w:tr>
            <w:tr w14:paraId="76007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261" w:type="pct"/>
                  <w:vMerge w:val="continue"/>
                  <w:tcBorders>
                    <w:tl2br w:val="nil"/>
                    <w:tr2bl w:val="nil"/>
                  </w:tcBorders>
                  <w:noWrap w:val="0"/>
                  <w:vAlign w:val="center"/>
                </w:tcPr>
                <w:p w14:paraId="4768D7CF">
                  <w:pPr>
                    <w:pStyle w:val="22"/>
                    <w:keepNext w:val="0"/>
                    <w:keepLines/>
                    <w:pageBreakBefore w:val="0"/>
                    <w:widowControl/>
                    <w:kinsoku/>
                    <w:wordWrap/>
                    <w:overflowPunct/>
                    <w:topLinePunct w:val="0"/>
                    <w:bidi w:val="0"/>
                    <w:rPr>
                      <w:rFonts w:hint="default"/>
                      <w:color w:val="auto"/>
                      <w:lang w:val="en-US" w:eastAsia="zh-CN"/>
                    </w:rPr>
                  </w:pPr>
                </w:p>
              </w:tc>
              <w:tc>
                <w:tcPr>
                  <w:tcW w:w="618" w:type="pct"/>
                  <w:tcBorders>
                    <w:tl2br w:val="nil"/>
                    <w:tr2bl w:val="nil"/>
                  </w:tcBorders>
                  <w:noWrap w:val="0"/>
                  <w:vAlign w:val="center"/>
                </w:tcPr>
                <w:p w14:paraId="1734C84A">
                  <w:pPr>
                    <w:pStyle w:val="22"/>
                    <w:keepNext w:val="0"/>
                    <w:keepLines/>
                    <w:pageBreakBefore w:val="0"/>
                    <w:widowControl/>
                    <w:kinsoku/>
                    <w:wordWrap/>
                    <w:overflowPunct/>
                    <w:topLinePunct w:val="0"/>
                    <w:bidi w:val="0"/>
                    <w:rPr>
                      <w:rFonts w:hint="default"/>
                      <w:color w:val="auto"/>
                      <w:lang w:val="en-US" w:eastAsia="zh-CN"/>
                    </w:rPr>
                  </w:pPr>
                  <w:r>
                    <w:rPr>
                      <w:rFonts w:hint="default"/>
                      <w:color w:val="auto"/>
                      <w:lang w:val="en-US" w:eastAsia="zh-CN"/>
                    </w:rPr>
                    <w:t>资源利用效率</w:t>
                  </w:r>
                </w:p>
              </w:tc>
              <w:tc>
                <w:tcPr>
                  <w:tcW w:w="1222" w:type="pct"/>
                  <w:tcBorders>
                    <w:tl2br w:val="nil"/>
                    <w:tr2bl w:val="nil"/>
                  </w:tcBorders>
                  <w:noWrap w:val="0"/>
                  <w:vAlign w:val="center"/>
                </w:tcPr>
                <w:p w14:paraId="57718B9C">
                  <w:pPr>
                    <w:pStyle w:val="22"/>
                    <w:keepNext w:val="0"/>
                    <w:keepLines/>
                    <w:pageBreakBefore w:val="0"/>
                    <w:widowControl/>
                    <w:kinsoku/>
                    <w:wordWrap/>
                    <w:overflowPunct/>
                    <w:topLinePunct w:val="0"/>
                    <w:bidi w:val="0"/>
                    <w:rPr>
                      <w:rFonts w:hint="default"/>
                      <w:color w:val="auto"/>
                      <w:lang w:val="en-US" w:eastAsia="zh-CN"/>
                    </w:rPr>
                  </w:pPr>
                  <w:r>
                    <w:rPr>
                      <w:rFonts w:hint="default"/>
                      <w:color w:val="auto"/>
                      <w:lang w:val="en-US" w:eastAsia="zh-CN"/>
                    </w:rPr>
                    <w:t>（1）推行秸秆还田、增施有机肥、少耕免耕、粮豆轮作、化肥农药减量、农膜减量与回收利用等措施，切实保护耕地土壤环境质量。（2）加强城镇节水，禁止生产、销售不符合节水标准的产品、设备，加快城镇老旧供水管网更新改造，开展节水型城市创建活动。</w:t>
                  </w:r>
                </w:p>
              </w:tc>
              <w:tc>
                <w:tcPr>
                  <w:tcW w:w="1491" w:type="pct"/>
                  <w:tcBorders>
                    <w:tl2br w:val="nil"/>
                    <w:tr2bl w:val="nil"/>
                  </w:tcBorders>
                  <w:noWrap w:val="0"/>
                  <w:vAlign w:val="center"/>
                </w:tcPr>
                <w:p w14:paraId="30E81C20">
                  <w:pPr>
                    <w:pStyle w:val="22"/>
                    <w:keepNext w:val="0"/>
                    <w:keepLines/>
                    <w:pageBreakBefore w:val="0"/>
                    <w:widowControl/>
                    <w:kinsoku/>
                    <w:wordWrap/>
                    <w:overflowPunct/>
                    <w:topLinePunct w:val="0"/>
                    <w:bidi w:val="0"/>
                    <w:rPr>
                      <w:rFonts w:hint="default"/>
                      <w:color w:val="auto"/>
                      <w:lang w:val="en-US" w:eastAsia="zh-CN"/>
                    </w:rPr>
                  </w:pPr>
                  <w:r>
                    <w:rPr>
                      <w:rFonts w:hint="default"/>
                      <w:color w:val="auto"/>
                      <w:lang w:val="en-US" w:eastAsia="zh-CN"/>
                    </w:rPr>
                    <w:t>本次新建及改造灌渠主要进行防渗，提高灌溉水利用效率。</w:t>
                  </w:r>
                </w:p>
              </w:tc>
              <w:tc>
                <w:tcPr>
                  <w:tcW w:w="406" w:type="pct"/>
                  <w:tcBorders>
                    <w:tl2br w:val="nil"/>
                    <w:tr2bl w:val="nil"/>
                  </w:tcBorders>
                  <w:noWrap w:val="0"/>
                  <w:vAlign w:val="center"/>
                </w:tcPr>
                <w:p w14:paraId="0C4FB3EC">
                  <w:pPr>
                    <w:pStyle w:val="22"/>
                    <w:keepNext w:val="0"/>
                    <w:keepLines/>
                    <w:pageBreakBefore w:val="0"/>
                    <w:widowControl/>
                    <w:kinsoku/>
                    <w:wordWrap/>
                    <w:overflowPunct/>
                    <w:topLinePunct w:val="0"/>
                    <w:bidi w:val="0"/>
                    <w:rPr>
                      <w:rFonts w:hint="default"/>
                      <w:color w:val="auto"/>
                      <w:lang w:val="en-US" w:eastAsia="zh-CN"/>
                    </w:rPr>
                  </w:pPr>
                  <w:r>
                    <w:rPr>
                      <w:rFonts w:hint="default"/>
                      <w:color w:val="auto"/>
                      <w:lang w:val="en-US" w:eastAsia="zh-CN"/>
                    </w:rPr>
                    <w:t>符合</w:t>
                  </w:r>
                </w:p>
              </w:tc>
            </w:tr>
          </w:tbl>
          <w:p w14:paraId="5C880F6B">
            <w:pPr>
              <w:keepNext w:val="0"/>
              <w:keepLines/>
              <w:pageBreakBefore w:val="0"/>
              <w:widowControl/>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综上所述，本项目与第六师五家渠市“三线一单”生态环境分区管控方案是相符的。项目与第六师五家渠市环境管控分布图的位置关系图详见</w:t>
            </w:r>
            <w:r>
              <w:rPr>
                <w:rFonts w:hint="eastAsia" w:cs="Times New Roman"/>
                <w:color w:val="auto"/>
                <w:kern w:val="0"/>
                <w:sz w:val="24"/>
                <w:szCs w:val="24"/>
                <w:highlight w:val="none"/>
                <w:lang w:val="en-US" w:eastAsia="zh-CN" w:bidi="ar-SA"/>
              </w:rPr>
              <w:t>下图</w:t>
            </w:r>
            <w:r>
              <w:rPr>
                <w:rFonts w:hint="default" w:ascii="Times New Roman" w:hAnsi="Times New Roman" w:eastAsia="宋体" w:cs="Times New Roman"/>
                <w:color w:val="auto"/>
                <w:kern w:val="0"/>
                <w:sz w:val="24"/>
                <w:szCs w:val="24"/>
                <w:highlight w:val="none"/>
                <w:lang w:val="en-US" w:eastAsia="zh-CN" w:bidi="ar-SA"/>
              </w:rPr>
              <w:t>。</w:t>
            </w:r>
          </w:p>
          <w:p w14:paraId="45A04439">
            <w:pPr>
              <w:pStyle w:val="24"/>
              <w:keepNext w:val="0"/>
              <w:keepLines/>
              <w:pageBreakBefore w:val="0"/>
              <w:widowControl/>
              <w:kinsoku/>
              <w:wordWrap/>
              <w:overflowPunct/>
              <w:topLinePunct w:val="0"/>
              <w:bidi w:val="0"/>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drawing>
                <wp:inline distT="0" distB="0" distL="114300" distR="114300">
                  <wp:extent cx="4514215" cy="2397760"/>
                  <wp:effectExtent l="0" t="0" r="8890" b="9525"/>
                  <wp:docPr id="5" name="图片 5" descr="d15ad8d1e6fe95275b4a838038712b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15ad8d1e6fe95275b4a838038712b3c"/>
                          <pic:cNvPicPr>
                            <a:picLocks noChangeAspect="1"/>
                          </pic:cNvPicPr>
                        </pic:nvPicPr>
                        <pic:blipFill>
                          <a:blip r:embed="rId15"/>
                          <a:stretch>
                            <a:fillRect/>
                          </a:stretch>
                        </pic:blipFill>
                        <pic:spPr>
                          <a:xfrm>
                            <a:off x="0" y="0"/>
                            <a:ext cx="4514215" cy="2397760"/>
                          </a:xfrm>
                          <a:prstGeom prst="rect">
                            <a:avLst/>
                          </a:prstGeom>
                        </pic:spPr>
                      </pic:pic>
                    </a:graphicData>
                  </a:graphic>
                </wp:inline>
              </w:drawing>
            </w:r>
          </w:p>
          <w:p w14:paraId="32B091B1">
            <w:pPr>
              <w:keepNext w:val="0"/>
              <w:keepLines/>
              <w:pageBreakBefore w:val="0"/>
              <w:widowControl/>
              <w:numPr>
                <w:ilvl w:val="0"/>
                <w:numId w:val="0"/>
              </w:numPr>
              <w:kinsoku/>
              <w:wordWrap/>
              <w:overflowPunct/>
              <w:topLinePunct w:val="0"/>
              <w:autoSpaceDE w:val="0"/>
              <w:autoSpaceDN w:val="0"/>
              <w:bidi w:val="0"/>
              <w:adjustRightInd w:val="0"/>
              <w:snapToGrid w:val="0"/>
              <w:spacing w:before="157" w:beforeLines="50" w:line="360" w:lineRule="auto"/>
              <w:ind w:right="0" w:rightChars="0"/>
              <w:jc w:val="center"/>
              <w:textAlignment w:val="auto"/>
              <w:rPr>
                <w:rFonts w:hint="eastAsia" w:ascii="Times New Roman" w:hAnsi="Times New Roman" w:eastAsia="宋体" w:cs="Times New Roman"/>
                <w:b/>
                <w:bCs/>
                <w:color w:val="auto"/>
                <w:kern w:val="0"/>
                <w:sz w:val="24"/>
                <w:szCs w:val="24"/>
                <w:highlight w:val="none"/>
                <w:lang w:val="en-US" w:eastAsia="zh-CN" w:bidi="ar-SA"/>
              </w:rPr>
            </w:pPr>
            <w:r>
              <w:rPr>
                <w:rFonts w:hint="eastAsia" w:ascii="Times New Roman" w:hAnsi="Times New Roman" w:eastAsia="宋体" w:cs="Times New Roman"/>
                <w:b/>
                <w:bCs/>
                <w:color w:val="auto"/>
                <w:kern w:val="0"/>
                <w:sz w:val="24"/>
                <w:szCs w:val="24"/>
                <w:highlight w:val="none"/>
                <w:lang w:val="en-US" w:eastAsia="zh-CN" w:bidi="ar-SA"/>
              </w:rPr>
              <w:t>图1-1项目在</w:t>
            </w:r>
            <w:r>
              <w:rPr>
                <w:rFonts w:hint="eastAsia" w:cs="Times New Roman"/>
                <w:b/>
                <w:bCs/>
                <w:color w:val="auto"/>
                <w:kern w:val="0"/>
                <w:sz w:val="24"/>
                <w:szCs w:val="24"/>
                <w:highlight w:val="none"/>
                <w:lang w:val="en-US" w:eastAsia="zh-CN" w:bidi="ar-SA"/>
              </w:rPr>
              <w:t>新疆维吾</w:t>
            </w:r>
            <w:r>
              <w:rPr>
                <w:rFonts w:hint="eastAsia" w:ascii="Times New Roman" w:hAnsi="Times New Roman" w:eastAsia="宋体" w:cs="Times New Roman"/>
                <w:b/>
                <w:bCs/>
                <w:color w:val="auto"/>
                <w:kern w:val="0"/>
                <w:sz w:val="24"/>
                <w:szCs w:val="24"/>
                <w:highlight w:val="none"/>
                <w:lang w:val="en-US" w:eastAsia="zh-CN" w:bidi="ar-SA"/>
              </w:rPr>
              <w:t>尔自治区“三线一单”信息应用平台查询结果</w:t>
            </w:r>
          </w:p>
          <w:p w14:paraId="52C5F784">
            <w:pPr>
              <w:pStyle w:val="22"/>
              <w:keepNext w:val="0"/>
              <w:keepLines/>
              <w:pageBreakBefore w:val="0"/>
              <w:widowControl/>
              <w:kinsoku/>
              <w:wordWrap/>
              <w:overflowPunct/>
              <w:topLinePunct w:val="0"/>
              <w:bidi w:val="0"/>
              <w:jc w:val="center"/>
              <w:rPr>
                <w:rFonts w:hint="default" w:ascii="Times New Roman" w:hAnsi="Times New Roman" w:eastAsia="宋体" w:cs="Times New Roman"/>
                <w:b/>
                <w:bCs/>
                <w:color w:val="auto"/>
                <w:kern w:val="0"/>
                <w:sz w:val="24"/>
                <w:szCs w:val="24"/>
                <w:highlight w:val="none"/>
                <w:lang w:val="en-US" w:eastAsia="zh-CN" w:bidi="ar-SA"/>
              </w:rPr>
            </w:pPr>
            <w:r>
              <w:rPr>
                <w:rFonts w:hint="eastAsia"/>
                <w:color w:val="auto"/>
                <w:lang w:val="en-US" w:eastAsia="zh-CN"/>
              </w:rPr>
              <w:drawing>
                <wp:anchor distT="0" distB="0" distL="114300" distR="114300" simplePos="0" relativeHeight="251659264" behindDoc="0" locked="0" layoutInCell="1" allowOverlap="1">
                  <wp:simplePos x="0" y="0"/>
                  <wp:positionH relativeFrom="column">
                    <wp:posOffset>137795</wp:posOffset>
                  </wp:positionH>
                  <wp:positionV relativeFrom="paragraph">
                    <wp:posOffset>113665</wp:posOffset>
                  </wp:positionV>
                  <wp:extent cx="4323715" cy="2330450"/>
                  <wp:effectExtent l="0" t="0" r="5080" b="1270"/>
                  <wp:wrapTopAndBottom/>
                  <wp:docPr id="9" name="图片 9" descr="8ade37b2fcb671f6573d3233bd8e1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8ade37b2fcb671f6573d3233bd8e1414"/>
                          <pic:cNvPicPr>
                            <a:picLocks noChangeAspect="1"/>
                          </pic:cNvPicPr>
                        </pic:nvPicPr>
                        <pic:blipFill>
                          <a:blip r:embed="rId16"/>
                          <a:stretch>
                            <a:fillRect/>
                          </a:stretch>
                        </pic:blipFill>
                        <pic:spPr>
                          <a:xfrm>
                            <a:off x="0" y="0"/>
                            <a:ext cx="4323715" cy="2330450"/>
                          </a:xfrm>
                          <a:prstGeom prst="rect">
                            <a:avLst/>
                          </a:prstGeom>
                        </pic:spPr>
                      </pic:pic>
                    </a:graphicData>
                  </a:graphic>
                </wp:anchor>
              </w:drawing>
            </w:r>
            <w:r>
              <w:rPr>
                <w:rFonts w:hint="default" w:ascii="Times New Roman" w:hAnsi="Times New Roman" w:eastAsia="宋体" w:cs="Times New Roman"/>
                <w:b/>
                <w:bCs/>
                <w:color w:val="auto"/>
                <w:kern w:val="0"/>
                <w:sz w:val="24"/>
                <w:szCs w:val="24"/>
                <w:highlight w:val="none"/>
                <w:lang w:val="en-US" w:eastAsia="zh-CN" w:bidi="ar-SA"/>
              </w:rPr>
              <w:t>图1-</w:t>
            </w:r>
            <w:r>
              <w:rPr>
                <w:rFonts w:hint="eastAsia" w:cs="Times New Roman"/>
                <w:b/>
                <w:bCs/>
                <w:color w:val="auto"/>
                <w:kern w:val="0"/>
                <w:sz w:val="24"/>
                <w:szCs w:val="24"/>
                <w:highlight w:val="none"/>
                <w:lang w:val="en-US" w:eastAsia="zh-CN" w:bidi="ar-SA"/>
              </w:rPr>
              <w:t>2</w:t>
            </w:r>
            <w:r>
              <w:rPr>
                <w:rFonts w:hint="default" w:ascii="Times New Roman" w:hAnsi="Times New Roman" w:eastAsia="宋体" w:cs="Times New Roman"/>
                <w:b/>
                <w:bCs/>
                <w:color w:val="auto"/>
                <w:kern w:val="0"/>
                <w:sz w:val="24"/>
                <w:szCs w:val="24"/>
                <w:highlight w:val="none"/>
                <w:lang w:val="en-US" w:eastAsia="zh-CN" w:bidi="ar-SA"/>
              </w:rPr>
              <w:t>项目在兵团生态环境分区管控信息平台查询结果</w:t>
            </w:r>
          </w:p>
          <w:p w14:paraId="4543D92C">
            <w:pPr>
              <w:keepNext w:val="0"/>
              <w:keepLines/>
              <w:pageBreakBefore w:val="0"/>
              <w:widowControl/>
              <w:numPr>
                <w:ilvl w:val="0"/>
                <w:numId w:val="2"/>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rPr>
            </w:pPr>
            <w:r>
              <w:rPr>
                <w:rFonts w:hint="default" w:ascii="Times New Roman" w:hAnsi="Times New Roman" w:eastAsia="宋体" w:cs="Times New Roman"/>
                <w:b/>
                <w:bCs/>
                <w:color w:val="auto"/>
                <w:kern w:val="0"/>
                <w:sz w:val="24"/>
                <w:szCs w:val="24"/>
                <w:highlight w:val="none"/>
                <w:lang w:val="en-US" w:eastAsia="zh-CN"/>
              </w:rPr>
              <w:t>与“水利建设项目（灌区工程）环境影响评价文件”相关政策符合性分析</w:t>
            </w:r>
          </w:p>
          <w:p w14:paraId="62A55587">
            <w:pPr>
              <w:keepNext w:val="0"/>
              <w:keepLines/>
              <w:pageBreakBefore w:val="0"/>
              <w:widowControl/>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eastAsia="en-US"/>
              </w:rPr>
            </w:pPr>
            <w:r>
              <w:rPr>
                <w:rFonts w:hint="default" w:ascii="Times New Roman" w:hAnsi="Times New Roman" w:eastAsia="宋体" w:cs="Times New Roman"/>
                <w:color w:val="auto"/>
                <w:kern w:val="0"/>
                <w:sz w:val="24"/>
                <w:szCs w:val="24"/>
                <w:highlight w:val="none"/>
                <w:lang w:val="en-US" w:eastAsia="en-US"/>
              </w:rPr>
              <w:t>根据2018年7月21日环境保护部办公厅印发的《水利建设项目（灌区工程）环境影响评价文件审批原则（试行）》，本项目与其符合性分析见表1-</w:t>
            </w:r>
            <w:r>
              <w:rPr>
                <w:rFonts w:hint="eastAsia" w:cs="Times New Roman"/>
                <w:color w:val="auto"/>
                <w:kern w:val="0"/>
                <w:sz w:val="24"/>
                <w:szCs w:val="24"/>
                <w:highlight w:val="none"/>
                <w:lang w:val="en-US" w:eastAsia="zh-CN"/>
              </w:rPr>
              <w:t>4</w:t>
            </w:r>
            <w:r>
              <w:rPr>
                <w:rFonts w:hint="default" w:ascii="Times New Roman" w:hAnsi="Times New Roman" w:eastAsia="宋体" w:cs="Times New Roman"/>
                <w:color w:val="auto"/>
                <w:kern w:val="0"/>
                <w:sz w:val="24"/>
                <w:szCs w:val="24"/>
                <w:highlight w:val="none"/>
                <w:lang w:val="en-US" w:eastAsia="en-US"/>
              </w:rPr>
              <w:t>。</w:t>
            </w:r>
          </w:p>
          <w:p w14:paraId="33A8871A">
            <w:pPr>
              <w:pStyle w:val="4"/>
              <w:keepNext w:val="0"/>
              <w:keepLines/>
              <w:pageBreakBefore w:val="0"/>
              <w:widowControl/>
              <w:numPr>
                <w:ilvl w:val="2"/>
                <w:numId w:val="0"/>
              </w:numPr>
              <w:kinsoku/>
              <w:wordWrap/>
              <w:overflowPunct/>
              <w:topLinePunct w:val="0"/>
              <w:autoSpaceDE/>
              <w:autoSpaceDN/>
              <w:bidi w:val="0"/>
              <w:adjustRightInd w:val="0"/>
              <w:snapToGrid w:val="0"/>
              <w:spacing w:before="0" w:beforeLines="-2147483648" w:beforeAutospacing="0" w:after="0" w:afterLines="-2147483648" w:afterAutospacing="0" w:line="360" w:lineRule="auto"/>
              <w:ind w:leftChars="0"/>
              <w:jc w:val="center"/>
              <w:textAlignment w:val="auto"/>
              <w:outlineLvl w:val="9"/>
              <w:rPr>
                <w:rFonts w:hint="default" w:ascii="Times New Roman" w:hAnsi="Times New Roman" w:eastAsia="宋体" w:cs="Times New Roman"/>
                <w:color w:val="auto"/>
                <w:kern w:val="0"/>
                <w:sz w:val="24"/>
                <w:szCs w:val="24"/>
                <w:highlight w:val="none"/>
                <w:vertAlign w:val="baseline"/>
                <w:lang w:val="en-US" w:eastAsia="en-US"/>
              </w:rPr>
            </w:pPr>
            <w:r>
              <w:rPr>
                <w:rFonts w:hint="default" w:ascii="Times New Roman" w:hAnsi="Times New Roman" w:eastAsia="宋体" w:cs="Times New Roman"/>
                <w:color w:val="auto"/>
                <w:kern w:val="0"/>
                <w:sz w:val="24"/>
                <w:szCs w:val="24"/>
                <w:highlight w:val="none"/>
                <w:vertAlign w:val="baseline"/>
                <w:lang w:val="en-US" w:eastAsia="en-US"/>
              </w:rPr>
              <w:t>表1-</w:t>
            </w:r>
            <w:r>
              <w:rPr>
                <w:rFonts w:hint="eastAsia" w:ascii="Times New Roman" w:hAnsi="Times New Roman" w:eastAsia="宋体" w:cs="Times New Roman"/>
                <w:color w:val="auto"/>
                <w:kern w:val="0"/>
                <w:sz w:val="24"/>
                <w:szCs w:val="24"/>
                <w:highlight w:val="none"/>
                <w:vertAlign w:val="baseline"/>
                <w:lang w:val="en-US" w:eastAsia="zh-CN"/>
              </w:rPr>
              <w:t>4</w:t>
            </w:r>
            <w:r>
              <w:rPr>
                <w:rFonts w:hint="default" w:ascii="Times New Roman" w:hAnsi="Times New Roman" w:eastAsia="宋体" w:cs="Times New Roman"/>
                <w:color w:val="auto"/>
                <w:kern w:val="0"/>
                <w:sz w:val="24"/>
                <w:szCs w:val="24"/>
                <w:highlight w:val="none"/>
                <w:vertAlign w:val="baseline"/>
                <w:lang w:val="en-US" w:eastAsia="en-US"/>
              </w:rPr>
              <w:t>水利建设项目环境影响评价文件审批原则符合性对照表</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3214"/>
              <w:gridCol w:w="2484"/>
              <w:gridCol w:w="698"/>
            </w:tblGrid>
            <w:tr w14:paraId="2075A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vAlign w:val="center"/>
                </w:tcPr>
                <w:p w14:paraId="288E797B">
                  <w:pPr>
                    <w:pStyle w:val="22"/>
                    <w:keepNext w:val="0"/>
                    <w:keepLines/>
                    <w:pageBreakBefore w:val="0"/>
                    <w:widowControl/>
                    <w:kinsoku/>
                    <w:wordWrap/>
                    <w:overflowPunct/>
                    <w:topLinePunct w:val="0"/>
                    <w:bidi w:val="0"/>
                    <w:jc w:val="center"/>
                    <w:rPr>
                      <w:rFonts w:hint="eastAsia"/>
                      <w:b/>
                      <w:bCs/>
                      <w:color w:val="auto"/>
                      <w:lang w:val="en-US" w:eastAsia="zh-CN"/>
                    </w:rPr>
                  </w:pPr>
                  <w:r>
                    <w:rPr>
                      <w:rFonts w:hint="eastAsia"/>
                      <w:b/>
                      <w:bCs/>
                      <w:color w:val="auto"/>
                      <w:lang w:val="en-US" w:eastAsia="zh-CN"/>
                    </w:rPr>
                    <w:t>序号</w:t>
                  </w:r>
                </w:p>
              </w:tc>
              <w:tc>
                <w:tcPr>
                  <w:tcW w:w="3214" w:type="dxa"/>
                  <w:vAlign w:val="center"/>
                </w:tcPr>
                <w:p w14:paraId="694984A8">
                  <w:pPr>
                    <w:pStyle w:val="22"/>
                    <w:keepNext w:val="0"/>
                    <w:keepLines/>
                    <w:pageBreakBefore w:val="0"/>
                    <w:widowControl/>
                    <w:kinsoku/>
                    <w:wordWrap/>
                    <w:overflowPunct/>
                    <w:topLinePunct w:val="0"/>
                    <w:bidi w:val="0"/>
                    <w:jc w:val="center"/>
                    <w:rPr>
                      <w:rFonts w:hint="default"/>
                      <w:b/>
                      <w:bCs/>
                      <w:color w:val="auto"/>
                      <w:lang w:val="en-US" w:eastAsia="en-US"/>
                    </w:rPr>
                  </w:pPr>
                  <w:r>
                    <w:rPr>
                      <w:rFonts w:hint="default"/>
                      <w:b/>
                      <w:bCs/>
                      <w:color w:val="auto"/>
                      <w:lang w:val="en-US" w:eastAsia="en-US"/>
                    </w:rPr>
                    <w:t>水利工程环境影响评价文件审批原则相关要求</w:t>
                  </w:r>
                </w:p>
              </w:tc>
              <w:tc>
                <w:tcPr>
                  <w:tcW w:w="2484" w:type="dxa"/>
                  <w:vAlign w:val="center"/>
                </w:tcPr>
                <w:p w14:paraId="60F77575">
                  <w:pPr>
                    <w:pStyle w:val="22"/>
                    <w:keepNext w:val="0"/>
                    <w:keepLines/>
                    <w:pageBreakBefore w:val="0"/>
                    <w:widowControl/>
                    <w:kinsoku/>
                    <w:wordWrap/>
                    <w:overflowPunct/>
                    <w:topLinePunct w:val="0"/>
                    <w:bidi w:val="0"/>
                    <w:jc w:val="center"/>
                    <w:rPr>
                      <w:rFonts w:hint="default"/>
                      <w:b/>
                      <w:bCs/>
                      <w:color w:val="auto"/>
                      <w:lang w:val="en-US" w:eastAsia="en-US"/>
                    </w:rPr>
                  </w:pPr>
                  <w:r>
                    <w:rPr>
                      <w:rFonts w:hint="default"/>
                      <w:b/>
                      <w:bCs/>
                      <w:color w:val="auto"/>
                      <w:lang w:val="en-US" w:eastAsia="en-US"/>
                    </w:rPr>
                    <w:t>本工程</w:t>
                  </w:r>
                </w:p>
              </w:tc>
              <w:tc>
                <w:tcPr>
                  <w:tcW w:w="698" w:type="dxa"/>
                  <w:vAlign w:val="center"/>
                </w:tcPr>
                <w:p w14:paraId="23162506">
                  <w:pPr>
                    <w:pStyle w:val="22"/>
                    <w:keepNext w:val="0"/>
                    <w:keepLines/>
                    <w:pageBreakBefore w:val="0"/>
                    <w:widowControl/>
                    <w:kinsoku/>
                    <w:wordWrap/>
                    <w:overflowPunct/>
                    <w:topLinePunct w:val="0"/>
                    <w:bidi w:val="0"/>
                    <w:jc w:val="center"/>
                    <w:rPr>
                      <w:rFonts w:hint="default"/>
                      <w:b/>
                      <w:bCs/>
                      <w:color w:val="auto"/>
                      <w:lang w:val="en-US" w:eastAsia="en-US"/>
                    </w:rPr>
                  </w:pPr>
                  <w:r>
                    <w:rPr>
                      <w:rFonts w:hint="default"/>
                      <w:b/>
                      <w:bCs/>
                      <w:color w:val="auto"/>
                      <w:lang w:val="en-US" w:eastAsia="en-US"/>
                    </w:rPr>
                    <w:t>符合性</w:t>
                  </w:r>
                </w:p>
              </w:tc>
            </w:tr>
            <w:tr w14:paraId="6A6EA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vAlign w:val="center"/>
                </w:tcPr>
                <w:p w14:paraId="73DF66DD">
                  <w:pPr>
                    <w:pStyle w:val="22"/>
                    <w:keepNext w:val="0"/>
                    <w:keepLines/>
                    <w:pageBreakBefore w:val="0"/>
                    <w:widowControl/>
                    <w:kinsoku/>
                    <w:wordWrap/>
                    <w:overflowPunct/>
                    <w:topLinePunct w:val="0"/>
                    <w:bidi w:val="0"/>
                    <w:jc w:val="center"/>
                    <w:rPr>
                      <w:rFonts w:hint="eastAsia"/>
                      <w:color w:val="auto"/>
                      <w:lang w:val="en-US" w:eastAsia="zh-CN"/>
                    </w:rPr>
                  </w:pPr>
                  <w:r>
                    <w:rPr>
                      <w:rFonts w:hint="eastAsia"/>
                      <w:color w:val="auto"/>
                      <w:lang w:val="en-US" w:eastAsia="zh-CN"/>
                    </w:rPr>
                    <w:t>1</w:t>
                  </w:r>
                </w:p>
              </w:tc>
              <w:tc>
                <w:tcPr>
                  <w:tcW w:w="3214" w:type="dxa"/>
                  <w:vAlign w:val="center"/>
                </w:tcPr>
                <w:p w14:paraId="4809E3E8">
                  <w:pPr>
                    <w:pStyle w:val="22"/>
                    <w:keepNext w:val="0"/>
                    <w:keepLines/>
                    <w:pageBreakBefore w:val="0"/>
                    <w:widowControl/>
                    <w:kinsoku/>
                    <w:wordWrap/>
                    <w:overflowPunct/>
                    <w:topLinePunct w:val="0"/>
                    <w:bidi w:val="0"/>
                    <w:jc w:val="center"/>
                    <w:rPr>
                      <w:rFonts w:hint="default"/>
                      <w:color w:val="auto"/>
                      <w:lang w:val="en-US" w:eastAsia="en-US"/>
                    </w:rPr>
                  </w:pPr>
                  <w:r>
                    <w:rPr>
                      <w:rFonts w:hint="default"/>
                      <w:color w:val="auto"/>
                      <w:lang w:val="en-US" w:eastAsia="en-US"/>
                    </w:rPr>
                    <w:t>第二条 项目符合生态环境及资源相关法律法规和政策要求，与主体功能区规划、生态功能区划、水（环境）功能区划、水污染防治规划、生态环境保护规划等相协调，项目开发任务、供水量、供水范围和对象、灌区规模、种植结构等主要内容总体符合流域区域综合规划、水资源规划、灌区规划、农业生产规划、节水规划等相关规划及规划环评要求。</w:t>
                  </w:r>
                </w:p>
                <w:p w14:paraId="65DCCD77">
                  <w:pPr>
                    <w:pStyle w:val="22"/>
                    <w:keepNext w:val="0"/>
                    <w:keepLines/>
                    <w:pageBreakBefore w:val="0"/>
                    <w:widowControl/>
                    <w:kinsoku/>
                    <w:wordWrap/>
                    <w:overflowPunct/>
                    <w:topLinePunct w:val="0"/>
                    <w:bidi w:val="0"/>
                    <w:jc w:val="center"/>
                    <w:rPr>
                      <w:rFonts w:hint="default"/>
                      <w:color w:val="auto"/>
                      <w:lang w:val="en-US" w:eastAsia="en-US"/>
                    </w:rPr>
                  </w:pPr>
                  <w:r>
                    <w:rPr>
                      <w:rFonts w:hint="default"/>
                      <w:color w:val="auto"/>
                      <w:lang w:val="en-US" w:eastAsia="en-US"/>
                    </w:rPr>
                    <w:t>项目水资源开发利用符合以水定产、以水定地原则，未超出流域区域水资源利用上限，灌溉定额、灌溉用水保证率、灌溉水有效利用系数满足流域区域用水效率控制要求。</w:t>
                  </w:r>
                </w:p>
              </w:tc>
              <w:tc>
                <w:tcPr>
                  <w:tcW w:w="2484" w:type="dxa"/>
                  <w:vAlign w:val="center"/>
                </w:tcPr>
                <w:p w14:paraId="76FEAD44">
                  <w:pPr>
                    <w:pStyle w:val="22"/>
                    <w:keepNext w:val="0"/>
                    <w:keepLines/>
                    <w:pageBreakBefore w:val="0"/>
                    <w:widowControl/>
                    <w:kinsoku/>
                    <w:wordWrap/>
                    <w:overflowPunct/>
                    <w:topLinePunct w:val="0"/>
                    <w:bidi w:val="0"/>
                    <w:jc w:val="center"/>
                    <w:rPr>
                      <w:rFonts w:hint="eastAsia" w:eastAsia="宋体"/>
                      <w:color w:val="auto"/>
                      <w:lang w:val="en-US" w:eastAsia="zh-CN"/>
                    </w:rPr>
                  </w:pPr>
                  <w:r>
                    <w:rPr>
                      <w:rFonts w:hint="default"/>
                      <w:color w:val="auto"/>
                      <w:lang w:val="en-US" w:eastAsia="en-US"/>
                    </w:rPr>
                    <w:t>本项目为防渗渠</w:t>
                  </w:r>
                  <w:r>
                    <w:rPr>
                      <w:rFonts w:hint="eastAsia"/>
                      <w:color w:val="auto"/>
                      <w:lang w:val="en-US" w:eastAsia="zh-CN"/>
                    </w:rPr>
                    <w:t>新建及</w:t>
                  </w:r>
                  <w:r>
                    <w:rPr>
                      <w:rFonts w:hint="default"/>
                      <w:color w:val="auto"/>
                      <w:lang w:val="en-US" w:eastAsia="en-US"/>
                    </w:rPr>
                    <w:t>改建工程，项目符合相关法律法规和政策要求，与主体功能区规划相协调，项目区不涉</w:t>
                  </w:r>
                  <w:r>
                    <w:rPr>
                      <w:rFonts w:hint="default"/>
                      <w:color w:val="auto"/>
                      <w:highlight w:val="none"/>
                      <w:lang w:val="en-US" w:eastAsia="en-US"/>
                    </w:rPr>
                    <w:t>及敏感保护区，项目占地为水利设施用地</w:t>
                  </w:r>
                  <w:r>
                    <w:rPr>
                      <w:rFonts w:hint="eastAsia"/>
                      <w:color w:val="auto"/>
                      <w:highlight w:val="none"/>
                      <w:lang w:val="en-US" w:eastAsia="zh-CN"/>
                    </w:rPr>
                    <w:t>、裸土地</w:t>
                  </w:r>
                  <w:r>
                    <w:rPr>
                      <w:rFonts w:hint="default"/>
                      <w:color w:val="auto"/>
                      <w:highlight w:val="none"/>
                      <w:lang w:val="en-US" w:eastAsia="en-US"/>
                    </w:rPr>
                    <w:t>，没</w:t>
                  </w:r>
                  <w:r>
                    <w:rPr>
                      <w:rFonts w:hint="default"/>
                      <w:color w:val="auto"/>
                      <w:lang w:val="en-US" w:eastAsia="en-US"/>
                    </w:rPr>
                    <w:t>有改变其用地性质，基本符合生态功能区划</w:t>
                  </w:r>
                  <w:r>
                    <w:rPr>
                      <w:rFonts w:hint="eastAsia"/>
                      <w:color w:val="auto"/>
                      <w:lang w:val="en-US" w:eastAsia="zh-CN"/>
                    </w:rPr>
                    <w:t>。</w:t>
                  </w:r>
                </w:p>
              </w:tc>
              <w:tc>
                <w:tcPr>
                  <w:tcW w:w="698" w:type="dxa"/>
                  <w:vAlign w:val="center"/>
                </w:tcPr>
                <w:p w14:paraId="28EF7ABF">
                  <w:pPr>
                    <w:pStyle w:val="22"/>
                    <w:keepNext w:val="0"/>
                    <w:keepLines/>
                    <w:pageBreakBefore w:val="0"/>
                    <w:widowControl/>
                    <w:kinsoku/>
                    <w:wordWrap/>
                    <w:overflowPunct/>
                    <w:topLinePunct w:val="0"/>
                    <w:bidi w:val="0"/>
                    <w:jc w:val="center"/>
                    <w:rPr>
                      <w:rFonts w:hint="eastAsia" w:eastAsia="宋体"/>
                      <w:color w:val="auto"/>
                      <w:lang w:val="en-US" w:eastAsia="zh-CN"/>
                    </w:rPr>
                  </w:pPr>
                  <w:r>
                    <w:rPr>
                      <w:rFonts w:hint="eastAsia"/>
                      <w:color w:val="auto"/>
                      <w:lang w:val="en-US" w:eastAsia="zh-CN"/>
                    </w:rPr>
                    <w:t>符合</w:t>
                  </w:r>
                </w:p>
              </w:tc>
            </w:tr>
            <w:tr w14:paraId="42037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vAlign w:val="center"/>
                </w:tcPr>
                <w:p w14:paraId="2E998A49">
                  <w:pPr>
                    <w:pStyle w:val="22"/>
                    <w:keepNext w:val="0"/>
                    <w:keepLines/>
                    <w:pageBreakBefore w:val="0"/>
                    <w:widowControl/>
                    <w:kinsoku/>
                    <w:wordWrap/>
                    <w:overflowPunct/>
                    <w:topLinePunct w:val="0"/>
                    <w:bidi w:val="0"/>
                    <w:jc w:val="center"/>
                    <w:rPr>
                      <w:rFonts w:hint="eastAsia"/>
                      <w:color w:val="auto"/>
                      <w:lang w:val="en-US" w:eastAsia="zh-CN"/>
                    </w:rPr>
                  </w:pPr>
                  <w:r>
                    <w:rPr>
                      <w:rFonts w:hint="eastAsia"/>
                      <w:color w:val="auto"/>
                      <w:lang w:val="en-US" w:eastAsia="zh-CN"/>
                    </w:rPr>
                    <w:t>2</w:t>
                  </w:r>
                </w:p>
              </w:tc>
              <w:tc>
                <w:tcPr>
                  <w:tcW w:w="3214" w:type="dxa"/>
                  <w:vAlign w:val="center"/>
                </w:tcPr>
                <w:p w14:paraId="65569734">
                  <w:pPr>
                    <w:pStyle w:val="22"/>
                    <w:keepNext w:val="0"/>
                    <w:keepLines/>
                    <w:pageBreakBefore w:val="0"/>
                    <w:widowControl/>
                    <w:kinsoku/>
                    <w:wordWrap/>
                    <w:overflowPunct/>
                    <w:topLinePunct w:val="0"/>
                    <w:bidi w:val="0"/>
                    <w:jc w:val="center"/>
                    <w:rPr>
                      <w:rFonts w:hint="default"/>
                      <w:color w:val="auto"/>
                      <w:lang w:val="en-US" w:eastAsia="en-US"/>
                    </w:rPr>
                  </w:pPr>
                  <w:r>
                    <w:rPr>
                      <w:rFonts w:hint="default"/>
                      <w:color w:val="auto"/>
                      <w:lang w:val="en-US" w:eastAsia="en-US"/>
                    </w:rPr>
                    <w:t>第三条 项目选址选线、取（蓄）水工程淹没、施工布置等不占用自然保护区、风景名胜区、世界文化和自然遗产地以及其他生态保护红线中法律法规禁止占用的区域，并与饮用水水源保护区、重要湿地等环境敏感区的保护要求相协调。</w:t>
                  </w:r>
                </w:p>
              </w:tc>
              <w:tc>
                <w:tcPr>
                  <w:tcW w:w="2484" w:type="dxa"/>
                  <w:vAlign w:val="center"/>
                </w:tcPr>
                <w:p w14:paraId="4C2AF64B">
                  <w:pPr>
                    <w:pStyle w:val="22"/>
                    <w:keepNext w:val="0"/>
                    <w:keepLines/>
                    <w:pageBreakBefore w:val="0"/>
                    <w:widowControl/>
                    <w:kinsoku/>
                    <w:wordWrap/>
                    <w:overflowPunct/>
                    <w:topLinePunct w:val="0"/>
                    <w:bidi w:val="0"/>
                    <w:jc w:val="center"/>
                    <w:rPr>
                      <w:rFonts w:hint="eastAsia" w:eastAsia="宋体"/>
                      <w:color w:val="auto"/>
                      <w:lang w:val="en-US" w:eastAsia="zh-CN"/>
                    </w:rPr>
                  </w:pPr>
                  <w:r>
                    <w:rPr>
                      <w:rFonts w:hint="default"/>
                      <w:color w:val="auto"/>
                      <w:lang w:val="en-US" w:eastAsia="en-US"/>
                    </w:rPr>
                    <w:t>本项目为防渗渠</w:t>
                  </w:r>
                  <w:r>
                    <w:rPr>
                      <w:rFonts w:hint="eastAsia"/>
                      <w:color w:val="auto"/>
                      <w:lang w:val="en-US" w:eastAsia="zh-CN"/>
                    </w:rPr>
                    <w:t>新建及</w:t>
                  </w:r>
                  <w:r>
                    <w:rPr>
                      <w:rFonts w:hint="default"/>
                      <w:color w:val="auto"/>
                      <w:lang w:val="en-US" w:eastAsia="en-US"/>
                    </w:rPr>
                    <w:t>改建工程，改善配水、用水条件的同时大幅度改善人居环境状况，有利于进一步提高灌区农业生产力。项目不涉及敏感保护区，运营期不产生污染物，项目占地均为水利设施用地和荒地</w:t>
                  </w:r>
                  <w:r>
                    <w:rPr>
                      <w:rFonts w:hint="eastAsia"/>
                      <w:color w:val="auto"/>
                      <w:lang w:val="en-US" w:eastAsia="zh-CN"/>
                    </w:rPr>
                    <w:t>。</w:t>
                  </w:r>
                </w:p>
              </w:tc>
              <w:tc>
                <w:tcPr>
                  <w:tcW w:w="698" w:type="dxa"/>
                  <w:vAlign w:val="center"/>
                </w:tcPr>
                <w:p w14:paraId="4FF04090">
                  <w:pPr>
                    <w:pStyle w:val="22"/>
                    <w:keepNext w:val="0"/>
                    <w:keepLines/>
                    <w:pageBreakBefore w:val="0"/>
                    <w:widowControl/>
                    <w:kinsoku/>
                    <w:wordWrap/>
                    <w:overflowPunct/>
                    <w:topLinePunct w:val="0"/>
                    <w:bidi w:val="0"/>
                    <w:jc w:val="center"/>
                    <w:rPr>
                      <w:rFonts w:hint="default"/>
                      <w:color w:val="auto"/>
                      <w:lang w:val="en-US" w:eastAsia="en-US"/>
                    </w:rPr>
                  </w:pPr>
                  <w:r>
                    <w:rPr>
                      <w:rFonts w:hint="default"/>
                      <w:color w:val="auto"/>
                      <w:lang w:val="en-US" w:eastAsia="en-US"/>
                    </w:rPr>
                    <w:t>符合</w:t>
                  </w:r>
                </w:p>
              </w:tc>
            </w:tr>
            <w:tr w14:paraId="7D639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vAlign w:val="center"/>
                </w:tcPr>
                <w:p w14:paraId="4104ADF4">
                  <w:pPr>
                    <w:pStyle w:val="22"/>
                    <w:keepNext w:val="0"/>
                    <w:keepLines/>
                    <w:pageBreakBefore w:val="0"/>
                    <w:widowControl/>
                    <w:kinsoku/>
                    <w:wordWrap/>
                    <w:overflowPunct/>
                    <w:topLinePunct w:val="0"/>
                    <w:bidi w:val="0"/>
                    <w:jc w:val="center"/>
                    <w:rPr>
                      <w:rFonts w:hint="default"/>
                      <w:color w:val="auto"/>
                      <w:lang w:val="en-US" w:eastAsia="en-US"/>
                    </w:rPr>
                  </w:pPr>
                  <w:r>
                    <w:rPr>
                      <w:rFonts w:hint="default"/>
                      <w:color w:val="auto"/>
                      <w:lang w:val="en-US" w:eastAsia="en-US"/>
                    </w:rPr>
                    <w:t>3</w:t>
                  </w:r>
                </w:p>
              </w:tc>
              <w:tc>
                <w:tcPr>
                  <w:tcW w:w="3214" w:type="dxa"/>
                  <w:vAlign w:val="center"/>
                </w:tcPr>
                <w:p w14:paraId="715E6DF9">
                  <w:pPr>
                    <w:pStyle w:val="22"/>
                    <w:keepNext w:val="0"/>
                    <w:keepLines/>
                    <w:pageBreakBefore w:val="0"/>
                    <w:widowControl/>
                    <w:kinsoku/>
                    <w:wordWrap/>
                    <w:overflowPunct/>
                    <w:topLinePunct w:val="0"/>
                    <w:bidi w:val="0"/>
                    <w:jc w:val="center"/>
                    <w:rPr>
                      <w:rFonts w:hint="default"/>
                      <w:color w:val="auto"/>
                      <w:lang w:val="en-US" w:eastAsia="en-US"/>
                    </w:rPr>
                  </w:pPr>
                  <w:r>
                    <w:rPr>
                      <w:rFonts w:hint="default"/>
                      <w:color w:val="auto"/>
                      <w:lang w:val="en-US" w:eastAsia="en-US"/>
                    </w:rPr>
                    <w:t>第四条项目取（蓄）水造成河、湖或水库水文情势改变且带来不利影响的，统筹考虑了上、下游河道水环境、水生生态、景观、湿地等生态用水及生产、生活用水需求，提出了优化取水方案、泄放生态流量、实施在线监控等措施。通过节水、置换等措施获得供水水量的，用水方式和规模具有环境合理性和可行性。采取上述措施后，未造成河道脱水，河道生态环境及生产、生活用水需求能够得到满足。</w:t>
                  </w:r>
                </w:p>
              </w:tc>
              <w:tc>
                <w:tcPr>
                  <w:tcW w:w="2484" w:type="dxa"/>
                  <w:vAlign w:val="center"/>
                </w:tcPr>
                <w:p w14:paraId="3B0AEEAB">
                  <w:pPr>
                    <w:pStyle w:val="22"/>
                    <w:keepNext w:val="0"/>
                    <w:keepLines/>
                    <w:pageBreakBefore w:val="0"/>
                    <w:widowControl/>
                    <w:kinsoku/>
                    <w:wordWrap/>
                    <w:overflowPunct/>
                    <w:topLinePunct w:val="0"/>
                    <w:bidi w:val="0"/>
                    <w:jc w:val="center"/>
                    <w:rPr>
                      <w:rFonts w:hint="default"/>
                      <w:color w:val="auto"/>
                      <w:lang w:val="en-US" w:eastAsia="en-US"/>
                    </w:rPr>
                  </w:pPr>
                  <w:r>
                    <w:rPr>
                      <w:rFonts w:hint="default"/>
                      <w:color w:val="auto"/>
                      <w:lang w:val="en-US" w:eastAsia="en-US"/>
                    </w:rPr>
                    <w:t>本项目为防渗渠</w:t>
                  </w:r>
                  <w:r>
                    <w:rPr>
                      <w:rFonts w:hint="eastAsia"/>
                      <w:color w:val="auto"/>
                      <w:lang w:val="en-US" w:eastAsia="zh-CN"/>
                    </w:rPr>
                    <w:t>新建及</w:t>
                  </w:r>
                  <w:r>
                    <w:rPr>
                      <w:rFonts w:hint="default"/>
                      <w:color w:val="auto"/>
                      <w:lang w:val="en-US" w:eastAsia="en-US"/>
                    </w:rPr>
                    <w:t>改建工程，工程实施不会改变水动力条件或水文过程，不改变其用地性质。</w:t>
                  </w:r>
                </w:p>
              </w:tc>
              <w:tc>
                <w:tcPr>
                  <w:tcW w:w="698" w:type="dxa"/>
                  <w:vAlign w:val="center"/>
                </w:tcPr>
                <w:p w14:paraId="0D9DECB7">
                  <w:pPr>
                    <w:pStyle w:val="22"/>
                    <w:keepNext w:val="0"/>
                    <w:keepLines/>
                    <w:pageBreakBefore w:val="0"/>
                    <w:widowControl/>
                    <w:kinsoku/>
                    <w:wordWrap/>
                    <w:overflowPunct/>
                    <w:topLinePunct w:val="0"/>
                    <w:bidi w:val="0"/>
                    <w:jc w:val="center"/>
                    <w:rPr>
                      <w:rFonts w:hint="eastAsia" w:eastAsia="宋体"/>
                      <w:color w:val="auto"/>
                      <w:lang w:val="en-US" w:eastAsia="zh-CN"/>
                    </w:rPr>
                  </w:pPr>
                  <w:r>
                    <w:rPr>
                      <w:rFonts w:hint="eastAsia"/>
                      <w:color w:val="auto"/>
                      <w:lang w:val="en-US" w:eastAsia="zh-CN"/>
                    </w:rPr>
                    <w:t>符合</w:t>
                  </w:r>
                </w:p>
              </w:tc>
            </w:tr>
            <w:tr w14:paraId="20575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vAlign w:val="center"/>
                </w:tcPr>
                <w:p w14:paraId="7CA927ED">
                  <w:pPr>
                    <w:pStyle w:val="22"/>
                    <w:keepNext w:val="0"/>
                    <w:keepLines/>
                    <w:pageBreakBefore w:val="0"/>
                    <w:widowControl/>
                    <w:kinsoku/>
                    <w:wordWrap/>
                    <w:overflowPunct/>
                    <w:topLinePunct w:val="0"/>
                    <w:bidi w:val="0"/>
                    <w:jc w:val="center"/>
                    <w:rPr>
                      <w:rFonts w:hint="eastAsia" w:eastAsia="宋体"/>
                      <w:color w:val="auto"/>
                      <w:lang w:val="en-US" w:eastAsia="zh-CN"/>
                    </w:rPr>
                  </w:pPr>
                  <w:r>
                    <w:rPr>
                      <w:rFonts w:hint="eastAsia"/>
                      <w:color w:val="auto"/>
                      <w:lang w:val="en-US" w:eastAsia="zh-CN"/>
                    </w:rPr>
                    <w:t>4</w:t>
                  </w:r>
                </w:p>
              </w:tc>
              <w:tc>
                <w:tcPr>
                  <w:tcW w:w="3214" w:type="dxa"/>
                  <w:vAlign w:val="center"/>
                </w:tcPr>
                <w:p w14:paraId="502F1A1C">
                  <w:pPr>
                    <w:pStyle w:val="22"/>
                    <w:keepNext w:val="0"/>
                    <w:keepLines/>
                    <w:pageBreakBefore w:val="0"/>
                    <w:widowControl/>
                    <w:kinsoku/>
                    <w:wordWrap/>
                    <w:overflowPunct/>
                    <w:topLinePunct w:val="0"/>
                    <w:bidi w:val="0"/>
                    <w:jc w:val="center"/>
                    <w:rPr>
                      <w:rFonts w:hint="default"/>
                      <w:color w:val="auto"/>
                      <w:lang w:val="en-US" w:eastAsia="en-US"/>
                    </w:rPr>
                  </w:pPr>
                  <w:r>
                    <w:rPr>
                      <w:rFonts w:hint="default"/>
                      <w:color w:val="auto"/>
                      <w:lang w:val="en-US" w:eastAsia="en-US"/>
                    </w:rPr>
                    <w:t>第五条项目取（蓄）水、输水或灌溉造成周边区域地下水位变化，引起土壤潜育化、沼泽化、盐碱化、沙化或植被退化演替等次生环境问题或造成居民水井、泉水位下降影响居民用水安全的，提出了优化取（蓄）水方案及灌溉方式、渠道防渗、截水导排、生态修复或保障居民供水等措施。灌区土壤存在重金属污染等威胁农产品质量安全问题的，按照土壤环境管理的有关要求，提出了农艺调控、种植结构优化、耕地污染修复、灌溉水源调整或休耕等措施。采取上述措施后，对地下水、土壤和植被的次生环境影响能够得到缓解和控制，居民用水和农产品质量安全能够得到保障。</w:t>
                  </w:r>
                </w:p>
              </w:tc>
              <w:tc>
                <w:tcPr>
                  <w:tcW w:w="2484" w:type="dxa"/>
                  <w:vAlign w:val="center"/>
                </w:tcPr>
                <w:p w14:paraId="19F59545">
                  <w:pPr>
                    <w:pStyle w:val="22"/>
                    <w:keepNext w:val="0"/>
                    <w:keepLines/>
                    <w:pageBreakBefore w:val="0"/>
                    <w:widowControl/>
                    <w:kinsoku/>
                    <w:wordWrap/>
                    <w:overflowPunct/>
                    <w:topLinePunct w:val="0"/>
                    <w:bidi w:val="0"/>
                    <w:jc w:val="center"/>
                    <w:rPr>
                      <w:rFonts w:hint="default"/>
                      <w:color w:val="auto"/>
                      <w:lang w:val="en-US" w:eastAsia="en-US"/>
                    </w:rPr>
                  </w:pPr>
                  <w:r>
                    <w:rPr>
                      <w:rFonts w:hint="default"/>
                      <w:color w:val="auto"/>
                      <w:lang w:val="en-US" w:eastAsia="en-US"/>
                    </w:rPr>
                    <w:t>本项目为防渗渠改建，项目的实施可减少沿渠水土流失，减少淤积灾害，有利于提高灌区的引水条件，提高输水效率；有效控制地下水位及土壤盐碱化程度。项目施工期避开暴雨洪水季节，项目区无鱼类等水生生物的洄游通道及“三场”等重要生境，项目建设 不会对物种多样性及资源量等产生不利影响。</w:t>
                  </w:r>
                </w:p>
              </w:tc>
              <w:tc>
                <w:tcPr>
                  <w:tcW w:w="698" w:type="dxa"/>
                  <w:vAlign w:val="center"/>
                </w:tcPr>
                <w:p w14:paraId="6898AD61">
                  <w:pPr>
                    <w:pStyle w:val="22"/>
                    <w:keepNext w:val="0"/>
                    <w:keepLines/>
                    <w:pageBreakBefore w:val="0"/>
                    <w:widowControl/>
                    <w:kinsoku/>
                    <w:wordWrap/>
                    <w:overflowPunct/>
                    <w:topLinePunct w:val="0"/>
                    <w:bidi w:val="0"/>
                    <w:jc w:val="center"/>
                    <w:rPr>
                      <w:rFonts w:hint="eastAsia" w:eastAsia="宋体"/>
                      <w:color w:val="auto"/>
                      <w:lang w:val="en-US" w:eastAsia="zh-CN"/>
                    </w:rPr>
                  </w:pPr>
                  <w:r>
                    <w:rPr>
                      <w:rFonts w:hint="eastAsia"/>
                      <w:color w:val="auto"/>
                      <w:lang w:val="en-US" w:eastAsia="zh-CN"/>
                    </w:rPr>
                    <w:t>符合</w:t>
                  </w:r>
                </w:p>
              </w:tc>
            </w:tr>
            <w:tr w14:paraId="652AD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vAlign w:val="center"/>
                </w:tcPr>
                <w:p w14:paraId="50F75354">
                  <w:pPr>
                    <w:pStyle w:val="22"/>
                    <w:keepNext w:val="0"/>
                    <w:keepLines/>
                    <w:pageBreakBefore w:val="0"/>
                    <w:widowControl/>
                    <w:kinsoku/>
                    <w:wordWrap/>
                    <w:overflowPunct/>
                    <w:topLinePunct w:val="0"/>
                    <w:bidi w:val="0"/>
                    <w:jc w:val="center"/>
                    <w:rPr>
                      <w:rFonts w:hint="eastAsia" w:eastAsia="宋体"/>
                      <w:color w:val="auto"/>
                      <w:lang w:val="en-US" w:eastAsia="zh-CN"/>
                    </w:rPr>
                  </w:pPr>
                  <w:r>
                    <w:rPr>
                      <w:rFonts w:hint="eastAsia"/>
                      <w:color w:val="auto"/>
                      <w:lang w:val="en-US" w:eastAsia="zh-CN"/>
                    </w:rPr>
                    <w:t>5</w:t>
                  </w:r>
                </w:p>
              </w:tc>
              <w:tc>
                <w:tcPr>
                  <w:tcW w:w="3214" w:type="dxa"/>
                  <w:vAlign w:val="center"/>
                </w:tcPr>
                <w:p w14:paraId="6BC10538">
                  <w:pPr>
                    <w:pStyle w:val="22"/>
                    <w:keepNext w:val="0"/>
                    <w:keepLines/>
                    <w:pageBreakBefore w:val="0"/>
                    <w:widowControl/>
                    <w:kinsoku/>
                    <w:wordWrap/>
                    <w:overflowPunct/>
                    <w:topLinePunct w:val="0"/>
                    <w:bidi w:val="0"/>
                    <w:jc w:val="center"/>
                    <w:rPr>
                      <w:rFonts w:hint="default"/>
                      <w:color w:val="auto"/>
                      <w:lang w:val="en-US" w:eastAsia="en-US"/>
                    </w:rPr>
                  </w:pPr>
                  <w:r>
                    <w:rPr>
                      <w:rFonts w:hint="default"/>
                      <w:color w:val="auto"/>
                      <w:lang w:val="en-US" w:eastAsia="en-US"/>
                    </w:rPr>
                    <w:t>第六条项目取（输）水水质、水温满足灌溉水质和农作物生长要求。项目灌区农药化肥施用以及灌溉退水等对水环境造成污染的，提出了测土配方施肥、水肥一体化、控制农药与化肥施用种类及数量，以及建设生态沟渠、人工湿地、污水净化塘等措施。</w:t>
                  </w:r>
                </w:p>
              </w:tc>
              <w:tc>
                <w:tcPr>
                  <w:tcW w:w="2484" w:type="dxa"/>
                  <w:vAlign w:val="center"/>
                </w:tcPr>
                <w:p w14:paraId="6DE9391A">
                  <w:pPr>
                    <w:pStyle w:val="22"/>
                    <w:keepNext w:val="0"/>
                    <w:keepLines/>
                    <w:pageBreakBefore w:val="0"/>
                    <w:widowControl/>
                    <w:kinsoku/>
                    <w:wordWrap/>
                    <w:overflowPunct/>
                    <w:topLinePunct w:val="0"/>
                    <w:bidi w:val="0"/>
                    <w:jc w:val="center"/>
                    <w:rPr>
                      <w:rFonts w:hint="default"/>
                      <w:color w:val="auto"/>
                      <w:lang w:val="en-US" w:eastAsia="en-US"/>
                    </w:rPr>
                  </w:pPr>
                  <w:r>
                    <w:rPr>
                      <w:rFonts w:hint="default"/>
                      <w:color w:val="auto"/>
                      <w:lang w:val="en-US" w:eastAsia="en-US"/>
                    </w:rPr>
                    <w:t>本项目为防渗渠改建工程，不涉及农药化肥的使用。</w:t>
                  </w:r>
                </w:p>
              </w:tc>
              <w:tc>
                <w:tcPr>
                  <w:tcW w:w="698" w:type="dxa"/>
                  <w:vAlign w:val="center"/>
                </w:tcPr>
                <w:p w14:paraId="435D1BAB">
                  <w:pPr>
                    <w:pStyle w:val="22"/>
                    <w:keepNext w:val="0"/>
                    <w:keepLines/>
                    <w:pageBreakBefore w:val="0"/>
                    <w:widowControl/>
                    <w:kinsoku/>
                    <w:wordWrap/>
                    <w:overflowPunct/>
                    <w:topLinePunct w:val="0"/>
                    <w:bidi w:val="0"/>
                    <w:jc w:val="center"/>
                    <w:rPr>
                      <w:rFonts w:hint="eastAsia" w:eastAsia="宋体"/>
                      <w:color w:val="auto"/>
                      <w:lang w:val="en-US" w:eastAsia="zh-CN"/>
                    </w:rPr>
                  </w:pPr>
                  <w:r>
                    <w:rPr>
                      <w:rFonts w:hint="eastAsia"/>
                      <w:color w:val="auto"/>
                      <w:lang w:val="en-US" w:eastAsia="zh-CN"/>
                    </w:rPr>
                    <w:t>符合</w:t>
                  </w:r>
                </w:p>
              </w:tc>
            </w:tr>
            <w:tr w14:paraId="4594E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vAlign w:val="center"/>
                </w:tcPr>
                <w:p w14:paraId="59EBA0A0">
                  <w:pPr>
                    <w:pStyle w:val="22"/>
                    <w:keepNext w:val="0"/>
                    <w:keepLines/>
                    <w:pageBreakBefore w:val="0"/>
                    <w:widowControl/>
                    <w:kinsoku/>
                    <w:wordWrap/>
                    <w:overflowPunct/>
                    <w:topLinePunct w:val="0"/>
                    <w:bidi w:val="0"/>
                    <w:jc w:val="center"/>
                    <w:rPr>
                      <w:rFonts w:hint="eastAsia" w:eastAsia="宋体"/>
                      <w:color w:val="auto"/>
                      <w:lang w:val="en-US" w:eastAsia="zh-CN"/>
                    </w:rPr>
                  </w:pPr>
                  <w:r>
                    <w:rPr>
                      <w:rFonts w:hint="eastAsia"/>
                      <w:color w:val="auto"/>
                      <w:lang w:val="en-US" w:eastAsia="zh-CN"/>
                    </w:rPr>
                    <w:t>6</w:t>
                  </w:r>
                </w:p>
              </w:tc>
              <w:tc>
                <w:tcPr>
                  <w:tcW w:w="3214" w:type="dxa"/>
                  <w:vAlign w:val="center"/>
                </w:tcPr>
                <w:p w14:paraId="28528AAA">
                  <w:pPr>
                    <w:pStyle w:val="22"/>
                    <w:keepNext w:val="0"/>
                    <w:keepLines/>
                    <w:pageBreakBefore w:val="0"/>
                    <w:widowControl/>
                    <w:kinsoku/>
                    <w:wordWrap/>
                    <w:overflowPunct/>
                    <w:topLinePunct w:val="0"/>
                    <w:bidi w:val="0"/>
                    <w:jc w:val="center"/>
                    <w:rPr>
                      <w:rFonts w:hint="default"/>
                      <w:color w:val="auto"/>
                      <w:lang w:val="en-US" w:eastAsia="en-US"/>
                    </w:rPr>
                  </w:pPr>
                  <w:r>
                    <w:rPr>
                      <w:rFonts w:hint="default"/>
                      <w:color w:val="auto"/>
                      <w:lang w:val="en-US" w:eastAsia="en-US"/>
                    </w:rPr>
                    <w:t>第七条项目对湿地、陆生生态系统及珍稀保护陆生动植物造成不利影响的，提出了优化工程设计、合理安排工期、建设或保留动物迁移通道、异地保护</w:t>
                  </w:r>
                  <w:r>
                    <w:rPr>
                      <w:rFonts w:hint="eastAsia"/>
                      <w:color w:val="auto"/>
                      <w:lang w:val="en-US" w:eastAsia="zh-CN"/>
                    </w:rPr>
                    <w:t>，就</w:t>
                  </w:r>
                  <w:r>
                    <w:rPr>
                      <w:rFonts w:hint="default"/>
                      <w:color w:val="auto"/>
                      <w:lang w:val="en-US" w:eastAsia="en-US"/>
                    </w:rPr>
                    <w:t>地保护、生态修复等措施。可能引起灌区及周边土地退化的，提出了轮作、休耕等措施。项目对水生生态系统及鱼类等造成不利影响的，提出了优化工程设计及调度、拦河闸坝建设过鱼设施、引水渠首设置拦鱼设施、栖息地保护修复、增殖放流等措施。项目对景观产生不利影响的，提出了避让、优化设计、景观塑造等措施。</w:t>
                  </w:r>
                </w:p>
              </w:tc>
              <w:tc>
                <w:tcPr>
                  <w:tcW w:w="2484" w:type="dxa"/>
                  <w:vAlign w:val="center"/>
                </w:tcPr>
                <w:p w14:paraId="79053FCB">
                  <w:pPr>
                    <w:pStyle w:val="22"/>
                    <w:keepNext w:val="0"/>
                    <w:keepLines/>
                    <w:pageBreakBefore w:val="0"/>
                    <w:widowControl/>
                    <w:kinsoku/>
                    <w:wordWrap/>
                    <w:overflowPunct/>
                    <w:topLinePunct w:val="0"/>
                    <w:bidi w:val="0"/>
                    <w:jc w:val="center"/>
                    <w:rPr>
                      <w:rFonts w:hint="default"/>
                      <w:color w:val="auto"/>
                      <w:lang w:val="en-US" w:eastAsia="en-US"/>
                    </w:rPr>
                  </w:pPr>
                  <w:r>
                    <w:rPr>
                      <w:rFonts w:hint="default"/>
                      <w:color w:val="auto"/>
                      <w:lang w:val="en-US" w:eastAsia="en-US"/>
                    </w:rPr>
                    <w:t>本项目为防渗渠</w:t>
                  </w:r>
                  <w:r>
                    <w:rPr>
                      <w:rFonts w:hint="eastAsia"/>
                      <w:color w:val="auto"/>
                      <w:lang w:val="en-US" w:eastAsia="zh-CN"/>
                    </w:rPr>
                    <w:t>新建及</w:t>
                  </w:r>
                  <w:r>
                    <w:rPr>
                      <w:rFonts w:hint="default"/>
                      <w:color w:val="auto"/>
                      <w:lang w:val="en-US" w:eastAsia="en-US"/>
                    </w:rPr>
                    <w:t>改建工程，</w:t>
                  </w:r>
                  <w:r>
                    <w:rPr>
                      <w:rFonts w:hint="default"/>
                      <w:color w:val="auto"/>
                      <w:highlight w:val="none"/>
                      <w:lang w:val="en-US" w:eastAsia="en-US"/>
                    </w:rPr>
                    <w:t>占地为水利设施用地和</w:t>
                  </w:r>
                  <w:r>
                    <w:rPr>
                      <w:rFonts w:hint="eastAsia"/>
                      <w:color w:val="auto"/>
                      <w:highlight w:val="none"/>
                      <w:lang w:val="en-US" w:eastAsia="zh-CN"/>
                    </w:rPr>
                    <w:t>裸土地</w:t>
                  </w:r>
                  <w:r>
                    <w:rPr>
                      <w:rFonts w:hint="default"/>
                      <w:color w:val="auto"/>
                      <w:highlight w:val="none"/>
                      <w:lang w:val="en-US" w:eastAsia="en-US"/>
                    </w:rPr>
                    <w:t>。本</w:t>
                  </w:r>
                  <w:r>
                    <w:rPr>
                      <w:rFonts w:hint="default"/>
                      <w:color w:val="auto"/>
                      <w:lang w:val="en-US" w:eastAsia="en-US"/>
                    </w:rPr>
                    <w:t>工程施工期间没有灌溉任务，不需要施工导流，施工产生的废水妥善处理，不外排，固体废物及时清运，妥善处置。项目施工期短，不会对周边生态造成不利影响。施工作业完成后对临时占地进行土地平整、植被恢复，项目对景观产生的影响较小。</w:t>
                  </w:r>
                </w:p>
              </w:tc>
              <w:tc>
                <w:tcPr>
                  <w:tcW w:w="698" w:type="dxa"/>
                  <w:vAlign w:val="center"/>
                </w:tcPr>
                <w:p w14:paraId="148633B2">
                  <w:pPr>
                    <w:pStyle w:val="22"/>
                    <w:keepNext w:val="0"/>
                    <w:keepLines/>
                    <w:pageBreakBefore w:val="0"/>
                    <w:widowControl/>
                    <w:kinsoku/>
                    <w:wordWrap/>
                    <w:overflowPunct/>
                    <w:topLinePunct w:val="0"/>
                    <w:bidi w:val="0"/>
                    <w:jc w:val="center"/>
                    <w:rPr>
                      <w:rFonts w:hint="eastAsia" w:eastAsia="宋体"/>
                      <w:color w:val="auto"/>
                      <w:lang w:val="en-US" w:eastAsia="zh-CN"/>
                    </w:rPr>
                  </w:pPr>
                  <w:r>
                    <w:rPr>
                      <w:rFonts w:hint="eastAsia"/>
                      <w:color w:val="auto"/>
                      <w:lang w:val="en-US" w:eastAsia="zh-CN"/>
                    </w:rPr>
                    <w:t>符合</w:t>
                  </w:r>
                </w:p>
              </w:tc>
            </w:tr>
            <w:tr w14:paraId="48802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vAlign w:val="center"/>
                </w:tcPr>
                <w:p w14:paraId="2D3E170D">
                  <w:pPr>
                    <w:pStyle w:val="22"/>
                    <w:keepNext w:val="0"/>
                    <w:keepLines/>
                    <w:pageBreakBefore w:val="0"/>
                    <w:widowControl/>
                    <w:kinsoku/>
                    <w:wordWrap/>
                    <w:overflowPunct/>
                    <w:topLinePunct w:val="0"/>
                    <w:bidi w:val="0"/>
                    <w:jc w:val="center"/>
                    <w:rPr>
                      <w:rFonts w:hint="eastAsia" w:eastAsia="宋体"/>
                      <w:color w:val="auto"/>
                      <w:lang w:val="en-US" w:eastAsia="zh-CN"/>
                    </w:rPr>
                  </w:pPr>
                  <w:r>
                    <w:rPr>
                      <w:rFonts w:hint="eastAsia"/>
                      <w:color w:val="auto"/>
                      <w:lang w:val="en-US" w:eastAsia="zh-CN"/>
                    </w:rPr>
                    <w:t>7</w:t>
                  </w:r>
                </w:p>
              </w:tc>
              <w:tc>
                <w:tcPr>
                  <w:tcW w:w="3214" w:type="dxa"/>
                  <w:vAlign w:val="center"/>
                </w:tcPr>
                <w:p w14:paraId="0F773643">
                  <w:pPr>
                    <w:pStyle w:val="22"/>
                    <w:keepNext w:val="0"/>
                    <w:keepLines/>
                    <w:pageBreakBefore w:val="0"/>
                    <w:widowControl/>
                    <w:kinsoku/>
                    <w:wordWrap/>
                    <w:overflowPunct/>
                    <w:topLinePunct w:val="0"/>
                    <w:bidi w:val="0"/>
                    <w:jc w:val="center"/>
                    <w:rPr>
                      <w:rFonts w:hint="default"/>
                      <w:color w:val="auto"/>
                      <w:lang w:val="en-US" w:eastAsia="en-US"/>
                    </w:rPr>
                  </w:pPr>
                  <w:r>
                    <w:rPr>
                      <w:rFonts w:hint="default"/>
                      <w:color w:val="auto"/>
                      <w:lang w:val="en-US" w:eastAsia="en-US"/>
                    </w:rPr>
                    <w:t>第八条项目移民安置、专业项目改复建等工程建设方式和选址具有环境合理性，提出了生态保护和污染防治措施。另行立项的，提出了单独开展环境影响评价要求。</w:t>
                  </w:r>
                </w:p>
              </w:tc>
              <w:tc>
                <w:tcPr>
                  <w:tcW w:w="2484" w:type="dxa"/>
                  <w:vAlign w:val="center"/>
                </w:tcPr>
                <w:p w14:paraId="277DF3C1">
                  <w:pPr>
                    <w:pStyle w:val="22"/>
                    <w:keepNext w:val="0"/>
                    <w:keepLines/>
                    <w:pageBreakBefore w:val="0"/>
                    <w:widowControl/>
                    <w:kinsoku/>
                    <w:wordWrap/>
                    <w:overflowPunct/>
                    <w:topLinePunct w:val="0"/>
                    <w:bidi w:val="0"/>
                    <w:jc w:val="center"/>
                    <w:rPr>
                      <w:rFonts w:hint="default"/>
                      <w:color w:val="auto"/>
                      <w:lang w:val="en-US" w:eastAsia="en-US"/>
                    </w:rPr>
                  </w:pPr>
                  <w:r>
                    <w:rPr>
                      <w:rFonts w:hint="default"/>
                      <w:color w:val="auto"/>
                      <w:lang w:val="en-US" w:eastAsia="en-US"/>
                    </w:rPr>
                    <w:t>本项目不涉及移民安置。</w:t>
                  </w:r>
                </w:p>
              </w:tc>
              <w:tc>
                <w:tcPr>
                  <w:tcW w:w="698" w:type="dxa"/>
                  <w:vAlign w:val="center"/>
                </w:tcPr>
                <w:p w14:paraId="62AE7420">
                  <w:pPr>
                    <w:pStyle w:val="22"/>
                    <w:keepNext w:val="0"/>
                    <w:keepLines/>
                    <w:pageBreakBefore w:val="0"/>
                    <w:widowControl/>
                    <w:kinsoku/>
                    <w:wordWrap/>
                    <w:overflowPunct/>
                    <w:topLinePunct w:val="0"/>
                    <w:bidi w:val="0"/>
                    <w:jc w:val="center"/>
                    <w:rPr>
                      <w:rFonts w:hint="eastAsia" w:eastAsia="宋体"/>
                      <w:color w:val="auto"/>
                      <w:lang w:val="en-US" w:eastAsia="zh-CN"/>
                    </w:rPr>
                  </w:pPr>
                  <w:r>
                    <w:rPr>
                      <w:rFonts w:hint="eastAsia"/>
                      <w:color w:val="auto"/>
                      <w:lang w:val="en-US" w:eastAsia="zh-CN"/>
                    </w:rPr>
                    <w:t>符合</w:t>
                  </w:r>
                </w:p>
              </w:tc>
            </w:tr>
            <w:tr w14:paraId="78C79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vAlign w:val="center"/>
                </w:tcPr>
                <w:p w14:paraId="1985BD46">
                  <w:pPr>
                    <w:pStyle w:val="22"/>
                    <w:keepNext w:val="0"/>
                    <w:keepLines/>
                    <w:pageBreakBefore w:val="0"/>
                    <w:widowControl/>
                    <w:kinsoku/>
                    <w:wordWrap/>
                    <w:overflowPunct/>
                    <w:topLinePunct w:val="0"/>
                    <w:bidi w:val="0"/>
                    <w:jc w:val="center"/>
                    <w:rPr>
                      <w:rFonts w:hint="default" w:eastAsia="宋体"/>
                      <w:color w:val="auto"/>
                      <w:lang w:val="en-US" w:eastAsia="zh-CN"/>
                    </w:rPr>
                  </w:pPr>
                  <w:r>
                    <w:rPr>
                      <w:rFonts w:hint="eastAsia"/>
                      <w:color w:val="auto"/>
                      <w:lang w:val="en-US" w:eastAsia="zh-CN"/>
                    </w:rPr>
                    <w:t>8</w:t>
                  </w:r>
                </w:p>
              </w:tc>
              <w:tc>
                <w:tcPr>
                  <w:tcW w:w="3214" w:type="dxa"/>
                  <w:vAlign w:val="center"/>
                </w:tcPr>
                <w:p w14:paraId="13F676E9">
                  <w:pPr>
                    <w:pStyle w:val="22"/>
                    <w:keepNext w:val="0"/>
                    <w:keepLines/>
                    <w:pageBreakBefore w:val="0"/>
                    <w:widowControl/>
                    <w:kinsoku/>
                    <w:wordWrap/>
                    <w:overflowPunct/>
                    <w:topLinePunct w:val="0"/>
                    <w:bidi w:val="0"/>
                    <w:jc w:val="center"/>
                    <w:rPr>
                      <w:rFonts w:hint="default"/>
                      <w:color w:val="auto"/>
                      <w:lang w:val="en-US" w:eastAsia="en-US"/>
                    </w:rPr>
                  </w:pPr>
                  <w:r>
                    <w:rPr>
                      <w:rFonts w:hint="default"/>
                      <w:color w:val="auto"/>
                      <w:lang w:val="en-US" w:eastAsia="en-US"/>
                    </w:rPr>
                    <w:t>第九条 项目施工组织方案具有环境合理性，对主体工程区、料场、弃土（渣）场、施工道路等施工区域提出了水土流失防治、生态修复等措施。根据环境保护相关标准和要求，提出了施工期废（污）水、施工机械车辆尾气、扬尘、噪声、固体废物等防治措施。</w:t>
                  </w:r>
                </w:p>
              </w:tc>
              <w:tc>
                <w:tcPr>
                  <w:tcW w:w="2484" w:type="dxa"/>
                  <w:vAlign w:val="center"/>
                </w:tcPr>
                <w:p w14:paraId="1450BEC1">
                  <w:pPr>
                    <w:pStyle w:val="22"/>
                    <w:keepNext w:val="0"/>
                    <w:keepLines/>
                    <w:pageBreakBefore w:val="0"/>
                    <w:widowControl/>
                    <w:kinsoku/>
                    <w:wordWrap/>
                    <w:overflowPunct/>
                    <w:topLinePunct w:val="0"/>
                    <w:bidi w:val="0"/>
                    <w:jc w:val="center"/>
                    <w:rPr>
                      <w:rFonts w:hint="default"/>
                      <w:color w:val="auto"/>
                      <w:lang w:val="en-US" w:eastAsia="en-US"/>
                    </w:rPr>
                  </w:pPr>
                  <w:r>
                    <w:rPr>
                      <w:rFonts w:hint="default"/>
                      <w:color w:val="auto"/>
                      <w:lang w:val="en-US" w:eastAsia="en-US"/>
                    </w:rPr>
                    <w:t>项目施工扬尘采取洒水抑尘、分段施工、进出场车辆苫盖</w:t>
                  </w:r>
                  <w:r>
                    <w:rPr>
                      <w:rFonts w:hint="eastAsia"/>
                      <w:color w:val="auto"/>
                      <w:lang w:val="en-US" w:eastAsia="zh-CN"/>
                    </w:rPr>
                    <w:t>等措施；</w:t>
                  </w:r>
                  <w:r>
                    <w:rPr>
                      <w:rFonts w:hint="default"/>
                      <w:color w:val="auto"/>
                      <w:lang w:val="en-US" w:eastAsia="en-US"/>
                    </w:rPr>
                    <w:t>选择符合排放标准的施工机械，加强车辆及机械设备维护保养，减少尾气排放</w:t>
                  </w:r>
                  <w:r>
                    <w:rPr>
                      <w:rFonts w:hint="default"/>
                      <w:color w:val="auto"/>
                      <w:highlight w:val="none"/>
                      <w:lang w:val="en-US" w:eastAsia="en-US"/>
                    </w:rPr>
                    <w:t>；</w:t>
                  </w:r>
                  <w:r>
                    <w:rPr>
                      <w:rFonts w:hint="eastAsia"/>
                      <w:color w:val="auto"/>
                      <w:highlight w:val="none"/>
                      <w:lang w:val="en-US" w:eastAsia="zh-CN"/>
                    </w:rPr>
                    <w:t>临时拌和机</w:t>
                  </w:r>
                  <w:r>
                    <w:rPr>
                      <w:rFonts w:hint="default"/>
                      <w:color w:val="auto"/>
                      <w:highlight w:val="none"/>
                      <w:lang w:val="en-US" w:eastAsia="en-US"/>
                    </w:rPr>
                    <w:t>的骨料仓封闭，砂石骨料定期洒水润湿，上料过程产生的粉尘采用仓顶自带袋式除尘器除尘后</w:t>
                  </w:r>
                  <w:r>
                    <w:rPr>
                      <w:rFonts w:hint="eastAsia"/>
                      <w:color w:val="auto"/>
                      <w:highlight w:val="none"/>
                      <w:lang w:val="en-US" w:eastAsia="zh-CN"/>
                    </w:rPr>
                    <w:t>有组织</w:t>
                  </w:r>
                  <w:r>
                    <w:rPr>
                      <w:rFonts w:hint="default"/>
                      <w:color w:val="auto"/>
                      <w:highlight w:val="none"/>
                      <w:lang w:val="en-US" w:eastAsia="en-US"/>
                    </w:rPr>
                    <w:t>排放。</w:t>
                  </w:r>
                  <w:r>
                    <w:rPr>
                      <w:rFonts w:hint="default"/>
                      <w:color w:val="auto"/>
                      <w:lang w:val="en-US" w:eastAsia="en-US"/>
                    </w:rPr>
                    <w:t>施工人员的生活污水依托村镇民房已建污水管道排入村镇污水处理设施处理；施工区设立</w:t>
                  </w:r>
                  <w:r>
                    <w:rPr>
                      <w:rFonts w:hint="eastAsia"/>
                      <w:color w:val="auto"/>
                      <w:lang w:val="en-US" w:eastAsia="zh-CN"/>
                    </w:rPr>
                    <w:t>的移动</w:t>
                  </w:r>
                  <w:r>
                    <w:rPr>
                      <w:rFonts w:hint="default"/>
                      <w:color w:val="auto"/>
                      <w:lang w:val="en-US" w:eastAsia="en-US"/>
                    </w:rPr>
                    <w:t>环保厕所产生的粪便污水，定时清运至村镇污水处理设施处理；施工期的设备冲洗废水经沉淀池沉淀后用于施工区泼洒抑尘。噪声采取加强管理、优化施工方案、采用低噪声设备，避免高噪声设备夜间施工等措施。建筑垃圾、渠道建筑物拆除物能回收利用的尽可能回收利用，不能回收利用的建筑垃圾和沉淀池泥沙运往就近的建筑垃圾填埋场处置；弃方就近堆放在渠道两侧，施工完毕后用于项目区渠堤培高；施工人员所产生的生活垃圾收集后由环卫部门统一清运至奇台县生活垃圾填埋场填埋处理。在采取上述措施后，施工期的不利环境影响能够得到缓解和控制，对周围环境和敏感保护目标造成的影响较小。</w:t>
                  </w:r>
                </w:p>
              </w:tc>
              <w:tc>
                <w:tcPr>
                  <w:tcW w:w="698" w:type="dxa"/>
                  <w:vAlign w:val="center"/>
                </w:tcPr>
                <w:p w14:paraId="5C369B17">
                  <w:pPr>
                    <w:pStyle w:val="22"/>
                    <w:keepNext w:val="0"/>
                    <w:keepLines/>
                    <w:pageBreakBefore w:val="0"/>
                    <w:widowControl/>
                    <w:kinsoku/>
                    <w:wordWrap/>
                    <w:overflowPunct/>
                    <w:topLinePunct w:val="0"/>
                    <w:bidi w:val="0"/>
                    <w:jc w:val="center"/>
                    <w:rPr>
                      <w:rFonts w:hint="eastAsia" w:eastAsia="宋体"/>
                      <w:color w:val="auto"/>
                      <w:lang w:val="en-US" w:eastAsia="zh-CN"/>
                    </w:rPr>
                  </w:pPr>
                  <w:r>
                    <w:rPr>
                      <w:rFonts w:hint="eastAsia"/>
                      <w:color w:val="auto"/>
                      <w:lang w:val="en-US" w:eastAsia="zh-CN"/>
                    </w:rPr>
                    <w:t>符合</w:t>
                  </w:r>
                </w:p>
              </w:tc>
            </w:tr>
            <w:tr w14:paraId="54EF2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vAlign w:val="center"/>
                </w:tcPr>
                <w:p w14:paraId="541BDB68">
                  <w:pPr>
                    <w:pStyle w:val="22"/>
                    <w:keepNext w:val="0"/>
                    <w:keepLines/>
                    <w:pageBreakBefore w:val="0"/>
                    <w:widowControl/>
                    <w:kinsoku/>
                    <w:wordWrap/>
                    <w:overflowPunct/>
                    <w:topLinePunct w:val="0"/>
                    <w:bidi w:val="0"/>
                    <w:jc w:val="center"/>
                    <w:rPr>
                      <w:rFonts w:hint="eastAsia" w:eastAsia="宋体"/>
                      <w:color w:val="auto"/>
                      <w:lang w:val="en-US" w:eastAsia="zh-CN"/>
                    </w:rPr>
                  </w:pPr>
                  <w:r>
                    <w:rPr>
                      <w:rFonts w:hint="eastAsia"/>
                      <w:color w:val="auto"/>
                      <w:lang w:val="en-US" w:eastAsia="zh-CN"/>
                    </w:rPr>
                    <w:t>9</w:t>
                  </w:r>
                </w:p>
              </w:tc>
              <w:tc>
                <w:tcPr>
                  <w:tcW w:w="3214" w:type="dxa"/>
                  <w:vAlign w:val="center"/>
                </w:tcPr>
                <w:p w14:paraId="59A50186">
                  <w:pPr>
                    <w:pStyle w:val="22"/>
                    <w:keepNext w:val="0"/>
                    <w:keepLines/>
                    <w:pageBreakBefore w:val="0"/>
                    <w:widowControl/>
                    <w:kinsoku/>
                    <w:wordWrap/>
                    <w:overflowPunct/>
                    <w:topLinePunct w:val="0"/>
                    <w:bidi w:val="0"/>
                    <w:jc w:val="center"/>
                    <w:rPr>
                      <w:rFonts w:hint="default"/>
                      <w:color w:val="auto"/>
                      <w:lang w:val="en-US" w:eastAsia="en-US"/>
                    </w:rPr>
                  </w:pPr>
                  <w:r>
                    <w:rPr>
                      <w:rFonts w:hint="default"/>
                      <w:color w:val="auto"/>
                      <w:lang w:val="en-US" w:eastAsia="en-US"/>
                    </w:rPr>
                    <w:t>第十条项目存在外来物种入侵以及灌溉水质污染等环境风险的，提出了针对性的环境风险防范措施以及环境应急预案编制、建立必要的应急联动机制等要求。</w:t>
                  </w:r>
                </w:p>
              </w:tc>
              <w:tc>
                <w:tcPr>
                  <w:tcW w:w="2484" w:type="dxa"/>
                  <w:vAlign w:val="center"/>
                </w:tcPr>
                <w:p w14:paraId="3616EED6">
                  <w:pPr>
                    <w:pStyle w:val="22"/>
                    <w:keepNext w:val="0"/>
                    <w:keepLines/>
                    <w:pageBreakBefore w:val="0"/>
                    <w:widowControl/>
                    <w:kinsoku/>
                    <w:wordWrap/>
                    <w:overflowPunct/>
                    <w:topLinePunct w:val="0"/>
                    <w:bidi w:val="0"/>
                    <w:jc w:val="center"/>
                    <w:rPr>
                      <w:rFonts w:hint="default"/>
                      <w:color w:val="auto"/>
                      <w:lang w:val="en-US" w:eastAsia="en-US"/>
                    </w:rPr>
                  </w:pPr>
                  <w:r>
                    <w:rPr>
                      <w:rFonts w:hint="default"/>
                      <w:color w:val="auto"/>
                      <w:lang w:val="en-US" w:eastAsia="en-US"/>
                    </w:rPr>
                    <w:t>项目运营期不产生污染物，不会对河流水质产生污染、富营养化和外来物种入侵。</w:t>
                  </w:r>
                </w:p>
              </w:tc>
              <w:tc>
                <w:tcPr>
                  <w:tcW w:w="698" w:type="dxa"/>
                  <w:vAlign w:val="center"/>
                </w:tcPr>
                <w:p w14:paraId="4F9E17E3">
                  <w:pPr>
                    <w:pStyle w:val="22"/>
                    <w:keepNext w:val="0"/>
                    <w:keepLines/>
                    <w:pageBreakBefore w:val="0"/>
                    <w:widowControl/>
                    <w:kinsoku/>
                    <w:wordWrap/>
                    <w:overflowPunct/>
                    <w:topLinePunct w:val="0"/>
                    <w:bidi w:val="0"/>
                    <w:jc w:val="center"/>
                    <w:rPr>
                      <w:rFonts w:hint="eastAsia" w:eastAsia="宋体"/>
                      <w:color w:val="auto"/>
                      <w:lang w:val="en-US" w:eastAsia="zh-CN"/>
                    </w:rPr>
                  </w:pPr>
                  <w:r>
                    <w:rPr>
                      <w:rFonts w:hint="eastAsia"/>
                      <w:color w:val="auto"/>
                      <w:lang w:val="en-US" w:eastAsia="zh-CN"/>
                    </w:rPr>
                    <w:t>符合</w:t>
                  </w:r>
                </w:p>
              </w:tc>
            </w:tr>
            <w:tr w14:paraId="70C0D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vAlign w:val="center"/>
                </w:tcPr>
                <w:p w14:paraId="0741C109">
                  <w:pPr>
                    <w:pStyle w:val="22"/>
                    <w:keepNext w:val="0"/>
                    <w:keepLines/>
                    <w:pageBreakBefore w:val="0"/>
                    <w:widowControl/>
                    <w:kinsoku/>
                    <w:wordWrap/>
                    <w:overflowPunct/>
                    <w:topLinePunct w:val="0"/>
                    <w:bidi w:val="0"/>
                    <w:jc w:val="center"/>
                    <w:rPr>
                      <w:rFonts w:hint="default"/>
                      <w:color w:val="auto"/>
                      <w:lang w:val="en-US" w:eastAsia="zh-CN"/>
                    </w:rPr>
                  </w:pPr>
                  <w:r>
                    <w:rPr>
                      <w:rFonts w:hint="eastAsia"/>
                      <w:color w:val="auto"/>
                      <w:lang w:val="en-US" w:eastAsia="zh-CN"/>
                    </w:rPr>
                    <w:t>10</w:t>
                  </w:r>
                </w:p>
              </w:tc>
              <w:tc>
                <w:tcPr>
                  <w:tcW w:w="3214" w:type="dxa"/>
                  <w:vAlign w:val="center"/>
                </w:tcPr>
                <w:p w14:paraId="6930F2F7">
                  <w:pPr>
                    <w:pStyle w:val="22"/>
                    <w:keepNext w:val="0"/>
                    <w:keepLines/>
                    <w:pageBreakBefore w:val="0"/>
                    <w:widowControl/>
                    <w:kinsoku/>
                    <w:wordWrap/>
                    <w:overflowPunct/>
                    <w:topLinePunct w:val="0"/>
                    <w:bidi w:val="0"/>
                    <w:jc w:val="center"/>
                    <w:rPr>
                      <w:rFonts w:hint="default"/>
                      <w:color w:val="auto"/>
                      <w:lang w:val="en-US" w:eastAsia="en-US"/>
                    </w:rPr>
                  </w:pPr>
                  <w:r>
                    <w:rPr>
                      <w:rFonts w:hint="default"/>
                      <w:color w:val="auto"/>
                      <w:lang w:val="en-US" w:eastAsia="en-US"/>
                    </w:rPr>
                    <w:t>第十一条改、扩建或依托现有工程的项目，在全面梳理与项目有关的现有工程环境问题的基础上，提出了与项目相适应的“以新带老”措施。</w:t>
                  </w:r>
                </w:p>
              </w:tc>
              <w:tc>
                <w:tcPr>
                  <w:tcW w:w="2484" w:type="dxa"/>
                  <w:vAlign w:val="center"/>
                </w:tcPr>
                <w:p w14:paraId="02E6F27F">
                  <w:pPr>
                    <w:pStyle w:val="22"/>
                    <w:keepNext w:val="0"/>
                    <w:keepLines/>
                    <w:pageBreakBefore w:val="0"/>
                    <w:widowControl/>
                    <w:kinsoku/>
                    <w:wordWrap/>
                    <w:overflowPunct/>
                    <w:topLinePunct w:val="0"/>
                    <w:bidi w:val="0"/>
                    <w:jc w:val="center"/>
                    <w:rPr>
                      <w:rFonts w:hint="default"/>
                      <w:color w:val="auto"/>
                      <w:lang w:val="en-US" w:eastAsia="en-US"/>
                    </w:rPr>
                  </w:pPr>
                  <w:r>
                    <w:rPr>
                      <w:rFonts w:hint="default"/>
                      <w:color w:val="auto"/>
                      <w:highlight w:val="none"/>
                      <w:lang w:val="en-US" w:eastAsia="en-US"/>
                    </w:rPr>
                    <w:t>项目原有渠道未进行防渗，灌区水利用系数总体偏低，水资源浪费严重，且易对支渠、斗渠造成淤积危害，导致渠道翻水、淤积的现象</w:t>
                  </w:r>
                  <w:r>
                    <w:rPr>
                      <w:rFonts w:hint="eastAsia"/>
                      <w:color w:val="auto"/>
                      <w:highlight w:val="none"/>
                      <w:lang w:val="en-US" w:eastAsia="zh-CN"/>
                    </w:rPr>
                    <w:t>经常发生</w:t>
                  </w:r>
                  <w:r>
                    <w:rPr>
                      <w:rFonts w:hint="default"/>
                      <w:color w:val="auto"/>
                      <w:highlight w:val="none"/>
                      <w:lang w:val="en-US" w:eastAsia="en-US"/>
                    </w:rPr>
                    <w:t>。现对本项目渠道进行防渗</w:t>
                  </w:r>
                  <w:r>
                    <w:rPr>
                      <w:rFonts w:hint="eastAsia"/>
                      <w:color w:val="auto"/>
                      <w:highlight w:val="none"/>
                      <w:lang w:val="en-US" w:eastAsia="zh-CN"/>
                    </w:rPr>
                    <w:t>新建及</w:t>
                  </w:r>
                  <w:r>
                    <w:rPr>
                      <w:rFonts w:hint="default"/>
                      <w:color w:val="auto"/>
                      <w:highlight w:val="none"/>
                      <w:lang w:val="en-US" w:eastAsia="en-US"/>
                    </w:rPr>
                    <w:t>改建，提高水资源的利用率，减少渠道损失水量。</w:t>
                  </w:r>
                </w:p>
              </w:tc>
              <w:tc>
                <w:tcPr>
                  <w:tcW w:w="698" w:type="dxa"/>
                  <w:vAlign w:val="center"/>
                </w:tcPr>
                <w:p w14:paraId="53E3132E">
                  <w:pPr>
                    <w:pStyle w:val="22"/>
                    <w:keepNext w:val="0"/>
                    <w:keepLines/>
                    <w:pageBreakBefore w:val="0"/>
                    <w:widowControl/>
                    <w:kinsoku/>
                    <w:wordWrap/>
                    <w:overflowPunct/>
                    <w:topLinePunct w:val="0"/>
                    <w:bidi w:val="0"/>
                    <w:jc w:val="center"/>
                    <w:rPr>
                      <w:rFonts w:hint="default"/>
                      <w:color w:val="auto"/>
                      <w:lang w:val="en-US" w:eastAsia="en-US"/>
                    </w:rPr>
                  </w:pPr>
                  <w:r>
                    <w:rPr>
                      <w:rFonts w:hint="default"/>
                      <w:color w:val="auto"/>
                      <w:lang w:val="en-US" w:eastAsia="en-US"/>
                    </w:rPr>
                    <w:t>符合</w:t>
                  </w:r>
                </w:p>
              </w:tc>
            </w:tr>
          </w:tbl>
          <w:p w14:paraId="72323589">
            <w:pPr>
              <w:keepNext w:val="0"/>
              <w:keepLines/>
              <w:pageBreakBefore w:val="0"/>
              <w:widowControl/>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eastAsia="en-US"/>
              </w:rPr>
            </w:pPr>
            <w:r>
              <w:rPr>
                <w:rFonts w:hint="default" w:ascii="Times New Roman" w:hAnsi="Times New Roman" w:eastAsia="宋体" w:cs="Times New Roman"/>
                <w:color w:val="auto"/>
                <w:kern w:val="0"/>
                <w:sz w:val="24"/>
                <w:szCs w:val="24"/>
                <w:highlight w:val="none"/>
                <w:lang w:val="en-US" w:eastAsia="en-US"/>
              </w:rPr>
              <w:t>由上表可知，本项目符合《水利建设项目（灌区工程）环境影响评价文件审批原则（试行）》的相关要求。</w:t>
            </w:r>
          </w:p>
          <w:p w14:paraId="08246CCB">
            <w:pPr>
              <w:keepNext w:val="0"/>
              <w:keepLines/>
              <w:pageBreakBefore w:val="0"/>
              <w:widowControl/>
              <w:numPr>
                <w:ilvl w:val="0"/>
                <w:numId w:val="2"/>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与《新疆维吾尔自治区大气污染防治条例》相关政策符合性分析</w:t>
            </w:r>
          </w:p>
          <w:p w14:paraId="4F9F8F52">
            <w:pPr>
              <w:keepNext w:val="0"/>
              <w:keepLines/>
              <w:pageBreakBefore w:val="0"/>
              <w:widowControl/>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根据《新疆维吾尔自治区大气污染防治条例》要求，各级人民政府应当转变经济发展方式，调整优化</w:t>
            </w:r>
            <w:r>
              <w:rPr>
                <w:rFonts w:hint="eastAsia" w:cs="Times New Roman"/>
                <w:color w:val="auto"/>
                <w:kern w:val="0"/>
                <w:sz w:val="24"/>
                <w:szCs w:val="24"/>
                <w:highlight w:val="none"/>
                <w:lang w:val="en-US" w:eastAsia="zh-CN"/>
              </w:rPr>
              <w:t>产业结构、能源结构、交通运输结构</w:t>
            </w:r>
            <w:r>
              <w:rPr>
                <w:rFonts w:hint="default" w:ascii="Times New Roman" w:hAnsi="Times New Roman" w:eastAsia="宋体" w:cs="Times New Roman"/>
                <w:color w:val="auto"/>
                <w:kern w:val="0"/>
                <w:sz w:val="24"/>
                <w:szCs w:val="24"/>
                <w:highlight w:val="none"/>
                <w:lang w:val="en-US" w:eastAsia="zh-CN"/>
              </w:rPr>
              <w:t>和用地结构，推进循环经济和清洁生产，从源头上减少大气污染物的产生和排放。未达到国家大气环境质量标准的城市人民政府应当按照国家和自治区大气污染防治目标要求，及时编制大气环境质量限期达标规划，并制定大气污染防治年度实施计划，采取严格的大气污染控制措施，确保按期达到大气环境质量标准。自治区人民政府按照国家规定，控制或者削减自治区的重点大气污染物排放总量。自治区人民政府可以根据大气环境质量状况和大气污染防治工作需要，对国家重点大气污染物之外的其他大气污染物排放实行总量控制或者削减。</w:t>
            </w:r>
          </w:p>
          <w:p w14:paraId="6A573D7E">
            <w:pPr>
              <w:keepNext w:val="0"/>
              <w:keepLines/>
              <w:pageBreakBefore w:val="0"/>
              <w:widowControl/>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推进城市建成区、工业园区实行集中供热，使用清洁燃料。在集中供热管网覆盖区域内，禁止新建、改建、扩建燃煤供热锅炉。禁止在自治区行政区域内引进能（水）耗不符合相关国家标准中准入值要求且污染物排放和环境风险防控不符合国家（地方）标准及有关产业准入条件的高污染（排放）、高能（水）耗、高环境风险的工业项目。禁止新建、改建、扩建列入淘汰类目录的高污染工业项目。禁止使用列入淘汰类目录的工艺、设备、产品。产生含挥发性有机物废气的生产和服务活动，应当按照国家规定在密闭空间或者设备中进行，并安装、使用污染防治设施。向大气排放恶臭气体的排污单位、垃圾处置场、污水处理厂，应当设置合理的防护距离，安装净化装置或者采取其他措施，防止恶臭气体排放。</w:t>
            </w:r>
          </w:p>
          <w:p w14:paraId="1AB371FB">
            <w:pPr>
              <w:keepNext w:val="0"/>
              <w:keepLines/>
              <w:pageBreakBefore w:val="0"/>
              <w:widowControl/>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本项目为防渗渠改建工程，项目建成后不产生废水、废气固废等污染物，不属于高能耗、高污染的项目。项目的实施有利于改善项目区环境，减少沿渠水土流失，减少淤积灾害，有利于提高灌区的引水条件，提高输水效率；过水能力和抗冲能力有效提高，保障沿渠农田、道路和公共设施的安全运行；有效控制地下水位及土壤盐碱化程度；沿渠绿化带的建设能美化周围环境，改善当地景观。因此本项目符合《新疆维吾尔自治区大气污染防治条例》要求。</w:t>
            </w:r>
          </w:p>
          <w:p w14:paraId="1B186676">
            <w:pPr>
              <w:keepNext w:val="0"/>
              <w:keepLines/>
              <w:pageBreakBefore w:val="0"/>
              <w:widowControl/>
              <w:numPr>
                <w:ilvl w:val="0"/>
                <w:numId w:val="2"/>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《自然资源部关于规范临时用地管理的通知》自然资规</w:t>
            </w:r>
            <w:r>
              <w:rPr>
                <w:rFonts w:hint="eastAsia" w:cs="Times New Roman"/>
                <w:b/>
                <w:bCs/>
                <w:color w:val="auto"/>
                <w:kern w:val="0"/>
                <w:sz w:val="24"/>
                <w:szCs w:val="24"/>
                <w:highlight w:val="none"/>
                <w:lang w:val="en-US" w:eastAsia="zh-CN"/>
              </w:rPr>
              <w:t>〔2021〕2号</w:t>
            </w:r>
            <w:r>
              <w:rPr>
                <w:rFonts w:hint="default" w:ascii="Times New Roman" w:hAnsi="Times New Roman" w:eastAsia="宋体" w:cs="Times New Roman"/>
                <w:b/>
                <w:bCs/>
                <w:color w:val="auto"/>
                <w:kern w:val="0"/>
                <w:sz w:val="24"/>
                <w:szCs w:val="24"/>
                <w:highlight w:val="none"/>
                <w:lang w:val="en-US" w:eastAsia="zh-CN"/>
              </w:rPr>
              <w:t>）符合性分析</w:t>
            </w:r>
          </w:p>
          <w:p w14:paraId="610EA038">
            <w:pPr>
              <w:pStyle w:val="4"/>
              <w:keepNext w:val="0"/>
              <w:keepLines/>
              <w:pageBreakBefore w:val="0"/>
              <w:widowControl/>
              <w:numPr>
                <w:ilvl w:val="2"/>
                <w:numId w:val="0"/>
              </w:numPr>
              <w:kinsoku/>
              <w:wordWrap/>
              <w:overflowPunct/>
              <w:topLinePunct w:val="0"/>
              <w:autoSpaceDE/>
              <w:autoSpaceDN/>
              <w:bidi w:val="0"/>
              <w:adjustRightInd w:val="0"/>
              <w:snapToGrid w:val="0"/>
              <w:spacing w:before="0" w:beforeLines="-2147483648" w:beforeAutospacing="0" w:after="0" w:afterLines="-2147483648" w:afterAutospacing="0" w:line="360" w:lineRule="auto"/>
              <w:ind w:leftChars="0"/>
              <w:jc w:val="center"/>
              <w:textAlignment w:val="auto"/>
              <w:outlineLvl w:val="9"/>
              <w:rPr>
                <w:rFonts w:hint="default" w:ascii="Times New Roman" w:hAnsi="Times New Roman" w:eastAsia="宋体" w:cs="Times New Roman"/>
                <w:color w:val="auto"/>
                <w:kern w:val="0"/>
                <w:sz w:val="24"/>
                <w:szCs w:val="24"/>
                <w:highlight w:val="none"/>
                <w:vertAlign w:val="baseline"/>
                <w:lang w:val="en-US" w:eastAsia="zh-CN"/>
              </w:rPr>
            </w:pPr>
            <w:r>
              <w:rPr>
                <w:rFonts w:hint="eastAsia" w:ascii="Times New Roman" w:hAnsi="Times New Roman" w:eastAsia="宋体" w:cs="Times New Roman"/>
                <w:color w:val="auto"/>
                <w:kern w:val="0"/>
                <w:sz w:val="24"/>
                <w:szCs w:val="24"/>
                <w:highlight w:val="none"/>
                <w:vertAlign w:val="baseline"/>
                <w:lang w:val="en-US" w:eastAsia="zh-CN"/>
              </w:rPr>
              <w:t>表1-5</w:t>
            </w:r>
            <w:r>
              <w:rPr>
                <w:rFonts w:hint="default" w:ascii="Times New Roman" w:hAnsi="Times New Roman" w:eastAsia="宋体" w:cs="Times New Roman"/>
                <w:color w:val="auto"/>
                <w:kern w:val="0"/>
                <w:sz w:val="24"/>
                <w:szCs w:val="24"/>
                <w:highlight w:val="none"/>
                <w:vertAlign w:val="baseline"/>
                <w:lang w:val="en-US" w:eastAsia="zh-CN"/>
              </w:rPr>
              <w:t>《自然资源部关于规范临时用地管理的通知》（自然资规</w:t>
            </w:r>
            <w:r>
              <w:rPr>
                <w:rFonts w:hint="eastAsia" w:cs="Times New Roman"/>
                <w:color w:val="auto"/>
                <w:kern w:val="0"/>
                <w:sz w:val="24"/>
                <w:szCs w:val="24"/>
                <w:highlight w:val="none"/>
                <w:vertAlign w:val="baseline"/>
                <w:lang w:val="en-US" w:eastAsia="zh-CN"/>
              </w:rPr>
              <w:t>〔2021〕2号</w:t>
            </w:r>
            <w:r>
              <w:rPr>
                <w:rFonts w:hint="default" w:ascii="Times New Roman" w:hAnsi="Times New Roman" w:eastAsia="宋体" w:cs="Times New Roman"/>
                <w:color w:val="auto"/>
                <w:kern w:val="0"/>
                <w:sz w:val="24"/>
                <w:szCs w:val="24"/>
                <w:highlight w:val="none"/>
                <w:vertAlign w:val="baseline"/>
                <w:lang w:val="en-US" w:eastAsia="zh-CN"/>
              </w:rPr>
              <w:t>符合性分析表</w:t>
            </w:r>
          </w:p>
          <w:tbl>
            <w:tblPr>
              <w:tblStyle w:val="3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1"/>
              <w:gridCol w:w="1889"/>
              <w:gridCol w:w="968"/>
            </w:tblGrid>
            <w:tr w14:paraId="1AA6C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3" w:type="pct"/>
                  <w:vAlign w:val="center"/>
                </w:tcPr>
                <w:p w14:paraId="4DFFFD9B">
                  <w:pPr>
                    <w:pStyle w:val="16"/>
                    <w:keepNext w:val="0"/>
                    <w:keepLines/>
                    <w:pageBreakBefore w:val="0"/>
                    <w:widowControl/>
                    <w:kinsoku/>
                    <w:wordWrap/>
                    <w:overflowPunct/>
                    <w:topLinePunct w:val="0"/>
                    <w:autoSpaceDE/>
                    <w:autoSpaceDN/>
                    <w:bidi w:val="0"/>
                    <w:adjustRightInd w:val="0"/>
                    <w:snapToGrid w:val="0"/>
                    <w:spacing w:after="0" w:line="240" w:lineRule="auto"/>
                    <w:ind w:left="0" w:leftChars="0" w:right="0" w:rightChars="0"/>
                    <w:jc w:val="center"/>
                    <w:textAlignment w:val="auto"/>
                    <w:rPr>
                      <w:color w:val="auto"/>
                      <w:vertAlign w:val="baseline"/>
                    </w:rPr>
                  </w:pPr>
                  <w:r>
                    <w:rPr>
                      <w:rFonts w:hint="eastAsia"/>
                      <w:b/>
                      <w:bCs/>
                      <w:color w:val="auto"/>
                      <w:spacing w:val="6"/>
                      <w:sz w:val="21"/>
                      <w:szCs w:val="21"/>
                      <w:lang w:val="en-US" w:eastAsia="zh-CN"/>
                    </w:rPr>
                    <w:t>通知要求</w:t>
                  </w:r>
                </w:p>
              </w:tc>
              <w:tc>
                <w:tcPr>
                  <w:tcW w:w="1399" w:type="pct"/>
                  <w:vAlign w:val="center"/>
                </w:tcPr>
                <w:p w14:paraId="1A1204D7">
                  <w:pPr>
                    <w:pStyle w:val="59"/>
                    <w:keepNext w:val="0"/>
                    <w:keepLines/>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rPr>
                      <w:color w:val="auto"/>
                      <w:vertAlign w:val="baseline"/>
                    </w:rPr>
                  </w:pPr>
                  <w:r>
                    <w:rPr>
                      <w:b/>
                      <w:bCs/>
                      <w:color w:val="auto"/>
                      <w:spacing w:val="6"/>
                      <w:sz w:val="21"/>
                      <w:szCs w:val="21"/>
                    </w:rPr>
                    <w:t>本项目情况</w:t>
                  </w:r>
                </w:p>
              </w:tc>
              <w:tc>
                <w:tcPr>
                  <w:tcW w:w="717" w:type="pct"/>
                  <w:vAlign w:val="center"/>
                </w:tcPr>
                <w:p w14:paraId="263FF90F">
                  <w:pPr>
                    <w:pStyle w:val="59"/>
                    <w:keepNext w:val="0"/>
                    <w:keepLines/>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rPr>
                      <w:color w:val="auto"/>
                      <w:vertAlign w:val="baseline"/>
                    </w:rPr>
                  </w:pPr>
                  <w:r>
                    <w:rPr>
                      <w:b/>
                      <w:bCs/>
                      <w:color w:val="auto"/>
                      <w:spacing w:val="5"/>
                      <w:sz w:val="21"/>
                      <w:szCs w:val="21"/>
                    </w:rPr>
                    <w:t>符合性</w:t>
                  </w:r>
                </w:p>
              </w:tc>
            </w:tr>
            <w:tr w14:paraId="27676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3" w:type="pct"/>
                  <w:vAlign w:val="center"/>
                </w:tcPr>
                <w:p w14:paraId="3AAE9E62">
                  <w:pPr>
                    <w:pStyle w:val="16"/>
                    <w:keepNext w:val="0"/>
                    <w:keepLines/>
                    <w:pageBreakBefore w:val="0"/>
                    <w:widowControl/>
                    <w:kinsoku/>
                    <w:wordWrap/>
                    <w:overflowPunct/>
                    <w:topLinePunct w:val="0"/>
                    <w:autoSpaceDE/>
                    <w:autoSpaceDN/>
                    <w:bidi w:val="0"/>
                    <w:adjustRightInd w:val="0"/>
                    <w:snapToGrid w:val="0"/>
                    <w:spacing w:after="0" w:line="240" w:lineRule="auto"/>
                    <w:ind w:left="0" w:leftChars="0" w:right="0" w:rightChars="0"/>
                    <w:jc w:val="both"/>
                    <w:textAlignment w:val="auto"/>
                    <w:rPr>
                      <w:rFonts w:hint="eastAsia"/>
                      <w:b/>
                      <w:bCs/>
                      <w:color w:val="auto"/>
                      <w:spacing w:val="6"/>
                      <w:sz w:val="21"/>
                      <w:szCs w:val="21"/>
                      <w:lang w:val="en-US" w:eastAsia="zh-CN"/>
                    </w:rPr>
                  </w:pPr>
                  <w:r>
                    <w:rPr>
                      <w:rFonts w:hint="eastAsia"/>
                      <w:b w:val="0"/>
                      <w:bCs w:val="0"/>
                      <w:color w:val="auto"/>
                      <w:spacing w:val="6"/>
                      <w:sz w:val="21"/>
                      <w:szCs w:val="21"/>
                      <w:lang w:val="en-US" w:eastAsia="zh-CN"/>
                    </w:rPr>
                    <w:t>1.建设项目施工、地质勘查使用临时用地时应坚持“用多少、批多少占多少、尽量不占或者少占耕地。使用后土地复垦难度较大的临时用地要严格控制占用耕地。铁路、公路等单独选址建设项目，应科学组织施工，节约集约使用临时用地。制梁场、拌和站等难以恢复原种植条件的不得以临时用地方式占用耕地和永久基本农田，可以建设用地方式或者临时占用未利用地方式使用土地。临时用地确需占用永久基本农田的，必须能够恢复原种植条件，并符合《自然资源部农业农村部关于加强和改进永久基本农田保护工作的通知》（自然资规〔2019〕1号）中申请条件、土壤剥离、复垦验收等有关规定。临时用地使用期限一般不超过两年。建设周期较长的能源、交通、水利等基础设施建设项目施工使用的临时用地，期限不超过四年。城镇开发边界内临时建设用地规划许可、临时建设工程规划许可的期限应当与临时用地期限相衔接。临时用地使用期限，从批准之日起算。</w:t>
                  </w:r>
                </w:p>
              </w:tc>
              <w:tc>
                <w:tcPr>
                  <w:tcW w:w="1399" w:type="pct"/>
                  <w:vAlign w:val="center"/>
                </w:tcPr>
                <w:p w14:paraId="3B4F6B5D">
                  <w:pPr>
                    <w:pStyle w:val="59"/>
                    <w:keepNext w:val="0"/>
                    <w:keepLines/>
                    <w:pageBreakBefore w:val="0"/>
                    <w:widowControl/>
                    <w:kinsoku/>
                    <w:wordWrap/>
                    <w:overflowPunct/>
                    <w:topLinePunct w:val="0"/>
                    <w:autoSpaceDE/>
                    <w:autoSpaceDN/>
                    <w:bidi w:val="0"/>
                    <w:adjustRightInd w:val="0"/>
                    <w:snapToGrid w:val="0"/>
                    <w:spacing w:line="240" w:lineRule="auto"/>
                    <w:ind w:left="0" w:leftChars="0" w:right="0" w:rightChars="0"/>
                    <w:jc w:val="both"/>
                    <w:textAlignment w:val="auto"/>
                    <w:rPr>
                      <w:b/>
                      <w:bCs/>
                      <w:color w:val="auto"/>
                      <w:spacing w:val="6"/>
                      <w:sz w:val="21"/>
                      <w:szCs w:val="21"/>
                    </w:rPr>
                  </w:pPr>
                  <w:r>
                    <w:rPr>
                      <w:rFonts w:hint="eastAsia" w:ascii="Times New Roman" w:hAnsi="Times New Roman" w:eastAsia="宋体" w:cs="Times New Roman"/>
                      <w:b w:val="0"/>
                      <w:bCs w:val="0"/>
                      <w:color w:val="auto"/>
                      <w:spacing w:val="6"/>
                      <w:kern w:val="0"/>
                      <w:sz w:val="21"/>
                      <w:szCs w:val="21"/>
                      <w:lang w:val="en-US" w:eastAsia="zh-CN" w:bidi="ar-SA"/>
                    </w:rPr>
                    <w:t>尽可能利用现有施工场地或工程永久管理范围占地作为施工期临时用地，减少征地范围。临时</w:t>
                  </w:r>
                  <w:r>
                    <w:rPr>
                      <w:rFonts w:hint="eastAsia" w:eastAsia="宋体" w:cs="Times New Roman"/>
                      <w:b w:val="0"/>
                      <w:bCs w:val="0"/>
                      <w:color w:val="auto"/>
                      <w:spacing w:val="6"/>
                      <w:kern w:val="0"/>
                      <w:sz w:val="21"/>
                      <w:szCs w:val="21"/>
                      <w:lang w:val="en-US" w:eastAsia="zh-CN" w:bidi="ar-SA"/>
                    </w:rPr>
                    <w:t>拌和站</w:t>
                  </w:r>
                  <w:r>
                    <w:rPr>
                      <w:rFonts w:hint="eastAsia" w:ascii="Times New Roman" w:hAnsi="Times New Roman" w:eastAsia="宋体" w:cs="Times New Roman"/>
                      <w:b w:val="0"/>
                      <w:bCs w:val="0"/>
                      <w:color w:val="auto"/>
                      <w:spacing w:val="6"/>
                      <w:kern w:val="0"/>
                      <w:sz w:val="21"/>
                      <w:szCs w:val="21"/>
                      <w:lang w:val="en-US" w:eastAsia="zh-CN" w:bidi="ar-SA"/>
                    </w:rPr>
                    <w:t>不占用耕地。本工程施工期为6个月，施工结束后，对临时用地及时恢复。</w:t>
                  </w:r>
                </w:p>
              </w:tc>
              <w:tc>
                <w:tcPr>
                  <w:tcW w:w="717" w:type="pct"/>
                  <w:vAlign w:val="center"/>
                </w:tcPr>
                <w:p w14:paraId="3C7A1237">
                  <w:pPr>
                    <w:pStyle w:val="59"/>
                    <w:keepNext w:val="0"/>
                    <w:keepLines/>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rPr>
                      <w:rFonts w:hint="eastAsia" w:eastAsia="宋体"/>
                      <w:b/>
                      <w:bCs/>
                      <w:color w:val="auto"/>
                      <w:spacing w:val="5"/>
                      <w:sz w:val="21"/>
                      <w:szCs w:val="21"/>
                      <w:lang w:val="en-US" w:eastAsia="zh-CN"/>
                    </w:rPr>
                  </w:pPr>
                  <w:r>
                    <w:rPr>
                      <w:rFonts w:hint="eastAsia" w:ascii="Times New Roman" w:hAnsi="Times New Roman" w:eastAsia="宋体" w:cs="Times New Roman"/>
                      <w:b w:val="0"/>
                      <w:bCs w:val="0"/>
                      <w:color w:val="auto"/>
                      <w:spacing w:val="6"/>
                      <w:kern w:val="0"/>
                      <w:sz w:val="21"/>
                      <w:szCs w:val="21"/>
                      <w:lang w:val="en-US" w:eastAsia="zh-CN" w:bidi="ar-SA"/>
                    </w:rPr>
                    <w:t>基本符合</w:t>
                  </w:r>
                </w:p>
              </w:tc>
            </w:tr>
            <w:tr w14:paraId="2961D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3" w:type="pct"/>
                  <w:vAlign w:val="center"/>
                </w:tcPr>
                <w:p w14:paraId="2C60ED30">
                  <w:pPr>
                    <w:pStyle w:val="16"/>
                    <w:keepNext w:val="0"/>
                    <w:keepLines/>
                    <w:pageBreakBefore w:val="0"/>
                    <w:widowControl/>
                    <w:kinsoku/>
                    <w:wordWrap/>
                    <w:overflowPunct/>
                    <w:topLinePunct w:val="0"/>
                    <w:autoSpaceDE/>
                    <w:autoSpaceDN/>
                    <w:bidi w:val="0"/>
                    <w:adjustRightInd w:val="0"/>
                    <w:snapToGrid w:val="0"/>
                    <w:spacing w:after="0" w:line="240" w:lineRule="auto"/>
                    <w:ind w:left="0" w:leftChars="0" w:right="0" w:rightChars="0"/>
                    <w:jc w:val="both"/>
                    <w:textAlignment w:val="auto"/>
                    <w:rPr>
                      <w:rFonts w:hint="eastAsia"/>
                      <w:b w:val="0"/>
                      <w:bCs w:val="0"/>
                      <w:color w:val="auto"/>
                      <w:spacing w:val="6"/>
                      <w:sz w:val="21"/>
                      <w:szCs w:val="21"/>
                      <w:lang w:val="en-US" w:eastAsia="zh-CN"/>
                    </w:rPr>
                  </w:pPr>
                  <w:r>
                    <w:rPr>
                      <w:rFonts w:hint="eastAsia"/>
                      <w:b w:val="0"/>
                      <w:bCs w:val="0"/>
                      <w:color w:val="auto"/>
                      <w:spacing w:val="6"/>
                      <w:sz w:val="21"/>
                      <w:szCs w:val="21"/>
                      <w:lang w:val="en-US" w:eastAsia="zh-CN"/>
                    </w:rPr>
                    <w:t>2.县（市）自然资源主管部门负责临时用地审批，其中涉及占用耕地和永久基本农田的，由市级或者市级以上自然资源主管部门负责审批。临时用地申请人应当编制临时用地土地复垦方案报告表，由有关自然资源主管部门负责审核。</w:t>
                  </w:r>
                </w:p>
              </w:tc>
              <w:tc>
                <w:tcPr>
                  <w:tcW w:w="1399" w:type="pct"/>
                  <w:vAlign w:val="center"/>
                </w:tcPr>
                <w:p w14:paraId="07E9342A">
                  <w:pPr>
                    <w:pStyle w:val="59"/>
                    <w:keepNext w:val="0"/>
                    <w:keepLines/>
                    <w:pageBreakBefore w:val="0"/>
                    <w:widowControl/>
                    <w:kinsoku/>
                    <w:wordWrap/>
                    <w:overflowPunct/>
                    <w:topLinePunct w:val="0"/>
                    <w:autoSpaceDE/>
                    <w:autoSpaceDN/>
                    <w:bidi w:val="0"/>
                    <w:adjustRightInd w:val="0"/>
                    <w:snapToGrid w:val="0"/>
                    <w:spacing w:line="240" w:lineRule="auto"/>
                    <w:ind w:left="0" w:leftChars="0" w:right="0" w:rightChars="0"/>
                    <w:jc w:val="both"/>
                    <w:textAlignment w:val="auto"/>
                    <w:rPr>
                      <w:rFonts w:hint="default" w:ascii="Times New Roman" w:hAnsi="Times New Roman" w:eastAsia="宋体" w:cs="Times New Roman"/>
                      <w:b w:val="0"/>
                      <w:bCs w:val="0"/>
                      <w:color w:val="auto"/>
                      <w:spacing w:val="6"/>
                      <w:kern w:val="0"/>
                      <w:sz w:val="21"/>
                      <w:szCs w:val="21"/>
                      <w:lang w:val="en-US" w:eastAsia="zh-CN" w:bidi="ar-SA"/>
                    </w:rPr>
                  </w:pPr>
                  <w:r>
                    <w:rPr>
                      <w:rFonts w:hint="eastAsia" w:ascii="Times New Roman" w:hAnsi="Times New Roman" w:cs="Times New Roman"/>
                      <w:b w:val="0"/>
                      <w:bCs w:val="0"/>
                      <w:color w:val="auto"/>
                      <w:spacing w:val="6"/>
                      <w:kern w:val="0"/>
                      <w:sz w:val="21"/>
                      <w:szCs w:val="21"/>
                      <w:lang w:val="en-US" w:eastAsia="zh-CN" w:bidi="ar-SA"/>
                    </w:rPr>
                    <w:t>本项目临时用地不占用耕地和永久基本农田，临时用地手续正在办理中。</w:t>
                  </w:r>
                </w:p>
              </w:tc>
              <w:tc>
                <w:tcPr>
                  <w:tcW w:w="717" w:type="pct"/>
                  <w:vAlign w:val="center"/>
                </w:tcPr>
                <w:p w14:paraId="73AA8EEA">
                  <w:pPr>
                    <w:pStyle w:val="59"/>
                    <w:keepNext w:val="0"/>
                    <w:keepLines/>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Times New Roman" w:hAnsi="Times New Roman" w:eastAsia="宋体" w:cs="Times New Roman"/>
                      <w:b w:val="0"/>
                      <w:bCs w:val="0"/>
                      <w:color w:val="auto"/>
                      <w:spacing w:val="6"/>
                      <w:kern w:val="0"/>
                      <w:sz w:val="21"/>
                      <w:szCs w:val="21"/>
                      <w:lang w:val="en-US" w:eastAsia="zh-CN" w:bidi="ar-SA"/>
                    </w:rPr>
                  </w:pPr>
                  <w:r>
                    <w:rPr>
                      <w:rFonts w:hint="eastAsia" w:ascii="Times New Roman" w:hAnsi="Times New Roman" w:eastAsia="宋体" w:cs="Times New Roman"/>
                      <w:b w:val="0"/>
                      <w:bCs w:val="0"/>
                      <w:color w:val="auto"/>
                      <w:spacing w:val="6"/>
                      <w:kern w:val="0"/>
                      <w:sz w:val="21"/>
                      <w:szCs w:val="21"/>
                      <w:lang w:val="en-US" w:eastAsia="zh-CN" w:bidi="ar-SA"/>
                    </w:rPr>
                    <w:t>基本符合</w:t>
                  </w:r>
                </w:p>
              </w:tc>
            </w:tr>
            <w:tr w14:paraId="0AB72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3" w:type="pct"/>
                  <w:vAlign w:val="center"/>
                </w:tcPr>
                <w:p w14:paraId="1273922F">
                  <w:pPr>
                    <w:pStyle w:val="16"/>
                    <w:keepNext w:val="0"/>
                    <w:keepLines/>
                    <w:pageBreakBefore w:val="0"/>
                    <w:widowControl/>
                    <w:kinsoku/>
                    <w:wordWrap/>
                    <w:overflowPunct/>
                    <w:topLinePunct w:val="0"/>
                    <w:autoSpaceDE/>
                    <w:autoSpaceDN/>
                    <w:bidi w:val="0"/>
                    <w:adjustRightInd w:val="0"/>
                    <w:snapToGrid w:val="0"/>
                    <w:spacing w:after="0" w:line="240" w:lineRule="auto"/>
                    <w:ind w:left="0" w:leftChars="0" w:right="0" w:rightChars="0"/>
                    <w:jc w:val="both"/>
                    <w:textAlignment w:val="auto"/>
                    <w:rPr>
                      <w:rFonts w:hint="default"/>
                      <w:b w:val="0"/>
                      <w:bCs w:val="0"/>
                      <w:color w:val="auto"/>
                      <w:spacing w:val="6"/>
                      <w:sz w:val="21"/>
                      <w:szCs w:val="21"/>
                      <w:lang w:val="en-US" w:eastAsia="zh-CN"/>
                    </w:rPr>
                  </w:pPr>
                  <w:r>
                    <w:rPr>
                      <w:rFonts w:hint="eastAsia"/>
                      <w:b w:val="0"/>
                      <w:bCs w:val="0"/>
                      <w:color w:val="auto"/>
                      <w:spacing w:val="6"/>
                      <w:sz w:val="21"/>
                      <w:szCs w:val="21"/>
                      <w:lang w:val="en-US" w:eastAsia="zh-CN"/>
                    </w:rPr>
                    <w:t>3.临时用地使用人应当按照批准的用途使用土地，不得转让、出租、抵押临时用地。临时用地使用人应当自临时用地期满之日起一年内完成土地复垦，因气候、灾害等不可抗力因素影响复垦的，经批准可以适当延长复垦期限。严格落实临时用地恢复责任，临时用地期满后应当拆除临时建（构）筑物，使用耕地的应当复垦为耕地，确保耕地面积不减少、质量不降低；使用耕地以外的其他农用地的应当恢复为农用地；使用未利用地的，对于符合条件的鼓励复垦为耕地。</w:t>
                  </w:r>
                </w:p>
              </w:tc>
              <w:tc>
                <w:tcPr>
                  <w:tcW w:w="1399" w:type="pct"/>
                  <w:vAlign w:val="center"/>
                </w:tcPr>
                <w:p w14:paraId="472FE42A">
                  <w:pPr>
                    <w:pStyle w:val="59"/>
                    <w:keepNext w:val="0"/>
                    <w:keepLines/>
                    <w:pageBreakBefore w:val="0"/>
                    <w:widowControl/>
                    <w:kinsoku/>
                    <w:wordWrap/>
                    <w:overflowPunct/>
                    <w:topLinePunct w:val="0"/>
                    <w:autoSpaceDE/>
                    <w:autoSpaceDN/>
                    <w:bidi w:val="0"/>
                    <w:adjustRightInd w:val="0"/>
                    <w:snapToGrid w:val="0"/>
                    <w:spacing w:line="240" w:lineRule="auto"/>
                    <w:ind w:left="0" w:leftChars="0" w:right="0" w:rightChars="0"/>
                    <w:jc w:val="both"/>
                    <w:textAlignment w:val="auto"/>
                    <w:rPr>
                      <w:rFonts w:hint="default" w:ascii="Times New Roman" w:hAnsi="Times New Roman" w:cs="Times New Roman"/>
                      <w:b w:val="0"/>
                      <w:bCs w:val="0"/>
                      <w:color w:val="auto"/>
                      <w:spacing w:val="6"/>
                      <w:kern w:val="0"/>
                      <w:sz w:val="21"/>
                      <w:szCs w:val="21"/>
                      <w:lang w:val="en-US" w:eastAsia="zh-CN" w:bidi="ar-SA"/>
                    </w:rPr>
                  </w:pPr>
                  <w:r>
                    <w:rPr>
                      <w:rFonts w:hint="eastAsia" w:ascii="Times New Roman" w:hAnsi="Times New Roman" w:cs="Times New Roman"/>
                      <w:b w:val="0"/>
                      <w:bCs w:val="0"/>
                      <w:color w:val="auto"/>
                      <w:spacing w:val="6"/>
                      <w:kern w:val="0"/>
                      <w:sz w:val="21"/>
                      <w:szCs w:val="21"/>
                      <w:lang w:val="en-US" w:eastAsia="zh-CN" w:bidi="ar-SA"/>
                    </w:rPr>
                    <w:t>本项目临时用地用于服务本工程建设，不转让、出租、抵押临时用地，本工程施工期为19个月，施工结束后，拆除临时建</w:t>
                  </w:r>
                  <w:r>
                    <w:rPr>
                      <w:rFonts w:hint="eastAsia" w:cs="Times New Roman"/>
                      <w:b w:val="0"/>
                      <w:bCs w:val="0"/>
                      <w:color w:val="auto"/>
                      <w:spacing w:val="6"/>
                      <w:kern w:val="0"/>
                      <w:sz w:val="21"/>
                      <w:szCs w:val="21"/>
                      <w:lang w:val="en-US" w:eastAsia="zh-CN" w:bidi="ar-SA"/>
                    </w:rPr>
                    <w:t>（</w:t>
                  </w:r>
                  <w:r>
                    <w:rPr>
                      <w:rFonts w:hint="eastAsia" w:ascii="Times New Roman" w:hAnsi="Times New Roman" w:cs="Times New Roman"/>
                      <w:b w:val="0"/>
                      <w:bCs w:val="0"/>
                      <w:color w:val="auto"/>
                      <w:spacing w:val="6"/>
                      <w:kern w:val="0"/>
                      <w:sz w:val="21"/>
                      <w:szCs w:val="21"/>
                      <w:lang w:val="en-US" w:eastAsia="zh-CN" w:bidi="ar-SA"/>
                    </w:rPr>
                    <w:t>构</w:t>
                  </w:r>
                  <w:r>
                    <w:rPr>
                      <w:rFonts w:hint="eastAsia" w:cs="Times New Roman"/>
                      <w:b w:val="0"/>
                      <w:bCs w:val="0"/>
                      <w:color w:val="auto"/>
                      <w:spacing w:val="6"/>
                      <w:kern w:val="0"/>
                      <w:sz w:val="21"/>
                      <w:szCs w:val="21"/>
                      <w:lang w:val="en-US" w:eastAsia="zh-CN" w:bidi="ar-SA"/>
                    </w:rPr>
                    <w:t>）</w:t>
                  </w:r>
                  <w:r>
                    <w:rPr>
                      <w:rFonts w:hint="eastAsia" w:ascii="Times New Roman" w:hAnsi="Times New Roman" w:cs="Times New Roman"/>
                      <w:b w:val="0"/>
                      <w:bCs w:val="0"/>
                      <w:color w:val="auto"/>
                      <w:spacing w:val="6"/>
                      <w:kern w:val="0"/>
                      <w:sz w:val="21"/>
                      <w:szCs w:val="21"/>
                      <w:lang w:val="en-US" w:eastAsia="zh-CN" w:bidi="ar-SA"/>
                    </w:rPr>
                    <w:t>筑物，履行恢复责任。</w:t>
                  </w:r>
                </w:p>
              </w:tc>
              <w:tc>
                <w:tcPr>
                  <w:tcW w:w="717" w:type="pct"/>
                  <w:vAlign w:val="center"/>
                </w:tcPr>
                <w:p w14:paraId="0C1A7ADA">
                  <w:pPr>
                    <w:pStyle w:val="59"/>
                    <w:keepNext w:val="0"/>
                    <w:keepLines/>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Times New Roman" w:hAnsi="Times New Roman" w:eastAsia="宋体" w:cs="Times New Roman"/>
                      <w:b w:val="0"/>
                      <w:bCs w:val="0"/>
                      <w:color w:val="auto"/>
                      <w:spacing w:val="6"/>
                      <w:kern w:val="0"/>
                      <w:sz w:val="21"/>
                      <w:szCs w:val="21"/>
                      <w:lang w:val="en-US" w:eastAsia="zh-CN" w:bidi="ar-SA"/>
                    </w:rPr>
                  </w:pPr>
                  <w:r>
                    <w:rPr>
                      <w:rFonts w:hint="eastAsia" w:ascii="Times New Roman" w:hAnsi="Times New Roman" w:eastAsia="宋体" w:cs="Times New Roman"/>
                      <w:b w:val="0"/>
                      <w:bCs w:val="0"/>
                      <w:color w:val="auto"/>
                      <w:spacing w:val="6"/>
                      <w:kern w:val="0"/>
                      <w:sz w:val="21"/>
                      <w:szCs w:val="21"/>
                      <w:lang w:val="en-US" w:eastAsia="zh-CN" w:bidi="ar-SA"/>
                    </w:rPr>
                    <w:t>基本符合</w:t>
                  </w:r>
                </w:p>
              </w:tc>
            </w:tr>
          </w:tbl>
          <w:p w14:paraId="28663D7B">
            <w:pPr>
              <w:keepNext w:val="0"/>
              <w:keepLines/>
              <w:pageBreakBefore w:val="0"/>
              <w:widowControl/>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p>
        </w:tc>
      </w:tr>
    </w:tbl>
    <w:p w14:paraId="476FB7B6">
      <w:pPr>
        <w:spacing w:line="360" w:lineRule="auto"/>
        <w:outlineLvl w:val="9"/>
        <w:rPr>
          <w:rFonts w:hint="default" w:ascii="Times New Roman" w:hAnsi="Times New Roman" w:cs="Times New Roman"/>
          <w:color w:val="auto"/>
          <w:sz w:val="24"/>
        </w:rPr>
        <w:sectPr>
          <w:footerReference r:id="rId6"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6C03BAF0">
      <w:pPr>
        <w:pStyle w:val="26"/>
        <w:jc w:val="center"/>
        <w:outlineLvl w:val="0"/>
        <w:rPr>
          <w:rFonts w:hint="default" w:ascii="Times New Roman" w:hAnsi="Times New Roman" w:eastAsia="黑体" w:cs="Times New Roman"/>
          <w:snapToGrid w:val="0"/>
          <w:color w:val="auto"/>
          <w:sz w:val="30"/>
          <w:szCs w:val="30"/>
        </w:rPr>
      </w:pPr>
      <w:bookmarkStart w:id="14" w:name="_Toc21128"/>
      <w:bookmarkStart w:id="15" w:name="_Toc8175"/>
      <w:r>
        <w:rPr>
          <w:rFonts w:hint="default" w:ascii="Times New Roman" w:hAnsi="Times New Roman" w:eastAsia="黑体" w:cs="Times New Roman"/>
          <w:snapToGrid w:val="0"/>
          <w:color w:val="auto"/>
          <w:sz w:val="30"/>
          <w:szCs w:val="30"/>
        </w:rPr>
        <w:t>二、建设内容</w:t>
      </w:r>
      <w:bookmarkEnd w:id="14"/>
      <w:bookmarkEnd w:id="15"/>
    </w:p>
    <w:tbl>
      <w:tblPr>
        <w:tblStyle w:val="29"/>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22"/>
        <w:gridCol w:w="8098"/>
      </w:tblGrid>
      <w:tr w14:paraId="6A4EFB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97" w:hRule="atLeast"/>
          <w:jc w:val="center"/>
        </w:trPr>
        <w:tc>
          <w:tcPr>
            <w:tcW w:w="248" w:type="pct"/>
            <w:noWrap w:val="0"/>
            <w:vAlign w:val="center"/>
          </w:tcPr>
          <w:p w14:paraId="070FB3C8">
            <w:pPr>
              <w:adjustRightInd w:val="0"/>
              <w:snapToGrid w:val="0"/>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地理位置</w:t>
            </w:r>
          </w:p>
        </w:tc>
        <w:tc>
          <w:tcPr>
            <w:tcW w:w="4751" w:type="pct"/>
            <w:noWrap w:val="0"/>
            <w:vAlign w:val="center"/>
          </w:tcPr>
          <w:p w14:paraId="56E9356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本项目位于新疆维吾尔自治区昌吉回族自治州奇台县老奇台镇，老奇台老</w:t>
            </w:r>
            <w:r>
              <w:rPr>
                <w:rFonts w:hint="eastAsia" w:cs="Times New Roman"/>
                <w:color w:val="auto"/>
                <w:kern w:val="0"/>
                <w:sz w:val="24"/>
                <w:szCs w:val="24"/>
                <w:highlight w:val="none"/>
                <w:lang w:val="en-US" w:eastAsia="zh-CN"/>
              </w:rPr>
              <w:t>干渠</w:t>
            </w:r>
            <w:r>
              <w:rPr>
                <w:rFonts w:hint="default" w:ascii="Times New Roman" w:hAnsi="Times New Roman" w:eastAsia="宋体" w:cs="Times New Roman"/>
                <w:color w:val="auto"/>
                <w:kern w:val="0"/>
                <w:sz w:val="24"/>
                <w:szCs w:val="24"/>
                <w:highlight w:val="none"/>
                <w:lang w:val="en-US" w:eastAsia="zh-CN"/>
              </w:rPr>
              <w:t>位于新疆奇台县老奇台镇以南5km，</w:t>
            </w:r>
            <w:r>
              <w:rPr>
                <w:rFonts w:hint="eastAsia" w:cs="Times New Roman"/>
                <w:color w:val="auto"/>
                <w:kern w:val="0"/>
                <w:sz w:val="24"/>
                <w:szCs w:val="24"/>
                <w:highlight w:val="none"/>
                <w:lang w:val="en-US" w:eastAsia="zh-CN"/>
              </w:rPr>
              <w:t>呈</w:t>
            </w:r>
            <w:r>
              <w:rPr>
                <w:rFonts w:hint="default" w:ascii="Times New Roman" w:hAnsi="Times New Roman" w:eastAsia="宋体" w:cs="Times New Roman"/>
                <w:color w:val="auto"/>
                <w:kern w:val="0"/>
                <w:sz w:val="24"/>
                <w:szCs w:val="24"/>
                <w:highlight w:val="none"/>
                <w:lang w:val="en-US" w:eastAsia="zh-CN"/>
              </w:rPr>
              <w:t>南北向展布，北起老奇台镇南侧，南至七户乡北侧，西侧紧邻半截沟镇川坝村，东侧毗邻下皇宫、上皇宫等村落。项目区对外交通方便。老奇台镇老干渠上游段全长14.336km，其中0+000</w:t>
            </w:r>
            <w:r>
              <w:rPr>
                <w:rFonts w:hint="eastAsia" w:cs="Times New Roman"/>
                <w:color w:val="auto"/>
                <w:kern w:val="0"/>
                <w:sz w:val="24"/>
                <w:szCs w:val="24"/>
                <w:highlight w:val="none"/>
                <w:lang w:val="en-US" w:eastAsia="zh-CN"/>
              </w:rPr>
              <w:t>～</w:t>
            </w:r>
            <w:r>
              <w:rPr>
                <w:rFonts w:hint="default" w:ascii="Times New Roman" w:hAnsi="Times New Roman" w:eastAsia="宋体" w:cs="Times New Roman"/>
                <w:color w:val="auto"/>
                <w:kern w:val="0"/>
                <w:sz w:val="24"/>
                <w:szCs w:val="24"/>
                <w:highlight w:val="none"/>
                <w:lang w:val="en-US" w:eastAsia="zh-CN"/>
              </w:rPr>
              <w:t>0+718段为改建段，0+718～14+336段为新建段</w:t>
            </w:r>
            <w:r>
              <w:rPr>
                <w:rFonts w:hint="eastAsia" w:cs="Times New Roman"/>
                <w:color w:val="auto"/>
                <w:kern w:val="0"/>
                <w:sz w:val="24"/>
                <w:szCs w:val="24"/>
                <w:highlight w:val="none"/>
                <w:lang w:val="en-US" w:eastAsia="zh-CN"/>
              </w:rPr>
              <w:t>。</w:t>
            </w:r>
          </w:p>
          <w:p w14:paraId="3CABDE1C">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项目区地理位置图详见附图</w:t>
            </w:r>
            <w:r>
              <w:rPr>
                <w:rFonts w:hint="eastAsia" w:cs="Times New Roman"/>
                <w:color w:val="auto"/>
                <w:kern w:val="0"/>
                <w:sz w:val="24"/>
                <w:szCs w:val="24"/>
                <w:highlight w:val="none"/>
                <w:lang w:val="en-US" w:eastAsia="zh-CN"/>
              </w:rPr>
              <w:t>1</w:t>
            </w:r>
            <w:r>
              <w:rPr>
                <w:rFonts w:hint="default" w:ascii="Times New Roman" w:hAnsi="Times New Roman" w:eastAsia="宋体" w:cs="Times New Roman"/>
                <w:color w:val="auto"/>
                <w:kern w:val="0"/>
                <w:sz w:val="24"/>
                <w:szCs w:val="24"/>
                <w:highlight w:val="none"/>
                <w:lang w:val="en-US" w:eastAsia="zh-CN"/>
              </w:rPr>
              <w:t>。</w:t>
            </w:r>
          </w:p>
          <w:p w14:paraId="36738CF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pacing w:val="-2"/>
                <w:sz w:val="24"/>
                <w:szCs w:val="24"/>
              </w:rPr>
              <w:t>表</w:t>
            </w:r>
            <w:r>
              <w:rPr>
                <w:rFonts w:hint="default" w:ascii="Times New Roman" w:hAnsi="Times New Roman" w:eastAsia="宋体" w:cs="Times New Roman"/>
                <w:b/>
                <w:bCs/>
                <w:color w:val="auto"/>
                <w:spacing w:val="-2"/>
                <w:sz w:val="24"/>
                <w:szCs w:val="24"/>
                <w:lang w:val="en-US" w:eastAsia="zh-CN"/>
              </w:rPr>
              <w:t>2-1本项目渠道走向地理坐标一览表</w:t>
            </w:r>
          </w:p>
          <w:tbl>
            <w:tblPr>
              <w:tblStyle w:val="58"/>
              <w:tblW w:w="4993" w:type="pct"/>
              <w:tblInd w:w="-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77"/>
              <w:gridCol w:w="2721"/>
              <w:gridCol w:w="3263"/>
            </w:tblGrid>
            <w:tr w14:paraId="7B9BA9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1193" w:type="pct"/>
                  <w:tcBorders>
                    <w:tl2br w:val="nil"/>
                    <w:tr2bl w:val="nil"/>
                  </w:tcBorders>
                  <w:vAlign w:val="center"/>
                </w:tcPr>
                <w:p w14:paraId="7BF131D5">
                  <w:pPr>
                    <w:keepNext w:val="0"/>
                    <w:keepLines w:val="0"/>
                    <w:pageBreakBefore w:val="0"/>
                    <w:tabs>
                      <w:tab w:val="center" w:pos="4438"/>
                      <w:tab w:val="left" w:pos="8280"/>
                    </w:tabs>
                    <w:kinsoku/>
                    <w:wordWrap/>
                    <w:overflowPunct/>
                    <w:topLinePunct w:val="0"/>
                    <w:autoSpaceDE/>
                    <w:autoSpaceDN/>
                    <w:bidi w:val="0"/>
                    <w:adjustRightInd w:val="0"/>
                    <w:snapToGrid w:val="0"/>
                    <w:spacing w:line="240" w:lineRule="auto"/>
                    <w:jc w:val="center"/>
                    <w:rPr>
                      <w:rFonts w:hint="default" w:ascii="Times New Roman" w:hAnsi="Times New Roman" w:cs="Times New Roman"/>
                      <w:b/>
                      <w:bCs/>
                      <w:color w:val="auto"/>
                      <w:sz w:val="21"/>
                      <w:szCs w:val="21"/>
                      <w:lang w:val="en-US" w:eastAsia="zh-CN"/>
                    </w:rPr>
                  </w:pPr>
                  <w:r>
                    <w:rPr>
                      <w:rFonts w:hint="eastAsia" w:ascii="Times New Roman" w:hAnsi="Times New Roman" w:cs="Times New Roman"/>
                      <w:b/>
                      <w:bCs/>
                      <w:color w:val="auto"/>
                      <w:sz w:val="21"/>
                      <w:szCs w:val="21"/>
                      <w:lang w:val="en-US" w:eastAsia="zh-CN"/>
                    </w:rPr>
                    <w:t>渠道名称</w:t>
                  </w:r>
                </w:p>
              </w:tc>
              <w:tc>
                <w:tcPr>
                  <w:tcW w:w="1730" w:type="pct"/>
                  <w:tcBorders>
                    <w:tl2br w:val="nil"/>
                    <w:tr2bl w:val="nil"/>
                  </w:tcBorders>
                  <w:vAlign w:val="center"/>
                </w:tcPr>
                <w:p w14:paraId="10F28733">
                  <w:pPr>
                    <w:keepNext w:val="0"/>
                    <w:keepLines w:val="0"/>
                    <w:pageBreakBefore w:val="0"/>
                    <w:tabs>
                      <w:tab w:val="center" w:pos="4438"/>
                      <w:tab w:val="left" w:pos="8280"/>
                    </w:tabs>
                    <w:kinsoku/>
                    <w:wordWrap/>
                    <w:overflowPunct/>
                    <w:topLinePunct w:val="0"/>
                    <w:autoSpaceDE/>
                    <w:autoSpaceDN/>
                    <w:bidi w:val="0"/>
                    <w:adjustRightInd w:val="0"/>
                    <w:snapToGrid w:val="0"/>
                    <w:spacing w:line="240" w:lineRule="auto"/>
                    <w:jc w:val="center"/>
                    <w:rPr>
                      <w:rFonts w:hint="eastAsia" w:ascii="Times New Roman" w:hAnsi="Times New Roman" w:eastAsia="宋体" w:cs="Times New Roman"/>
                      <w:b/>
                      <w:bCs/>
                      <w:color w:val="auto"/>
                      <w:sz w:val="21"/>
                      <w:szCs w:val="21"/>
                      <w:lang w:val="en-US" w:eastAsia="zh-CN"/>
                    </w:rPr>
                  </w:pPr>
                  <w:r>
                    <w:rPr>
                      <w:rFonts w:hint="eastAsia" w:cs="Times New Roman"/>
                      <w:b/>
                      <w:bCs/>
                      <w:color w:val="auto"/>
                      <w:sz w:val="21"/>
                      <w:szCs w:val="21"/>
                      <w:lang w:val="en-US" w:eastAsia="zh-CN"/>
                    </w:rPr>
                    <w:t>起点</w:t>
                  </w:r>
                </w:p>
              </w:tc>
              <w:tc>
                <w:tcPr>
                  <w:tcW w:w="2075" w:type="pct"/>
                  <w:tcBorders>
                    <w:tl2br w:val="nil"/>
                    <w:tr2bl w:val="nil"/>
                  </w:tcBorders>
                  <w:vAlign w:val="center"/>
                </w:tcPr>
                <w:p w14:paraId="644B85B8">
                  <w:pPr>
                    <w:keepNext w:val="0"/>
                    <w:keepLines w:val="0"/>
                    <w:pageBreakBefore w:val="0"/>
                    <w:tabs>
                      <w:tab w:val="center" w:pos="4438"/>
                      <w:tab w:val="left" w:pos="8280"/>
                    </w:tabs>
                    <w:kinsoku/>
                    <w:wordWrap/>
                    <w:overflowPunct/>
                    <w:topLinePunct w:val="0"/>
                    <w:autoSpaceDE/>
                    <w:autoSpaceDN/>
                    <w:bidi w:val="0"/>
                    <w:adjustRightInd w:val="0"/>
                    <w:snapToGrid w:val="0"/>
                    <w:spacing w:line="240" w:lineRule="auto"/>
                    <w:jc w:val="center"/>
                    <w:rPr>
                      <w:rFonts w:hint="eastAsia" w:ascii="Times New Roman" w:hAnsi="Times New Roman" w:eastAsia="宋体" w:cs="Times New Roman"/>
                      <w:b/>
                      <w:bCs/>
                      <w:color w:val="auto"/>
                      <w:sz w:val="21"/>
                      <w:szCs w:val="21"/>
                      <w:lang w:val="en-US" w:eastAsia="zh-CN"/>
                    </w:rPr>
                  </w:pPr>
                  <w:r>
                    <w:rPr>
                      <w:rFonts w:hint="eastAsia" w:cs="Times New Roman"/>
                      <w:b/>
                      <w:bCs/>
                      <w:color w:val="auto"/>
                      <w:sz w:val="21"/>
                      <w:szCs w:val="21"/>
                      <w:lang w:val="en-US" w:eastAsia="zh-CN"/>
                    </w:rPr>
                    <w:t>终点</w:t>
                  </w:r>
                </w:p>
              </w:tc>
            </w:tr>
            <w:tr w14:paraId="402AE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193" w:type="pct"/>
                  <w:tcBorders>
                    <w:tl2br w:val="nil"/>
                    <w:tr2bl w:val="nil"/>
                  </w:tcBorders>
                  <w:vAlign w:val="center"/>
                </w:tcPr>
                <w:p w14:paraId="024D0699">
                  <w:pPr>
                    <w:keepNext w:val="0"/>
                    <w:keepLines w:val="0"/>
                    <w:pageBreakBefore w:val="0"/>
                    <w:tabs>
                      <w:tab w:val="center" w:pos="4438"/>
                      <w:tab w:val="left" w:pos="8280"/>
                    </w:tabs>
                    <w:kinsoku/>
                    <w:wordWrap/>
                    <w:overflowPunct/>
                    <w:topLinePunct w:val="0"/>
                    <w:autoSpaceDE/>
                    <w:autoSpaceDN/>
                    <w:bidi w:val="0"/>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老奇台老干渠</w:t>
                  </w:r>
                </w:p>
              </w:tc>
              <w:tc>
                <w:tcPr>
                  <w:tcW w:w="1730" w:type="pct"/>
                  <w:tcBorders>
                    <w:tl2br w:val="nil"/>
                    <w:tr2bl w:val="nil"/>
                  </w:tcBorders>
                  <w:vAlign w:val="center"/>
                </w:tcPr>
                <w:p w14:paraId="0E2F2817">
                  <w:pPr>
                    <w:keepNext w:val="0"/>
                    <w:keepLines w:val="0"/>
                    <w:pageBreakBefore w:val="0"/>
                    <w:tabs>
                      <w:tab w:val="center" w:pos="4438"/>
                      <w:tab w:val="left" w:pos="8280"/>
                    </w:tabs>
                    <w:kinsoku/>
                    <w:wordWrap/>
                    <w:overflowPunct/>
                    <w:topLinePunct w:val="0"/>
                    <w:autoSpaceDE/>
                    <w:autoSpaceDN/>
                    <w:bidi w:val="0"/>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89°50′35.3</w:t>
                  </w:r>
                  <w:r>
                    <w:rPr>
                      <w:rFonts w:hint="eastAsia" w:cs="Times New Roman"/>
                      <w:color w:val="auto"/>
                      <w:sz w:val="21"/>
                      <w:szCs w:val="21"/>
                      <w:lang w:val="en-US" w:eastAsia="zh-CN"/>
                    </w:rPr>
                    <w:t>54</w:t>
                  </w:r>
                  <w:r>
                    <w:rPr>
                      <w:rFonts w:hint="default" w:ascii="Times New Roman" w:hAnsi="Times New Roman" w:cs="Times New Roman"/>
                      <w:color w:val="auto"/>
                      <w:sz w:val="21"/>
                      <w:szCs w:val="21"/>
                    </w:rPr>
                    <w:t>″,43°40′39.6</w:t>
                  </w:r>
                  <w:r>
                    <w:rPr>
                      <w:rFonts w:hint="eastAsia" w:cs="Times New Roman"/>
                      <w:color w:val="auto"/>
                      <w:sz w:val="21"/>
                      <w:szCs w:val="21"/>
                      <w:lang w:val="en-US" w:eastAsia="zh-CN"/>
                    </w:rPr>
                    <w:t>39</w:t>
                  </w:r>
                  <w:r>
                    <w:rPr>
                      <w:rFonts w:hint="default" w:ascii="Times New Roman" w:hAnsi="Times New Roman" w:cs="Times New Roman"/>
                      <w:color w:val="auto"/>
                      <w:sz w:val="21"/>
                      <w:szCs w:val="21"/>
                    </w:rPr>
                    <w:t>″</w:t>
                  </w:r>
                </w:p>
              </w:tc>
              <w:tc>
                <w:tcPr>
                  <w:tcW w:w="2075" w:type="pct"/>
                  <w:tcBorders>
                    <w:tl2br w:val="nil"/>
                    <w:tr2bl w:val="nil"/>
                  </w:tcBorders>
                  <w:vAlign w:val="center"/>
                </w:tcPr>
                <w:p w14:paraId="03E508CE">
                  <w:pPr>
                    <w:keepNext w:val="0"/>
                    <w:keepLines w:val="0"/>
                    <w:pageBreakBefore w:val="0"/>
                    <w:tabs>
                      <w:tab w:val="center" w:pos="4438"/>
                      <w:tab w:val="left" w:pos="8280"/>
                    </w:tabs>
                    <w:kinsoku/>
                    <w:wordWrap/>
                    <w:overflowPunct/>
                    <w:topLinePunct w:val="0"/>
                    <w:autoSpaceDE/>
                    <w:autoSpaceDN/>
                    <w:bidi w:val="0"/>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89°52′38.3</w:t>
                  </w:r>
                  <w:r>
                    <w:rPr>
                      <w:rFonts w:hint="eastAsia" w:cs="Times New Roman"/>
                      <w:color w:val="auto"/>
                      <w:sz w:val="21"/>
                      <w:szCs w:val="21"/>
                      <w:lang w:val="en-US" w:eastAsia="zh-CN"/>
                    </w:rPr>
                    <w:t>47</w:t>
                  </w:r>
                  <w:r>
                    <w:rPr>
                      <w:rFonts w:hint="default" w:ascii="Times New Roman" w:hAnsi="Times New Roman" w:cs="Times New Roman"/>
                      <w:color w:val="auto"/>
                      <w:sz w:val="21"/>
                      <w:szCs w:val="21"/>
                    </w:rPr>
                    <w:t>″,43°47′39.4</w:t>
                  </w:r>
                  <w:r>
                    <w:rPr>
                      <w:rFonts w:hint="eastAsia" w:cs="Times New Roman"/>
                      <w:color w:val="auto"/>
                      <w:sz w:val="21"/>
                      <w:szCs w:val="21"/>
                      <w:lang w:val="en-US" w:eastAsia="zh-CN"/>
                    </w:rPr>
                    <w:t>32</w:t>
                  </w:r>
                  <w:r>
                    <w:rPr>
                      <w:rFonts w:hint="default" w:ascii="Times New Roman" w:hAnsi="Times New Roman" w:cs="Times New Roman"/>
                      <w:color w:val="auto"/>
                      <w:sz w:val="21"/>
                      <w:szCs w:val="21"/>
                    </w:rPr>
                    <w:t>″</w:t>
                  </w:r>
                </w:p>
              </w:tc>
            </w:tr>
          </w:tbl>
          <w:p w14:paraId="2EA8451F">
            <w:pPr>
              <w:pStyle w:val="36"/>
              <w:rPr>
                <w:rFonts w:hint="default" w:ascii="Times New Roman" w:hAnsi="Times New Roman" w:cs="Times New Roman"/>
                <w:color w:val="auto"/>
                <w:lang w:eastAsia="zh-CN"/>
              </w:rPr>
            </w:pPr>
          </w:p>
        </w:tc>
      </w:tr>
      <w:tr w14:paraId="46D31B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8" w:type="pct"/>
            <w:noWrap w:val="0"/>
            <w:vAlign w:val="center"/>
          </w:tcPr>
          <w:p w14:paraId="366A7F6F">
            <w:pPr>
              <w:adjustRightInd w:val="0"/>
              <w:snapToGrid w:val="0"/>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项目组成及规模</w:t>
            </w:r>
          </w:p>
        </w:tc>
        <w:tc>
          <w:tcPr>
            <w:tcW w:w="4751" w:type="pct"/>
            <w:noWrap w:val="0"/>
            <w:vAlign w:val="center"/>
          </w:tcPr>
          <w:p w14:paraId="3720FF21">
            <w:pPr>
              <w:keepNext w:val="0"/>
              <w:keepLines w:val="0"/>
              <w:pageBreakBefore w:val="0"/>
              <w:widowControl w:val="0"/>
              <w:numPr>
                <w:ilvl w:val="0"/>
                <w:numId w:val="4"/>
              </w:numPr>
              <w:kinsoku/>
              <w:wordWrap/>
              <w:overflowPunct/>
              <w:topLinePunct w:val="0"/>
              <w:autoSpaceDE w:val="0"/>
              <w:autoSpaceDN w:val="0"/>
              <w:bidi w:val="0"/>
              <w:adjustRightInd w:val="0"/>
              <w:snapToGrid w:val="0"/>
              <w:spacing w:before="157" w:beforeLines="50" w:line="360" w:lineRule="auto"/>
              <w:ind w:left="42" w:leftChars="20" w:right="42" w:rightChars="20" w:firstLine="0" w:firstLineChars="0"/>
              <w:textAlignment w:val="auto"/>
              <w:rPr>
                <w:rFonts w:hint="default"/>
                <w:color w:val="auto"/>
                <w:lang w:val="en-US" w:eastAsia="zh-CN"/>
              </w:rPr>
            </w:pPr>
            <w:r>
              <w:rPr>
                <w:rFonts w:hint="eastAsia" w:cs="Times New Roman"/>
                <w:b/>
                <w:bCs/>
                <w:color w:val="auto"/>
                <w:kern w:val="0"/>
                <w:sz w:val="24"/>
                <w:szCs w:val="24"/>
                <w:highlight w:val="none"/>
                <w:lang w:val="en-US" w:eastAsia="zh-CN"/>
              </w:rPr>
              <w:t>项目背景</w:t>
            </w:r>
          </w:p>
          <w:p w14:paraId="70FD0131">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eastAsia" w:ascii="Times New Roman" w:hAnsi="Times New Roman" w:eastAsia="宋体" w:cs="Times New Roman"/>
                <w:color w:val="auto"/>
                <w:kern w:val="0"/>
                <w:sz w:val="24"/>
                <w:szCs w:val="24"/>
                <w:highlight w:val="none"/>
                <w:lang w:val="en-US" w:eastAsia="zh-CN"/>
              </w:rPr>
              <w:t>《全国高标准农田建设规划》提出到2030年完成10亿亩高标准农田，西北干旱区强化灌排设施。新疆维吾尔自治区党委将水利作为关键举措，2025年实施意见提出“三畅通”，其中“畅通水路”强调灌区工程衔接和干支渠防渗改造，与项目提升输水能力目标契合。新疆到2035年需建成高标准农田8226万亩，实现高效节水全覆盖。奇台县作为粮食主产区，老干渠改造项目列入重点清单，享受政策支持。东塘水库将除险加固，下游灌区依赖其作为唯一水源。老干渠改造后可在施工期间提供应急供水，解决供水难题。</w:t>
            </w:r>
          </w:p>
          <w:p w14:paraId="7155B8DC">
            <w:pPr>
              <w:keepNext w:val="0"/>
              <w:keepLines w:val="0"/>
              <w:pageBreakBefore w:val="0"/>
              <w:widowControl w:val="0"/>
              <w:numPr>
                <w:ilvl w:val="0"/>
                <w:numId w:val="4"/>
              </w:numPr>
              <w:kinsoku/>
              <w:wordWrap/>
              <w:overflowPunct/>
              <w:topLinePunct w:val="0"/>
              <w:autoSpaceDE w:val="0"/>
              <w:autoSpaceDN w:val="0"/>
              <w:bidi w:val="0"/>
              <w:adjustRightInd w:val="0"/>
              <w:snapToGrid w:val="0"/>
              <w:spacing w:before="157" w:beforeLines="50"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主要建设内容</w:t>
            </w:r>
          </w:p>
          <w:p w14:paraId="15171CBB">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本次通过对老奇台老干渠上游段的提升改造，计划改建渠道1条，总长14.336km，配套渠系建筑物11座，其中农桥4座，渡槽7座</w:t>
            </w:r>
            <w:r>
              <w:rPr>
                <w:rFonts w:hint="eastAsia" w:cs="Times New Roman"/>
                <w:color w:val="auto"/>
                <w:kern w:val="0"/>
                <w:sz w:val="24"/>
                <w:szCs w:val="24"/>
                <w:highlight w:val="none"/>
                <w:lang w:val="en-US" w:eastAsia="zh-CN"/>
              </w:rPr>
              <w:t>，消能台阶293座</w:t>
            </w:r>
            <w:r>
              <w:rPr>
                <w:rFonts w:hint="default" w:ascii="Times New Roman" w:hAnsi="Times New Roman" w:eastAsia="宋体" w:cs="Times New Roman"/>
                <w:color w:val="auto"/>
                <w:kern w:val="0"/>
                <w:sz w:val="24"/>
                <w:szCs w:val="24"/>
                <w:highlight w:val="none"/>
                <w:lang w:val="en-US" w:eastAsia="zh-CN"/>
              </w:rPr>
              <w:t>。工程建成后可改善灌区灌溉面积11.8万亩</w:t>
            </w:r>
            <w:r>
              <w:rPr>
                <w:rFonts w:hint="eastAsia" w:cs="Times New Roman"/>
                <w:color w:val="auto"/>
                <w:kern w:val="0"/>
                <w:sz w:val="24"/>
                <w:szCs w:val="24"/>
                <w:highlight w:val="none"/>
                <w:lang w:val="en-US" w:eastAsia="zh-CN"/>
              </w:rPr>
              <w:t>，</w:t>
            </w:r>
            <w:r>
              <w:rPr>
                <w:rFonts w:hint="default" w:ascii="Times New Roman" w:hAnsi="Times New Roman" w:eastAsia="宋体" w:cs="Times New Roman"/>
                <w:color w:val="auto"/>
                <w:kern w:val="0"/>
                <w:sz w:val="24"/>
                <w:szCs w:val="24"/>
                <w:highlight w:val="none"/>
                <w:lang w:val="en-US" w:eastAsia="zh-CN"/>
              </w:rPr>
              <w:t>根据《水利水电工程等级划分及洪水标准》（SL252-2017），灌溉面积为11.8万亩，工程等别为Ⅲ等，规模属于中型</w:t>
            </w:r>
            <w:r>
              <w:rPr>
                <w:rFonts w:hint="eastAsia" w:cs="Times New Roman"/>
                <w:color w:val="auto"/>
                <w:kern w:val="0"/>
                <w:sz w:val="24"/>
                <w:szCs w:val="24"/>
                <w:highlight w:val="none"/>
                <w:lang w:val="en-US" w:eastAsia="zh-CN"/>
              </w:rPr>
              <w:t>。</w:t>
            </w:r>
          </w:p>
          <w:p w14:paraId="60E0E4DD">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本项目主要建设内容一览表见表2-2。</w:t>
            </w:r>
          </w:p>
          <w:p w14:paraId="2D617B2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bCs/>
                <w:color w:val="auto"/>
                <w:spacing w:val="-2"/>
                <w:sz w:val="24"/>
                <w:szCs w:val="24"/>
              </w:rPr>
            </w:pPr>
            <w:r>
              <w:rPr>
                <w:rFonts w:hint="default" w:ascii="Times New Roman" w:hAnsi="Times New Roman" w:eastAsia="宋体" w:cs="Times New Roman"/>
                <w:b/>
                <w:bCs/>
                <w:color w:val="auto"/>
                <w:spacing w:val="-2"/>
                <w:sz w:val="24"/>
                <w:szCs w:val="24"/>
              </w:rPr>
              <w:t>表2-</w:t>
            </w:r>
            <w:r>
              <w:rPr>
                <w:rFonts w:hint="default" w:ascii="Times New Roman" w:hAnsi="Times New Roman" w:eastAsia="宋体" w:cs="Times New Roman"/>
                <w:b/>
                <w:bCs/>
                <w:color w:val="auto"/>
                <w:spacing w:val="-2"/>
                <w:sz w:val="24"/>
                <w:szCs w:val="24"/>
                <w:lang w:val="en-US" w:eastAsia="zh-CN"/>
              </w:rPr>
              <w:t>2</w:t>
            </w:r>
            <w:r>
              <w:rPr>
                <w:rFonts w:hint="eastAsia" w:cs="Times New Roman"/>
                <w:b/>
                <w:bCs/>
                <w:color w:val="auto"/>
                <w:spacing w:val="-2"/>
                <w:sz w:val="24"/>
                <w:szCs w:val="24"/>
                <w:lang w:val="en-US" w:eastAsia="zh-CN"/>
              </w:rPr>
              <w:t>本项目</w:t>
            </w:r>
            <w:r>
              <w:rPr>
                <w:rFonts w:hint="default" w:ascii="Times New Roman" w:hAnsi="Times New Roman" w:eastAsia="宋体" w:cs="Times New Roman"/>
                <w:b/>
                <w:bCs/>
                <w:color w:val="auto"/>
                <w:spacing w:val="-2"/>
                <w:sz w:val="24"/>
                <w:szCs w:val="24"/>
              </w:rPr>
              <w:t>建设内容一览表</w:t>
            </w:r>
          </w:p>
          <w:tbl>
            <w:tblPr>
              <w:tblStyle w:val="2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711"/>
              <w:gridCol w:w="582"/>
              <w:gridCol w:w="5804"/>
            </w:tblGrid>
            <w:tr w14:paraId="2C5CB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90" w:type="pct"/>
                  <w:noWrap w:val="0"/>
                  <w:vAlign w:val="center"/>
                </w:tcPr>
                <w:p w14:paraId="6DF75242">
                  <w:pPr>
                    <w:keepNext w:val="0"/>
                    <w:keepLines w:val="0"/>
                    <w:pageBreakBefore w:val="0"/>
                    <w:tabs>
                      <w:tab w:val="center" w:pos="4438"/>
                      <w:tab w:val="left" w:pos="8280"/>
                    </w:tabs>
                    <w:kinsoku/>
                    <w:wordWrap/>
                    <w:overflowPunct/>
                    <w:topLinePunct w:val="0"/>
                    <w:autoSpaceDE/>
                    <w:autoSpaceDN/>
                    <w:bidi w:val="0"/>
                    <w:adjustRightInd w:val="0"/>
                    <w:snapToGrid w:val="0"/>
                    <w:spacing w:line="240" w:lineRule="auto"/>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分类</w:t>
                  </w:r>
                </w:p>
              </w:tc>
              <w:tc>
                <w:tcPr>
                  <w:tcW w:w="821" w:type="pct"/>
                  <w:gridSpan w:val="2"/>
                  <w:noWrap w:val="0"/>
                  <w:vAlign w:val="center"/>
                </w:tcPr>
                <w:p w14:paraId="4AD12BD1">
                  <w:pPr>
                    <w:keepNext w:val="0"/>
                    <w:keepLines w:val="0"/>
                    <w:pageBreakBefore w:val="0"/>
                    <w:tabs>
                      <w:tab w:val="center" w:pos="4438"/>
                      <w:tab w:val="left" w:pos="8280"/>
                    </w:tabs>
                    <w:kinsoku/>
                    <w:wordWrap/>
                    <w:overflowPunct/>
                    <w:topLinePunct w:val="0"/>
                    <w:autoSpaceDE/>
                    <w:autoSpaceDN/>
                    <w:bidi w:val="0"/>
                    <w:adjustRightInd w:val="0"/>
                    <w:snapToGrid w:val="0"/>
                    <w:spacing w:line="240" w:lineRule="auto"/>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建设内容</w:t>
                  </w:r>
                </w:p>
              </w:tc>
              <w:tc>
                <w:tcPr>
                  <w:tcW w:w="3687" w:type="pct"/>
                  <w:noWrap w:val="0"/>
                  <w:vAlign w:val="center"/>
                </w:tcPr>
                <w:p w14:paraId="3EE96292">
                  <w:pPr>
                    <w:keepNext w:val="0"/>
                    <w:keepLines w:val="0"/>
                    <w:pageBreakBefore w:val="0"/>
                    <w:tabs>
                      <w:tab w:val="center" w:pos="4438"/>
                      <w:tab w:val="left" w:pos="8280"/>
                    </w:tabs>
                    <w:kinsoku/>
                    <w:wordWrap/>
                    <w:overflowPunct/>
                    <w:topLinePunct w:val="0"/>
                    <w:autoSpaceDE/>
                    <w:autoSpaceDN/>
                    <w:bidi w:val="0"/>
                    <w:adjustRightInd w:val="0"/>
                    <w:snapToGrid w:val="0"/>
                    <w:spacing w:line="240" w:lineRule="auto"/>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规模</w:t>
                  </w:r>
                </w:p>
              </w:tc>
            </w:tr>
            <w:tr w14:paraId="358DF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490" w:type="pct"/>
                  <w:vMerge w:val="restart"/>
                  <w:noWrap w:val="0"/>
                  <w:vAlign w:val="center"/>
                </w:tcPr>
                <w:p w14:paraId="0E680797">
                  <w:pPr>
                    <w:keepNext w:val="0"/>
                    <w:keepLines w:val="0"/>
                    <w:pageBreakBefore w:val="0"/>
                    <w:tabs>
                      <w:tab w:val="center" w:pos="4438"/>
                      <w:tab w:val="left" w:pos="8280"/>
                    </w:tabs>
                    <w:kinsoku/>
                    <w:wordWrap/>
                    <w:overflowPunct/>
                    <w:topLinePunct w:val="0"/>
                    <w:autoSpaceDE/>
                    <w:autoSpaceDN/>
                    <w:bidi w:val="0"/>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主体工程</w:t>
                  </w:r>
                </w:p>
              </w:tc>
              <w:tc>
                <w:tcPr>
                  <w:tcW w:w="821" w:type="pct"/>
                  <w:gridSpan w:val="2"/>
                  <w:noWrap w:val="0"/>
                  <w:vAlign w:val="center"/>
                </w:tcPr>
                <w:p w14:paraId="30F4A177">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防渗渠</w:t>
                  </w:r>
                </w:p>
              </w:tc>
              <w:tc>
                <w:tcPr>
                  <w:tcW w:w="3687" w:type="pct"/>
                  <w:noWrap w:val="0"/>
                  <w:vAlign w:val="center"/>
                </w:tcPr>
                <w:p w14:paraId="402F58F8">
                  <w:pPr>
                    <w:keepNext w:val="0"/>
                    <w:keepLines w:val="0"/>
                    <w:pageBreakBefore w:val="0"/>
                    <w:kinsoku/>
                    <w:wordWrap/>
                    <w:overflowPunct/>
                    <w:topLinePunct w:val="0"/>
                    <w:autoSpaceDE/>
                    <w:autoSpaceDN/>
                    <w:bidi w:val="0"/>
                    <w:adjustRightInd w:val="0"/>
                    <w:snapToGrid w:val="0"/>
                    <w:spacing w:line="240" w:lineRule="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改建渠道1条，总长14.336k</w:t>
                  </w:r>
                  <w:r>
                    <w:rPr>
                      <w:rFonts w:hint="eastAsia" w:cs="Times New Roman"/>
                      <w:color w:val="auto"/>
                      <w:sz w:val="21"/>
                      <w:szCs w:val="21"/>
                      <w:lang w:val="en-US" w:eastAsia="zh-CN"/>
                    </w:rPr>
                    <w:t>m</w:t>
                  </w:r>
                  <w:r>
                    <w:rPr>
                      <w:rFonts w:hint="eastAsia" w:cs="Times New Roman"/>
                      <w:color w:val="auto"/>
                      <w:sz w:val="21"/>
                      <w:szCs w:val="21"/>
                      <w:highlight w:val="none"/>
                      <w:lang w:val="en-US" w:eastAsia="zh-CN"/>
                    </w:rPr>
                    <w:t>，设计流量：7.5m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/s</w:t>
                  </w:r>
                  <w:r>
                    <w:rPr>
                      <w:rFonts w:hint="default" w:ascii="Times New Roman" w:hAnsi="Times New Roman" w:cs="Times New Roman"/>
                      <w:color w:val="auto"/>
                      <w:sz w:val="21"/>
                      <w:szCs w:val="21"/>
                      <w:highlight w:val="none"/>
                      <w:lang w:val="en-US" w:eastAsia="zh-CN"/>
                    </w:rPr>
                    <w:t>。</w:t>
                  </w:r>
                </w:p>
              </w:tc>
            </w:tr>
            <w:tr w14:paraId="24C1F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490" w:type="pct"/>
                  <w:vMerge w:val="continue"/>
                  <w:noWrap w:val="0"/>
                  <w:vAlign w:val="center"/>
                </w:tcPr>
                <w:p w14:paraId="5EE2A70D">
                  <w:pPr>
                    <w:keepNext w:val="0"/>
                    <w:keepLines w:val="0"/>
                    <w:pageBreakBefore w:val="0"/>
                    <w:tabs>
                      <w:tab w:val="center" w:pos="4438"/>
                      <w:tab w:val="left" w:pos="8280"/>
                    </w:tabs>
                    <w:kinsoku/>
                    <w:wordWrap/>
                    <w:overflowPunct/>
                    <w:topLinePunct w:val="0"/>
                    <w:autoSpaceDE/>
                    <w:autoSpaceDN/>
                    <w:bidi w:val="0"/>
                    <w:adjustRightInd w:val="0"/>
                    <w:snapToGrid w:val="0"/>
                    <w:spacing w:line="240" w:lineRule="auto"/>
                    <w:jc w:val="center"/>
                    <w:rPr>
                      <w:rFonts w:hint="default" w:ascii="Times New Roman" w:hAnsi="Times New Roman" w:cs="Times New Roman"/>
                      <w:color w:val="auto"/>
                      <w:sz w:val="21"/>
                      <w:szCs w:val="21"/>
                    </w:rPr>
                  </w:pPr>
                </w:p>
              </w:tc>
              <w:tc>
                <w:tcPr>
                  <w:tcW w:w="451" w:type="pct"/>
                  <w:vMerge w:val="restart"/>
                  <w:noWrap w:val="0"/>
                  <w:vAlign w:val="center"/>
                </w:tcPr>
                <w:p w14:paraId="52B05774">
                  <w:pPr>
                    <w:keepNext w:val="0"/>
                    <w:keepLines w:val="0"/>
                    <w:pageBreakBefore w:val="0"/>
                    <w:kinsoku/>
                    <w:wordWrap/>
                    <w:overflowPunct/>
                    <w:topLinePunct w:val="0"/>
                    <w:autoSpaceDE/>
                    <w:autoSpaceDN/>
                    <w:bidi w:val="0"/>
                    <w:adjustRightInd w:val="0"/>
                    <w:snapToGrid w:val="0"/>
                    <w:spacing w:line="240" w:lineRule="auto"/>
                    <w:jc w:val="center"/>
                    <w:rPr>
                      <w:rFonts w:hint="default" w:cs="Times New Roman"/>
                      <w:color w:val="auto"/>
                      <w:sz w:val="21"/>
                      <w:szCs w:val="21"/>
                      <w:lang w:val="en-US" w:eastAsia="zh-CN"/>
                    </w:rPr>
                  </w:pPr>
                  <w:r>
                    <w:rPr>
                      <w:rFonts w:hint="eastAsia" w:cs="Times New Roman"/>
                      <w:color w:val="auto"/>
                      <w:sz w:val="21"/>
                      <w:szCs w:val="21"/>
                      <w:lang w:val="en-US" w:eastAsia="zh-CN"/>
                    </w:rPr>
                    <w:t>渠系建筑物</w:t>
                  </w:r>
                </w:p>
              </w:tc>
              <w:tc>
                <w:tcPr>
                  <w:tcW w:w="369" w:type="pct"/>
                  <w:noWrap w:val="0"/>
                  <w:vAlign w:val="center"/>
                </w:tcPr>
                <w:p w14:paraId="011E0071">
                  <w:pPr>
                    <w:keepNext w:val="0"/>
                    <w:keepLines w:val="0"/>
                    <w:pageBreakBefore w:val="0"/>
                    <w:kinsoku/>
                    <w:wordWrap/>
                    <w:overflowPunct/>
                    <w:topLinePunct w:val="0"/>
                    <w:autoSpaceDE/>
                    <w:autoSpaceDN/>
                    <w:bidi w:val="0"/>
                    <w:adjustRightInd w:val="0"/>
                    <w:snapToGrid w:val="0"/>
                    <w:spacing w:line="240" w:lineRule="auto"/>
                    <w:jc w:val="center"/>
                    <w:rPr>
                      <w:rFonts w:hint="eastAsia" w:cs="Times New Roman"/>
                      <w:color w:val="auto"/>
                      <w:sz w:val="21"/>
                      <w:szCs w:val="21"/>
                      <w:lang w:val="en-US" w:eastAsia="zh-CN"/>
                    </w:rPr>
                  </w:pPr>
                  <w:r>
                    <w:rPr>
                      <w:rFonts w:hint="eastAsia" w:cs="Times New Roman"/>
                      <w:color w:val="auto"/>
                      <w:sz w:val="21"/>
                      <w:szCs w:val="21"/>
                      <w:lang w:val="en-US" w:eastAsia="zh-CN"/>
                    </w:rPr>
                    <w:t>农桥</w:t>
                  </w:r>
                </w:p>
              </w:tc>
              <w:tc>
                <w:tcPr>
                  <w:tcW w:w="3687" w:type="pct"/>
                  <w:noWrap w:val="0"/>
                  <w:vAlign w:val="center"/>
                </w:tcPr>
                <w:p w14:paraId="1412A23E">
                  <w:pPr>
                    <w:keepNext w:val="0"/>
                    <w:keepLines w:val="0"/>
                    <w:pageBreakBefore w:val="0"/>
                    <w:kinsoku/>
                    <w:wordWrap/>
                    <w:overflowPunct/>
                    <w:topLinePunct w:val="0"/>
                    <w:autoSpaceDE/>
                    <w:autoSpaceDN/>
                    <w:bidi w:val="0"/>
                    <w:adjustRightInd w:val="0"/>
                    <w:snapToGrid w:val="0"/>
                    <w:spacing w:line="240" w:lineRule="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农桥4座</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农桥均采用钢筋混凝土简支板桥结构，跨度为2.0～6.0m，桥板</w:t>
                  </w:r>
                  <w:r>
                    <w:rPr>
                      <w:rFonts w:hint="eastAsia" w:cs="Times New Roman"/>
                      <w:color w:val="auto"/>
                      <w:sz w:val="21"/>
                      <w:szCs w:val="21"/>
                      <w:lang w:val="en-US" w:eastAsia="zh-CN"/>
                    </w:rPr>
                    <w:t>厚度</w:t>
                  </w:r>
                  <w:r>
                    <w:rPr>
                      <w:rFonts w:hint="default" w:ascii="Times New Roman" w:hAnsi="Times New Roman" w:cs="Times New Roman"/>
                      <w:color w:val="auto"/>
                      <w:sz w:val="21"/>
                      <w:szCs w:val="21"/>
                      <w:lang w:val="en-US" w:eastAsia="zh-CN"/>
                    </w:rPr>
                    <w:t>为20～35cm，桥面宽度5.0m，桥墩采用重力式挡土墙结构</w:t>
                  </w:r>
                  <w:r>
                    <w:rPr>
                      <w:rFonts w:hint="eastAsia" w:cs="Times New Roman"/>
                      <w:color w:val="auto"/>
                      <w:sz w:val="21"/>
                      <w:szCs w:val="21"/>
                      <w:lang w:val="en-US" w:eastAsia="zh-CN"/>
                    </w:rPr>
                    <w:t>。</w:t>
                  </w:r>
                </w:p>
              </w:tc>
            </w:tr>
            <w:tr w14:paraId="3EB53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 w:hRule="atLeast"/>
                <w:jc w:val="center"/>
              </w:trPr>
              <w:tc>
                <w:tcPr>
                  <w:tcW w:w="490" w:type="pct"/>
                  <w:vMerge w:val="continue"/>
                  <w:noWrap w:val="0"/>
                  <w:vAlign w:val="center"/>
                </w:tcPr>
                <w:p w14:paraId="1DDDAB85">
                  <w:pPr>
                    <w:keepNext w:val="0"/>
                    <w:keepLines w:val="0"/>
                    <w:pageBreakBefore w:val="0"/>
                    <w:tabs>
                      <w:tab w:val="center" w:pos="4438"/>
                      <w:tab w:val="left" w:pos="8280"/>
                    </w:tabs>
                    <w:kinsoku/>
                    <w:wordWrap/>
                    <w:overflowPunct/>
                    <w:topLinePunct w:val="0"/>
                    <w:autoSpaceDE/>
                    <w:autoSpaceDN/>
                    <w:bidi w:val="0"/>
                    <w:adjustRightInd w:val="0"/>
                    <w:snapToGrid w:val="0"/>
                    <w:spacing w:line="240" w:lineRule="auto"/>
                    <w:jc w:val="center"/>
                    <w:rPr>
                      <w:rFonts w:hint="default" w:ascii="Times New Roman" w:hAnsi="Times New Roman" w:cs="Times New Roman"/>
                      <w:color w:val="auto"/>
                      <w:sz w:val="21"/>
                      <w:szCs w:val="21"/>
                    </w:rPr>
                  </w:pPr>
                </w:p>
              </w:tc>
              <w:tc>
                <w:tcPr>
                  <w:tcW w:w="451" w:type="pct"/>
                  <w:vMerge w:val="continue"/>
                  <w:noWrap w:val="0"/>
                  <w:vAlign w:val="center"/>
                </w:tcPr>
                <w:p w14:paraId="30F55BAE">
                  <w:pPr>
                    <w:keepNext w:val="0"/>
                    <w:keepLines w:val="0"/>
                    <w:pageBreakBefore w:val="0"/>
                    <w:kinsoku/>
                    <w:wordWrap/>
                    <w:overflowPunct/>
                    <w:topLinePunct w:val="0"/>
                    <w:autoSpaceDE/>
                    <w:autoSpaceDN/>
                    <w:bidi w:val="0"/>
                    <w:adjustRightInd w:val="0"/>
                    <w:snapToGrid w:val="0"/>
                    <w:spacing w:line="240" w:lineRule="auto"/>
                    <w:jc w:val="center"/>
                    <w:rPr>
                      <w:rFonts w:hint="default" w:cs="Times New Roman"/>
                      <w:color w:val="auto"/>
                      <w:sz w:val="21"/>
                      <w:szCs w:val="21"/>
                      <w:lang w:val="en-US" w:eastAsia="zh-CN"/>
                    </w:rPr>
                  </w:pPr>
                </w:p>
              </w:tc>
              <w:tc>
                <w:tcPr>
                  <w:tcW w:w="369" w:type="pct"/>
                  <w:noWrap w:val="0"/>
                  <w:vAlign w:val="center"/>
                </w:tcPr>
                <w:p w14:paraId="0AE01B46">
                  <w:pPr>
                    <w:keepNext w:val="0"/>
                    <w:keepLines w:val="0"/>
                    <w:pageBreakBefore w:val="0"/>
                    <w:kinsoku/>
                    <w:wordWrap/>
                    <w:overflowPunct/>
                    <w:topLinePunct w:val="0"/>
                    <w:autoSpaceDE/>
                    <w:autoSpaceDN/>
                    <w:bidi w:val="0"/>
                    <w:adjustRightInd w:val="0"/>
                    <w:snapToGrid w:val="0"/>
                    <w:spacing w:line="240" w:lineRule="auto"/>
                    <w:jc w:val="center"/>
                    <w:rPr>
                      <w:rFonts w:hint="eastAsia" w:cs="Times New Roman"/>
                      <w:color w:val="auto"/>
                      <w:sz w:val="21"/>
                      <w:szCs w:val="21"/>
                      <w:lang w:val="en-US" w:eastAsia="zh-CN"/>
                    </w:rPr>
                  </w:pPr>
                  <w:r>
                    <w:rPr>
                      <w:rFonts w:hint="eastAsia" w:cs="Times New Roman"/>
                      <w:color w:val="auto"/>
                      <w:sz w:val="21"/>
                      <w:szCs w:val="21"/>
                      <w:lang w:val="en-US" w:eastAsia="zh-CN"/>
                    </w:rPr>
                    <w:t>渡槽</w:t>
                  </w:r>
                </w:p>
              </w:tc>
              <w:tc>
                <w:tcPr>
                  <w:tcW w:w="3687" w:type="pct"/>
                  <w:noWrap w:val="0"/>
                  <w:vAlign w:val="center"/>
                </w:tcPr>
                <w:p w14:paraId="13D59B16">
                  <w:pPr>
                    <w:keepNext w:val="0"/>
                    <w:keepLines w:val="0"/>
                    <w:pageBreakBefore w:val="0"/>
                    <w:kinsoku/>
                    <w:wordWrap/>
                    <w:overflowPunct/>
                    <w:topLinePunct w:val="0"/>
                    <w:autoSpaceDE/>
                    <w:autoSpaceDN/>
                    <w:bidi w:val="0"/>
                    <w:adjustRightInd w:val="0"/>
                    <w:snapToGrid w:val="0"/>
                    <w:spacing w:line="240" w:lineRule="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渡槽7座</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本次干渠改造后底宽2.5m，上口宽6.1m，改建渡槽净跨为6.1m，除K5+225、K9+912.77两处渡槽采用钢管渡槽外，其余结构形式采用简支梁式渡槽，槽身断面为矩形，采用C40钢筋混凝土现浇。渡槽上下游连接段长度2.0m，均采用现浇C40砼结构，挡墙高度渐变，与实际地面顺接。</w:t>
                  </w:r>
                </w:p>
              </w:tc>
            </w:tr>
            <w:tr w14:paraId="61E6B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jc w:val="center"/>
              </w:trPr>
              <w:tc>
                <w:tcPr>
                  <w:tcW w:w="490" w:type="pct"/>
                  <w:vMerge w:val="continue"/>
                  <w:noWrap w:val="0"/>
                  <w:vAlign w:val="center"/>
                </w:tcPr>
                <w:p w14:paraId="61D92BF4">
                  <w:pPr>
                    <w:keepNext w:val="0"/>
                    <w:keepLines w:val="0"/>
                    <w:pageBreakBefore w:val="0"/>
                    <w:tabs>
                      <w:tab w:val="center" w:pos="4438"/>
                      <w:tab w:val="left" w:pos="8280"/>
                    </w:tabs>
                    <w:kinsoku/>
                    <w:wordWrap/>
                    <w:overflowPunct/>
                    <w:topLinePunct w:val="0"/>
                    <w:autoSpaceDE/>
                    <w:autoSpaceDN/>
                    <w:bidi w:val="0"/>
                    <w:adjustRightInd w:val="0"/>
                    <w:snapToGrid w:val="0"/>
                    <w:spacing w:line="240" w:lineRule="auto"/>
                    <w:jc w:val="center"/>
                    <w:rPr>
                      <w:rFonts w:hint="default" w:ascii="Times New Roman" w:hAnsi="Times New Roman" w:cs="Times New Roman"/>
                      <w:color w:val="auto"/>
                      <w:sz w:val="21"/>
                      <w:szCs w:val="21"/>
                    </w:rPr>
                  </w:pPr>
                </w:p>
              </w:tc>
              <w:tc>
                <w:tcPr>
                  <w:tcW w:w="451" w:type="pct"/>
                  <w:vMerge w:val="continue"/>
                  <w:noWrap w:val="0"/>
                  <w:vAlign w:val="center"/>
                </w:tcPr>
                <w:p w14:paraId="42A0A121">
                  <w:pPr>
                    <w:keepNext w:val="0"/>
                    <w:keepLines w:val="0"/>
                    <w:pageBreakBefore w:val="0"/>
                    <w:kinsoku/>
                    <w:wordWrap/>
                    <w:overflowPunct/>
                    <w:topLinePunct w:val="0"/>
                    <w:autoSpaceDE/>
                    <w:autoSpaceDN/>
                    <w:bidi w:val="0"/>
                    <w:adjustRightInd w:val="0"/>
                    <w:snapToGrid w:val="0"/>
                    <w:spacing w:line="240" w:lineRule="auto"/>
                    <w:jc w:val="center"/>
                    <w:rPr>
                      <w:rFonts w:hint="default" w:cs="Times New Roman"/>
                      <w:color w:val="auto"/>
                      <w:sz w:val="21"/>
                      <w:szCs w:val="21"/>
                      <w:lang w:val="en-US" w:eastAsia="zh-CN"/>
                    </w:rPr>
                  </w:pPr>
                </w:p>
              </w:tc>
              <w:tc>
                <w:tcPr>
                  <w:tcW w:w="369" w:type="pct"/>
                  <w:noWrap w:val="0"/>
                  <w:vAlign w:val="center"/>
                </w:tcPr>
                <w:p w14:paraId="155FBB64">
                  <w:pPr>
                    <w:keepNext w:val="0"/>
                    <w:keepLines w:val="0"/>
                    <w:pageBreakBefore w:val="0"/>
                    <w:kinsoku/>
                    <w:wordWrap/>
                    <w:overflowPunct/>
                    <w:topLinePunct w:val="0"/>
                    <w:autoSpaceDE/>
                    <w:autoSpaceDN/>
                    <w:bidi w:val="0"/>
                    <w:adjustRightInd w:val="0"/>
                    <w:snapToGrid w:val="0"/>
                    <w:spacing w:line="240" w:lineRule="auto"/>
                    <w:jc w:val="center"/>
                    <w:rPr>
                      <w:rFonts w:hint="eastAsia" w:cs="Times New Roman"/>
                      <w:color w:val="auto"/>
                      <w:sz w:val="21"/>
                      <w:szCs w:val="21"/>
                      <w:lang w:val="en-US" w:eastAsia="zh-CN"/>
                    </w:rPr>
                  </w:pPr>
                  <w:r>
                    <w:rPr>
                      <w:rFonts w:hint="eastAsia" w:cs="Times New Roman"/>
                      <w:color w:val="auto"/>
                      <w:sz w:val="21"/>
                      <w:szCs w:val="21"/>
                      <w:lang w:val="en-US" w:eastAsia="zh-CN"/>
                    </w:rPr>
                    <w:t>消能台阶</w:t>
                  </w:r>
                </w:p>
              </w:tc>
              <w:tc>
                <w:tcPr>
                  <w:tcW w:w="3687" w:type="pct"/>
                  <w:noWrap w:val="0"/>
                  <w:vAlign w:val="center"/>
                </w:tcPr>
                <w:p w14:paraId="346958BD">
                  <w:pPr>
                    <w:keepNext w:val="0"/>
                    <w:keepLines w:val="0"/>
                    <w:pageBreakBefore w:val="0"/>
                    <w:kinsoku/>
                    <w:wordWrap/>
                    <w:overflowPunct/>
                    <w:topLinePunct w:val="0"/>
                    <w:autoSpaceDE/>
                    <w:autoSpaceDN/>
                    <w:bidi w:val="0"/>
                    <w:adjustRightInd w:val="0"/>
                    <w:snapToGrid w:val="0"/>
                    <w:spacing w:line="240" w:lineRule="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消能台阶293座</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两侧采用渐变厚砼边坡与之相连，边坡厚度自上而下12cm</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20cm，坡比1:1.5，边坡底采用宽30cm，深60cm现浇砼基础，底板与边坡砼基础之间设置止水，采用651型止水带，高压闭孔板填缝。</w:t>
                  </w:r>
                </w:p>
              </w:tc>
            </w:tr>
            <w:tr w14:paraId="54D07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490" w:type="pct"/>
                  <w:vMerge w:val="restart"/>
                  <w:noWrap w:val="0"/>
                  <w:vAlign w:val="center"/>
                </w:tcPr>
                <w:p w14:paraId="7071AE71">
                  <w:pPr>
                    <w:keepNext w:val="0"/>
                    <w:keepLines w:val="0"/>
                    <w:pageBreakBefore w:val="0"/>
                    <w:tabs>
                      <w:tab w:val="center" w:pos="4438"/>
                      <w:tab w:val="left" w:pos="8280"/>
                    </w:tabs>
                    <w:kinsoku/>
                    <w:wordWrap/>
                    <w:overflowPunct/>
                    <w:topLinePunct w:val="0"/>
                    <w:autoSpaceDE/>
                    <w:autoSpaceDN/>
                    <w:bidi w:val="0"/>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辅助工程</w:t>
                  </w:r>
                </w:p>
              </w:tc>
              <w:tc>
                <w:tcPr>
                  <w:tcW w:w="821" w:type="pct"/>
                  <w:gridSpan w:val="2"/>
                  <w:noWrap w:val="0"/>
                  <w:vAlign w:val="center"/>
                </w:tcPr>
                <w:p w14:paraId="55C69E16">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临时道路施工</w:t>
                  </w:r>
                </w:p>
              </w:tc>
              <w:tc>
                <w:tcPr>
                  <w:tcW w:w="3687" w:type="pct"/>
                  <w:noWrap w:val="0"/>
                  <w:vAlign w:val="center"/>
                </w:tcPr>
                <w:p w14:paraId="6A0A3991">
                  <w:pPr>
                    <w:keepNext w:val="0"/>
                    <w:keepLines w:val="0"/>
                    <w:pageBreakBefore w:val="0"/>
                    <w:kinsoku/>
                    <w:wordWrap/>
                    <w:overflowPunct/>
                    <w:topLinePunct w:val="0"/>
                    <w:autoSpaceDE/>
                    <w:autoSpaceDN/>
                    <w:bidi w:val="0"/>
                    <w:spacing w:line="240" w:lineRule="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本工程开垦河老干渠中段需要修筑临时施工道路</w:t>
                  </w:r>
                  <w:r>
                    <w:rPr>
                      <w:rFonts w:hint="eastAsia" w:cs="Times New Roman"/>
                      <w:color w:val="auto"/>
                      <w:sz w:val="21"/>
                      <w:szCs w:val="21"/>
                      <w:lang w:val="en-US" w:eastAsia="zh-CN"/>
                    </w:rPr>
                    <w:t>5</w:t>
                  </w:r>
                  <w:r>
                    <w:rPr>
                      <w:rFonts w:hint="default" w:ascii="Times New Roman" w:hAnsi="Times New Roman" w:eastAsia="宋体" w:cs="Times New Roman"/>
                      <w:color w:val="auto"/>
                      <w:sz w:val="21"/>
                      <w:szCs w:val="21"/>
                      <w:lang w:val="en-US" w:eastAsia="zh-CN"/>
                    </w:rPr>
                    <w:t>km，宽度</w:t>
                  </w:r>
                  <w:r>
                    <w:rPr>
                      <w:rFonts w:hint="eastAsia" w:cs="Times New Roman"/>
                      <w:color w:val="auto"/>
                      <w:sz w:val="21"/>
                      <w:szCs w:val="21"/>
                      <w:lang w:val="en-US" w:eastAsia="zh-CN"/>
                    </w:rPr>
                    <w:t>4</w:t>
                  </w:r>
                  <w:r>
                    <w:rPr>
                      <w:rFonts w:hint="default" w:ascii="Times New Roman" w:hAnsi="Times New Roman" w:eastAsia="宋体" w:cs="Times New Roman"/>
                      <w:color w:val="auto"/>
                      <w:sz w:val="21"/>
                      <w:szCs w:val="21"/>
                      <w:lang w:val="en-US" w:eastAsia="zh-CN"/>
                    </w:rPr>
                    <w:t>.0m，原地面平整压实。</w:t>
                  </w:r>
                  <w:r>
                    <w:rPr>
                      <w:rFonts w:hint="default" w:ascii="Times New Roman" w:hAnsi="Times New Roman" w:eastAsia="宋体" w:cs="Times New Roman"/>
                      <w:color w:val="auto"/>
                      <w:sz w:val="21"/>
                      <w:szCs w:val="21"/>
                      <w:highlight w:val="none"/>
                      <w:lang w:val="en-US" w:eastAsia="zh-CN"/>
                    </w:rPr>
                    <w:t>占地类型为</w:t>
                  </w:r>
                  <w:r>
                    <w:rPr>
                      <w:rFonts w:hint="eastAsia" w:cs="Times New Roman"/>
                      <w:color w:val="auto"/>
                      <w:sz w:val="21"/>
                      <w:szCs w:val="21"/>
                      <w:highlight w:val="none"/>
                      <w:lang w:val="en-US" w:eastAsia="zh-CN"/>
                    </w:rPr>
                    <w:t>；裸土地。</w:t>
                  </w:r>
                </w:p>
              </w:tc>
            </w:tr>
            <w:tr w14:paraId="2D13E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490" w:type="pct"/>
                  <w:vMerge w:val="continue"/>
                  <w:noWrap w:val="0"/>
                  <w:vAlign w:val="center"/>
                </w:tcPr>
                <w:p w14:paraId="476F3D02">
                  <w:pPr>
                    <w:keepNext w:val="0"/>
                    <w:keepLines w:val="0"/>
                    <w:pageBreakBefore w:val="0"/>
                    <w:tabs>
                      <w:tab w:val="center" w:pos="4438"/>
                      <w:tab w:val="left" w:pos="8280"/>
                    </w:tabs>
                    <w:kinsoku/>
                    <w:wordWrap/>
                    <w:overflowPunct/>
                    <w:topLinePunct w:val="0"/>
                    <w:autoSpaceDE/>
                    <w:autoSpaceDN/>
                    <w:bidi w:val="0"/>
                    <w:adjustRightInd w:val="0"/>
                    <w:snapToGrid w:val="0"/>
                    <w:spacing w:line="240" w:lineRule="auto"/>
                    <w:jc w:val="center"/>
                    <w:rPr>
                      <w:rFonts w:hint="default" w:ascii="Times New Roman" w:hAnsi="Times New Roman" w:cs="Times New Roman"/>
                      <w:color w:val="auto"/>
                      <w:sz w:val="21"/>
                      <w:szCs w:val="21"/>
                    </w:rPr>
                  </w:pPr>
                </w:p>
              </w:tc>
              <w:tc>
                <w:tcPr>
                  <w:tcW w:w="821" w:type="pct"/>
                  <w:gridSpan w:val="2"/>
                  <w:noWrap w:val="0"/>
                  <w:vAlign w:val="center"/>
                </w:tcPr>
                <w:p w14:paraId="7956E7F6">
                  <w:pPr>
                    <w:keepNext w:val="0"/>
                    <w:keepLines w:val="0"/>
                    <w:pageBreakBefore w:val="0"/>
                    <w:widowControl/>
                    <w:kinsoku/>
                    <w:wordWrap/>
                    <w:overflowPunct/>
                    <w:topLinePunct w:val="0"/>
                    <w:autoSpaceDE/>
                    <w:autoSpaceDN/>
                    <w:bidi w:val="0"/>
                    <w:spacing w:line="240" w:lineRule="auto"/>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临时生产区</w:t>
                  </w:r>
                </w:p>
              </w:tc>
              <w:tc>
                <w:tcPr>
                  <w:tcW w:w="3687" w:type="pct"/>
                  <w:noWrap w:val="0"/>
                  <w:vAlign w:val="center"/>
                </w:tcPr>
                <w:p w14:paraId="7394DBB6">
                  <w:pPr>
                    <w:keepNext w:val="0"/>
                    <w:keepLines w:val="0"/>
                    <w:pageBreakBefore w:val="0"/>
                    <w:widowControl/>
                    <w:kinsoku/>
                    <w:wordWrap/>
                    <w:overflowPunct/>
                    <w:topLinePunct w:val="0"/>
                    <w:autoSpaceDE/>
                    <w:autoSpaceDN/>
                    <w:bidi w:val="0"/>
                    <w:spacing w:line="240" w:lineRule="auto"/>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eastAsia="zh-CN"/>
                    </w:rPr>
                    <w:t>共设</w:t>
                  </w:r>
                  <w:r>
                    <w:rPr>
                      <w:rFonts w:hint="eastAsia" w:cs="Times New Roman"/>
                      <w:color w:val="auto"/>
                      <w:sz w:val="21"/>
                      <w:szCs w:val="21"/>
                      <w:lang w:val="en-US" w:eastAsia="zh-CN"/>
                    </w:rPr>
                    <w:t>2</w:t>
                  </w:r>
                  <w:r>
                    <w:rPr>
                      <w:rFonts w:hint="default" w:ascii="Times New Roman" w:hAnsi="Times New Roman" w:cs="Times New Roman"/>
                      <w:color w:val="auto"/>
                      <w:sz w:val="21"/>
                      <w:szCs w:val="21"/>
                      <w:lang w:val="en-US" w:eastAsia="zh-CN"/>
                    </w:rPr>
                    <w:t>处临时生产区，包括</w:t>
                  </w:r>
                  <w:r>
                    <w:rPr>
                      <w:rFonts w:hint="eastAsia" w:cs="Times New Roman"/>
                      <w:color w:val="auto"/>
                      <w:sz w:val="21"/>
                      <w:szCs w:val="21"/>
                      <w:lang w:val="en-US" w:eastAsia="zh-CN"/>
                    </w:rPr>
                    <w:t>临时</w:t>
                  </w:r>
                  <w:r>
                    <w:rPr>
                      <w:rFonts w:hint="default" w:ascii="Times New Roman" w:hAnsi="Times New Roman" w:cs="Times New Roman"/>
                      <w:color w:val="auto"/>
                      <w:sz w:val="21"/>
                      <w:szCs w:val="21"/>
                      <w:lang w:val="en-US" w:eastAsia="zh-CN"/>
                    </w:rPr>
                    <w:t>砼拌合系统、加工系统、施工仓库等，总占地面积</w:t>
                  </w:r>
                  <w:r>
                    <w:rPr>
                      <w:rFonts w:hint="eastAsia" w:cs="Times New Roman"/>
                      <w:color w:val="auto"/>
                      <w:sz w:val="21"/>
                      <w:szCs w:val="21"/>
                      <w:lang w:val="en-US" w:eastAsia="zh-CN"/>
                    </w:rPr>
                    <w:t>0.04</w:t>
                  </w:r>
                  <w:r>
                    <w:rPr>
                      <w:rFonts w:hint="default" w:ascii="Times New Roman" w:hAnsi="Times New Roman" w:cs="Times New Roman"/>
                      <w:color w:val="auto"/>
                      <w:sz w:val="21"/>
                      <w:szCs w:val="21"/>
                      <w:lang w:val="en-US" w:eastAsia="zh-CN"/>
                    </w:rPr>
                    <w:t>hm</w:t>
                  </w:r>
                  <w:r>
                    <w:rPr>
                      <w:rFonts w:hint="default" w:ascii="Times New Roman" w:hAnsi="Times New Roman" w:cs="Times New Roman"/>
                      <w:color w:val="auto"/>
                      <w:sz w:val="21"/>
                      <w:szCs w:val="21"/>
                      <w:vertAlign w:val="superscript"/>
                      <w:lang w:val="en-US" w:eastAsia="zh-CN"/>
                    </w:rPr>
                    <w:t>2</w:t>
                  </w:r>
                  <w:r>
                    <w:rPr>
                      <w:rFonts w:hint="default" w:ascii="Times New Roman" w:hAnsi="Times New Roman" w:cs="Times New Roman"/>
                      <w:color w:val="auto"/>
                      <w:sz w:val="21"/>
                      <w:szCs w:val="21"/>
                      <w:lang w:val="en-US" w:eastAsia="zh-CN"/>
                    </w:rPr>
                    <w:t>。</w:t>
                  </w:r>
                  <w:r>
                    <w:rPr>
                      <w:rFonts w:hint="eastAsia" w:cs="Times New Roman"/>
                      <w:color w:val="auto"/>
                      <w:sz w:val="21"/>
                      <w:szCs w:val="21"/>
                      <w:lang w:val="en-US" w:eastAsia="zh-CN"/>
                    </w:rPr>
                    <w:t>1处位于K5+540东侧，1处</w:t>
                  </w:r>
                  <w:r>
                    <w:rPr>
                      <w:rFonts w:hint="eastAsia" w:cs="Times New Roman"/>
                      <w:color w:val="auto"/>
                      <w:sz w:val="21"/>
                      <w:szCs w:val="21"/>
                      <w:highlight w:val="none"/>
                      <w:lang w:val="en-US" w:eastAsia="zh-CN"/>
                    </w:rPr>
                    <w:t>位于项目区终点北侧约1km处，</w:t>
                  </w:r>
                  <w:r>
                    <w:rPr>
                      <w:rFonts w:hint="default" w:ascii="Times New Roman" w:hAnsi="Times New Roman" w:cs="Times New Roman"/>
                      <w:color w:val="auto"/>
                      <w:sz w:val="21"/>
                      <w:szCs w:val="21"/>
                      <w:highlight w:val="none"/>
                      <w:lang w:val="en-US" w:eastAsia="zh-CN"/>
                    </w:rPr>
                    <w:t>占地类型为</w:t>
                  </w:r>
                  <w:r>
                    <w:rPr>
                      <w:rFonts w:hint="eastAsia" w:cs="Times New Roman"/>
                      <w:color w:val="auto"/>
                      <w:sz w:val="21"/>
                      <w:szCs w:val="21"/>
                      <w:highlight w:val="none"/>
                      <w:lang w:val="en-US" w:eastAsia="zh-CN"/>
                    </w:rPr>
                    <w:t>裸土地。</w:t>
                  </w:r>
                </w:p>
              </w:tc>
            </w:tr>
            <w:tr w14:paraId="497E7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490" w:type="pct"/>
                  <w:vMerge w:val="continue"/>
                  <w:noWrap w:val="0"/>
                  <w:vAlign w:val="center"/>
                </w:tcPr>
                <w:p w14:paraId="4FA2D218">
                  <w:pPr>
                    <w:keepNext w:val="0"/>
                    <w:keepLines w:val="0"/>
                    <w:pageBreakBefore w:val="0"/>
                    <w:tabs>
                      <w:tab w:val="center" w:pos="4438"/>
                      <w:tab w:val="left" w:pos="8280"/>
                    </w:tabs>
                    <w:kinsoku/>
                    <w:wordWrap/>
                    <w:overflowPunct/>
                    <w:topLinePunct w:val="0"/>
                    <w:autoSpaceDE/>
                    <w:autoSpaceDN/>
                    <w:bidi w:val="0"/>
                    <w:adjustRightInd w:val="0"/>
                    <w:snapToGrid w:val="0"/>
                    <w:spacing w:line="240" w:lineRule="auto"/>
                    <w:jc w:val="center"/>
                    <w:rPr>
                      <w:rFonts w:hint="default" w:ascii="Times New Roman" w:hAnsi="Times New Roman" w:cs="Times New Roman"/>
                      <w:color w:val="auto"/>
                      <w:sz w:val="21"/>
                      <w:szCs w:val="21"/>
                    </w:rPr>
                  </w:pPr>
                </w:p>
              </w:tc>
              <w:tc>
                <w:tcPr>
                  <w:tcW w:w="821" w:type="pct"/>
                  <w:gridSpan w:val="2"/>
                  <w:tcBorders>
                    <w:bottom w:val="single" w:color="000000" w:sz="4" w:space="0"/>
                  </w:tcBorders>
                  <w:noWrap w:val="0"/>
                  <w:vAlign w:val="center"/>
                </w:tcPr>
                <w:p w14:paraId="00B575DD">
                  <w:pPr>
                    <w:keepNext w:val="0"/>
                    <w:keepLines w:val="0"/>
                    <w:pageBreakBefore w:val="0"/>
                    <w:widowControl/>
                    <w:kinsoku/>
                    <w:wordWrap/>
                    <w:overflowPunct/>
                    <w:topLinePunct w:val="0"/>
                    <w:autoSpaceDE/>
                    <w:autoSpaceDN/>
                    <w:bidi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取土（料）场、弃渣场</w:t>
                  </w:r>
                </w:p>
              </w:tc>
              <w:tc>
                <w:tcPr>
                  <w:tcW w:w="3687" w:type="pct"/>
                  <w:tcBorders>
                    <w:bottom w:val="single" w:color="000000" w:sz="4" w:space="0"/>
                  </w:tcBorders>
                  <w:noWrap w:val="0"/>
                  <w:vAlign w:val="center"/>
                </w:tcPr>
                <w:p w14:paraId="5362B255">
                  <w:pPr>
                    <w:keepNext w:val="0"/>
                    <w:keepLines w:val="0"/>
                    <w:pageBreakBefore w:val="0"/>
                    <w:widowControl/>
                    <w:kinsoku/>
                    <w:wordWrap/>
                    <w:overflowPunct/>
                    <w:topLinePunct w:val="0"/>
                    <w:autoSpaceDE/>
                    <w:autoSpaceDN/>
                    <w:bidi w:val="0"/>
                    <w:spacing w:line="240" w:lineRule="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本项目不设置取土（料）场，借方为不良地质段换填土方及外购砂石料垫层，选用砂石料均从奇台县有合法水土保持备案手续的砂石料场采购；本项目不设置弃渣场，弃渣主要为原渠道及渠系建筑物拆除产生的建筑垃圾，计划拉至奇台县建筑垃圾填埋场，剩余土方全部用于渠堤培高。</w:t>
                  </w:r>
                </w:p>
              </w:tc>
            </w:tr>
            <w:tr w14:paraId="3565F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490" w:type="pct"/>
                  <w:vMerge w:val="continue"/>
                  <w:noWrap w:val="0"/>
                  <w:vAlign w:val="center"/>
                </w:tcPr>
                <w:p w14:paraId="1D3E3E7E">
                  <w:pPr>
                    <w:keepNext w:val="0"/>
                    <w:keepLines w:val="0"/>
                    <w:pageBreakBefore w:val="0"/>
                    <w:tabs>
                      <w:tab w:val="center" w:pos="4438"/>
                      <w:tab w:val="left" w:pos="8280"/>
                    </w:tabs>
                    <w:kinsoku/>
                    <w:wordWrap/>
                    <w:overflowPunct/>
                    <w:topLinePunct w:val="0"/>
                    <w:autoSpaceDE/>
                    <w:autoSpaceDN/>
                    <w:bidi w:val="0"/>
                    <w:adjustRightInd w:val="0"/>
                    <w:snapToGrid w:val="0"/>
                    <w:spacing w:line="240" w:lineRule="auto"/>
                    <w:jc w:val="center"/>
                    <w:rPr>
                      <w:rFonts w:hint="default" w:ascii="Times New Roman" w:hAnsi="Times New Roman" w:cs="Times New Roman"/>
                      <w:color w:val="auto"/>
                      <w:sz w:val="21"/>
                      <w:szCs w:val="21"/>
                    </w:rPr>
                  </w:pPr>
                </w:p>
              </w:tc>
              <w:tc>
                <w:tcPr>
                  <w:tcW w:w="821" w:type="pct"/>
                  <w:gridSpan w:val="2"/>
                  <w:tcBorders>
                    <w:top w:val="single" w:color="000000" w:sz="4" w:space="0"/>
                  </w:tcBorders>
                  <w:noWrap w:val="0"/>
                  <w:vAlign w:val="center"/>
                </w:tcPr>
                <w:p w14:paraId="66548DF6">
                  <w:pPr>
                    <w:keepNext w:val="0"/>
                    <w:keepLines w:val="0"/>
                    <w:pageBreakBefore w:val="0"/>
                    <w:widowControl/>
                    <w:kinsoku/>
                    <w:wordWrap/>
                    <w:overflowPunct/>
                    <w:topLinePunct w:val="0"/>
                    <w:autoSpaceDE/>
                    <w:autoSpaceDN/>
                    <w:bidi w:val="0"/>
                    <w:spacing w:line="240" w:lineRule="auto"/>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临时堆土区</w:t>
                  </w:r>
                </w:p>
              </w:tc>
              <w:tc>
                <w:tcPr>
                  <w:tcW w:w="3687" w:type="pct"/>
                  <w:tcBorders>
                    <w:top w:val="single" w:color="000000" w:sz="4" w:space="0"/>
                  </w:tcBorders>
                  <w:noWrap w:val="0"/>
                  <w:vAlign w:val="center"/>
                </w:tcPr>
                <w:p w14:paraId="656184CD">
                  <w:pPr>
                    <w:keepNext w:val="0"/>
                    <w:keepLines w:val="0"/>
                    <w:pageBreakBefore w:val="0"/>
                    <w:widowControl/>
                    <w:kinsoku/>
                    <w:wordWrap/>
                    <w:overflowPunct/>
                    <w:topLinePunct w:val="0"/>
                    <w:autoSpaceDE/>
                    <w:autoSpaceDN/>
                    <w:bidi w:val="0"/>
                    <w:spacing w:line="240" w:lineRule="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本项目不设置集中临时堆土区，渠道开挖产生的土方临时堆置在渠道两侧区域，待后期回填于渠堤建设使用，经估算项目临时堆土区总占地面积</w:t>
                  </w:r>
                  <w:r>
                    <w:rPr>
                      <w:rFonts w:hint="eastAsia" w:cs="Times New Roman"/>
                      <w:color w:val="auto"/>
                      <w:sz w:val="21"/>
                      <w:szCs w:val="21"/>
                      <w:lang w:val="en-US" w:eastAsia="zh-CN"/>
                    </w:rPr>
                    <w:t>0.007</w:t>
                  </w:r>
                  <w:r>
                    <w:rPr>
                      <w:rFonts w:hint="default" w:ascii="Times New Roman" w:hAnsi="Times New Roman" w:cs="Times New Roman"/>
                      <w:color w:val="auto"/>
                      <w:sz w:val="21"/>
                      <w:szCs w:val="21"/>
                      <w:lang w:val="en-US" w:eastAsia="zh-CN"/>
                    </w:rPr>
                    <w:t>hm</w:t>
                  </w:r>
                  <w:r>
                    <w:rPr>
                      <w:rFonts w:hint="default" w:ascii="Times New Roman" w:hAnsi="Times New Roman" w:cs="Times New Roman"/>
                      <w:color w:val="auto"/>
                      <w:sz w:val="21"/>
                      <w:szCs w:val="21"/>
                      <w:vertAlign w:val="superscript"/>
                      <w:lang w:val="en-US" w:eastAsia="zh-CN"/>
                    </w:rPr>
                    <w:t>2</w:t>
                  </w:r>
                  <w:r>
                    <w:rPr>
                      <w:rFonts w:hint="default" w:ascii="Times New Roman" w:hAnsi="Times New Roman" w:cs="Times New Roman"/>
                      <w:color w:val="auto"/>
                      <w:sz w:val="21"/>
                      <w:szCs w:val="21"/>
                      <w:lang w:val="en-US" w:eastAsia="zh-CN"/>
                    </w:rPr>
                    <w:t>，占地类型为裸土地。</w:t>
                  </w:r>
                </w:p>
              </w:tc>
            </w:tr>
            <w:tr w14:paraId="000F9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490" w:type="pct"/>
                  <w:vMerge w:val="continue"/>
                  <w:noWrap w:val="0"/>
                  <w:vAlign w:val="center"/>
                </w:tcPr>
                <w:p w14:paraId="6096FF8D">
                  <w:pPr>
                    <w:keepNext w:val="0"/>
                    <w:keepLines w:val="0"/>
                    <w:pageBreakBefore w:val="0"/>
                    <w:tabs>
                      <w:tab w:val="center" w:pos="4438"/>
                      <w:tab w:val="left" w:pos="8280"/>
                    </w:tabs>
                    <w:kinsoku/>
                    <w:wordWrap/>
                    <w:overflowPunct/>
                    <w:topLinePunct w:val="0"/>
                    <w:autoSpaceDE/>
                    <w:autoSpaceDN/>
                    <w:bidi w:val="0"/>
                    <w:adjustRightInd w:val="0"/>
                    <w:snapToGrid w:val="0"/>
                    <w:spacing w:line="240" w:lineRule="auto"/>
                    <w:jc w:val="center"/>
                    <w:rPr>
                      <w:rFonts w:hint="default" w:ascii="Times New Roman" w:hAnsi="Times New Roman" w:cs="Times New Roman"/>
                      <w:color w:val="auto"/>
                      <w:sz w:val="21"/>
                      <w:szCs w:val="21"/>
                    </w:rPr>
                  </w:pPr>
                </w:p>
              </w:tc>
              <w:tc>
                <w:tcPr>
                  <w:tcW w:w="821" w:type="pct"/>
                  <w:gridSpan w:val="2"/>
                  <w:noWrap w:val="0"/>
                  <w:vAlign w:val="center"/>
                </w:tcPr>
                <w:p w14:paraId="35F0E94B">
                  <w:pPr>
                    <w:keepNext w:val="0"/>
                    <w:keepLines w:val="0"/>
                    <w:pageBreakBefore w:val="0"/>
                    <w:widowControl/>
                    <w:kinsoku/>
                    <w:wordWrap/>
                    <w:overflowPunct/>
                    <w:topLinePunct w:val="0"/>
                    <w:autoSpaceDE/>
                    <w:autoSpaceDN/>
                    <w:bidi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施工生产生活区</w:t>
                  </w:r>
                </w:p>
              </w:tc>
              <w:tc>
                <w:tcPr>
                  <w:tcW w:w="3687" w:type="pct"/>
                  <w:noWrap w:val="0"/>
                  <w:vAlign w:val="center"/>
                </w:tcPr>
                <w:p w14:paraId="3A82E5DB">
                  <w:pPr>
                    <w:keepNext w:val="0"/>
                    <w:keepLines w:val="0"/>
                    <w:pageBreakBefore w:val="0"/>
                    <w:widowControl/>
                    <w:kinsoku/>
                    <w:wordWrap/>
                    <w:overflowPunct/>
                    <w:topLinePunct w:val="0"/>
                    <w:autoSpaceDE/>
                    <w:autoSpaceDN/>
                    <w:bidi w:val="0"/>
                    <w:spacing w:line="240" w:lineRule="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施工单位租用附近的村镇民房居住，不设置施工临时生活区。</w:t>
                  </w:r>
                </w:p>
              </w:tc>
            </w:tr>
            <w:tr w14:paraId="4404D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 w:hRule="atLeast"/>
                <w:jc w:val="center"/>
              </w:trPr>
              <w:tc>
                <w:tcPr>
                  <w:tcW w:w="490" w:type="pct"/>
                  <w:vMerge w:val="continue"/>
                  <w:noWrap w:val="0"/>
                  <w:vAlign w:val="center"/>
                </w:tcPr>
                <w:p w14:paraId="4549D605">
                  <w:pPr>
                    <w:keepNext w:val="0"/>
                    <w:keepLines w:val="0"/>
                    <w:pageBreakBefore w:val="0"/>
                    <w:tabs>
                      <w:tab w:val="center" w:pos="4438"/>
                      <w:tab w:val="left" w:pos="8280"/>
                    </w:tabs>
                    <w:kinsoku/>
                    <w:wordWrap/>
                    <w:overflowPunct/>
                    <w:topLinePunct w:val="0"/>
                    <w:autoSpaceDE/>
                    <w:autoSpaceDN/>
                    <w:bidi w:val="0"/>
                    <w:adjustRightInd w:val="0"/>
                    <w:snapToGrid w:val="0"/>
                    <w:spacing w:line="240" w:lineRule="auto"/>
                    <w:jc w:val="center"/>
                    <w:rPr>
                      <w:rFonts w:hint="default" w:ascii="Times New Roman" w:hAnsi="Times New Roman" w:cs="Times New Roman"/>
                      <w:color w:val="auto"/>
                      <w:sz w:val="21"/>
                      <w:szCs w:val="21"/>
                    </w:rPr>
                  </w:pPr>
                </w:p>
              </w:tc>
              <w:tc>
                <w:tcPr>
                  <w:tcW w:w="1293" w:type="dxa"/>
                  <w:gridSpan w:val="2"/>
                  <w:noWrap w:val="0"/>
                  <w:vAlign w:val="center"/>
                </w:tcPr>
                <w:p w14:paraId="0D26425E">
                  <w:pPr>
                    <w:keepNext w:val="0"/>
                    <w:keepLines w:val="0"/>
                    <w:pageBreakBefore w:val="0"/>
                    <w:widowControl/>
                    <w:kinsoku/>
                    <w:wordWrap/>
                    <w:overflowPunct/>
                    <w:topLinePunct w:val="0"/>
                    <w:autoSpaceDE/>
                    <w:autoSpaceDN/>
                    <w:bidi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机修方案</w:t>
                  </w:r>
                </w:p>
              </w:tc>
              <w:tc>
                <w:tcPr>
                  <w:tcW w:w="5804" w:type="dxa"/>
                  <w:noWrap w:val="0"/>
                  <w:vAlign w:val="center"/>
                </w:tcPr>
                <w:p w14:paraId="3A278AF2">
                  <w:pPr>
                    <w:keepNext w:val="0"/>
                    <w:keepLines w:val="0"/>
                    <w:pageBreakBefore w:val="0"/>
                    <w:widowControl/>
                    <w:kinsoku/>
                    <w:wordWrap/>
                    <w:overflowPunct/>
                    <w:topLinePunct w:val="0"/>
                    <w:autoSpaceDE/>
                    <w:autoSpaceDN/>
                    <w:bidi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工程沿线的</w:t>
                  </w:r>
                  <w:r>
                    <w:rPr>
                      <w:rFonts w:hint="eastAsia" w:ascii="Times New Roman" w:hAnsi="Times New Roman" w:eastAsia="宋体" w:cs="Times New Roman"/>
                      <w:color w:val="auto"/>
                      <w:sz w:val="21"/>
                      <w:szCs w:val="21"/>
                      <w:lang w:val="en-US" w:eastAsia="zh-CN"/>
                    </w:rPr>
                    <w:t>村、</w:t>
                  </w:r>
                  <w:r>
                    <w:rPr>
                      <w:rFonts w:hint="default" w:ascii="Times New Roman" w:hAnsi="Times New Roman" w:eastAsia="宋体" w:cs="Times New Roman"/>
                      <w:color w:val="auto"/>
                      <w:sz w:val="21"/>
                      <w:szCs w:val="21"/>
                      <w:lang w:val="en-US" w:eastAsia="zh-CN"/>
                    </w:rPr>
                    <w:t>镇具有一定机械修配能力，能为工程的汽修、机修提供服务</w:t>
                  </w:r>
                  <w:r>
                    <w:rPr>
                      <w:rFonts w:hint="eastAsia" w:ascii="Times New Roman" w:hAnsi="Times New Roman" w:eastAsia="宋体" w:cs="Times New Roman"/>
                      <w:color w:val="auto"/>
                      <w:sz w:val="21"/>
                      <w:szCs w:val="21"/>
                      <w:lang w:val="en-US" w:eastAsia="zh-CN"/>
                    </w:rPr>
                    <w:t>。</w:t>
                  </w:r>
                </w:p>
              </w:tc>
            </w:tr>
            <w:tr w14:paraId="562E5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490" w:type="pct"/>
                  <w:vMerge w:val="restart"/>
                  <w:noWrap w:val="0"/>
                  <w:vAlign w:val="center"/>
                </w:tcPr>
                <w:p w14:paraId="1EBA131B">
                  <w:pPr>
                    <w:keepNext w:val="0"/>
                    <w:keepLines w:val="0"/>
                    <w:pageBreakBefore w:val="0"/>
                    <w:tabs>
                      <w:tab w:val="center" w:pos="4438"/>
                      <w:tab w:val="left" w:pos="8280"/>
                    </w:tabs>
                    <w:kinsoku/>
                    <w:wordWrap/>
                    <w:overflowPunct/>
                    <w:topLinePunct w:val="0"/>
                    <w:autoSpaceDE/>
                    <w:autoSpaceDN/>
                    <w:bidi w:val="0"/>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公用工程</w:t>
                  </w:r>
                </w:p>
              </w:tc>
              <w:tc>
                <w:tcPr>
                  <w:tcW w:w="821" w:type="pct"/>
                  <w:gridSpan w:val="2"/>
                  <w:noWrap w:val="0"/>
                  <w:vAlign w:val="center"/>
                </w:tcPr>
                <w:p w14:paraId="1C6796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供水</w:t>
                  </w:r>
                </w:p>
              </w:tc>
              <w:tc>
                <w:tcPr>
                  <w:tcW w:w="3687" w:type="pct"/>
                  <w:noWrap w:val="0"/>
                  <w:vAlign w:val="center"/>
                </w:tcPr>
                <w:p w14:paraId="0D35ABBD">
                  <w:pPr>
                    <w:keepNext w:val="0"/>
                    <w:keepLines w:val="0"/>
                    <w:pageBreakBefore w:val="0"/>
                    <w:kinsoku/>
                    <w:wordWrap/>
                    <w:overflowPunct/>
                    <w:topLinePunct w:val="0"/>
                    <w:autoSpaceDE/>
                    <w:autoSpaceDN/>
                    <w:bidi w:val="0"/>
                    <w:spacing w:line="240" w:lineRule="auto"/>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本工程为渠道防渗改建工程，施工用水可由老渠两侧抗旱补充井抽取</w:t>
                  </w:r>
                  <w:r>
                    <w:rPr>
                      <w:rFonts w:hint="default" w:ascii="Times New Roman" w:hAnsi="Times New Roman" w:cs="Times New Roman"/>
                      <w:color w:val="auto"/>
                      <w:sz w:val="21"/>
                      <w:szCs w:val="21"/>
                    </w:rPr>
                    <w:t>。</w:t>
                  </w:r>
                  <w:r>
                    <w:rPr>
                      <w:rFonts w:hint="default" w:ascii="Times New Roman" w:hAnsi="Times New Roman" w:cs="Times New Roman"/>
                      <w:color w:val="auto"/>
                      <w:sz w:val="21"/>
                      <w:szCs w:val="21"/>
                      <w:lang w:val="en-US" w:eastAsia="zh-CN"/>
                    </w:rPr>
                    <w:t>生活用水可从附近的居民点获取，其水质完全符合生活饮用水标准。</w:t>
                  </w:r>
                </w:p>
              </w:tc>
            </w:tr>
            <w:tr w14:paraId="712A0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490" w:type="pct"/>
                  <w:vMerge w:val="continue"/>
                  <w:noWrap w:val="0"/>
                  <w:vAlign w:val="center"/>
                </w:tcPr>
                <w:p w14:paraId="2B723EF1">
                  <w:pPr>
                    <w:keepNext w:val="0"/>
                    <w:keepLines w:val="0"/>
                    <w:pageBreakBefore w:val="0"/>
                    <w:tabs>
                      <w:tab w:val="center" w:pos="4438"/>
                      <w:tab w:val="left" w:pos="8280"/>
                    </w:tabs>
                    <w:kinsoku/>
                    <w:wordWrap/>
                    <w:overflowPunct/>
                    <w:topLinePunct w:val="0"/>
                    <w:autoSpaceDE/>
                    <w:autoSpaceDN/>
                    <w:bidi w:val="0"/>
                    <w:adjustRightInd w:val="0"/>
                    <w:snapToGrid w:val="0"/>
                    <w:spacing w:line="240" w:lineRule="auto"/>
                    <w:jc w:val="center"/>
                    <w:rPr>
                      <w:rFonts w:hint="default" w:ascii="Times New Roman" w:hAnsi="Times New Roman" w:cs="Times New Roman"/>
                      <w:color w:val="auto"/>
                      <w:sz w:val="21"/>
                      <w:szCs w:val="21"/>
                    </w:rPr>
                  </w:pPr>
                </w:p>
              </w:tc>
              <w:tc>
                <w:tcPr>
                  <w:tcW w:w="821" w:type="pct"/>
                  <w:gridSpan w:val="2"/>
                  <w:noWrap w:val="0"/>
                  <w:vAlign w:val="center"/>
                </w:tcPr>
                <w:p w14:paraId="5E5A20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供电</w:t>
                  </w:r>
                </w:p>
              </w:tc>
              <w:tc>
                <w:tcPr>
                  <w:tcW w:w="3687" w:type="pct"/>
                  <w:noWrap w:val="0"/>
                  <w:vAlign w:val="center"/>
                </w:tcPr>
                <w:p w14:paraId="0A2EFE12">
                  <w:pPr>
                    <w:keepNext w:val="0"/>
                    <w:keepLines w:val="0"/>
                    <w:pageBreakBefore w:val="0"/>
                    <w:kinsoku/>
                    <w:wordWrap/>
                    <w:overflowPunct/>
                    <w:topLinePunct w:val="0"/>
                    <w:autoSpaceDE/>
                    <w:autoSpaceDN/>
                    <w:bidi w:val="0"/>
                    <w:spacing w:line="240" w:lineRule="auto"/>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项目区内大部分区域通过农村电网改造，渠线旁既布设有输电线路，但渠线较长，保证率较低，为保证施工用电，施工单位需自备柴油发电机作为备用电源。</w:t>
                  </w:r>
                </w:p>
              </w:tc>
            </w:tr>
            <w:tr w14:paraId="5DE6B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490" w:type="pct"/>
                  <w:vMerge w:val="continue"/>
                  <w:noWrap w:val="0"/>
                  <w:vAlign w:val="center"/>
                </w:tcPr>
                <w:p w14:paraId="73275A16">
                  <w:pPr>
                    <w:keepNext w:val="0"/>
                    <w:keepLines w:val="0"/>
                    <w:pageBreakBefore w:val="0"/>
                    <w:tabs>
                      <w:tab w:val="center" w:pos="4438"/>
                      <w:tab w:val="left" w:pos="8280"/>
                    </w:tabs>
                    <w:kinsoku/>
                    <w:wordWrap/>
                    <w:overflowPunct/>
                    <w:topLinePunct w:val="0"/>
                    <w:autoSpaceDE/>
                    <w:autoSpaceDN/>
                    <w:bidi w:val="0"/>
                    <w:adjustRightInd w:val="0"/>
                    <w:snapToGrid w:val="0"/>
                    <w:spacing w:line="240" w:lineRule="auto"/>
                    <w:jc w:val="center"/>
                    <w:rPr>
                      <w:rFonts w:hint="default" w:ascii="Times New Roman" w:hAnsi="Times New Roman" w:cs="Times New Roman"/>
                      <w:color w:val="auto"/>
                      <w:sz w:val="21"/>
                      <w:szCs w:val="21"/>
                    </w:rPr>
                  </w:pPr>
                </w:p>
              </w:tc>
              <w:tc>
                <w:tcPr>
                  <w:tcW w:w="821" w:type="pct"/>
                  <w:gridSpan w:val="2"/>
                  <w:noWrap w:val="0"/>
                  <w:vAlign w:val="center"/>
                </w:tcPr>
                <w:p w14:paraId="3F19F4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排水</w:t>
                  </w:r>
                </w:p>
              </w:tc>
              <w:tc>
                <w:tcPr>
                  <w:tcW w:w="3687" w:type="pct"/>
                  <w:noWrap w:val="0"/>
                  <w:vAlign w:val="center"/>
                </w:tcPr>
                <w:p w14:paraId="49503D15">
                  <w:pPr>
                    <w:keepNext w:val="0"/>
                    <w:keepLines w:val="0"/>
                    <w:pageBreakBefore w:val="0"/>
                    <w:kinsoku/>
                    <w:wordWrap/>
                    <w:overflowPunct/>
                    <w:topLinePunct w:val="0"/>
                    <w:autoSpaceDE/>
                    <w:autoSpaceDN/>
                    <w:bidi w:val="0"/>
                    <w:spacing w:line="240" w:lineRule="auto"/>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施工人员的生活污水依托村镇民房已建污水管道排入村镇污水处理设施处理；施工区设立移动环保厕所产生的粪便污水，定时委托相关环卫部门处理；施工期的设备冲洗废水经沉淀池沉淀后用于施工区泼洒抑尘</w:t>
                  </w:r>
                  <w:r>
                    <w:rPr>
                      <w:rFonts w:hint="eastAsia" w:cs="Times New Roman"/>
                      <w:color w:val="auto"/>
                      <w:sz w:val="21"/>
                      <w:szCs w:val="21"/>
                      <w:lang w:val="en-US" w:eastAsia="zh-CN"/>
                    </w:rPr>
                    <w:t>。</w:t>
                  </w:r>
                </w:p>
              </w:tc>
            </w:tr>
            <w:tr w14:paraId="1DB52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490" w:type="pct"/>
                  <w:vMerge w:val="restart"/>
                  <w:noWrap w:val="0"/>
                  <w:vAlign w:val="center"/>
                </w:tcPr>
                <w:p w14:paraId="2F17B585">
                  <w:pPr>
                    <w:keepNext w:val="0"/>
                    <w:keepLines w:val="0"/>
                    <w:pageBreakBefore w:val="0"/>
                    <w:tabs>
                      <w:tab w:val="center" w:pos="4438"/>
                      <w:tab w:val="left" w:pos="8280"/>
                    </w:tabs>
                    <w:kinsoku/>
                    <w:wordWrap/>
                    <w:overflowPunct/>
                    <w:topLinePunct w:val="0"/>
                    <w:autoSpaceDE/>
                    <w:autoSpaceDN/>
                    <w:bidi w:val="0"/>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环保工程</w:t>
                  </w:r>
                </w:p>
              </w:tc>
              <w:tc>
                <w:tcPr>
                  <w:tcW w:w="821" w:type="pct"/>
                  <w:gridSpan w:val="2"/>
                  <w:noWrap w:val="0"/>
                  <w:vAlign w:val="center"/>
                </w:tcPr>
                <w:p w14:paraId="217F6707">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大气污染防治措施</w:t>
                  </w:r>
                </w:p>
              </w:tc>
              <w:tc>
                <w:tcPr>
                  <w:tcW w:w="3687" w:type="pct"/>
                  <w:noWrap w:val="0"/>
                  <w:vAlign w:val="center"/>
                </w:tcPr>
                <w:p w14:paraId="561B7045">
                  <w:pPr>
                    <w:keepNext w:val="0"/>
                    <w:keepLines w:val="0"/>
                    <w:pageBreakBefore w:val="0"/>
                    <w:kinsoku/>
                    <w:wordWrap/>
                    <w:overflowPunct/>
                    <w:topLinePunct w:val="0"/>
                    <w:autoSpaceDE/>
                    <w:autoSpaceDN/>
                    <w:bidi w:val="0"/>
                    <w:spacing w:line="240" w:lineRule="auto"/>
                    <w:jc w:val="left"/>
                    <w:rPr>
                      <w:rFonts w:hint="default" w:ascii="Times New Roman" w:hAnsi="Times New Roman" w:cs="Times New Roman"/>
                      <w:color w:val="auto"/>
                      <w:sz w:val="21"/>
                      <w:szCs w:val="21"/>
                    </w:rPr>
                  </w:pPr>
                  <w:r>
                    <w:rPr>
                      <w:rFonts w:hint="default" w:ascii="Times New Roman" w:hAnsi="Times New Roman" w:cs="Times New Roman"/>
                      <w:color w:val="auto"/>
                      <w:kern w:val="21"/>
                      <w:sz w:val="21"/>
                      <w:szCs w:val="21"/>
                    </w:rPr>
                    <w:t>针对施工扬尘要求采用洒水抑尘、场地四周设置围挡等措施；针对施工机械废气要求加强车辆保养，确保高效正常运行</w:t>
                  </w:r>
                </w:p>
              </w:tc>
            </w:tr>
            <w:tr w14:paraId="4BBA4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90" w:type="pct"/>
                  <w:vMerge w:val="continue"/>
                  <w:noWrap w:val="0"/>
                  <w:vAlign w:val="center"/>
                </w:tcPr>
                <w:p w14:paraId="31AA396F">
                  <w:pPr>
                    <w:keepNext w:val="0"/>
                    <w:keepLines w:val="0"/>
                    <w:pageBreakBefore w:val="0"/>
                    <w:tabs>
                      <w:tab w:val="center" w:pos="4438"/>
                      <w:tab w:val="left" w:pos="8280"/>
                    </w:tabs>
                    <w:kinsoku/>
                    <w:wordWrap/>
                    <w:overflowPunct/>
                    <w:topLinePunct w:val="0"/>
                    <w:autoSpaceDE/>
                    <w:autoSpaceDN/>
                    <w:bidi w:val="0"/>
                    <w:adjustRightInd w:val="0"/>
                    <w:snapToGrid w:val="0"/>
                    <w:spacing w:line="240" w:lineRule="auto"/>
                    <w:jc w:val="center"/>
                    <w:rPr>
                      <w:rFonts w:hint="default" w:ascii="Times New Roman" w:hAnsi="Times New Roman" w:cs="Times New Roman"/>
                      <w:color w:val="auto"/>
                      <w:sz w:val="21"/>
                      <w:szCs w:val="21"/>
                    </w:rPr>
                  </w:pPr>
                </w:p>
              </w:tc>
              <w:tc>
                <w:tcPr>
                  <w:tcW w:w="821" w:type="pct"/>
                  <w:gridSpan w:val="2"/>
                  <w:noWrap w:val="0"/>
                  <w:vAlign w:val="center"/>
                </w:tcPr>
                <w:p w14:paraId="2D4965C8">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水污染防治措施</w:t>
                  </w:r>
                </w:p>
              </w:tc>
              <w:tc>
                <w:tcPr>
                  <w:tcW w:w="3687" w:type="pct"/>
                  <w:noWrap w:val="0"/>
                  <w:vAlign w:val="center"/>
                </w:tcPr>
                <w:p w14:paraId="49D3D879">
                  <w:pPr>
                    <w:keepNext w:val="0"/>
                    <w:keepLines w:val="0"/>
                    <w:pageBreakBefore w:val="0"/>
                    <w:kinsoku/>
                    <w:wordWrap/>
                    <w:overflowPunct/>
                    <w:topLinePunct w:val="0"/>
                    <w:autoSpaceDE/>
                    <w:autoSpaceDN/>
                    <w:bidi w:val="0"/>
                    <w:adjustRightInd w:val="0"/>
                    <w:snapToGrid w:val="0"/>
                    <w:spacing w:line="240" w:lineRule="auto"/>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施工人员的生活污水依托村镇民房已建污水管道排入村镇污水处理设施处理；施工区设立移动环保厕所产生的粪便污水，定时委托相关环卫部门处理；施工期的设备冲洗废水经沉淀池沉淀后用于施工区泼洒抑尘。</w:t>
                  </w:r>
                </w:p>
              </w:tc>
            </w:tr>
            <w:tr w14:paraId="64389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490" w:type="pct"/>
                  <w:vMerge w:val="continue"/>
                  <w:noWrap w:val="0"/>
                  <w:vAlign w:val="center"/>
                </w:tcPr>
                <w:p w14:paraId="53E1EDF5">
                  <w:pPr>
                    <w:keepNext w:val="0"/>
                    <w:keepLines w:val="0"/>
                    <w:pageBreakBefore w:val="0"/>
                    <w:tabs>
                      <w:tab w:val="center" w:pos="4438"/>
                      <w:tab w:val="left" w:pos="8280"/>
                    </w:tabs>
                    <w:kinsoku/>
                    <w:wordWrap/>
                    <w:overflowPunct/>
                    <w:topLinePunct w:val="0"/>
                    <w:autoSpaceDE/>
                    <w:autoSpaceDN/>
                    <w:bidi w:val="0"/>
                    <w:adjustRightInd w:val="0"/>
                    <w:snapToGrid w:val="0"/>
                    <w:spacing w:line="240" w:lineRule="auto"/>
                    <w:jc w:val="center"/>
                    <w:rPr>
                      <w:rFonts w:hint="default" w:ascii="Times New Roman" w:hAnsi="Times New Roman" w:cs="Times New Roman"/>
                      <w:color w:val="auto"/>
                      <w:sz w:val="21"/>
                      <w:szCs w:val="21"/>
                    </w:rPr>
                  </w:pPr>
                </w:p>
              </w:tc>
              <w:tc>
                <w:tcPr>
                  <w:tcW w:w="821" w:type="pct"/>
                  <w:gridSpan w:val="2"/>
                  <w:noWrap w:val="0"/>
                  <w:vAlign w:val="center"/>
                </w:tcPr>
                <w:p w14:paraId="3C9E2F2E">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噪声防治措施</w:t>
                  </w:r>
                </w:p>
              </w:tc>
              <w:tc>
                <w:tcPr>
                  <w:tcW w:w="3687" w:type="pct"/>
                  <w:noWrap w:val="0"/>
                  <w:vAlign w:val="center"/>
                </w:tcPr>
                <w:p w14:paraId="6AB5F4BB">
                  <w:pPr>
                    <w:keepNext w:val="0"/>
                    <w:keepLines w:val="0"/>
                    <w:pageBreakBefore w:val="0"/>
                    <w:kinsoku/>
                    <w:wordWrap/>
                    <w:overflowPunct/>
                    <w:topLinePunct w:val="0"/>
                    <w:autoSpaceDE/>
                    <w:autoSpaceDN/>
                    <w:bidi w:val="0"/>
                    <w:adjustRightInd w:val="0"/>
                    <w:snapToGrid w:val="0"/>
                    <w:spacing w:line="240" w:lineRule="auto"/>
                    <w:jc w:val="left"/>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选用低噪声机械设备或带噪声消声设备；合理安排施工时间；合理布置高噪设备；</w:t>
                  </w:r>
                  <w:r>
                    <w:rPr>
                      <w:rFonts w:hint="eastAsia" w:cs="Times New Roman"/>
                      <w:color w:val="auto"/>
                      <w:sz w:val="21"/>
                      <w:szCs w:val="21"/>
                      <w:lang w:val="en-US" w:eastAsia="zh-CN"/>
                    </w:rPr>
                    <w:t>增强</w:t>
                  </w:r>
                  <w:r>
                    <w:rPr>
                      <w:rFonts w:hint="default" w:ascii="Times New Roman" w:hAnsi="Times New Roman" w:cs="Times New Roman"/>
                      <w:color w:val="auto"/>
                      <w:sz w:val="21"/>
                      <w:szCs w:val="21"/>
                      <w:lang w:val="en-US" w:eastAsia="zh-CN"/>
                    </w:rPr>
                    <w:t>施工人员的环保意识。</w:t>
                  </w:r>
                </w:p>
              </w:tc>
            </w:tr>
            <w:tr w14:paraId="6882F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490" w:type="pct"/>
                  <w:vMerge w:val="continue"/>
                  <w:noWrap w:val="0"/>
                  <w:vAlign w:val="center"/>
                </w:tcPr>
                <w:p w14:paraId="37472111">
                  <w:pPr>
                    <w:keepNext w:val="0"/>
                    <w:keepLines w:val="0"/>
                    <w:pageBreakBefore w:val="0"/>
                    <w:tabs>
                      <w:tab w:val="center" w:pos="4438"/>
                      <w:tab w:val="left" w:pos="8280"/>
                    </w:tabs>
                    <w:kinsoku/>
                    <w:wordWrap/>
                    <w:overflowPunct/>
                    <w:topLinePunct w:val="0"/>
                    <w:autoSpaceDE/>
                    <w:autoSpaceDN/>
                    <w:bidi w:val="0"/>
                    <w:adjustRightInd w:val="0"/>
                    <w:snapToGrid w:val="0"/>
                    <w:spacing w:line="240" w:lineRule="auto"/>
                    <w:jc w:val="center"/>
                    <w:rPr>
                      <w:rFonts w:hint="default" w:ascii="Times New Roman" w:hAnsi="Times New Roman" w:cs="Times New Roman"/>
                      <w:color w:val="auto"/>
                      <w:sz w:val="21"/>
                      <w:szCs w:val="21"/>
                    </w:rPr>
                  </w:pPr>
                </w:p>
              </w:tc>
              <w:tc>
                <w:tcPr>
                  <w:tcW w:w="821" w:type="pct"/>
                  <w:gridSpan w:val="2"/>
                  <w:noWrap w:val="0"/>
                  <w:vAlign w:val="center"/>
                </w:tcPr>
                <w:p w14:paraId="600D1A7A">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固体废物防治措施</w:t>
                  </w:r>
                </w:p>
              </w:tc>
              <w:tc>
                <w:tcPr>
                  <w:tcW w:w="3687" w:type="pct"/>
                  <w:noWrap w:val="0"/>
                  <w:vAlign w:val="center"/>
                </w:tcPr>
                <w:p w14:paraId="7AFC479C">
                  <w:pPr>
                    <w:keepNext w:val="0"/>
                    <w:keepLines w:val="0"/>
                    <w:pageBreakBefore w:val="0"/>
                    <w:kinsoku/>
                    <w:wordWrap/>
                    <w:overflowPunct/>
                    <w:topLinePunct w:val="0"/>
                    <w:autoSpaceDE/>
                    <w:autoSpaceDN/>
                    <w:bidi w:val="0"/>
                    <w:adjustRightInd w:val="0"/>
                    <w:snapToGrid w:val="0"/>
                    <w:spacing w:line="240" w:lineRule="auto"/>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建筑垃圾、渠道建筑物拆除物能回收利用的尽可能回收利用，不能回收利用的建筑垃圾和沉淀池泥沙运往奇台县建筑垃圾填埋场处置；弃方就近堆放在渠道两侧，施工完毕后用于项目区渠堤培高；施工人员所产生的生活垃圾收集后由环卫部门统一清运至奇台县生活垃圾填埋场填埋处理</w:t>
                  </w:r>
                  <w:r>
                    <w:rPr>
                      <w:rFonts w:hint="eastAsia" w:cs="Times New Roman"/>
                      <w:color w:val="auto"/>
                      <w:sz w:val="21"/>
                      <w:szCs w:val="21"/>
                      <w:lang w:val="en-US" w:eastAsia="zh-CN"/>
                    </w:rPr>
                    <w:t>。</w:t>
                  </w:r>
                </w:p>
              </w:tc>
            </w:tr>
            <w:tr w14:paraId="2B9CD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490" w:type="pct"/>
                  <w:vMerge w:val="continue"/>
                  <w:noWrap w:val="0"/>
                  <w:vAlign w:val="center"/>
                </w:tcPr>
                <w:p w14:paraId="225631A1">
                  <w:pPr>
                    <w:pStyle w:val="45"/>
                    <w:keepNext w:val="0"/>
                    <w:keepLines w:val="0"/>
                    <w:pageBreakBefore w:val="0"/>
                    <w:kinsoku/>
                    <w:wordWrap/>
                    <w:overflowPunct/>
                    <w:topLinePunct w:val="0"/>
                    <w:autoSpaceDE/>
                    <w:autoSpaceDN/>
                    <w:bidi w:val="0"/>
                    <w:adjustRightInd w:val="0"/>
                    <w:snapToGrid w:val="0"/>
                    <w:spacing w:before="0" w:after="0" w:line="240" w:lineRule="auto"/>
                    <w:ind w:firstLine="0" w:firstLineChars="0"/>
                    <w:rPr>
                      <w:rFonts w:hint="default" w:ascii="Times New Roman" w:hAnsi="Times New Roman" w:eastAsia="宋体" w:cs="Times New Roman"/>
                      <w:color w:val="auto"/>
                      <w:sz w:val="21"/>
                      <w:szCs w:val="21"/>
                    </w:rPr>
                  </w:pPr>
                </w:p>
              </w:tc>
              <w:tc>
                <w:tcPr>
                  <w:tcW w:w="821" w:type="pct"/>
                  <w:gridSpan w:val="2"/>
                  <w:noWrap w:val="0"/>
                  <w:vAlign w:val="center"/>
                </w:tcPr>
                <w:p w14:paraId="4F5D92F0">
                  <w:pPr>
                    <w:pStyle w:val="45"/>
                    <w:keepNext w:val="0"/>
                    <w:keepLines w:val="0"/>
                    <w:pageBreakBefore w:val="0"/>
                    <w:kinsoku/>
                    <w:wordWrap/>
                    <w:overflowPunct/>
                    <w:topLinePunct w:val="0"/>
                    <w:autoSpaceDE/>
                    <w:autoSpaceDN/>
                    <w:bidi w:val="0"/>
                    <w:adjustRightInd w:val="0"/>
                    <w:snapToGrid w:val="0"/>
                    <w:spacing w:before="0" w:after="0" w:line="240" w:lineRule="auto"/>
                    <w:ind w:firstLine="0" w:firstLineChars="0"/>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生态</w:t>
                  </w:r>
                </w:p>
                <w:p w14:paraId="27FFEE56">
                  <w:pPr>
                    <w:pStyle w:val="45"/>
                    <w:keepNext w:val="0"/>
                    <w:keepLines w:val="0"/>
                    <w:pageBreakBefore w:val="0"/>
                    <w:kinsoku/>
                    <w:wordWrap/>
                    <w:overflowPunct/>
                    <w:topLinePunct w:val="0"/>
                    <w:autoSpaceDE/>
                    <w:autoSpaceDN/>
                    <w:bidi w:val="0"/>
                    <w:adjustRightInd w:val="0"/>
                    <w:snapToGrid w:val="0"/>
                    <w:spacing w:before="0" w:after="0"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0"/>
                      <w:sz w:val="21"/>
                      <w:szCs w:val="21"/>
                    </w:rPr>
                    <w:t>减缓措施</w:t>
                  </w:r>
                </w:p>
              </w:tc>
              <w:tc>
                <w:tcPr>
                  <w:tcW w:w="3687" w:type="pct"/>
                  <w:noWrap w:val="0"/>
                  <w:vAlign w:val="center"/>
                </w:tcPr>
                <w:p w14:paraId="124C0FFB">
                  <w:pPr>
                    <w:keepNext w:val="0"/>
                    <w:keepLines w:val="0"/>
                    <w:pageBreakBefore w:val="0"/>
                    <w:kinsoku/>
                    <w:wordWrap/>
                    <w:overflowPunct/>
                    <w:topLinePunct w:val="0"/>
                    <w:autoSpaceDE/>
                    <w:autoSpaceDN/>
                    <w:bidi w:val="0"/>
                    <w:spacing w:line="240" w:lineRule="auto"/>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陆生生态：①严格控制施工人员、施工机械、临时占地范围，严禁随意扩大扰动范围。②在土方开挖施工时，应严格注意保护原有地表土壤层，按照原土层顺序回填及覆盖，做到分层开挖，分层堆放，分层回填，以利于植被自然恢复；③严禁施工人员非法猎捕当地野生动物和鸟类；</w:t>
                  </w:r>
                  <w:r>
                    <w:rPr>
                      <w:rFonts w:hint="default" w:ascii="Times New Roman" w:hAnsi="Times New Roman" w:cs="Times New Roman"/>
                      <w:color w:val="auto"/>
                      <w:sz w:val="21"/>
                      <w:szCs w:val="21"/>
                      <w:lang w:val="en-US" w:eastAsia="zh-CN"/>
                    </w:rPr>
                    <w:fldChar w:fldCharType="begin"/>
                  </w:r>
                  <w:r>
                    <w:rPr>
                      <w:rFonts w:hint="default" w:ascii="Times New Roman" w:hAnsi="Times New Roman" w:cs="Times New Roman"/>
                      <w:color w:val="auto"/>
                      <w:sz w:val="21"/>
                      <w:szCs w:val="21"/>
                      <w:lang w:val="en-US" w:eastAsia="zh-CN"/>
                    </w:rPr>
                    <w:instrText xml:space="preserve"> = 4 \* GB3 \* MERGEFORMAT </w:instrText>
                  </w:r>
                  <w:r>
                    <w:rPr>
                      <w:rFonts w:hint="default" w:ascii="Times New Roman" w:hAnsi="Times New Roman" w:cs="Times New Roman"/>
                      <w:color w:val="auto"/>
                      <w:sz w:val="21"/>
                      <w:szCs w:val="21"/>
                      <w:lang w:val="en-US" w:eastAsia="zh-CN"/>
                    </w:rPr>
                    <w:fldChar w:fldCharType="separate"/>
                  </w:r>
                  <w:r>
                    <w:rPr>
                      <w:rFonts w:hint="default" w:ascii="Times New Roman" w:hAnsi="Times New Roman" w:cs="Times New Roman"/>
                      <w:color w:val="auto"/>
                      <w:sz w:val="21"/>
                      <w:szCs w:val="21"/>
                      <w:lang w:val="en-US" w:eastAsia="zh-CN"/>
                    </w:rPr>
                    <w:t>④</w:t>
                  </w:r>
                  <w:r>
                    <w:rPr>
                      <w:rFonts w:hint="default" w:ascii="Times New Roman" w:hAnsi="Times New Roman" w:cs="Times New Roman"/>
                      <w:color w:val="auto"/>
                      <w:sz w:val="21"/>
                      <w:szCs w:val="21"/>
                      <w:lang w:val="en-US" w:eastAsia="zh-CN"/>
                    </w:rPr>
                    <w:fldChar w:fldCharType="end"/>
                  </w:r>
                  <w:r>
                    <w:rPr>
                      <w:rFonts w:hint="default" w:ascii="Times New Roman" w:hAnsi="Times New Roman" w:cs="Times New Roman"/>
                      <w:color w:val="auto"/>
                      <w:sz w:val="21"/>
                      <w:szCs w:val="21"/>
                      <w:lang w:val="en-US" w:eastAsia="zh-CN"/>
                    </w:rPr>
                    <w:t>施工结束后，及时拆除、清理临时生产设施，各类施工迹地应进行清理，平整场地；</w:t>
                  </w:r>
                  <w:r>
                    <w:rPr>
                      <w:rFonts w:hint="default" w:ascii="Times New Roman" w:hAnsi="Times New Roman" w:cs="Times New Roman"/>
                      <w:color w:val="auto"/>
                      <w:sz w:val="21"/>
                      <w:szCs w:val="21"/>
                      <w:lang w:val="en-US" w:eastAsia="zh-CN"/>
                    </w:rPr>
                    <w:fldChar w:fldCharType="begin"/>
                  </w:r>
                  <w:r>
                    <w:rPr>
                      <w:rFonts w:hint="default" w:ascii="Times New Roman" w:hAnsi="Times New Roman" w:cs="Times New Roman"/>
                      <w:color w:val="auto"/>
                      <w:sz w:val="21"/>
                      <w:szCs w:val="21"/>
                      <w:lang w:val="en-US" w:eastAsia="zh-CN"/>
                    </w:rPr>
                    <w:instrText xml:space="preserve"> = 5 \* GB3 \* MERGEFORMAT </w:instrText>
                  </w:r>
                  <w:r>
                    <w:rPr>
                      <w:rFonts w:hint="default" w:ascii="Times New Roman" w:hAnsi="Times New Roman" w:cs="Times New Roman"/>
                      <w:color w:val="auto"/>
                      <w:sz w:val="21"/>
                      <w:szCs w:val="21"/>
                      <w:lang w:val="en-US" w:eastAsia="zh-CN"/>
                    </w:rPr>
                    <w:fldChar w:fldCharType="separate"/>
                  </w:r>
                  <w:r>
                    <w:rPr>
                      <w:rFonts w:hint="default" w:ascii="Times New Roman" w:hAnsi="Times New Roman" w:cs="Times New Roman"/>
                      <w:color w:val="auto"/>
                      <w:sz w:val="21"/>
                      <w:szCs w:val="21"/>
                      <w:lang w:val="en-US" w:eastAsia="zh-CN"/>
                    </w:rPr>
                    <w:t>⑤</w:t>
                  </w:r>
                  <w:r>
                    <w:rPr>
                      <w:rFonts w:hint="default" w:ascii="Times New Roman" w:hAnsi="Times New Roman" w:cs="Times New Roman"/>
                      <w:color w:val="auto"/>
                      <w:sz w:val="21"/>
                      <w:szCs w:val="21"/>
                      <w:lang w:val="en-US" w:eastAsia="zh-CN"/>
                    </w:rPr>
                    <w:fldChar w:fldCharType="end"/>
                  </w:r>
                  <w:r>
                    <w:rPr>
                      <w:rFonts w:hint="default" w:ascii="Times New Roman" w:hAnsi="Times New Roman" w:cs="Times New Roman"/>
                      <w:color w:val="auto"/>
                      <w:sz w:val="21"/>
                      <w:szCs w:val="21"/>
                      <w:lang w:val="en-US" w:eastAsia="zh-CN"/>
                    </w:rPr>
                    <w:t>建设单位应及时按照水土保持方案要求执行水土保持措施，做好工程区的植被恢复工作和水土保持措施，控制水土流失。</w:t>
                  </w:r>
                </w:p>
              </w:tc>
            </w:tr>
          </w:tbl>
          <w:p w14:paraId="7041F67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bCs/>
                <w:color w:val="auto"/>
                <w:spacing w:val="-2"/>
                <w:sz w:val="24"/>
                <w:szCs w:val="24"/>
                <w:lang w:val="en-US" w:eastAsia="zh-CN"/>
              </w:rPr>
            </w:pPr>
            <w:r>
              <w:rPr>
                <w:rFonts w:hint="default" w:ascii="Times New Roman" w:hAnsi="Times New Roman" w:eastAsia="宋体" w:cs="Times New Roman"/>
                <w:b/>
                <w:bCs/>
                <w:color w:val="auto"/>
                <w:spacing w:val="-2"/>
                <w:sz w:val="24"/>
                <w:szCs w:val="24"/>
                <w:lang w:val="en-US" w:eastAsia="zh-CN"/>
              </w:rPr>
              <w:t>表 2-3 建设项目工程特性一览表</w:t>
            </w:r>
          </w:p>
          <w:tbl>
            <w:tblPr>
              <w:tblStyle w:val="5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1"/>
              <w:gridCol w:w="2134"/>
              <w:gridCol w:w="872"/>
              <w:gridCol w:w="3337"/>
              <w:gridCol w:w="625"/>
            </w:tblGrid>
            <w:tr w14:paraId="7C3DF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5" w:hRule="atLeast"/>
                <w:jc w:val="center"/>
              </w:trPr>
              <w:tc>
                <w:tcPr>
                  <w:tcW w:w="572" w:type="pct"/>
                  <w:tcBorders>
                    <w:tl2br w:val="nil"/>
                    <w:tr2bl w:val="nil"/>
                  </w:tcBorders>
                  <w:noWrap w:val="0"/>
                  <w:vAlign w:val="center"/>
                </w:tcPr>
                <w:p w14:paraId="7D716E2F">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b/>
                      <w:bCs/>
                      <w:color w:val="auto"/>
                      <w:spacing w:val="0"/>
                      <w:w w:val="100"/>
                      <w:position w:val="0"/>
                      <w:sz w:val="21"/>
                      <w:szCs w:val="21"/>
                    </w:rPr>
                  </w:pPr>
                  <w:r>
                    <w:rPr>
                      <w:rFonts w:hint="default" w:ascii="Times New Roman" w:hAnsi="Times New Roman" w:eastAsia="宋体" w:cs="Times New Roman"/>
                      <w:b/>
                      <w:bCs/>
                      <w:color w:val="auto"/>
                      <w:spacing w:val="0"/>
                      <w:w w:val="100"/>
                      <w:position w:val="0"/>
                      <w:sz w:val="21"/>
                      <w:szCs w:val="21"/>
                    </w:rPr>
                    <w:t>序号</w:t>
                  </w:r>
                </w:p>
              </w:tc>
              <w:tc>
                <w:tcPr>
                  <w:tcW w:w="1355" w:type="pct"/>
                  <w:tcBorders>
                    <w:tl2br w:val="nil"/>
                    <w:tr2bl w:val="nil"/>
                  </w:tcBorders>
                  <w:noWrap w:val="0"/>
                  <w:vAlign w:val="center"/>
                </w:tcPr>
                <w:p w14:paraId="746ED053">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b/>
                      <w:bCs/>
                      <w:color w:val="auto"/>
                      <w:spacing w:val="0"/>
                      <w:w w:val="100"/>
                      <w:position w:val="0"/>
                      <w:sz w:val="21"/>
                      <w:szCs w:val="21"/>
                    </w:rPr>
                  </w:pPr>
                  <w:r>
                    <w:rPr>
                      <w:rFonts w:hint="default" w:ascii="Times New Roman" w:hAnsi="Times New Roman" w:eastAsia="宋体" w:cs="Times New Roman"/>
                      <w:b/>
                      <w:bCs/>
                      <w:color w:val="auto"/>
                      <w:spacing w:val="0"/>
                      <w:w w:val="100"/>
                      <w:position w:val="0"/>
                      <w:sz w:val="21"/>
                      <w:szCs w:val="21"/>
                    </w:rPr>
                    <w:t>名称</w:t>
                  </w:r>
                </w:p>
              </w:tc>
              <w:tc>
                <w:tcPr>
                  <w:tcW w:w="554" w:type="pct"/>
                  <w:tcBorders>
                    <w:tl2br w:val="nil"/>
                    <w:tr2bl w:val="nil"/>
                  </w:tcBorders>
                  <w:noWrap w:val="0"/>
                  <w:vAlign w:val="center"/>
                </w:tcPr>
                <w:p w14:paraId="36E478DB">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b/>
                      <w:bCs/>
                      <w:color w:val="auto"/>
                      <w:spacing w:val="0"/>
                      <w:w w:val="100"/>
                      <w:position w:val="0"/>
                      <w:sz w:val="21"/>
                      <w:szCs w:val="21"/>
                    </w:rPr>
                  </w:pPr>
                  <w:r>
                    <w:rPr>
                      <w:rFonts w:hint="default" w:ascii="Times New Roman" w:hAnsi="Times New Roman" w:eastAsia="宋体" w:cs="Times New Roman"/>
                      <w:b/>
                      <w:bCs/>
                      <w:color w:val="auto"/>
                      <w:spacing w:val="0"/>
                      <w:w w:val="100"/>
                      <w:position w:val="0"/>
                      <w:sz w:val="21"/>
                      <w:szCs w:val="21"/>
                    </w:rPr>
                    <w:t>单位</w:t>
                  </w:r>
                </w:p>
              </w:tc>
              <w:tc>
                <w:tcPr>
                  <w:tcW w:w="2120" w:type="pct"/>
                  <w:tcBorders>
                    <w:tl2br w:val="nil"/>
                    <w:tr2bl w:val="nil"/>
                  </w:tcBorders>
                  <w:noWrap w:val="0"/>
                  <w:vAlign w:val="center"/>
                </w:tcPr>
                <w:p w14:paraId="35CD643D">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b/>
                      <w:bCs/>
                      <w:color w:val="auto"/>
                      <w:spacing w:val="0"/>
                      <w:w w:val="100"/>
                      <w:position w:val="0"/>
                      <w:sz w:val="21"/>
                      <w:szCs w:val="21"/>
                    </w:rPr>
                  </w:pPr>
                  <w:r>
                    <w:rPr>
                      <w:rFonts w:hint="default" w:ascii="Times New Roman" w:hAnsi="Times New Roman" w:eastAsia="宋体" w:cs="Times New Roman"/>
                      <w:b/>
                      <w:bCs/>
                      <w:color w:val="auto"/>
                      <w:spacing w:val="0"/>
                      <w:w w:val="100"/>
                      <w:position w:val="0"/>
                      <w:sz w:val="21"/>
                      <w:szCs w:val="21"/>
                    </w:rPr>
                    <w:t>数量</w:t>
                  </w:r>
                </w:p>
              </w:tc>
              <w:tc>
                <w:tcPr>
                  <w:tcW w:w="397" w:type="pct"/>
                  <w:tcBorders>
                    <w:tl2br w:val="nil"/>
                    <w:tr2bl w:val="nil"/>
                  </w:tcBorders>
                  <w:noWrap w:val="0"/>
                  <w:vAlign w:val="center"/>
                </w:tcPr>
                <w:p w14:paraId="48FDBE83">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b/>
                      <w:bCs/>
                      <w:color w:val="auto"/>
                      <w:spacing w:val="0"/>
                      <w:w w:val="100"/>
                      <w:position w:val="0"/>
                      <w:sz w:val="21"/>
                      <w:szCs w:val="21"/>
                    </w:rPr>
                  </w:pPr>
                  <w:r>
                    <w:rPr>
                      <w:rFonts w:hint="default" w:ascii="Times New Roman" w:hAnsi="Times New Roman" w:eastAsia="宋体" w:cs="Times New Roman"/>
                      <w:b/>
                      <w:bCs/>
                      <w:color w:val="auto"/>
                      <w:spacing w:val="0"/>
                      <w:w w:val="100"/>
                      <w:position w:val="0"/>
                      <w:sz w:val="21"/>
                      <w:szCs w:val="21"/>
                    </w:rPr>
                    <w:t>备注</w:t>
                  </w:r>
                </w:p>
              </w:tc>
            </w:tr>
            <w:tr w14:paraId="6B14D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5" w:hRule="atLeast"/>
                <w:jc w:val="center"/>
              </w:trPr>
              <w:tc>
                <w:tcPr>
                  <w:tcW w:w="5000" w:type="pct"/>
                  <w:gridSpan w:val="5"/>
                  <w:tcBorders>
                    <w:tl2br w:val="nil"/>
                    <w:tr2bl w:val="nil"/>
                  </w:tcBorders>
                  <w:noWrap w:val="0"/>
                  <w:vAlign w:val="center"/>
                </w:tcPr>
                <w:p w14:paraId="19607460">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b/>
                      <w:bCs/>
                      <w:color w:val="auto"/>
                      <w:spacing w:val="0"/>
                      <w:w w:val="100"/>
                      <w:position w:val="0"/>
                      <w:sz w:val="21"/>
                      <w:szCs w:val="21"/>
                      <w:lang w:val="en-US" w:eastAsia="zh-CN"/>
                    </w:rPr>
                  </w:pPr>
                  <w:r>
                    <w:rPr>
                      <w:rFonts w:hint="eastAsia" w:ascii="Times New Roman" w:hAnsi="Times New Roman" w:eastAsia="宋体" w:cs="Times New Roman"/>
                      <w:b/>
                      <w:bCs/>
                      <w:color w:val="auto"/>
                      <w:spacing w:val="0"/>
                      <w:w w:val="100"/>
                      <w:position w:val="0"/>
                      <w:sz w:val="21"/>
                      <w:szCs w:val="21"/>
                      <w:lang w:val="en-US" w:eastAsia="zh-CN"/>
                    </w:rPr>
                    <w:t>渠道工程</w:t>
                  </w:r>
                </w:p>
              </w:tc>
            </w:tr>
            <w:tr w14:paraId="62502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8" w:hRule="atLeast"/>
                <w:jc w:val="center"/>
              </w:trPr>
              <w:tc>
                <w:tcPr>
                  <w:tcW w:w="572" w:type="pct"/>
                  <w:tcBorders>
                    <w:tl2br w:val="nil"/>
                    <w:tr2bl w:val="nil"/>
                  </w:tcBorders>
                  <w:noWrap w:val="0"/>
                  <w:vAlign w:val="center"/>
                </w:tcPr>
                <w:p w14:paraId="4FFA625C">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一</w:t>
                  </w:r>
                </w:p>
              </w:tc>
              <w:tc>
                <w:tcPr>
                  <w:tcW w:w="1355" w:type="pct"/>
                  <w:tcBorders>
                    <w:tl2br w:val="nil"/>
                    <w:tr2bl w:val="nil"/>
                  </w:tcBorders>
                  <w:noWrap w:val="0"/>
                  <w:vAlign w:val="center"/>
                </w:tcPr>
                <w:p w14:paraId="5B10C673">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工程建设标准</w:t>
                  </w:r>
                </w:p>
              </w:tc>
              <w:tc>
                <w:tcPr>
                  <w:tcW w:w="554" w:type="pct"/>
                  <w:tcBorders>
                    <w:tl2br w:val="nil"/>
                    <w:tr2bl w:val="nil"/>
                  </w:tcBorders>
                  <w:noWrap w:val="0"/>
                  <w:vAlign w:val="center"/>
                </w:tcPr>
                <w:p w14:paraId="57A764F0">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p>
              </w:tc>
              <w:tc>
                <w:tcPr>
                  <w:tcW w:w="2120" w:type="pct"/>
                  <w:tcBorders>
                    <w:tl2br w:val="nil"/>
                    <w:tr2bl w:val="nil"/>
                  </w:tcBorders>
                  <w:noWrap w:val="0"/>
                  <w:vAlign w:val="center"/>
                </w:tcPr>
                <w:p w14:paraId="5FF3E06A">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p>
              </w:tc>
              <w:tc>
                <w:tcPr>
                  <w:tcW w:w="397" w:type="pct"/>
                  <w:tcBorders>
                    <w:tl2br w:val="nil"/>
                    <w:tr2bl w:val="nil"/>
                  </w:tcBorders>
                  <w:noWrap w:val="0"/>
                  <w:vAlign w:val="center"/>
                </w:tcPr>
                <w:p w14:paraId="51468AFC">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p>
              </w:tc>
            </w:tr>
            <w:tr w14:paraId="35C9B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0" w:hRule="atLeast"/>
                <w:jc w:val="center"/>
              </w:trPr>
              <w:tc>
                <w:tcPr>
                  <w:tcW w:w="572" w:type="pct"/>
                  <w:tcBorders>
                    <w:tl2br w:val="nil"/>
                    <w:tr2bl w:val="nil"/>
                  </w:tcBorders>
                  <w:noWrap w:val="0"/>
                  <w:vAlign w:val="center"/>
                </w:tcPr>
                <w:p w14:paraId="670D453A">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1</w:t>
                  </w:r>
                </w:p>
              </w:tc>
              <w:tc>
                <w:tcPr>
                  <w:tcW w:w="1355" w:type="pct"/>
                  <w:tcBorders>
                    <w:tl2br w:val="nil"/>
                    <w:tr2bl w:val="nil"/>
                  </w:tcBorders>
                  <w:noWrap w:val="0"/>
                  <w:vAlign w:val="center"/>
                </w:tcPr>
                <w:p w14:paraId="0C11BA7E">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工程</w:t>
                  </w:r>
                  <w:r>
                    <w:rPr>
                      <w:rFonts w:hint="eastAsia" w:ascii="Times New Roman" w:hAnsi="Times New Roman" w:eastAsia="宋体" w:cs="Times New Roman"/>
                      <w:color w:val="auto"/>
                      <w:spacing w:val="0"/>
                      <w:w w:val="100"/>
                      <w:position w:val="0"/>
                      <w:sz w:val="21"/>
                      <w:szCs w:val="21"/>
                      <w:lang w:val="en-US" w:eastAsia="zh-CN"/>
                    </w:rPr>
                    <w:t>等</w:t>
                  </w:r>
                  <w:r>
                    <w:rPr>
                      <w:rFonts w:hint="default" w:ascii="Times New Roman" w:hAnsi="Times New Roman" w:eastAsia="宋体" w:cs="Times New Roman"/>
                      <w:color w:val="auto"/>
                      <w:spacing w:val="0"/>
                      <w:w w:val="100"/>
                      <w:position w:val="0"/>
                      <w:sz w:val="21"/>
                      <w:szCs w:val="21"/>
                    </w:rPr>
                    <w:t>别</w:t>
                  </w:r>
                </w:p>
              </w:tc>
              <w:tc>
                <w:tcPr>
                  <w:tcW w:w="554" w:type="pct"/>
                  <w:tcBorders>
                    <w:tl2br w:val="nil"/>
                    <w:tr2bl w:val="nil"/>
                  </w:tcBorders>
                  <w:noWrap w:val="0"/>
                  <w:vAlign w:val="center"/>
                </w:tcPr>
                <w:p w14:paraId="16CE3F19">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eastAsia" w:ascii="Times New Roman" w:hAnsi="Times New Roman" w:eastAsia="宋体" w:cs="Times New Roman"/>
                      <w:color w:val="auto"/>
                      <w:spacing w:val="0"/>
                      <w:w w:val="100"/>
                      <w:position w:val="0"/>
                      <w:sz w:val="21"/>
                      <w:szCs w:val="21"/>
                      <w:lang w:eastAsia="zh-CN"/>
                    </w:rPr>
                  </w:pPr>
                  <w:r>
                    <w:rPr>
                      <w:rFonts w:hint="eastAsia" w:ascii="Times New Roman" w:hAnsi="Times New Roman" w:eastAsia="宋体" w:cs="Times New Roman"/>
                      <w:color w:val="auto"/>
                      <w:spacing w:val="0"/>
                      <w:w w:val="100"/>
                      <w:position w:val="0"/>
                      <w:sz w:val="21"/>
                      <w:szCs w:val="21"/>
                      <w:lang w:val="en-US" w:eastAsia="zh-CN"/>
                    </w:rPr>
                    <w:t>等</w:t>
                  </w:r>
                </w:p>
              </w:tc>
              <w:tc>
                <w:tcPr>
                  <w:tcW w:w="2120" w:type="pct"/>
                  <w:tcBorders>
                    <w:tl2br w:val="nil"/>
                    <w:tr2bl w:val="nil"/>
                  </w:tcBorders>
                  <w:noWrap w:val="0"/>
                  <w:vAlign w:val="center"/>
                </w:tcPr>
                <w:p w14:paraId="4F455E4F">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lang w:val="en-US" w:eastAsia="zh-CN"/>
                    </w:rPr>
                    <w:t>Ⅲ</w:t>
                  </w:r>
                </w:p>
              </w:tc>
              <w:tc>
                <w:tcPr>
                  <w:tcW w:w="397" w:type="pct"/>
                  <w:tcBorders>
                    <w:tl2br w:val="nil"/>
                    <w:tr2bl w:val="nil"/>
                  </w:tcBorders>
                  <w:noWrap w:val="0"/>
                  <w:vAlign w:val="center"/>
                </w:tcPr>
                <w:p w14:paraId="508ED066">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p>
              </w:tc>
            </w:tr>
            <w:tr w14:paraId="67AF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0" w:hRule="atLeast"/>
                <w:jc w:val="center"/>
              </w:trPr>
              <w:tc>
                <w:tcPr>
                  <w:tcW w:w="572" w:type="pct"/>
                  <w:tcBorders>
                    <w:tl2br w:val="nil"/>
                    <w:tr2bl w:val="nil"/>
                  </w:tcBorders>
                  <w:noWrap w:val="0"/>
                  <w:vAlign w:val="center"/>
                </w:tcPr>
                <w:p w14:paraId="1F3E725B">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2</w:t>
                  </w:r>
                </w:p>
              </w:tc>
              <w:tc>
                <w:tcPr>
                  <w:tcW w:w="1355" w:type="pct"/>
                  <w:tcBorders>
                    <w:tl2br w:val="nil"/>
                    <w:tr2bl w:val="nil"/>
                  </w:tcBorders>
                  <w:noWrap w:val="0"/>
                  <w:vAlign w:val="center"/>
                </w:tcPr>
                <w:p w14:paraId="32329430">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建筑物级别</w:t>
                  </w:r>
                </w:p>
              </w:tc>
              <w:tc>
                <w:tcPr>
                  <w:tcW w:w="554" w:type="pct"/>
                  <w:tcBorders>
                    <w:tl2br w:val="nil"/>
                    <w:tr2bl w:val="nil"/>
                  </w:tcBorders>
                  <w:noWrap w:val="0"/>
                  <w:vAlign w:val="center"/>
                </w:tcPr>
                <w:p w14:paraId="6436F287">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p>
              </w:tc>
              <w:tc>
                <w:tcPr>
                  <w:tcW w:w="2120" w:type="pct"/>
                  <w:tcBorders>
                    <w:tl2br w:val="nil"/>
                    <w:tr2bl w:val="nil"/>
                  </w:tcBorders>
                  <w:noWrap w:val="0"/>
                  <w:vAlign w:val="center"/>
                </w:tcPr>
                <w:p w14:paraId="20BB37B7">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p>
              </w:tc>
              <w:tc>
                <w:tcPr>
                  <w:tcW w:w="397" w:type="pct"/>
                  <w:tcBorders>
                    <w:tl2br w:val="nil"/>
                    <w:tr2bl w:val="nil"/>
                  </w:tcBorders>
                  <w:noWrap w:val="0"/>
                  <w:vAlign w:val="center"/>
                </w:tcPr>
                <w:p w14:paraId="37B75251">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p>
              </w:tc>
            </w:tr>
            <w:tr w14:paraId="719C0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0" w:hRule="atLeast"/>
                <w:jc w:val="center"/>
              </w:trPr>
              <w:tc>
                <w:tcPr>
                  <w:tcW w:w="572" w:type="pct"/>
                  <w:tcBorders>
                    <w:tl2br w:val="nil"/>
                    <w:tr2bl w:val="nil"/>
                  </w:tcBorders>
                  <w:noWrap w:val="0"/>
                  <w:vAlign w:val="center"/>
                </w:tcPr>
                <w:p w14:paraId="452D2B68">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①</w:t>
                  </w:r>
                </w:p>
              </w:tc>
              <w:tc>
                <w:tcPr>
                  <w:tcW w:w="1355" w:type="pct"/>
                  <w:tcBorders>
                    <w:tl2br w:val="nil"/>
                    <w:tr2bl w:val="nil"/>
                  </w:tcBorders>
                  <w:noWrap w:val="0"/>
                  <w:vAlign w:val="center"/>
                </w:tcPr>
                <w:p w14:paraId="216B1487">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eastAsia" w:ascii="Times New Roman" w:hAnsi="Times New Roman" w:eastAsia="宋体" w:cs="Times New Roman"/>
                      <w:color w:val="auto"/>
                      <w:spacing w:val="0"/>
                      <w:w w:val="100"/>
                      <w:position w:val="0"/>
                      <w:sz w:val="21"/>
                      <w:szCs w:val="21"/>
                      <w:lang w:eastAsia="zh-CN"/>
                    </w:rPr>
                  </w:pPr>
                  <w:r>
                    <w:rPr>
                      <w:rFonts w:hint="eastAsia" w:ascii="Times New Roman" w:hAnsi="Times New Roman" w:eastAsia="宋体" w:cs="Times New Roman"/>
                      <w:color w:val="auto"/>
                      <w:spacing w:val="0"/>
                      <w:w w:val="100"/>
                      <w:position w:val="0"/>
                      <w:sz w:val="21"/>
                      <w:szCs w:val="21"/>
                      <w:lang w:val="en-US" w:eastAsia="zh-CN"/>
                    </w:rPr>
                    <w:t>渠道级别</w:t>
                  </w:r>
                </w:p>
              </w:tc>
              <w:tc>
                <w:tcPr>
                  <w:tcW w:w="554" w:type="pct"/>
                  <w:tcBorders>
                    <w:tl2br w:val="nil"/>
                    <w:tr2bl w:val="nil"/>
                  </w:tcBorders>
                  <w:noWrap w:val="0"/>
                  <w:vAlign w:val="center"/>
                </w:tcPr>
                <w:p w14:paraId="7FDCB151">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级</w:t>
                  </w:r>
                </w:p>
              </w:tc>
              <w:tc>
                <w:tcPr>
                  <w:tcW w:w="2120" w:type="pct"/>
                  <w:tcBorders>
                    <w:tl2br w:val="nil"/>
                    <w:tr2bl w:val="nil"/>
                  </w:tcBorders>
                  <w:noWrap w:val="0"/>
                  <w:vAlign w:val="center"/>
                </w:tcPr>
                <w:p w14:paraId="05CD91D1">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eastAsia" w:ascii="Times New Roman" w:hAnsi="Times New Roman" w:eastAsia="宋体" w:cs="Times New Roman"/>
                      <w:color w:val="auto"/>
                      <w:spacing w:val="0"/>
                      <w:w w:val="100"/>
                      <w:position w:val="0"/>
                      <w:sz w:val="21"/>
                      <w:szCs w:val="21"/>
                      <w:lang w:eastAsia="zh-CN"/>
                    </w:rPr>
                  </w:pPr>
                  <w:r>
                    <w:rPr>
                      <w:rFonts w:hint="eastAsia" w:ascii="Times New Roman" w:hAnsi="Times New Roman" w:eastAsia="宋体" w:cs="Times New Roman"/>
                      <w:color w:val="auto"/>
                      <w:spacing w:val="0"/>
                      <w:w w:val="100"/>
                      <w:position w:val="0"/>
                      <w:sz w:val="21"/>
                      <w:szCs w:val="21"/>
                      <w:lang w:val="en-US" w:eastAsia="zh-CN"/>
                    </w:rPr>
                    <w:t>4</w:t>
                  </w:r>
                </w:p>
              </w:tc>
              <w:tc>
                <w:tcPr>
                  <w:tcW w:w="397" w:type="pct"/>
                  <w:tcBorders>
                    <w:tl2br w:val="nil"/>
                    <w:tr2bl w:val="nil"/>
                  </w:tcBorders>
                  <w:noWrap w:val="0"/>
                  <w:vAlign w:val="center"/>
                </w:tcPr>
                <w:p w14:paraId="0075BBFF">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p>
              </w:tc>
            </w:tr>
            <w:tr w14:paraId="70711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0" w:hRule="atLeast"/>
                <w:jc w:val="center"/>
              </w:trPr>
              <w:tc>
                <w:tcPr>
                  <w:tcW w:w="572" w:type="pct"/>
                  <w:tcBorders>
                    <w:tl2br w:val="nil"/>
                    <w:tr2bl w:val="nil"/>
                  </w:tcBorders>
                  <w:noWrap w:val="0"/>
                  <w:vAlign w:val="center"/>
                </w:tcPr>
                <w:p w14:paraId="0AC2A4B3">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②</w:t>
                  </w:r>
                </w:p>
              </w:tc>
              <w:tc>
                <w:tcPr>
                  <w:tcW w:w="2134" w:type="dxa"/>
                  <w:tcBorders>
                    <w:tl2br w:val="nil"/>
                    <w:tr2bl w:val="nil"/>
                  </w:tcBorders>
                  <w:noWrap w:val="0"/>
                  <w:vAlign w:val="center"/>
                </w:tcPr>
                <w:p w14:paraId="162F3D6B">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leftChars="0"/>
                    <w:jc w:val="center"/>
                    <w:textAlignment w:val="auto"/>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主要建筑物</w:t>
                  </w:r>
                </w:p>
              </w:tc>
              <w:tc>
                <w:tcPr>
                  <w:tcW w:w="554" w:type="pct"/>
                  <w:tcBorders>
                    <w:tl2br w:val="nil"/>
                    <w:tr2bl w:val="nil"/>
                  </w:tcBorders>
                  <w:noWrap w:val="0"/>
                  <w:vAlign w:val="center"/>
                </w:tcPr>
                <w:p w14:paraId="1528BA69">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级</w:t>
                  </w:r>
                </w:p>
              </w:tc>
              <w:tc>
                <w:tcPr>
                  <w:tcW w:w="2120" w:type="pct"/>
                  <w:tcBorders>
                    <w:tl2br w:val="nil"/>
                    <w:tr2bl w:val="nil"/>
                  </w:tcBorders>
                  <w:noWrap w:val="0"/>
                  <w:vAlign w:val="center"/>
                </w:tcPr>
                <w:p w14:paraId="683D24D3">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eastAsia" w:ascii="Times New Roman" w:hAnsi="Times New Roman" w:eastAsia="宋体" w:cs="Times New Roman"/>
                      <w:color w:val="auto"/>
                      <w:spacing w:val="0"/>
                      <w:w w:val="100"/>
                      <w:position w:val="0"/>
                      <w:sz w:val="21"/>
                      <w:szCs w:val="21"/>
                      <w:lang w:eastAsia="zh-CN"/>
                    </w:rPr>
                  </w:pPr>
                  <w:r>
                    <w:rPr>
                      <w:rFonts w:hint="eastAsia" w:ascii="Times New Roman" w:hAnsi="Times New Roman" w:eastAsia="宋体" w:cs="Times New Roman"/>
                      <w:color w:val="auto"/>
                      <w:spacing w:val="0"/>
                      <w:w w:val="100"/>
                      <w:position w:val="0"/>
                      <w:sz w:val="21"/>
                      <w:szCs w:val="21"/>
                      <w:lang w:val="en-US" w:eastAsia="zh-CN"/>
                    </w:rPr>
                    <w:t>4</w:t>
                  </w:r>
                </w:p>
              </w:tc>
              <w:tc>
                <w:tcPr>
                  <w:tcW w:w="397" w:type="pct"/>
                  <w:tcBorders>
                    <w:tl2br w:val="nil"/>
                    <w:tr2bl w:val="nil"/>
                  </w:tcBorders>
                  <w:noWrap w:val="0"/>
                  <w:vAlign w:val="center"/>
                </w:tcPr>
                <w:p w14:paraId="5F462163">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p>
              </w:tc>
            </w:tr>
            <w:tr w14:paraId="35DE5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0" w:hRule="atLeast"/>
                <w:jc w:val="center"/>
              </w:trPr>
              <w:tc>
                <w:tcPr>
                  <w:tcW w:w="572" w:type="pct"/>
                  <w:tcBorders>
                    <w:tl2br w:val="nil"/>
                    <w:tr2bl w:val="nil"/>
                  </w:tcBorders>
                  <w:noWrap w:val="0"/>
                  <w:vAlign w:val="center"/>
                </w:tcPr>
                <w:p w14:paraId="144C031A">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③</w:t>
                  </w:r>
                </w:p>
              </w:tc>
              <w:tc>
                <w:tcPr>
                  <w:tcW w:w="2134" w:type="dxa"/>
                  <w:tcBorders>
                    <w:tl2br w:val="nil"/>
                    <w:tr2bl w:val="nil"/>
                  </w:tcBorders>
                  <w:noWrap w:val="0"/>
                  <w:vAlign w:val="center"/>
                </w:tcPr>
                <w:p w14:paraId="5A91A4FB">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leftChars="0"/>
                    <w:jc w:val="center"/>
                    <w:textAlignment w:val="auto"/>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次要建筑物</w:t>
                  </w:r>
                </w:p>
              </w:tc>
              <w:tc>
                <w:tcPr>
                  <w:tcW w:w="554" w:type="pct"/>
                  <w:tcBorders>
                    <w:tl2br w:val="nil"/>
                    <w:tr2bl w:val="nil"/>
                  </w:tcBorders>
                  <w:noWrap w:val="0"/>
                  <w:vAlign w:val="center"/>
                </w:tcPr>
                <w:p w14:paraId="0E2585CF">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级</w:t>
                  </w:r>
                </w:p>
              </w:tc>
              <w:tc>
                <w:tcPr>
                  <w:tcW w:w="2120" w:type="pct"/>
                  <w:tcBorders>
                    <w:tl2br w:val="nil"/>
                    <w:tr2bl w:val="nil"/>
                  </w:tcBorders>
                  <w:noWrap w:val="0"/>
                  <w:vAlign w:val="center"/>
                </w:tcPr>
                <w:p w14:paraId="43FDFA72">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5</w:t>
                  </w:r>
                </w:p>
              </w:tc>
              <w:tc>
                <w:tcPr>
                  <w:tcW w:w="397" w:type="pct"/>
                  <w:tcBorders>
                    <w:tl2br w:val="nil"/>
                    <w:tr2bl w:val="nil"/>
                  </w:tcBorders>
                  <w:noWrap w:val="0"/>
                  <w:vAlign w:val="center"/>
                </w:tcPr>
                <w:p w14:paraId="6B955D5D">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p>
              </w:tc>
            </w:tr>
            <w:tr w14:paraId="7A254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0" w:hRule="atLeast"/>
                <w:jc w:val="center"/>
              </w:trPr>
              <w:tc>
                <w:tcPr>
                  <w:tcW w:w="572" w:type="pct"/>
                  <w:tcBorders>
                    <w:tl2br w:val="nil"/>
                    <w:tr2bl w:val="nil"/>
                  </w:tcBorders>
                  <w:noWrap w:val="0"/>
                  <w:vAlign w:val="center"/>
                </w:tcPr>
                <w:p w14:paraId="69B6027A">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二</w:t>
                  </w:r>
                </w:p>
              </w:tc>
              <w:tc>
                <w:tcPr>
                  <w:tcW w:w="1355" w:type="pct"/>
                  <w:tcBorders>
                    <w:tl2br w:val="nil"/>
                    <w:tr2bl w:val="nil"/>
                  </w:tcBorders>
                  <w:noWrap w:val="0"/>
                  <w:vAlign w:val="center"/>
                </w:tcPr>
                <w:p w14:paraId="14405BFB">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主体工程及建筑物</w:t>
                  </w:r>
                </w:p>
              </w:tc>
              <w:tc>
                <w:tcPr>
                  <w:tcW w:w="554" w:type="pct"/>
                  <w:tcBorders>
                    <w:tl2br w:val="nil"/>
                    <w:tr2bl w:val="nil"/>
                  </w:tcBorders>
                  <w:noWrap w:val="0"/>
                  <w:vAlign w:val="center"/>
                </w:tcPr>
                <w:p w14:paraId="05F5B566">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p>
              </w:tc>
              <w:tc>
                <w:tcPr>
                  <w:tcW w:w="2120" w:type="pct"/>
                  <w:tcBorders>
                    <w:tl2br w:val="nil"/>
                    <w:tr2bl w:val="nil"/>
                  </w:tcBorders>
                  <w:noWrap w:val="0"/>
                  <w:vAlign w:val="center"/>
                </w:tcPr>
                <w:p w14:paraId="50E37E0E">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p>
              </w:tc>
              <w:tc>
                <w:tcPr>
                  <w:tcW w:w="397" w:type="pct"/>
                  <w:tcBorders>
                    <w:tl2br w:val="nil"/>
                    <w:tr2bl w:val="nil"/>
                  </w:tcBorders>
                  <w:noWrap w:val="0"/>
                  <w:vAlign w:val="center"/>
                </w:tcPr>
                <w:p w14:paraId="2F24D297">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p>
              </w:tc>
            </w:tr>
            <w:tr w14:paraId="645D3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1" w:hRule="atLeast"/>
                <w:jc w:val="center"/>
              </w:trPr>
              <w:tc>
                <w:tcPr>
                  <w:tcW w:w="572" w:type="pct"/>
                  <w:tcBorders>
                    <w:tl2br w:val="nil"/>
                    <w:tr2bl w:val="nil"/>
                  </w:tcBorders>
                  <w:noWrap w:val="0"/>
                  <w:vAlign w:val="center"/>
                </w:tcPr>
                <w:p w14:paraId="39021095">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（一）</w:t>
                  </w:r>
                </w:p>
              </w:tc>
              <w:tc>
                <w:tcPr>
                  <w:tcW w:w="1355" w:type="pct"/>
                  <w:tcBorders>
                    <w:tl2br w:val="nil"/>
                    <w:tr2bl w:val="nil"/>
                  </w:tcBorders>
                  <w:noWrap w:val="0"/>
                  <w:vAlign w:val="center"/>
                </w:tcPr>
                <w:p w14:paraId="4E390336">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渠道工程</w:t>
                  </w:r>
                </w:p>
              </w:tc>
              <w:tc>
                <w:tcPr>
                  <w:tcW w:w="554" w:type="pct"/>
                  <w:tcBorders>
                    <w:tl2br w:val="nil"/>
                    <w:tr2bl w:val="nil"/>
                  </w:tcBorders>
                  <w:noWrap w:val="0"/>
                  <w:vAlign w:val="center"/>
                </w:tcPr>
                <w:p w14:paraId="6E43268C">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p>
              </w:tc>
              <w:tc>
                <w:tcPr>
                  <w:tcW w:w="2120" w:type="pct"/>
                  <w:tcBorders>
                    <w:tl2br w:val="nil"/>
                    <w:tr2bl w:val="nil"/>
                  </w:tcBorders>
                  <w:noWrap w:val="0"/>
                  <w:vAlign w:val="center"/>
                </w:tcPr>
                <w:p w14:paraId="46928EF3">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p>
              </w:tc>
              <w:tc>
                <w:tcPr>
                  <w:tcW w:w="397" w:type="pct"/>
                  <w:tcBorders>
                    <w:tl2br w:val="nil"/>
                    <w:tr2bl w:val="nil"/>
                  </w:tcBorders>
                  <w:noWrap w:val="0"/>
                  <w:vAlign w:val="center"/>
                </w:tcPr>
                <w:p w14:paraId="66998959">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p>
              </w:tc>
            </w:tr>
            <w:tr w14:paraId="2F855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0" w:hRule="atLeast"/>
                <w:jc w:val="center"/>
              </w:trPr>
              <w:tc>
                <w:tcPr>
                  <w:tcW w:w="572" w:type="pct"/>
                  <w:tcBorders>
                    <w:tl2br w:val="nil"/>
                    <w:tr2bl w:val="nil"/>
                  </w:tcBorders>
                  <w:noWrap w:val="0"/>
                  <w:vAlign w:val="center"/>
                </w:tcPr>
                <w:p w14:paraId="6D2E2125">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1</w:t>
                  </w:r>
                </w:p>
              </w:tc>
              <w:tc>
                <w:tcPr>
                  <w:tcW w:w="1355" w:type="pct"/>
                  <w:tcBorders>
                    <w:tl2br w:val="nil"/>
                    <w:tr2bl w:val="nil"/>
                  </w:tcBorders>
                  <w:noWrap w:val="0"/>
                  <w:vAlign w:val="center"/>
                </w:tcPr>
                <w:p w14:paraId="470B95B6">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本项目建设总长度</w:t>
                  </w:r>
                </w:p>
              </w:tc>
              <w:tc>
                <w:tcPr>
                  <w:tcW w:w="554" w:type="pct"/>
                  <w:tcBorders>
                    <w:tl2br w:val="nil"/>
                    <w:tr2bl w:val="nil"/>
                  </w:tcBorders>
                  <w:noWrap w:val="0"/>
                  <w:vAlign w:val="center"/>
                </w:tcPr>
                <w:p w14:paraId="48CF1D01">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r>
                    <w:rPr>
                      <w:rFonts w:hint="eastAsia" w:ascii="Times New Roman" w:hAnsi="Times New Roman" w:eastAsia="宋体" w:cs="Times New Roman"/>
                      <w:color w:val="auto"/>
                      <w:spacing w:val="0"/>
                      <w:w w:val="100"/>
                      <w:position w:val="0"/>
                      <w:sz w:val="21"/>
                      <w:szCs w:val="21"/>
                      <w:lang w:val="en-US" w:eastAsia="zh-CN"/>
                    </w:rPr>
                    <w:t>1/</w:t>
                  </w:r>
                  <w:r>
                    <w:rPr>
                      <w:rFonts w:hint="default" w:ascii="Times New Roman" w:hAnsi="Times New Roman" w:eastAsia="宋体" w:cs="Times New Roman"/>
                      <w:color w:val="auto"/>
                      <w:spacing w:val="0"/>
                      <w:w w:val="100"/>
                      <w:position w:val="0"/>
                      <w:sz w:val="21"/>
                      <w:szCs w:val="21"/>
                    </w:rPr>
                    <w:t>km</w:t>
                  </w:r>
                </w:p>
              </w:tc>
              <w:tc>
                <w:tcPr>
                  <w:tcW w:w="2120" w:type="pct"/>
                  <w:tcBorders>
                    <w:tl2br w:val="nil"/>
                    <w:tr2bl w:val="nil"/>
                  </w:tcBorders>
                  <w:noWrap w:val="0"/>
                  <w:vAlign w:val="center"/>
                </w:tcPr>
                <w:p w14:paraId="3EA4932D">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highlight w:val="none"/>
                      <w:lang w:val="en-US" w:eastAsia="zh-CN"/>
                    </w:rPr>
                  </w:pPr>
                  <w:r>
                    <w:rPr>
                      <w:rFonts w:hint="eastAsia" w:ascii="Times New Roman" w:hAnsi="Times New Roman" w:eastAsia="宋体" w:cs="Times New Roman"/>
                      <w:color w:val="auto"/>
                      <w:spacing w:val="0"/>
                      <w:w w:val="100"/>
                      <w:position w:val="0"/>
                      <w:sz w:val="21"/>
                      <w:szCs w:val="21"/>
                      <w:highlight w:val="none"/>
                      <w:lang w:val="en-US" w:eastAsia="zh-CN"/>
                    </w:rPr>
                    <w:t>14.336</w:t>
                  </w:r>
                </w:p>
              </w:tc>
              <w:tc>
                <w:tcPr>
                  <w:tcW w:w="397" w:type="pct"/>
                  <w:tcBorders>
                    <w:tl2br w:val="nil"/>
                    <w:tr2bl w:val="nil"/>
                  </w:tcBorders>
                  <w:noWrap w:val="0"/>
                  <w:vAlign w:val="center"/>
                </w:tcPr>
                <w:p w14:paraId="78553040">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p>
              </w:tc>
            </w:tr>
            <w:tr w14:paraId="0338E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0" w:hRule="atLeast"/>
                <w:jc w:val="center"/>
              </w:trPr>
              <w:tc>
                <w:tcPr>
                  <w:tcW w:w="572" w:type="pct"/>
                  <w:tcBorders>
                    <w:tl2br w:val="nil"/>
                    <w:tr2bl w:val="nil"/>
                  </w:tcBorders>
                  <w:noWrap w:val="0"/>
                  <w:vAlign w:val="center"/>
                </w:tcPr>
                <w:p w14:paraId="42E6ED9F">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p>
              </w:tc>
              <w:tc>
                <w:tcPr>
                  <w:tcW w:w="1355" w:type="pct"/>
                  <w:tcBorders>
                    <w:tl2br w:val="nil"/>
                    <w:tr2bl w:val="nil"/>
                  </w:tcBorders>
                  <w:noWrap w:val="0"/>
                  <w:vAlign w:val="center"/>
                </w:tcPr>
                <w:p w14:paraId="45A0920D">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lang w:val="en-US" w:eastAsia="zh-CN"/>
                    </w:rPr>
                  </w:pPr>
                  <w:r>
                    <w:rPr>
                      <w:rFonts w:hint="eastAsia" w:ascii="Times New Roman" w:hAnsi="Times New Roman" w:eastAsia="宋体" w:cs="Times New Roman"/>
                      <w:color w:val="auto"/>
                      <w:spacing w:val="0"/>
                      <w:w w:val="100"/>
                      <w:position w:val="0"/>
                      <w:sz w:val="21"/>
                      <w:szCs w:val="21"/>
                      <w:lang w:val="en-US" w:eastAsia="zh-CN"/>
                    </w:rPr>
                    <w:t>设计流量</w:t>
                  </w:r>
                </w:p>
              </w:tc>
              <w:tc>
                <w:tcPr>
                  <w:tcW w:w="554" w:type="pct"/>
                  <w:tcBorders>
                    <w:tl2br w:val="nil"/>
                    <w:tr2bl w:val="nil"/>
                  </w:tcBorders>
                  <w:noWrap w:val="0"/>
                  <w:vAlign w:val="center"/>
                </w:tcPr>
                <w:p w14:paraId="4EECDB45">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lang w:val="en-US" w:eastAsia="zh-CN"/>
                    </w:rPr>
                  </w:pPr>
                  <w:r>
                    <w:rPr>
                      <w:rFonts w:hint="eastAsia" w:ascii="Times New Roman" w:hAnsi="Times New Roman" w:eastAsia="宋体" w:cs="Times New Roman"/>
                      <w:color w:val="auto"/>
                      <w:spacing w:val="0"/>
                      <w:w w:val="100"/>
                      <w:position w:val="0"/>
                      <w:sz w:val="21"/>
                      <w:szCs w:val="21"/>
                      <w:lang w:val="en-US" w:eastAsia="zh-CN"/>
                    </w:rPr>
                    <w:t>m</w:t>
                  </w:r>
                  <w:r>
                    <w:rPr>
                      <w:rFonts w:hint="eastAsia" w:ascii="Times New Roman" w:hAnsi="Times New Roman" w:eastAsia="宋体" w:cs="Times New Roman"/>
                      <w:color w:val="auto"/>
                      <w:spacing w:val="0"/>
                      <w:w w:val="100"/>
                      <w:position w:val="0"/>
                      <w:sz w:val="21"/>
                      <w:szCs w:val="21"/>
                      <w:vertAlign w:val="superscript"/>
                      <w:lang w:val="en-US" w:eastAsia="zh-CN"/>
                    </w:rPr>
                    <w:t>3</w:t>
                  </w:r>
                  <w:r>
                    <w:rPr>
                      <w:rFonts w:hint="eastAsia" w:ascii="Times New Roman" w:hAnsi="Times New Roman" w:eastAsia="宋体" w:cs="Times New Roman"/>
                      <w:color w:val="auto"/>
                      <w:spacing w:val="0"/>
                      <w:w w:val="100"/>
                      <w:position w:val="0"/>
                      <w:sz w:val="21"/>
                      <w:szCs w:val="21"/>
                      <w:lang w:val="en-US" w:eastAsia="zh-CN"/>
                    </w:rPr>
                    <w:t>/s</w:t>
                  </w:r>
                </w:p>
              </w:tc>
              <w:tc>
                <w:tcPr>
                  <w:tcW w:w="2120" w:type="pct"/>
                  <w:tcBorders>
                    <w:tl2br w:val="nil"/>
                    <w:tr2bl w:val="nil"/>
                  </w:tcBorders>
                  <w:noWrap w:val="0"/>
                  <w:vAlign w:val="center"/>
                </w:tcPr>
                <w:p w14:paraId="6D5E0083">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highlight w:val="none"/>
                      <w:lang w:val="en-US" w:eastAsia="zh-CN"/>
                    </w:rPr>
                  </w:pPr>
                  <w:r>
                    <w:rPr>
                      <w:rFonts w:hint="eastAsia" w:ascii="Times New Roman" w:hAnsi="Times New Roman" w:eastAsia="宋体" w:cs="Times New Roman"/>
                      <w:color w:val="auto"/>
                      <w:spacing w:val="0"/>
                      <w:w w:val="100"/>
                      <w:position w:val="0"/>
                      <w:sz w:val="21"/>
                      <w:szCs w:val="21"/>
                      <w:highlight w:val="none"/>
                      <w:lang w:val="en-US" w:eastAsia="zh-CN"/>
                    </w:rPr>
                    <w:t>7.5</w:t>
                  </w:r>
                </w:p>
              </w:tc>
              <w:tc>
                <w:tcPr>
                  <w:tcW w:w="397" w:type="pct"/>
                  <w:tcBorders>
                    <w:tl2br w:val="nil"/>
                    <w:tr2bl w:val="nil"/>
                  </w:tcBorders>
                  <w:noWrap w:val="0"/>
                  <w:vAlign w:val="center"/>
                </w:tcPr>
                <w:p w14:paraId="02F08054">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p>
              </w:tc>
            </w:tr>
            <w:tr w14:paraId="6CFCA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0" w:hRule="atLeast"/>
                <w:jc w:val="center"/>
              </w:trPr>
              <w:tc>
                <w:tcPr>
                  <w:tcW w:w="572" w:type="pct"/>
                  <w:tcBorders>
                    <w:tl2br w:val="nil"/>
                    <w:tr2bl w:val="nil"/>
                  </w:tcBorders>
                  <w:noWrap w:val="0"/>
                  <w:vAlign w:val="center"/>
                </w:tcPr>
                <w:p w14:paraId="5733DC40">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p>
              </w:tc>
              <w:tc>
                <w:tcPr>
                  <w:tcW w:w="1355" w:type="pct"/>
                  <w:tcBorders>
                    <w:tl2br w:val="nil"/>
                    <w:tr2bl w:val="nil"/>
                  </w:tcBorders>
                  <w:noWrap w:val="0"/>
                  <w:vAlign w:val="center"/>
                </w:tcPr>
                <w:p w14:paraId="14E07306">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r>
                    <w:rPr>
                      <w:rFonts w:hint="eastAsia" w:ascii="Times New Roman" w:hAnsi="Times New Roman" w:eastAsia="宋体" w:cs="Times New Roman"/>
                      <w:color w:val="auto"/>
                      <w:spacing w:val="0"/>
                      <w:w w:val="100"/>
                      <w:position w:val="0"/>
                      <w:sz w:val="21"/>
                      <w:szCs w:val="21"/>
                      <w:lang w:val="en-US" w:eastAsia="zh-CN"/>
                    </w:rPr>
                    <w:t>改善农田灌溉条件</w:t>
                  </w:r>
                </w:p>
              </w:tc>
              <w:tc>
                <w:tcPr>
                  <w:tcW w:w="554" w:type="pct"/>
                  <w:tcBorders>
                    <w:tl2br w:val="nil"/>
                    <w:tr2bl w:val="nil"/>
                  </w:tcBorders>
                  <w:noWrap w:val="0"/>
                  <w:vAlign w:val="center"/>
                </w:tcPr>
                <w:p w14:paraId="5A74D010">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万亩</w:t>
                  </w:r>
                </w:p>
              </w:tc>
              <w:tc>
                <w:tcPr>
                  <w:tcW w:w="2120" w:type="pct"/>
                  <w:tcBorders>
                    <w:tl2br w:val="nil"/>
                    <w:tr2bl w:val="nil"/>
                  </w:tcBorders>
                  <w:noWrap w:val="0"/>
                  <w:vAlign w:val="center"/>
                </w:tcPr>
                <w:p w14:paraId="4A614AC7">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highlight w:val="none"/>
                      <w:lang w:val="en-US" w:eastAsia="zh-CN"/>
                    </w:rPr>
                  </w:pPr>
                  <w:r>
                    <w:rPr>
                      <w:rFonts w:hint="eastAsia" w:ascii="Times New Roman" w:hAnsi="Times New Roman" w:eastAsia="宋体" w:cs="Times New Roman"/>
                      <w:color w:val="auto"/>
                      <w:spacing w:val="0"/>
                      <w:w w:val="100"/>
                      <w:position w:val="0"/>
                      <w:sz w:val="21"/>
                      <w:szCs w:val="21"/>
                      <w:highlight w:val="none"/>
                      <w:lang w:val="en-US" w:eastAsia="zh-CN"/>
                    </w:rPr>
                    <w:t>11.8</w:t>
                  </w:r>
                </w:p>
              </w:tc>
              <w:tc>
                <w:tcPr>
                  <w:tcW w:w="397" w:type="pct"/>
                  <w:tcBorders>
                    <w:tl2br w:val="nil"/>
                    <w:tr2bl w:val="nil"/>
                  </w:tcBorders>
                  <w:noWrap w:val="0"/>
                  <w:vAlign w:val="center"/>
                </w:tcPr>
                <w:p w14:paraId="6BD64FDB">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p>
              </w:tc>
            </w:tr>
            <w:tr w14:paraId="2A8BF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jc w:val="center"/>
              </w:trPr>
              <w:tc>
                <w:tcPr>
                  <w:tcW w:w="572" w:type="pct"/>
                  <w:tcBorders>
                    <w:tl2br w:val="nil"/>
                    <w:tr2bl w:val="nil"/>
                  </w:tcBorders>
                  <w:noWrap w:val="0"/>
                  <w:vAlign w:val="center"/>
                </w:tcPr>
                <w:p w14:paraId="243CCDE1">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p>
              </w:tc>
              <w:tc>
                <w:tcPr>
                  <w:tcW w:w="1355" w:type="pct"/>
                  <w:tcBorders>
                    <w:tl2br w:val="nil"/>
                    <w:tr2bl w:val="nil"/>
                  </w:tcBorders>
                  <w:noWrap w:val="0"/>
                  <w:vAlign w:val="center"/>
                </w:tcPr>
                <w:p w14:paraId="3871D1D2">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lang w:val="en-US" w:eastAsia="zh-CN"/>
                    </w:rPr>
                  </w:pPr>
                  <w:r>
                    <w:rPr>
                      <w:rFonts w:hint="eastAsia" w:ascii="Times New Roman" w:hAnsi="Times New Roman" w:eastAsia="宋体" w:cs="Times New Roman"/>
                      <w:color w:val="auto"/>
                      <w:spacing w:val="0"/>
                      <w:w w:val="100"/>
                      <w:position w:val="0"/>
                      <w:sz w:val="21"/>
                      <w:szCs w:val="21"/>
                      <w:lang w:val="en-US" w:eastAsia="zh-CN"/>
                    </w:rPr>
                    <w:t>灌溉保证率</w:t>
                  </w:r>
                </w:p>
              </w:tc>
              <w:tc>
                <w:tcPr>
                  <w:tcW w:w="554" w:type="pct"/>
                  <w:tcBorders>
                    <w:tl2br w:val="nil"/>
                    <w:tr2bl w:val="nil"/>
                  </w:tcBorders>
                  <w:noWrap w:val="0"/>
                  <w:vAlign w:val="center"/>
                </w:tcPr>
                <w:p w14:paraId="7585CCAF">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lang w:val="en-US" w:eastAsia="zh-CN"/>
                    </w:rPr>
                  </w:pPr>
                  <w:r>
                    <w:rPr>
                      <w:rFonts w:hint="eastAsia" w:ascii="Times New Roman" w:hAnsi="Times New Roman" w:eastAsia="宋体" w:cs="Times New Roman"/>
                      <w:color w:val="auto"/>
                      <w:spacing w:val="0"/>
                      <w:w w:val="100"/>
                      <w:position w:val="0"/>
                      <w:sz w:val="21"/>
                      <w:szCs w:val="21"/>
                      <w:lang w:val="en-US" w:eastAsia="zh-CN"/>
                    </w:rPr>
                    <w:t>%</w:t>
                  </w:r>
                </w:p>
              </w:tc>
              <w:tc>
                <w:tcPr>
                  <w:tcW w:w="2120" w:type="pct"/>
                  <w:tcBorders>
                    <w:tl2br w:val="nil"/>
                    <w:tr2bl w:val="nil"/>
                  </w:tcBorders>
                  <w:noWrap w:val="0"/>
                  <w:vAlign w:val="center"/>
                </w:tcPr>
                <w:p w14:paraId="0941CE99">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lang w:val="en-US" w:eastAsia="zh-CN"/>
                    </w:rPr>
                  </w:pPr>
                  <w:r>
                    <w:rPr>
                      <w:rFonts w:hint="eastAsia" w:ascii="Times New Roman" w:hAnsi="Times New Roman" w:eastAsia="宋体" w:cs="Times New Roman"/>
                      <w:color w:val="auto"/>
                      <w:spacing w:val="0"/>
                      <w:w w:val="100"/>
                      <w:position w:val="0"/>
                      <w:sz w:val="21"/>
                      <w:szCs w:val="21"/>
                      <w:lang w:val="en-US" w:eastAsia="zh-CN"/>
                    </w:rPr>
                    <w:t>85</w:t>
                  </w:r>
                </w:p>
              </w:tc>
              <w:tc>
                <w:tcPr>
                  <w:tcW w:w="397" w:type="pct"/>
                  <w:tcBorders>
                    <w:tl2br w:val="nil"/>
                    <w:tr2bl w:val="nil"/>
                  </w:tcBorders>
                  <w:noWrap w:val="0"/>
                  <w:vAlign w:val="center"/>
                </w:tcPr>
                <w:p w14:paraId="72B30484">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p>
              </w:tc>
            </w:tr>
            <w:tr w14:paraId="2C028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9" w:hRule="atLeast"/>
                <w:jc w:val="center"/>
              </w:trPr>
              <w:tc>
                <w:tcPr>
                  <w:tcW w:w="572" w:type="pct"/>
                  <w:tcBorders>
                    <w:tl2br w:val="nil"/>
                    <w:tr2bl w:val="nil"/>
                  </w:tcBorders>
                  <w:noWrap w:val="0"/>
                  <w:vAlign w:val="center"/>
                </w:tcPr>
                <w:p w14:paraId="69D7C0F4">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p>
              </w:tc>
              <w:tc>
                <w:tcPr>
                  <w:tcW w:w="1355" w:type="pct"/>
                  <w:tcBorders>
                    <w:tl2br w:val="nil"/>
                    <w:tr2bl w:val="nil"/>
                  </w:tcBorders>
                  <w:noWrap w:val="0"/>
                  <w:vAlign w:val="center"/>
                </w:tcPr>
                <w:p w14:paraId="661EE633">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lang w:val="en-US" w:eastAsia="zh-CN"/>
                    </w:rPr>
                    <w:t>灌溉水利用系数</w:t>
                  </w:r>
                </w:p>
              </w:tc>
              <w:tc>
                <w:tcPr>
                  <w:tcW w:w="554" w:type="pct"/>
                  <w:tcBorders>
                    <w:tl2br w:val="nil"/>
                    <w:tr2bl w:val="nil"/>
                  </w:tcBorders>
                  <w:noWrap w:val="0"/>
                  <w:vAlign w:val="center"/>
                </w:tcPr>
                <w:p w14:paraId="3D278B0F">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p>
              </w:tc>
              <w:tc>
                <w:tcPr>
                  <w:tcW w:w="2120" w:type="pct"/>
                  <w:tcBorders>
                    <w:tl2br w:val="nil"/>
                    <w:tr2bl w:val="nil"/>
                  </w:tcBorders>
                  <w:noWrap w:val="0"/>
                  <w:vAlign w:val="center"/>
                </w:tcPr>
                <w:p w14:paraId="71010455">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lang w:val="en-US" w:eastAsia="zh-CN"/>
                    </w:rPr>
                    <w:t>滴灌0.65</w:t>
                  </w:r>
                  <w:r>
                    <w:rPr>
                      <w:rFonts w:hint="eastAsia" w:ascii="Times New Roman" w:hAnsi="Times New Roman" w:eastAsia="宋体" w:cs="Times New Roman"/>
                      <w:color w:val="auto"/>
                      <w:spacing w:val="0"/>
                      <w:w w:val="100"/>
                      <w:position w:val="0"/>
                      <w:sz w:val="21"/>
                      <w:szCs w:val="21"/>
                      <w:lang w:val="en-US" w:eastAsia="zh-CN"/>
                    </w:rPr>
                    <w:t>；</w:t>
                  </w:r>
                  <w:r>
                    <w:rPr>
                      <w:rFonts w:hint="default" w:ascii="Times New Roman" w:hAnsi="Times New Roman" w:eastAsia="宋体" w:cs="Times New Roman"/>
                      <w:color w:val="auto"/>
                      <w:spacing w:val="0"/>
                      <w:w w:val="100"/>
                      <w:position w:val="0"/>
                      <w:sz w:val="21"/>
                      <w:szCs w:val="21"/>
                      <w:lang w:val="en-US" w:eastAsia="zh-CN"/>
                    </w:rPr>
                    <w:t>常规灌0.</w:t>
                  </w:r>
                  <w:r>
                    <w:rPr>
                      <w:rFonts w:hint="eastAsia" w:ascii="Times New Roman" w:hAnsi="Times New Roman" w:eastAsia="宋体" w:cs="Times New Roman"/>
                      <w:color w:val="auto"/>
                      <w:spacing w:val="0"/>
                      <w:w w:val="100"/>
                      <w:position w:val="0"/>
                      <w:sz w:val="21"/>
                      <w:szCs w:val="21"/>
                      <w:lang w:val="en-US" w:eastAsia="zh-CN"/>
                    </w:rPr>
                    <w:t>57。</w:t>
                  </w:r>
                </w:p>
              </w:tc>
              <w:tc>
                <w:tcPr>
                  <w:tcW w:w="397" w:type="pct"/>
                  <w:tcBorders>
                    <w:tl2br w:val="nil"/>
                    <w:tr2bl w:val="nil"/>
                  </w:tcBorders>
                  <w:noWrap w:val="0"/>
                  <w:vAlign w:val="center"/>
                </w:tcPr>
                <w:p w14:paraId="2C4655F1">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p>
              </w:tc>
            </w:tr>
            <w:tr w14:paraId="75B21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0" w:hRule="atLeast"/>
                <w:jc w:val="center"/>
              </w:trPr>
              <w:tc>
                <w:tcPr>
                  <w:tcW w:w="572" w:type="pct"/>
                  <w:tcBorders>
                    <w:tl2br w:val="nil"/>
                    <w:tr2bl w:val="nil"/>
                  </w:tcBorders>
                  <w:noWrap w:val="0"/>
                  <w:vAlign w:val="center"/>
                </w:tcPr>
                <w:p w14:paraId="76B53A4F">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（二）</w:t>
                  </w:r>
                </w:p>
              </w:tc>
              <w:tc>
                <w:tcPr>
                  <w:tcW w:w="1355" w:type="pct"/>
                  <w:tcBorders>
                    <w:tl2br w:val="nil"/>
                    <w:tr2bl w:val="nil"/>
                  </w:tcBorders>
                  <w:noWrap w:val="0"/>
                  <w:vAlign w:val="center"/>
                </w:tcPr>
                <w:p w14:paraId="7A062DCF">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渠系建筑物</w:t>
                  </w:r>
                </w:p>
              </w:tc>
              <w:tc>
                <w:tcPr>
                  <w:tcW w:w="554" w:type="pct"/>
                  <w:tcBorders>
                    <w:tl2br w:val="nil"/>
                    <w:tr2bl w:val="nil"/>
                  </w:tcBorders>
                  <w:noWrap w:val="0"/>
                  <w:vAlign w:val="center"/>
                </w:tcPr>
                <w:p w14:paraId="66C6498C">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r>
                    <w:rPr>
                      <w:rFonts w:hint="eastAsia" w:ascii="Times New Roman" w:hAnsi="Times New Roman" w:eastAsia="宋体" w:cs="Times New Roman"/>
                      <w:color w:val="auto"/>
                      <w:spacing w:val="0"/>
                      <w:w w:val="100"/>
                      <w:position w:val="0"/>
                      <w:sz w:val="21"/>
                      <w:szCs w:val="21"/>
                      <w:lang w:eastAsia="zh-CN"/>
                    </w:rPr>
                    <w:t>座</w:t>
                  </w:r>
                </w:p>
              </w:tc>
              <w:tc>
                <w:tcPr>
                  <w:tcW w:w="2120" w:type="pct"/>
                  <w:tcBorders>
                    <w:tl2br w:val="nil"/>
                    <w:tr2bl w:val="nil"/>
                  </w:tcBorders>
                  <w:noWrap w:val="0"/>
                  <w:vAlign w:val="center"/>
                </w:tcPr>
                <w:p w14:paraId="6A00478D">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lang w:val="en-US" w:eastAsia="zh-CN"/>
                    </w:rPr>
                  </w:pPr>
                  <w:r>
                    <w:rPr>
                      <w:rFonts w:hint="eastAsia" w:ascii="Times New Roman" w:hAnsi="Times New Roman" w:eastAsia="宋体" w:cs="Times New Roman"/>
                      <w:color w:val="auto"/>
                      <w:spacing w:val="0"/>
                      <w:w w:val="100"/>
                      <w:position w:val="0"/>
                      <w:sz w:val="21"/>
                      <w:szCs w:val="21"/>
                      <w:lang w:val="en-US" w:eastAsia="zh-CN"/>
                    </w:rPr>
                    <w:t>11</w:t>
                  </w:r>
                </w:p>
              </w:tc>
              <w:tc>
                <w:tcPr>
                  <w:tcW w:w="397" w:type="pct"/>
                  <w:tcBorders>
                    <w:tl2br w:val="nil"/>
                    <w:tr2bl w:val="nil"/>
                  </w:tcBorders>
                  <w:noWrap w:val="0"/>
                  <w:vAlign w:val="center"/>
                </w:tcPr>
                <w:p w14:paraId="45AB8548">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p>
              </w:tc>
            </w:tr>
            <w:tr w14:paraId="17786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0" w:hRule="atLeast"/>
                <w:jc w:val="center"/>
              </w:trPr>
              <w:tc>
                <w:tcPr>
                  <w:tcW w:w="572" w:type="pct"/>
                  <w:tcBorders>
                    <w:tl2br w:val="nil"/>
                    <w:tr2bl w:val="nil"/>
                  </w:tcBorders>
                  <w:noWrap w:val="0"/>
                  <w:vAlign w:val="center"/>
                </w:tcPr>
                <w:p w14:paraId="4AFC1222">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1</w:t>
                  </w:r>
                </w:p>
              </w:tc>
              <w:tc>
                <w:tcPr>
                  <w:tcW w:w="1355" w:type="pct"/>
                  <w:tcBorders>
                    <w:tl2br w:val="nil"/>
                    <w:tr2bl w:val="nil"/>
                  </w:tcBorders>
                  <w:noWrap w:val="0"/>
                  <w:vAlign w:val="center"/>
                </w:tcPr>
                <w:p w14:paraId="6B5DC74E">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r>
                    <w:rPr>
                      <w:rFonts w:hint="eastAsia" w:ascii="Times New Roman" w:hAnsi="Times New Roman" w:eastAsia="宋体" w:cs="Times New Roman"/>
                      <w:color w:val="auto"/>
                      <w:spacing w:val="0"/>
                      <w:w w:val="100"/>
                      <w:position w:val="0"/>
                      <w:sz w:val="21"/>
                      <w:szCs w:val="21"/>
                      <w:lang w:val="en-US" w:eastAsia="zh-CN"/>
                    </w:rPr>
                    <w:t>农桥</w:t>
                  </w:r>
                </w:p>
              </w:tc>
              <w:tc>
                <w:tcPr>
                  <w:tcW w:w="554" w:type="pct"/>
                  <w:tcBorders>
                    <w:tl2br w:val="nil"/>
                    <w:tr2bl w:val="nil"/>
                  </w:tcBorders>
                  <w:noWrap w:val="0"/>
                  <w:vAlign w:val="center"/>
                </w:tcPr>
                <w:p w14:paraId="191C3811">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座</w:t>
                  </w:r>
                </w:p>
              </w:tc>
              <w:tc>
                <w:tcPr>
                  <w:tcW w:w="2120" w:type="pct"/>
                  <w:tcBorders>
                    <w:tl2br w:val="nil"/>
                    <w:tr2bl w:val="nil"/>
                  </w:tcBorders>
                  <w:noWrap w:val="0"/>
                  <w:vAlign w:val="center"/>
                </w:tcPr>
                <w:p w14:paraId="489F2986">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lang w:val="en-US" w:eastAsia="zh-CN"/>
                    </w:rPr>
                  </w:pPr>
                  <w:r>
                    <w:rPr>
                      <w:rFonts w:hint="eastAsia" w:ascii="Times New Roman" w:hAnsi="Times New Roman" w:eastAsia="宋体" w:cs="Times New Roman"/>
                      <w:color w:val="auto"/>
                      <w:spacing w:val="0"/>
                      <w:w w:val="100"/>
                      <w:position w:val="0"/>
                      <w:sz w:val="21"/>
                      <w:szCs w:val="21"/>
                      <w:lang w:val="en-US" w:eastAsia="zh-CN"/>
                    </w:rPr>
                    <w:t>4</w:t>
                  </w:r>
                </w:p>
              </w:tc>
              <w:tc>
                <w:tcPr>
                  <w:tcW w:w="397" w:type="pct"/>
                  <w:tcBorders>
                    <w:tl2br w:val="nil"/>
                    <w:tr2bl w:val="nil"/>
                  </w:tcBorders>
                  <w:noWrap w:val="0"/>
                  <w:vAlign w:val="center"/>
                </w:tcPr>
                <w:p w14:paraId="7FB98232">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p>
              </w:tc>
            </w:tr>
            <w:tr w14:paraId="45749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2" w:hRule="atLeast"/>
                <w:jc w:val="center"/>
              </w:trPr>
              <w:tc>
                <w:tcPr>
                  <w:tcW w:w="572" w:type="pct"/>
                  <w:tcBorders>
                    <w:tl2br w:val="nil"/>
                    <w:tr2bl w:val="nil"/>
                  </w:tcBorders>
                  <w:noWrap w:val="0"/>
                  <w:vAlign w:val="center"/>
                </w:tcPr>
                <w:p w14:paraId="5872D4B0">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2</w:t>
                  </w:r>
                </w:p>
              </w:tc>
              <w:tc>
                <w:tcPr>
                  <w:tcW w:w="1355" w:type="pct"/>
                  <w:tcBorders>
                    <w:tl2br w:val="nil"/>
                    <w:tr2bl w:val="nil"/>
                  </w:tcBorders>
                  <w:noWrap w:val="0"/>
                  <w:vAlign w:val="center"/>
                </w:tcPr>
                <w:p w14:paraId="735DC064">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lang w:val="en-US" w:eastAsia="zh-CN"/>
                    </w:rPr>
                  </w:pPr>
                  <w:r>
                    <w:rPr>
                      <w:rFonts w:hint="eastAsia" w:ascii="Times New Roman" w:hAnsi="Times New Roman" w:cs="Times New Roman"/>
                      <w:color w:val="auto"/>
                      <w:spacing w:val="0"/>
                      <w:w w:val="100"/>
                      <w:position w:val="0"/>
                      <w:sz w:val="21"/>
                      <w:szCs w:val="21"/>
                      <w:lang w:val="en-US" w:eastAsia="zh-CN"/>
                    </w:rPr>
                    <w:t>渡槽</w:t>
                  </w:r>
                </w:p>
              </w:tc>
              <w:tc>
                <w:tcPr>
                  <w:tcW w:w="554" w:type="pct"/>
                  <w:tcBorders>
                    <w:tl2br w:val="nil"/>
                    <w:tr2bl w:val="nil"/>
                  </w:tcBorders>
                  <w:noWrap w:val="0"/>
                  <w:vAlign w:val="center"/>
                </w:tcPr>
                <w:p w14:paraId="08E965B4">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座</w:t>
                  </w:r>
                </w:p>
              </w:tc>
              <w:tc>
                <w:tcPr>
                  <w:tcW w:w="2120" w:type="pct"/>
                  <w:tcBorders>
                    <w:tl2br w:val="nil"/>
                    <w:tr2bl w:val="nil"/>
                  </w:tcBorders>
                  <w:noWrap w:val="0"/>
                  <w:vAlign w:val="center"/>
                </w:tcPr>
                <w:p w14:paraId="1F8B2F23">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lang w:val="en-US" w:eastAsia="zh-CN"/>
                    </w:rPr>
                  </w:pPr>
                  <w:r>
                    <w:rPr>
                      <w:rFonts w:hint="eastAsia" w:ascii="Times New Roman" w:hAnsi="Times New Roman" w:eastAsia="宋体" w:cs="Times New Roman"/>
                      <w:color w:val="auto"/>
                      <w:spacing w:val="0"/>
                      <w:w w:val="100"/>
                      <w:position w:val="0"/>
                      <w:sz w:val="21"/>
                      <w:szCs w:val="21"/>
                      <w:lang w:val="en-US" w:eastAsia="zh-CN"/>
                    </w:rPr>
                    <w:t>7</w:t>
                  </w:r>
                </w:p>
              </w:tc>
              <w:tc>
                <w:tcPr>
                  <w:tcW w:w="397" w:type="pct"/>
                  <w:tcBorders>
                    <w:tl2br w:val="nil"/>
                    <w:tr2bl w:val="nil"/>
                  </w:tcBorders>
                  <w:noWrap w:val="0"/>
                  <w:vAlign w:val="center"/>
                </w:tcPr>
                <w:p w14:paraId="46F9DB4A">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p>
              </w:tc>
            </w:tr>
            <w:tr w14:paraId="60EFD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2" w:hRule="atLeast"/>
                <w:jc w:val="center"/>
              </w:trPr>
              <w:tc>
                <w:tcPr>
                  <w:tcW w:w="572" w:type="pct"/>
                  <w:tcBorders>
                    <w:tl2br w:val="nil"/>
                    <w:tr2bl w:val="nil"/>
                  </w:tcBorders>
                  <w:noWrap w:val="0"/>
                  <w:vAlign w:val="center"/>
                </w:tcPr>
                <w:p w14:paraId="52AC197D">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eastAsia" w:ascii="Times New Roman" w:hAnsi="Times New Roman" w:eastAsia="宋体" w:cs="Times New Roman"/>
                      <w:color w:val="auto"/>
                      <w:spacing w:val="0"/>
                      <w:w w:val="100"/>
                      <w:position w:val="0"/>
                      <w:sz w:val="21"/>
                      <w:szCs w:val="21"/>
                      <w:lang w:val="en-US" w:eastAsia="zh-CN"/>
                    </w:rPr>
                  </w:pPr>
                  <w:r>
                    <w:rPr>
                      <w:rFonts w:hint="eastAsia" w:cs="Times New Roman"/>
                      <w:color w:val="auto"/>
                      <w:spacing w:val="0"/>
                      <w:w w:val="100"/>
                      <w:position w:val="0"/>
                      <w:sz w:val="21"/>
                      <w:szCs w:val="21"/>
                      <w:lang w:val="en-US" w:eastAsia="zh-CN"/>
                    </w:rPr>
                    <w:t>3</w:t>
                  </w:r>
                </w:p>
              </w:tc>
              <w:tc>
                <w:tcPr>
                  <w:tcW w:w="1355" w:type="pct"/>
                  <w:tcBorders>
                    <w:tl2br w:val="nil"/>
                    <w:tr2bl w:val="nil"/>
                  </w:tcBorders>
                  <w:noWrap w:val="0"/>
                  <w:vAlign w:val="center"/>
                </w:tcPr>
                <w:p w14:paraId="19F47581">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eastAsia" w:ascii="Times New Roman" w:hAnsi="Times New Roman" w:cs="Times New Roman"/>
                      <w:color w:val="auto"/>
                      <w:spacing w:val="0"/>
                      <w:w w:val="100"/>
                      <w:position w:val="0"/>
                      <w:sz w:val="21"/>
                      <w:szCs w:val="21"/>
                      <w:lang w:val="en-US" w:eastAsia="zh-CN"/>
                    </w:rPr>
                  </w:pPr>
                  <w:r>
                    <w:rPr>
                      <w:rFonts w:hint="eastAsia" w:ascii="Times New Roman" w:hAnsi="Times New Roman" w:cs="Times New Roman"/>
                      <w:color w:val="auto"/>
                      <w:spacing w:val="0"/>
                      <w:w w:val="100"/>
                      <w:position w:val="0"/>
                      <w:sz w:val="21"/>
                      <w:szCs w:val="21"/>
                      <w:lang w:val="en-US" w:eastAsia="zh-CN"/>
                    </w:rPr>
                    <w:t>消能台阶</w:t>
                  </w:r>
                </w:p>
              </w:tc>
              <w:tc>
                <w:tcPr>
                  <w:tcW w:w="554" w:type="pct"/>
                  <w:tcBorders>
                    <w:tl2br w:val="nil"/>
                    <w:tr2bl w:val="nil"/>
                  </w:tcBorders>
                  <w:noWrap w:val="0"/>
                  <w:vAlign w:val="center"/>
                </w:tcPr>
                <w:p w14:paraId="3ECF7748">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r>
                    <w:rPr>
                      <w:rFonts w:hint="eastAsia" w:ascii="Times New Roman" w:hAnsi="Times New Roman" w:cs="Times New Roman"/>
                      <w:color w:val="auto"/>
                      <w:spacing w:val="0"/>
                      <w:w w:val="100"/>
                      <w:position w:val="0"/>
                      <w:sz w:val="21"/>
                      <w:szCs w:val="21"/>
                      <w:lang w:val="en-US" w:eastAsia="zh-CN"/>
                    </w:rPr>
                    <w:t>座</w:t>
                  </w:r>
                </w:p>
              </w:tc>
              <w:tc>
                <w:tcPr>
                  <w:tcW w:w="2120" w:type="pct"/>
                  <w:tcBorders>
                    <w:tl2br w:val="nil"/>
                    <w:tr2bl w:val="nil"/>
                  </w:tcBorders>
                  <w:noWrap w:val="0"/>
                  <w:vAlign w:val="center"/>
                </w:tcPr>
                <w:p w14:paraId="4A00A42B">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eastAsia" w:ascii="Times New Roman" w:hAnsi="Times New Roman" w:eastAsia="宋体" w:cs="Times New Roman"/>
                      <w:color w:val="auto"/>
                      <w:spacing w:val="0"/>
                      <w:w w:val="100"/>
                      <w:position w:val="0"/>
                      <w:sz w:val="21"/>
                      <w:szCs w:val="21"/>
                      <w:lang w:val="en-US" w:eastAsia="zh-CN"/>
                    </w:rPr>
                  </w:pPr>
                  <w:r>
                    <w:rPr>
                      <w:rFonts w:hint="eastAsia" w:ascii="Times New Roman" w:hAnsi="Times New Roman" w:cs="Times New Roman"/>
                      <w:color w:val="auto"/>
                      <w:spacing w:val="0"/>
                      <w:w w:val="100"/>
                      <w:position w:val="0"/>
                      <w:sz w:val="21"/>
                      <w:szCs w:val="21"/>
                      <w:lang w:val="en-US" w:eastAsia="zh-CN"/>
                    </w:rPr>
                    <w:t>293</w:t>
                  </w:r>
                </w:p>
              </w:tc>
              <w:tc>
                <w:tcPr>
                  <w:tcW w:w="397" w:type="pct"/>
                  <w:tcBorders>
                    <w:tl2br w:val="nil"/>
                    <w:tr2bl w:val="nil"/>
                  </w:tcBorders>
                  <w:noWrap w:val="0"/>
                  <w:vAlign w:val="center"/>
                </w:tcPr>
                <w:p w14:paraId="292B47C9">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p>
              </w:tc>
            </w:tr>
            <w:tr w14:paraId="000D2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0" w:hRule="atLeast"/>
                <w:jc w:val="center"/>
              </w:trPr>
              <w:tc>
                <w:tcPr>
                  <w:tcW w:w="572" w:type="pct"/>
                  <w:tcBorders>
                    <w:tl2br w:val="nil"/>
                    <w:tr2bl w:val="nil"/>
                  </w:tcBorders>
                  <w:noWrap w:val="0"/>
                  <w:vAlign w:val="center"/>
                </w:tcPr>
                <w:p w14:paraId="12C03C7D">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三</w:t>
                  </w:r>
                </w:p>
              </w:tc>
              <w:tc>
                <w:tcPr>
                  <w:tcW w:w="1355" w:type="pct"/>
                  <w:tcBorders>
                    <w:tl2br w:val="nil"/>
                    <w:tr2bl w:val="nil"/>
                  </w:tcBorders>
                  <w:noWrap w:val="0"/>
                  <w:vAlign w:val="center"/>
                </w:tcPr>
                <w:p w14:paraId="62A37B40">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投资</w:t>
                  </w:r>
                </w:p>
              </w:tc>
              <w:tc>
                <w:tcPr>
                  <w:tcW w:w="554" w:type="pct"/>
                  <w:tcBorders>
                    <w:tl2br w:val="nil"/>
                    <w:tr2bl w:val="nil"/>
                  </w:tcBorders>
                  <w:noWrap w:val="0"/>
                  <w:vAlign w:val="center"/>
                </w:tcPr>
                <w:p w14:paraId="30793DE5">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p>
              </w:tc>
              <w:tc>
                <w:tcPr>
                  <w:tcW w:w="2120" w:type="pct"/>
                  <w:tcBorders>
                    <w:tl2br w:val="nil"/>
                    <w:tr2bl w:val="nil"/>
                  </w:tcBorders>
                  <w:noWrap w:val="0"/>
                  <w:vAlign w:val="center"/>
                </w:tcPr>
                <w:p w14:paraId="5BAA422C">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lang w:val="en-US" w:eastAsia="zh-CN"/>
                    </w:rPr>
                  </w:pPr>
                </w:p>
              </w:tc>
              <w:tc>
                <w:tcPr>
                  <w:tcW w:w="397" w:type="pct"/>
                  <w:tcBorders>
                    <w:tl2br w:val="nil"/>
                    <w:tr2bl w:val="nil"/>
                  </w:tcBorders>
                  <w:noWrap w:val="0"/>
                  <w:vAlign w:val="center"/>
                </w:tcPr>
                <w:p w14:paraId="7E39C465">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p>
              </w:tc>
            </w:tr>
            <w:tr w14:paraId="567DB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0" w:hRule="atLeast"/>
                <w:jc w:val="center"/>
              </w:trPr>
              <w:tc>
                <w:tcPr>
                  <w:tcW w:w="5000" w:type="pct"/>
                  <w:gridSpan w:val="5"/>
                  <w:tcBorders>
                    <w:tl2br w:val="nil"/>
                    <w:tr2bl w:val="nil"/>
                  </w:tcBorders>
                  <w:noWrap w:val="0"/>
                  <w:vAlign w:val="center"/>
                </w:tcPr>
                <w:p w14:paraId="7270B27F">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投资</w:t>
                  </w:r>
                </w:p>
              </w:tc>
            </w:tr>
            <w:tr w14:paraId="000F9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0" w:hRule="atLeast"/>
                <w:jc w:val="center"/>
              </w:trPr>
              <w:tc>
                <w:tcPr>
                  <w:tcW w:w="572" w:type="pct"/>
                  <w:tcBorders>
                    <w:tl2br w:val="nil"/>
                    <w:tr2bl w:val="nil"/>
                  </w:tcBorders>
                  <w:noWrap w:val="0"/>
                  <w:vAlign w:val="center"/>
                </w:tcPr>
                <w:p w14:paraId="319A16A1">
                  <w:pPr>
                    <w:keepNext w:val="0"/>
                    <w:keepLines w:val="0"/>
                    <w:pageBreakBefore w:val="0"/>
                    <w:widowControl w:val="0"/>
                    <w:kinsoku/>
                    <w:wordWrap/>
                    <w:overflowPunct/>
                    <w:topLinePunct w:val="0"/>
                    <w:autoSpaceDE w:val="0"/>
                    <w:autoSpaceDN w:val="0"/>
                    <w:bidi w:val="0"/>
                    <w:adjustRightInd/>
                    <w:snapToGrid/>
                    <w:spacing w:before="0" w:line="360" w:lineRule="exact"/>
                    <w:ind w:left="0" w:leftChars="0"/>
                    <w:jc w:val="center"/>
                    <w:textAlignment w:val="auto"/>
                    <w:rPr>
                      <w:rFonts w:hint="default" w:ascii="Times New Roman" w:hAnsi="Times New Roman" w:eastAsia="宋体" w:cs="Times New Roman"/>
                      <w:color w:val="auto"/>
                      <w:spacing w:val="0"/>
                      <w:w w:val="100"/>
                      <w:position w:val="0"/>
                      <w:sz w:val="21"/>
                      <w:szCs w:val="21"/>
                    </w:rPr>
                  </w:pPr>
                </w:p>
              </w:tc>
              <w:tc>
                <w:tcPr>
                  <w:tcW w:w="1355" w:type="pct"/>
                  <w:tcBorders>
                    <w:tl2br w:val="nil"/>
                    <w:tr2bl w:val="nil"/>
                  </w:tcBorders>
                  <w:noWrap w:val="0"/>
                  <w:vAlign w:val="center"/>
                </w:tcPr>
                <w:p w14:paraId="3F3690DF">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leftChars="0"/>
                    <w:jc w:val="center"/>
                    <w:textAlignment w:val="auto"/>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总投资</w:t>
                  </w:r>
                </w:p>
              </w:tc>
              <w:tc>
                <w:tcPr>
                  <w:tcW w:w="554" w:type="pct"/>
                  <w:tcBorders>
                    <w:tl2br w:val="nil"/>
                    <w:tr2bl w:val="nil"/>
                  </w:tcBorders>
                  <w:noWrap w:val="0"/>
                  <w:vAlign w:val="center"/>
                </w:tcPr>
                <w:p w14:paraId="66E3BCB5">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leftChars="0"/>
                    <w:jc w:val="center"/>
                    <w:textAlignment w:val="auto"/>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万元</w:t>
                  </w:r>
                </w:p>
              </w:tc>
              <w:tc>
                <w:tcPr>
                  <w:tcW w:w="2120" w:type="pct"/>
                  <w:tcBorders>
                    <w:tl2br w:val="nil"/>
                    <w:tr2bl w:val="nil"/>
                  </w:tcBorders>
                  <w:noWrap w:val="0"/>
                  <w:vAlign w:val="center"/>
                </w:tcPr>
                <w:p w14:paraId="3F143297">
                  <w:pPr>
                    <w:keepNext w:val="0"/>
                    <w:keepLines w:val="0"/>
                    <w:pageBreakBefore w:val="0"/>
                    <w:widowControl w:val="0"/>
                    <w:kinsoku/>
                    <w:wordWrap/>
                    <w:overflowPunct/>
                    <w:topLinePunct w:val="0"/>
                    <w:autoSpaceDE w:val="0"/>
                    <w:autoSpaceDN w:val="0"/>
                    <w:bidi w:val="0"/>
                    <w:adjustRightInd/>
                    <w:snapToGrid/>
                    <w:spacing w:before="0" w:line="360" w:lineRule="exact"/>
                    <w:ind w:left="0" w:leftChars="0"/>
                    <w:jc w:val="center"/>
                    <w:textAlignment w:val="auto"/>
                    <w:rPr>
                      <w:rFonts w:hint="default" w:ascii="Times New Roman" w:hAnsi="Times New Roman" w:eastAsia="宋体" w:cs="Times New Roman"/>
                      <w:color w:val="auto"/>
                      <w:spacing w:val="0"/>
                      <w:w w:val="100"/>
                      <w:position w:val="0"/>
                      <w:sz w:val="21"/>
                      <w:szCs w:val="21"/>
                      <w:highlight w:val="none"/>
                      <w:lang w:val="en-US" w:eastAsia="zh-CN"/>
                    </w:rPr>
                  </w:pPr>
                  <w:r>
                    <w:rPr>
                      <w:rFonts w:hint="eastAsia" w:ascii="Times New Roman" w:hAnsi="Times New Roman" w:eastAsia="宋体" w:cs="Times New Roman"/>
                      <w:color w:val="auto"/>
                      <w:spacing w:val="0"/>
                      <w:w w:val="100"/>
                      <w:position w:val="0"/>
                      <w:sz w:val="21"/>
                      <w:szCs w:val="21"/>
                      <w:highlight w:val="none"/>
                      <w:lang w:val="en-US" w:eastAsia="zh-CN"/>
                    </w:rPr>
                    <w:t>2900</w:t>
                  </w:r>
                </w:p>
              </w:tc>
              <w:tc>
                <w:tcPr>
                  <w:tcW w:w="397" w:type="pct"/>
                  <w:tcBorders>
                    <w:tl2br w:val="nil"/>
                    <w:tr2bl w:val="nil"/>
                  </w:tcBorders>
                  <w:noWrap w:val="0"/>
                  <w:vAlign w:val="center"/>
                </w:tcPr>
                <w:p w14:paraId="07DC1381">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p>
              </w:tc>
            </w:tr>
            <w:tr w14:paraId="475D2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0" w:hRule="atLeast"/>
                <w:jc w:val="center"/>
              </w:trPr>
              <w:tc>
                <w:tcPr>
                  <w:tcW w:w="572" w:type="pct"/>
                  <w:tcBorders>
                    <w:tl2br w:val="nil"/>
                    <w:tr2bl w:val="nil"/>
                  </w:tcBorders>
                  <w:noWrap w:val="0"/>
                  <w:vAlign w:val="center"/>
                </w:tcPr>
                <w:p w14:paraId="243D5C06">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lang w:val="en-US" w:eastAsia="zh-CN"/>
                    </w:rPr>
                  </w:pPr>
                  <w:r>
                    <w:rPr>
                      <w:rFonts w:hint="eastAsia" w:ascii="Times New Roman" w:hAnsi="Times New Roman" w:eastAsia="宋体" w:cs="Times New Roman"/>
                      <w:color w:val="auto"/>
                      <w:spacing w:val="0"/>
                      <w:w w:val="100"/>
                      <w:position w:val="0"/>
                      <w:sz w:val="21"/>
                      <w:szCs w:val="21"/>
                      <w:lang w:val="en-US" w:eastAsia="zh-CN"/>
                    </w:rPr>
                    <w:t>1</w:t>
                  </w:r>
                </w:p>
              </w:tc>
              <w:tc>
                <w:tcPr>
                  <w:tcW w:w="1355" w:type="pct"/>
                  <w:tcBorders>
                    <w:tl2br w:val="nil"/>
                    <w:tr2bl w:val="nil"/>
                  </w:tcBorders>
                  <w:noWrap w:val="0"/>
                  <w:vAlign w:val="center"/>
                </w:tcPr>
                <w:p w14:paraId="59142722">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leftChars="0"/>
                    <w:jc w:val="center"/>
                    <w:textAlignment w:val="auto"/>
                    <w:rPr>
                      <w:rFonts w:hint="default" w:ascii="Times New Roman" w:hAnsi="Times New Roman" w:eastAsia="宋体" w:cs="Times New Roman"/>
                      <w:color w:val="auto"/>
                      <w:spacing w:val="0"/>
                      <w:w w:val="100"/>
                      <w:position w:val="0"/>
                      <w:sz w:val="21"/>
                      <w:szCs w:val="21"/>
                      <w:lang w:val="en-US" w:eastAsia="zh-CN"/>
                    </w:rPr>
                  </w:pPr>
                  <w:r>
                    <w:rPr>
                      <w:rFonts w:hint="default" w:ascii="Times New Roman" w:hAnsi="Times New Roman" w:eastAsia="宋体" w:cs="Times New Roman"/>
                      <w:color w:val="auto"/>
                      <w:spacing w:val="0"/>
                      <w:w w:val="100"/>
                      <w:position w:val="0"/>
                      <w:sz w:val="21"/>
                      <w:szCs w:val="21"/>
                    </w:rPr>
                    <w:t>投资来源</w:t>
                  </w:r>
                </w:p>
              </w:tc>
              <w:tc>
                <w:tcPr>
                  <w:tcW w:w="554" w:type="pct"/>
                  <w:tcBorders>
                    <w:tl2br w:val="nil"/>
                    <w:tr2bl w:val="nil"/>
                  </w:tcBorders>
                  <w:noWrap w:val="0"/>
                  <w:vAlign w:val="center"/>
                </w:tcPr>
                <w:p w14:paraId="2E71D201">
                  <w:pPr>
                    <w:keepNext w:val="0"/>
                    <w:keepLines w:val="0"/>
                    <w:pageBreakBefore w:val="0"/>
                    <w:widowControl w:val="0"/>
                    <w:kinsoku/>
                    <w:wordWrap/>
                    <w:overflowPunct/>
                    <w:topLinePunct w:val="0"/>
                    <w:autoSpaceDE w:val="0"/>
                    <w:autoSpaceDN w:val="0"/>
                    <w:bidi w:val="0"/>
                    <w:adjustRightInd/>
                    <w:snapToGrid/>
                    <w:spacing w:before="0" w:line="360" w:lineRule="exact"/>
                    <w:ind w:left="0" w:leftChars="0"/>
                    <w:jc w:val="center"/>
                    <w:textAlignment w:val="auto"/>
                    <w:rPr>
                      <w:rFonts w:hint="eastAsia" w:ascii="Times New Roman" w:hAnsi="Times New Roman" w:eastAsia="宋体" w:cs="Times New Roman"/>
                      <w:color w:val="auto"/>
                      <w:spacing w:val="0"/>
                      <w:w w:val="100"/>
                      <w:position w:val="0"/>
                      <w:sz w:val="21"/>
                      <w:szCs w:val="21"/>
                      <w:lang w:val="en-US" w:eastAsia="zh-CN"/>
                    </w:rPr>
                  </w:pPr>
                  <w:r>
                    <w:rPr>
                      <w:rFonts w:hint="eastAsia" w:ascii="Times New Roman" w:hAnsi="Times New Roman" w:eastAsia="宋体" w:cs="Times New Roman"/>
                      <w:color w:val="auto"/>
                      <w:spacing w:val="0"/>
                      <w:w w:val="100"/>
                      <w:position w:val="0"/>
                      <w:sz w:val="21"/>
                      <w:szCs w:val="21"/>
                      <w:lang w:val="en-US" w:eastAsia="zh-CN"/>
                    </w:rPr>
                    <w:t>/</w:t>
                  </w:r>
                </w:p>
              </w:tc>
              <w:tc>
                <w:tcPr>
                  <w:tcW w:w="2120" w:type="pct"/>
                  <w:tcBorders>
                    <w:tl2br w:val="nil"/>
                    <w:tr2bl w:val="nil"/>
                  </w:tcBorders>
                  <w:noWrap w:val="0"/>
                  <w:vAlign w:val="center"/>
                </w:tcPr>
                <w:p w14:paraId="4C8EF48C">
                  <w:pPr>
                    <w:pStyle w:val="59"/>
                    <w:keepNext w:val="0"/>
                    <w:keepLines w:val="0"/>
                    <w:pageBreakBefore w:val="0"/>
                    <w:widowControl w:val="0"/>
                    <w:kinsoku/>
                    <w:wordWrap/>
                    <w:overflowPunct/>
                    <w:topLinePunct w:val="0"/>
                    <w:autoSpaceDE w:val="0"/>
                    <w:autoSpaceDN w:val="0"/>
                    <w:bidi w:val="0"/>
                    <w:adjustRightInd/>
                    <w:snapToGrid/>
                    <w:spacing w:before="0" w:line="360" w:lineRule="exact"/>
                    <w:ind w:left="0" w:leftChars="0"/>
                    <w:jc w:val="center"/>
                    <w:textAlignment w:val="auto"/>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pacing w:val="0"/>
                      <w:w w:val="100"/>
                      <w:position w:val="0"/>
                      <w:sz w:val="21"/>
                      <w:szCs w:val="21"/>
                      <w:lang w:eastAsia="zh-CN"/>
                    </w:rPr>
                    <w:t>债券资金2320万元，县财政配套资金580万元。</w:t>
                  </w:r>
                </w:p>
              </w:tc>
              <w:tc>
                <w:tcPr>
                  <w:tcW w:w="397" w:type="pct"/>
                  <w:tcBorders>
                    <w:tl2br w:val="nil"/>
                    <w:tr2bl w:val="nil"/>
                  </w:tcBorders>
                  <w:noWrap w:val="0"/>
                  <w:vAlign w:val="center"/>
                </w:tcPr>
                <w:p w14:paraId="272D1256">
                  <w:pPr>
                    <w:keepNext w:val="0"/>
                    <w:keepLines w:val="0"/>
                    <w:pageBreakBefore w:val="0"/>
                    <w:widowControl w:val="0"/>
                    <w:kinsoku/>
                    <w:wordWrap/>
                    <w:overflowPunct/>
                    <w:topLinePunct w:val="0"/>
                    <w:autoSpaceDE w:val="0"/>
                    <w:autoSpaceDN w:val="0"/>
                    <w:bidi w:val="0"/>
                    <w:adjustRightInd/>
                    <w:snapToGrid/>
                    <w:spacing w:before="0" w:line="360" w:lineRule="exact"/>
                    <w:ind w:left="0"/>
                    <w:jc w:val="center"/>
                    <w:textAlignment w:val="auto"/>
                    <w:rPr>
                      <w:rFonts w:hint="default" w:ascii="Times New Roman" w:hAnsi="Times New Roman" w:eastAsia="宋体" w:cs="Times New Roman"/>
                      <w:color w:val="auto"/>
                      <w:spacing w:val="0"/>
                      <w:w w:val="100"/>
                      <w:position w:val="0"/>
                      <w:sz w:val="21"/>
                      <w:szCs w:val="21"/>
                    </w:rPr>
                  </w:pPr>
                </w:p>
              </w:tc>
            </w:tr>
          </w:tbl>
          <w:p w14:paraId="740D774E">
            <w:pPr>
              <w:rPr>
                <w:rFonts w:hint="default"/>
                <w:color w:val="auto"/>
                <w:lang w:val="en-US" w:eastAsia="zh-CN"/>
              </w:rPr>
            </w:pPr>
          </w:p>
          <w:p w14:paraId="20E082DC">
            <w:pPr>
              <w:keepNext w:val="0"/>
              <w:keepLines w:val="0"/>
              <w:pageBreakBefore w:val="0"/>
              <w:widowControl w:val="0"/>
              <w:numPr>
                <w:ilvl w:val="0"/>
                <w:numId w:val="4"/>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工程占地面积</w:t>
            </w:r>
          </w:p>
          <w:p w14:paraId="5DE4D192">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本工程总占地面积</w:t>
            </w:r>
            <w:r>
              <w:rPr>
                <w:rFonts w:hint="eastAsia" w:cs="Times New Roman"/>
                <w:color w:val="auto"/>
                <w:kern w:val="0"/>
                <w:sz w:val="24"/>
                <w:szCs w:val="24"/>
                <w:highlight w:val="none"/>
                <w:lang w:val="en-US" w:eastAsia="zh-CN"/>
              </w:rPr>
              <w:t>19.2417</w:t>
            </w:r>
            <w:r>
              <w:rPr>
                <w:rFonts w:hint="default" w:ascii="Times New Roman" w:hAnsi="Times New Roman" w:eastAsia="宋体" w:cs="Times New Roman"/>
                <w:color w:val="auto"/>
                <w:kern w:val="0"/>
                <w:sz w:val="24"/>
                <w:szCs w:val="24"/>
                <w:highlight w:val="none"/>
                <w:lang w:val="en-US" w:eastAsia="zh-CN"/>
              </w:rPr>
              <w:t>hm</w:t>
            </w:r>
            <w:r>
              <w:rPr>
                <w:rFonts w:hint="default" w:ascii="Times New Roman" w:hAnsi="Times New Roman" w:eastAsia="宋体" w:cs="Times New Roman"/>
                <w:color w:val="auto"/>
                <w:kern w:val="0"/>
                <w:sz w:val="24"/>
                <w:szCs w:val="24"/>
                <w:highlight w:val="none"/>
                <w:vertAlign w:val="superscript"/>
                <w:lang w:val="en-US" w:eastAsia="zh-CN"/>
              </w:rPr>
              <w:t>2</w:t>
            </w:r>
            <w:r>
              <w:rPr>
                <w:rFonts w:hint="default" w:ascii="Times New Roman" w:hAnsi="Times New Roman" w:eastAsia="宋体" w:cs="Times New Roman"/>
                <w:color w:val="auto"/>
                <w:kern w:val="0"/>
                <w:sz w:val="24"/>
                <w:szCs w:val="24"/>
                <w:highlight w:val="none"/>
                <w:lang w:val="en-US" w:eastAsia="zh-CN"/>
              </w:rPr>
              <w:t>，其中永久占地</w:t>
            </w:r>
            <w:r>
              <w:rPr>
                <w:rFonts w:hint="eastAsia" w:cs="Times New Roman"/>
                <w:color w:val="auto"/>
                <w:kern w:val="0"/>
                <w:sz w:val="24"/>
                <w:szCs w:val="24"/>
                <w:highlight w:val="none"/>
                <w:lang w:val="en-US" w:eastAsia="zh-CN"/>
              </w:rPr>
              <w:t>17.1947</w:t>
            </w:r>
            <w:r>
              <w:rPr>
                <w:rFonts w:hint="default" w:ascii="Times New Roman" w:hAnsi="Times New Roman" w:eastAsia="宋体" w:cs="Times New Roman"/>
                <w:color w:val="auto"/>
                <w:kern w:val="0"/>
                <w:sz w:val="24"/>
                <w:szCs w:val="24"/>
                <w:highlight w:val="none"/>
                <w:lang w:val="en-US" w:eastAsia="zh-CN"/>
              </w:rPr>
              <w:t>hm</w:t>
            </w:r>
            <w:r>
              <w:rPr>
                <w:rFonts w:hint="default" w:ascii="Times New Roman" w:hAnsi="Times New Roman" w:eastAsia="宋体" w:cs="Times New Roman"/>
                <w:color w:val="auto"/>
                <w:kern w:val="0"/>
                <w:sz w:val="24"/>
                <w:szCs w:val="24"/>
                <w:highlight w:val="none"/>
                <w:vertAlign w:val="superscript"/>
                <w:lang w:val="en-US" w:eastAsia="zh-CN"/>
              </w:rPr>
              <w:t>2</w:t>
            </w:r>
            <w:r>
              <w:rPr>
                <w:rFonts w:hint="default" w:ascii="Times New Roman" w:hAnsi="Times New Roman" w:eastAsia="宋体" w:cs="Times New Roman"/>
                <w:color w:val="auto"/>
                <w:kern w:val="0"/>
                <w:sz w:val="24"/>
                <w:szCs w:val="24"/>
                <w:highlight w:val="none"/>
                <w:lang w:val="en-US" w:eastAsia="zh-CN"/>
              </w:rPr>
              <w:t>，包括渠道工程主体和渠系建筑物，临时占地</w:t>
            </w:r>
            <w:r>
              <w:rPr>
                <w:rFonts w:hint="eastAsia" w:cs="Times New Roman"/>
                <w:color w:val="auto"/>
                <w:kern w:val="0"/>
                <w:sz w:val="24"/>
                <w:szCs w:val="24"/>
                <w:highlight w:val="none"/>
                <w:lang w:val="en-US" w:eastAsia="zh-CN"/>
              </w:rPr>
              <w:t>2.047</w:t>
            </w:r>
            <w:r>
              <w:rPr>
                <w:rFonts w:hint="default" w:ascii="Times New Roman" w:hAnsi="Times New Roman" w:eastAsia="宋体" w:cs="Times New Roman"/>
                <w:color w:val="auto"/>
                <w:kern w:val="0"/>
                <w:sz w:val="24"/>
                <w:szCs w:val="24"/>
                <w:highlight w:val="none"/>
                <w:lang w:val="en-US" w:eastAsia="zh-CN"/>
              </w:rPr>
              <w:t>hm</w:t>
            </w:r>
            <w:r>
              <w:rPr>
                <w:rFonts w:hint="default" w:ascii="Times New Roman" w:hAnsi="Times New Roman" w:eastAsia="宋体" w:cs="Times New Roman"/>
                <w:color w:val="auto"/>
                <w:kern w:val="0"/>
                <w:sz w:val="24"/>
                <w:szCs w:val="24"/>
                <w:highlight w:val="none"/>
                <w:vertAlign w:val="superscript"/>
                <w:lang w:val="en-US" w:eastAsia="zh-CN"/>
              </w:rPr>
              <w:t>2</w:t>
            </w:r>
            <w:r>
              <w:rPr>
                <w:rFonts w:hint="default" w:ascii="Times New Roman" w:hAnsi="Times New Roman" w:eastAsia="宋体" w:cs="Times New Roman"/>
                <w:color w:val="auto"/>
                <w:kern w:val="0"/>
                <w:sz w:val="24"/>
                <w:szCs w:val="24"/>
                <w:highlight w:val="none"/>
                <w:lang w:val="en-US" w:eastAsia="zh-CN"/>
              </w:rPr>
              <w:t>，主要包括渠道工程区、渠系建筑物区施工临时占地，临时施工道路区占地和临时生产区占地。工程区占地类型为水利设施用地、</w:t>
            </w:r>
            <w:r>
              <w:rPr>
                <w:rFonts w:hint="eastAsia" w:cs="Times New Roman"/>
                <w:color w:val="auto"/>
                <w:kern w:val="0"/>
                <w:sz w:val="24"/>
                <w:szCs w:val="24"/>
                <w:highlight w:val="none"/>
                <w:lang w:val="en-US" w:eastAsia="zh-CN"/>
              </w:rPr>
              <w:t>裸土地</w:t>
            </w:r>
            <w:r>
              <w:rPr>
                <w:rFonts w:hint="default" w:ascii="Times New Roman" w:hAnsi="Times New Roman" w:eastAsia="宋体" w:cs="Times New Roman"/>
                <w:color w:val="auto"/>
                <w:kern w:val="0"/>
                <w:sz w:val="24"/>
                <w:szCs w:val="24"/>
                <w:highlight w:val="none"/>
                <w:lang w:val="en-US" w:eastAsia="zh-CN"/>
              </w:rPr>
              <w:t>，</w:t>
            </w:r>
            <w:r>
              <w:rPr>
                <w:rFonts w:hint="eastAsia" w:cs="Times New Roman"/>
                <w:color w:val="auto"/>
                <w:kern w:val="0"/>
                <w:sz w:val="24"/>
                <w:szCs w:val="24"/>
                <w:highlight w:val="none"/>
                <w:lang w:val="en-US" w:eastAsia="zh-CN"/>
              </w:rPr>
              <w:t>本项目</w:t>
            </w:r>
            <w:r>
              <w:rPr>
                <w:rFonts w:hint="default" w:ascii="Times New Roman" w:hAnsi="Times New Roman" w:eastAsia="宋体" w:cs="Times New Roman"/>
                <w:color w:val="auto"/>
                <w:kern w:val="0"/>
                <w:sz w:val="24"/>
                <w:szCs w:val="24"/>
                <w:highlight w:val="none"/>
                <w:lang w:val="en-US" w:eastAsia="zh-CN"/>
              </w:rPr>
              <w:t>未占用耕地</w:t>
            </w:r>
            <w:r>
              <w:rPr>
                <w:rFonts w:hint="eastAsia" w:cs="Times New Roman"/>
                <w:color w:val="auto"/>
                <w:kern w:val="0"/>
                <w:sz w:val="24"/>
                <w:szCs w:val="24"/>
                <w:highlight w:val="none"/>
                <w:lang w:val="en-US" w:eastAsia="zh-CN"/>
              </w:rPr>
              <w:t>、</w:t>
            </w:r>
            <w:r>
              <w:rPr>
                <w:rFonts w:hint="default" w:ascii="Times New Roman" w:hAnsi="Times New Roman" w:eastAsia="宋体" w:cs="Times New Roman"/>
                <w:color w:val="auto"/>
                <w:kern w:val="0"/>
                <w:sz w:val="24"/>
                <w:szCs w:val="24"/>
                <w:highlight w:val="none"/>
                <w:lang w:val="en-US" w:eastAsia="zh-CN"/>
              </w:rPr>
              <w:t>林地</w:t>
            </w:r>
            <w:r>
              <w:rPr>
                <w:rFonts w:hint="eastAsia" w:cs="Times New Roman"/>
                <w:color w:val="auto"/>
                <w:kern w:val="0"/>
                <w:sz w:val="24"/>
                <w:szCs w:val="24"/>
                <w:highlight w:val="none"/>
                <w:lang w:val="en-US" w:eastAsia="zh-CN"/>
              </w:rPr>
              <w:t>及草地</w:t>
            </w:r>
            <w:r>
              <w:rPr>
                <w:rFonts w:hint="default" w:ascii="Times New Roman" w:hAnsi="Times New Roman" w:eastAsia="宋体" w:cs="Times New Roman"/>
                <w:color w:val="auto"/>
                <w:kern w:val="0"/>
                <w:sz w:val="24"/>
                <w:szCs w:val="24"/>
                <w:highlight w:val="none"/>
                <w:lang w:val="en-US" w:eastAsia="zh-CN"/>
              </w:rPr>
              <w:t>。</w:t>
            </w:r>
          </w:p>
          <w:p w14:paraId="261C3827">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本项目永久及临时占地面积统计见下表，项目区土地利用类型分布图见附图。</w:t>
            </w:r>
          </w:p>
          <w:p w14:paraId="22DFAE30">
            <w:pPr>
              <w:keepNext w:val="0"/>
              <w:keepLines w:val="0"/>
              <w:pageBreakBefore w:val="0"/>
              <w:widowControl w:val="0"/>
              <w:kinsoku/>
              <w:wordWrap/>
              <w:overflowPunct/>
              <w:topLinePunct w:val="0"/>
              <w:autoSpaceDE/>
              <w:autoSpaceDN/>
              <w:bidi w:val="0"/>
              <w:adjustRightInd w:val="0"/>
              <w:snapToGrid w:val="0"/>
              <w:spacing w:line="240" w:lineRule="auto"/>
              <w:ind w:firstLine="482" w:firstLineChars="200"/>
              <w:jc w:val="center"/>
              <w:textAlignment w:val="auto"/>
              <w:rPr>
                <w:rFonts w:hint="default" w:ascii="Times New Roman" w:hAnsi="Times New Roman" w:cs="Times New Roman"/>
                <w:b/>
                <w:bCs/>
                <w:color w:val="auto"/>
                <w:sz w:val="24"/>
                <w:szCs w:val="24"/>
                <w:highlight w:val="none"/>
                <w:vertAlign w:val="superscript"/>
              </w:rPr>
            </w:pPr>
            <w:r>
              <w:rPr>
                <w:rFonts w:hint="default" w:ascii="Times New Roman" w:hAnsi="Times New Roman" w:cs="Times New Roman"/>
                <w:b/>
                <w:bCs/>
                <w:color w:val="auto"/>
                <w:sz w:val="24"/>
                <w:szCs w:val="24"/>
                <w:highlight w:val="none"/>
              </w:rPr>
              <w:t>表2-</w:t>
            </w:r>
            <w:r>
              <w:rPr>
                <w:rFonts w:hint="eastAsia" w:cs="Times New Roman"/>
                <w:b/>
                <w:bCs/>
                <w:color w:val="auto"/>
                <w:sz w:val="24"/>
                <w:szCs w:val="24"/>
                <w:highlight w:val="none"/>
                <w:lang w:val="en-US" w:eastAsia="zh-CN"/>
              </w:rPr>
              <w:t>4本项目</w:t>
            </w:r>
            <w:r>
              <w:rPr>
                <w:rFonts w:hint="default" w:ascii="Times New Roman" w:hAnsi="Times New Roman" w:cs="Times New Roman"/>
                <w:b/>
                <w:bCs/>
                <w:color w:val="auto"/>
                <w:sz w:val="24"/>
                <w:szCs w:val="24"/>
                <w:highlight w:val="none"/>
              </w:rPr>
              <w:t>占地一览表</w:t>
            </w:r>
            <w:r>
              <w:rPr>
                <w:rFonts w:hint="eastAsia" w:cs="Times New Roman"/>
                <w:b/>
                <w:bCs/>
                <w:color w:val="auto"/>
                <w:sz w:val="24"/>
                <w:szCs w:val="24"/>
                <w:highlight w:val="none"/>
                <w:lang w:val="en-US" w:eastAsia="zh-CN"/>
              </w:rPr>
              <w:t xml:space="preserve"> </w:t>
            </w:r>
            <w:r>
              <w:rPr>
                <w:rFonts w:hint="default" w:ascii="Times New Roman" w:hAnsi="Times New Roman" w:cs="Times New Roman"/>
                <w:b/>
                <w:bCs/>
                <w:color w:val="auto"/>
                <w:sz w:val="24"/>
                <w:szCs w:val="24"/>
                <w:highlight w:val="none"/>
              </w:rPr>
              <w:t>单位：</w:t>
            </w:r>
            <w:r>
              <w:rPr>
                <w:rFonts w:hint="eastAsia" w:cs="Times New Roman"/>
                <w:b/>
                <w:bCs/>
                <w:color w:val="auto"/>
                <w:sz w:val="24"/>
                <w:szCs w:val="24"/>
                <w:highlight w:val="none"/>
                <w:lang w:val="en-US" w:eastAsia="zh-CN"/>
              </w:rPr>
              <w:t>h</w:t>
            </w:r>
            <w:r>
              <w:rPr>
                <w:rFonts w:hint="default" w:ascii="Times New Roman" w:hAnsi="Times New Roman" w:cs="Times New Roman"/>
                <w:b/>
                <w:bCs/>
                <w:color w:val="auto"/>
                <w:sz w:val="24"/>
                <w:szCs w:val="24"/>
                <w:highlight w:val="none"/>
              </w:rPr>
              <w:t>m</w:t>
            </w:r>
            <w:r>
              <w:rPr>
                <w:rFonts w:hint="default" w:ascii="Times New Roman" w:hAnsi="Times New Roman" w:cs="Times New Roman"/>
                <w:b/>
                <w:bCs/>
                <w:color w:val="auto"/>
                <w:sz w:val="24"/>
                <w:szCs w:val="24"/>
                <w:highlight w:val="none"/>
                <w:vertAlign w:val="superscript"/>
              </w:rPr>
              <w:t>2</w:t>
            </w:r>
          </w:p>
          <w:tbl>
            <w:tblPr>
              <w:tblStyle w:val="29"/>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740"/>
              <w:gridCol w:w="1391"/>
              <w:gridCol w:w="1071"/>
              <w:gridCol w:w="1096"/>
              <w:gridCol w:w="912"/>
              <w:gridCol w:w="1063"/>
              <w:gridCol w:w="958"/>
              <w:gridCol w:w="638"/>
            </w:tblGrid>
            <w:tr w14:paraId="454828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470" w:type="pct"/>
                  <w:vMerge w:val="restart"/>
                  <w:tcBorders>
                    <w:tl2br w:val="nil"/>
                    <w:tr2bl w:val="nil"/>
                  </w:tcBorders>
                  <w:shd w:val="clear" w:color="auto" w:fill="auto"/>
                  <w:vAlign w:val="center"/>
                </w:tcPr>
                <w:p w14:paraId="3300DE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bCs/>
                      <w:color w:val="auto"/>
                      <w:kern w:val="2"/>
                      <w:sz w:val="21"/>
                      <w:szCs w:val="21"/>
                      <w:highlight w:val="none"/>
                      <w:lang w:val="en-US" w:eastAsia="zh-CN" w:bidi="ar-SA"/>
                    </w:rPr>
                    <w:t>行政区划</w:t>
                  </w:r>
                </w:p>
              </w:tc>
              <w:tc>
                <w:tcPr>
                  <w:tcW w:w="883" w:type="pct"/>
                  <w:vMerge w:val="restart"/>
                  <w:tcBorders>
                    <w:tl2br w:val="nil"/>
                    <w:tr2bl w:val="nil"/>
                  </w:tcBorders>
                  <w:shd w:val="clear" w:color="auto" w:fill="auto"/>
                  <w:vAlign w:val="center"/>
                </w:tcPr>
                <w:p w14:paraId="68E4ED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bCs/>
                      <w:color w:val="auto"/>
                      <w:kern w:val="2"/>
                      <w:sz w:val="21"/>
                      <w:szCs w:val="21"/>
                      <w:highlight w:val="none"/>
                      <w:lang w:val="en-US" w:eastAsia="zh-CN" w:bidi="ar-SA"/>
                    </w:rPr>
                    <w:t>项目组成</w:t>
                  </w:r>
                </w:p>
              </w:tc>
              <w:tc>
                <w:tcPr>
                  <w:tcW w:w="1956" w:type="pct"/>
                  <w:gridSpan w:val="3"/>
                  <w:tcBorders>
                    <w:tl2br w:val="nil"/>
                    <w:tr2bl w:val="nil"/>
                  </w:tcBorders>
                  <w:shd w:val="clear" w:color="auto" w:fill="auto"/>
                  <w:vAlign w:val="center"/>
                </w:tcPr>
                <w:p w14:paraId="5A9CA02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bCs/>
                      <w:color w:val="auto"/>
                      <w:kern w:val="2"/>
                      <w:sz w:val="21"/>
                      <w:szCs w:val="21"/>
                      <w:highlight w:val="none"/>
                      <w:lang w:val="en-US" w:eastAsia="zh-CN" w:bidi="ar-SA"/>
                    </w:rPr>
                    <w:t>设计水平年征占地面积（hm</w:t>
                  </w:r>
                  <w:r>
                    <w:rPr>
                      <w:rFonts w:hint="eastAsia" w:ascii="Times New Roman" w:hAnsi="Times New Roman" w:eastAsia="宋体" w:cs="Times New Roman"/>
                      <w:b/>
                      <w:bCs/>
                      <w:color w:val="auto"/>
                      <w:kern w:val="2"/>
                      <w:sz w:val="21"/>
                      <w:szCs w:val="21"/>
                      <w:highlight w:val="none"/>
                      <w:vertAlign w:val="superscript"/>
                      <w:lang w:val="en-US" w:eastAsia="zh-CN" w:bidi="ar-SA"/>
                    </w:rPr>
                    <w:t>2</w:t>
                  </w:r>
                  <w:r>
                    <w:rPr>
                      <w:rFonts w:hint="eastAsia" w:ascii="Times New Roman" w:hAnsi="Times New Roman" w:eastAsia="宋体" w:cs="Times New Roman"/>
                      <w:b/>
                      <w:bCs/>
                      <w:color w:val="auto"/>
                      <w:kern w:val="2"/>
                      <w:sz w:val="21"/>
                      <w:szCs w:val="21"/>
                      <w:highlight w:val="none"/>
                      <w:lang w:val="en-US" w:eastAsia="zh-CN" w:bidi="ar-SA"/>
                    </w:rPr>
                    <w:t>）</w:t>
                  </w:r>
                </w:p>
              </w:tc>
              <w:tc>
                <w:tcPr>
                  <w:tcW w:w="675" w:type="pct"/>
                  <w:vMerge w:val="restart"/>
                  <w:tcBorders>
                    <w:tl2br w:val="nil"/>
                    <w:tr2bl w:val="nil"/>
                  </w:tcBorders>
                  <w:shd w:val="clear" w:color="auto" w:fill="auto"/>
                  <w:noWrap/>
                  <w:vAlign w:val="center"/>
                </w:tcPr>
                <w:p w14:paraId="5F9B2B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bCs/>
                      <w:color w:val="auto"/>
                      <w:kern w:val="2"/>
                      <w:sz w:val="21"/>
                      <w:szCs w:val="21"/>
                      <w:highlight w:val="none"/>
                      <w:lang w:val="en-US" w:eastAsia="zh-CN" w:bidi="ar-SA"/>
                    </w:rPr>
                    <w:t>边界条件</w:t>
                  </w:r>
                </w:p>
              </w:tc>
              <w:tc>
                <w:tcPr>
                  <w:tcW w:w="1014" w:type="pct"/>
                  <w:gridSpan w:val="2"/>
                  <w:tcBorders>
                    <w:tl2br w:val="nil"/>
                    <w:tr2bl w:val="nil"/>
                  </w:tcBorders>
                  <w:shd w:val="clear" w:color="auto" w:fill="auto"/>
                  <w:noWrap/>
                  <w:vAlign w:val="center"/>
                </w:tcPr>
                <w:p w14:paraId="71BDA82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bCs/>
                      <w:color w:val="auto"/>
                      <w:kern w:val="2"/>
                      <w:sz w:val="21"/>
                      <w:szCs w:val="21"/>
                      <w:highlight w:val="none"/>
                      <w:lang w:val="en-US" w:eastAsia="zh-CN" w:bidi="ar-SA"/>
                    </w:rPr>
                    <w:t>占地类型</w:t>
                  </w:r>
                </w:p>
              </w:tc>
            </w:tr>
            <w:tr w14:paraId="3D67A5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470" w:type="pct"/>
                  <w:vMerge w:val="continue"/>
                  <w:tcBorders>
                    <w:tl2br w:val="nil"/>
                    <w:tr2bl w:val="nil"/>
                  </w:tcBorders>
                  <w:shd w:val="clear" w:color="auto" w:fill="auto"/>
                  <w:vAlign w:val="center"/>
                </w:tcPr>
                <w:p w14:paraId="50105C1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kern w:val="2"/>
                      <w:sz w:val="21"/>
                      <w:szCs w:val="21"/>
                      <w:highlight w:val="none"/>
                      <w:lang w:val="en-US" w:eastAsia="zh-CN" w:bidi="ar-SA"/>
                    </w:rPr>
                  </w:pPr>
                </w:p>
              </w:tc>
              <w:tc>
                <w:tcPr>
                  <w:tcW w:w="883" w:type="pct"/>
                  <w:vMerge w:val="continue"/>
                  <w:tcBorders>
                    <w:tl2br w:val="nil"/>
                    <w:tr2bl w:val="nil"/>
                  </w:tcBorders>
                  <w:shd w:val="clear" w:color="auto" w:fill="auto"/>
                  <w:vAlign w:val="center"/>
                </w:tcPr>
                <w:p w14:paraId="20CB06A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kern w:val="2"/>
                      <w:sz w:val="21"/>
                      <w:szCs w:val="21"/>
                      <w:highlight w:val="none"/>
                      <w:lang w:val="en-US" w:eastAsia="zh-CN" w:bidi="ar-SA"/>
                    </w:rPr>
                  </w:pPr>
                </w:p>
              </w:tc>
              <w:tc>
                <w:tcPr>
                  <w:tcW w:w="680" w:type="pct"/>
                  <w:tcBorders>
                    <w:tl2br w:val="nil"/>
                    <w:tr2bl w:val="nil"/>
                  </w:tcBorders>
                  <w:shd w:val="clear" w:color="auto" w:fill="auto"/>
                  <w:vAlign w:val="center"/>
                </w:tcPr>
                <w:p w14:paraId="3D06C55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bCs/>
                      <w:color w:val="auto"/>
                      <w:kern w:val="2"/>
                      <w:sz w:val="21"/>
                      <w:szCs w:val="21"/>
                      <w:highlight w:val="none"/>
                      <w:lang w:val="en-US" w:eastAsia="zh-CN" w:bidi="ar-SA"/>
                    </w:rPr>
                    <w:t>永久占地</w:t>
                  </w:r>
                </w:p>
              </w:tc>
              <w:tc>
                <w:tcPr>
                  <w:tcW w:w="696" w:type="pct"/>
                  <w:tcBorders>
                    <w:tl2br w:val="nil"/>
                    <w:tr2bl w:val="nil"/>
                  </w:tcBorders>
                  <w:shd w:val="clear" w:color="auto" w:fill="auto"/>
                  <w:vAlign w:val="center"/>
                </w:tcPr>
                <w:p w14:paraId="558B3C6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bCs/>
                      <w:color w:val="auto"/>
                      <w:kern w:val="2"/>
                      <w:sz w:val="21"/>
                      <w:szCs w:val="21"/>
                      <w:highlight w:val="none"/>
                      <w:lang w:val="en-US" w:eastAsia="zh-CN" w:bidi="ar-SA"/>
                    </w:rPr>
                    <w:t>临时占地</w:t>
                  </w:r>
                </w:p>
              </w:tc>
              <w:tc>
                <w:tcPr>
                  <w:tcW w:w="579" w:type="pct"/>
                  <w:tcBorders>
                    <w:tl2br w:val="nil"/>
                    <w:tr2bl w:val="nil"/>
                  </w:tcBorders>
                  <w:shd w:val="clear" w:color="auto" w:fill="auto"/>
                  <w:vAlign w:val="center"/>
                </w:tcPr>
                <w:p w14:paraId="0E62D4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bCs/>
                      <w:color w:val="auto"/>
                      <w:kern w:val="2"/>
                      <w:sz w:val="21"/>
                      <w:szCs w:val="21"/>
                      <w:highlight w:val="none"/>
                      <w:lang w:val="en-US" w:eastAsia="zh-CN" w:bidi="ar-SA"/>
                    </w:rPr>
                    <w:t>合计</w:t>
                  </w:r>
                </w:p>
              </w:tc>
              <w:tc>
                <w:tcPr>
                  <w:tcW w:w="675" w:type="pct"/>
                  <w:vMerge w:val="continue"/>
                  <w:tcBorders>
                    <w:tl2br w:val="nil"/>
                    <w:tr2bl w:val="nil"/>
                  </w:tcBorders>
                  <w:shd w:val="clear" w:color="auto" w:fill="auto"/>
                  <w:noWrap/>
                  <w:vAlign w:val="center"/>
                </w:tcPr>
                <w:p w14:paraId="1CC36A1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kern w:val="2"/>
                      <w:sz w:val="21"/>
                      <w:szCs w:val="21"/>
                      <w:highlight w:val="none"/>
                      <w:lang w:val="en-US" w:eastAsia="zh-CN" w:bidi="ar-SA"/>
                    </w:rPr>
                  </w:pPr>
                </w:p>
              </w:tc>
              <w:tc>
                <w:tcPr>
                  <w:tcW w:w="608" w:type="pct"/>
                  <w:tcBorders>
                    <w:tl2br w:val="nil"/>
                    <w:tr2bl w:val="nil"/>
                  </w:tcBorders>
                  <w:shd w:val="clear" w:color="auto" w:fill="auto"/>
                  <w:noWrap/>
                  <w:vAlign w:val="center"/>
                </w:tcPr>
                <w:p w14:paraId="58243C9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bCs/>
                      <w:color w:val="auto"/>
                      <w:kern w:val="2"/>
                      <w:sz w:val="21"/>
                      <w:szCs w:val="21"/>
                      <w:highlight w:val="none"/>
                      <w:lang w:val="en-US" w:eastAsia="zh-CN" w:bidi="ar-SA"/>
                    </w:rPr>
                    <w:t>水利设施用地</w:t>
                  </w:r>
                </w:p>
              </w:tc>
              <w:tc>
                <w:tcPr>
                  <w:tcW w:w="405" w:type="pct"/>
                  <w:tcBorders>
                    <w:tl2br w:val="nil"/>
                    <w:tr2bl w:val="nil"/>
                  </w:tcBorders>
                  <w:shd w:val="clear" w:color="auto" w:fill="auto"/>
                  <w:noWrap/>
                  <w:vAlign w:val="center"/>
                </w:tcPr>
                <w:p w14:paraId="317130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kern w:val="2"/>
                      <w:sz w:val="21"/>
                      <w:szCs w:val="21"/>
                      <w:highlight w:val="none"/>
                      <w:lang w:val="en-US" w:eastAsia="zh-CN" w:bidi="ar-SA"/>
                    </w:rPr>
                  </w:pPr>
                  <w:r>
                    <w:rPr>
                      <w:rFonts w:hint="eastAsia" w:cs="Times New Roman"/>
                      <w:b/>
                      <w:bCs/>
                      <w:color w:val="auto"/>
                      <w:kern w:val="2"/>
                      <w:sz w:val="21"/>
                      <w:szCs w:val="21"/>
                      <w:highlight w:val="none"/>
                      <w:lang w:val="en-US" w:eastAsia="zh-CN" w:bidi="ar-SA"/>
                    </w:rPr>
                    <w:t>裸土地</w:t>
                  </w:r>
                </w:p>
              </w:tc>
            </w:tr>
            <w:tr w14:paraId="15553A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470" w:type="pct"/>
                  <w:vMerge w:val="restart"/>
                  <w:tcBorders>
                    <w:tl2br w:val="nil"/>
                    <w:tr2bl w:val="nil"/>
                  </w:tcBorders>
                  <w:shd w:val="clear" w:color="auto" w:fill="auto"/>
                  <w:vAlign w:val="center"/>
                </w:tcPr>
                <w:p w14:paraId="2BA67DF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奇台县</w:t>
                  </w:r>
                </w:p>
              </w:tc>
              <w:tc>
                <w:tcPr>
                  <w:tcW w:w="883" w:type="pct"/>
                  <w:tcBorders>
                    <w:tl2br w:val="nil"/>
                    <w:tr2bl w:val="nil"/>
                  </w:tcBorders>
                  <w:shd w:val="clear" w:color="auto" w:fill="auto"/>
                  <w:vAlign w:val="center"/>
                </w:tcPr>
                <w:p w14:paraId="30C8FFC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主体工程区</w:t>
                  </w:r>
                </w:p>
              </w:tc>
              <w:tc>
                <w:tcPr>
                  <w:tcW w:w="680" w:type="pct"/>
                  <w:tcBorders>
                    <w:tl2br w:val="nil"/>
                    <w:tr2bl w:val="nil"/>
                  </w:tcBorders>
                  <w:shd w:val="clear" w:color="auto" w:fill="auto"/>
                  <w:vAlign w:val="center"/>
                </w:tcPr>
                <w:p w14:paraId="6BCBC04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17.1947</w:t>
                  </w:r>
                </w:p>
              </w:tc>
              <w:tc>
                <w:tcPr>
                  <w:tcW w:w="696" w:type="pct"/>
                  <w:tcBorders>
                    <w:tl2br w:val="nil"/>
                    <w:tr2bl w:val="nil"/>
                  </w:tcBorders>
                  <w:shd w:val="clear" w:color="auto" w:fill="auto"/>
                  <w:vAlign w:val="center"/>
                </w:tcPr>
                <w:p w14:paraId="14FB5A1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w:t>
                  </w:r>
                </w:p>
              </w:tc>
              <w:tc>
                <w:tcPr>
                  <w:tcW w:w="579" w:type="pct"/>
                  <w:tcBorders>
                    <w:tl2br w:val="nil"/>
                    <w:tr2bl w:val="nil"/>
                  </w:tcBorders>
                  <w:shd w:val="clear" w:color="auto" w:fill="auto"/>
                  <w:vAlign w:val="center"/>
                </w:tcPr>
                <w:p w14:paraId="2BBC9A8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17.1947</w:t>
                  </w:r>
                </w:p>
              </w:tc>
              <w:tc>
                <w:tcPr>
                  <w:tcW w:w="675" w:type="pct"/>
                  <w:tcBorders>
                    <w:tl2br w:val="nil"/>
                    <w:tr2bl w:val="nil"/>
                  </w:tcBorders>
                  <w:shd w:val="clear" w:color="auto" w:fill="auto"/>
                  <w:noWrap/>
                  <w:vAlign w:val="center"/>
                </w:tcPr>
                <w:p w14:paraId="3DC9AF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实际征占地</w:t>
                  </w:r>
                </w:p>
              </w:tc>
              <w:tc>
                <w:tcPr>
                  <w:tcW w:w="608" w:type="pct"/>
                  <w:tcBorders>
                    <w:tl2br w:val="nil"/>
                    <w:tr2bl w:val="nil"/>
                  </w:tcBorders>
                  <w:shd w:val="clear" w:color="auto" w:fill="auto"/>
                  <w:vAlign w:val="center"/>
                </w:tcPr>
                <w:p w14:paraId="79E8EC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13.7947</w:t>
                  </w:r>
                </w:p>
              </w:tc>
              <w:tc>
                <w:tcPr>
                  <w:tcW w:w="405" w:type="pct"/>
                  <w:tcBorders>
                    <w:tl2br w:val="nil"/>
                    <w:tr2bl w:val="nil"/>
                  </w:tcBorders>
                  <w:shd w:val="clear" w:color="auto" w:fill="auto"/>
                  <w:vAlign w:val="center"/>
                </w:tcPr>
                <w:p w14:paraId="78CBFB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3.4</w:t>
                  </w:r>
                </w:p>
              </w:tc>
            </w:tr>
            <w:tr w14:paraId="185BFE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470" w:type="pct"/>
                  <w:vMerge w:val="continue"/>
                  <w:tcBorders>
                    <w:tl2br w:val="nil"/>
                    <w:tr2bl w:val="nil"/>
                  </w:tcBorders>
                  <w:shd w:val="clear" w:color="auto" w:fill="auto"/>
                  <w:vAlign w:val="center"/>
                </w:tcPr>
                <w:p w14:paraId="4EFADA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883" w:type="pct"/>
                  <w:tcBorders>
                    <w:tl2br w:val="nil"/>
                    <w:tr2bl w:val="nil"/>
                  </w:tcBorders>
                  <w:shd w:val="clear" w:color="auto" w:fill="auto"/>
                  <w:vAlign w:val="center"/>
                </w:tcPr>
                <w:p w14:paraId="4BE8986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临时道路区</w:t>
                  </w:r>
                </w:p>
              </w:tc>
              <w:tc>
                <w:tcPr>
                  <w:tcW w:w="680" w:type="pct"/>
                  <w:tcBorders>
                    <w:tl2br w:val="nil"/>
                    <w:tr2bl w:val="nil"/>
                  </w:tcBorders>
                  <w:shd w:val="clear" w:color="auto" w:fill="auto"/>
                  <w:noWrap/>
                  <w:vAlign w:val="center"/>
                </w:tcPr>
                <w:p w14:paraId="6CD5D5C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w:t>
                  </w:r>
                </w:p>
              </w:tc>
              <w:tc>
                <w:tcPr>
                  <w:tcW w:w="696" w:type="pct"/>
                  <w:tcBorders>
                    <w:tl2br w:val="nil"/>
                    <w:tr2bl w:val="nil"/>
                  </w:tcBorders>
                  <w:shd w:val="clear" w:color="auto" w:fill="auto"/>
                  <w:vAlign w:val="center"/>
                </w:tcPr>
                <w:p w14:paraId="43A236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w:t>
                  </w:r>
                </w:p>
              </w:tc>
              <w:tc>
                <w:tcPr>
                  <w:tcW w:w="579" w:type="pct"/>
                  <w:tcBorders>
                    <w:tl2br w:val="nil"/>
                    <w:tr2bl w:val="nil"/>
                  </w:tcBorders>
                  <w:shd w:val="clear" w:color="auto" w:fill="auto"/>
                  <w:vAlign w:val="center"/>
                </w:tcPr>
                <w:p w14:paraId="71947CA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w:t>
                  </w:r>
                </w:p>
              </w:tc>
              <w:tc>
                <w:tcPr>
                  <w:tcW w:w="675" w:type="pct"/>
                  <w:tcBorders>
                    <w:tl2br w:val="nil"/>
                    <w:tr2bl w:val="nil"/>
                  </w:tcBorders>
                  <w:shd w:val="clear" w:color="auto" w:fill="auto"/>
                  <w:noWrap/>
                  <w:vAlign w:val="center"/>
                </w:tcPr>
                <w:p w14:paraId="23448F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新建临时施工道路5km，路面宽4m</w:t>
                  </w:r>
                </w:p>
              </w:tc>
              <w:tc>
                <w:tcPr>
                  <w:tcW w:w="608" w:type="pct"/>
                  <w:tcBorders>
                    <w:tl2br w:val="nil"/>
                    <w:tr2bl w:val="nil"/>
                  </w:tcBorders>
                  <w:shd w:val="clear" w:color="auto" w:fill="auto"/>
                  <w:vAlign w:val="center"/>
                </w:tcPr>
                <w:p w14:paraId="693C66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w:t>
                  </w:r>
                </w:p>
              </w:tc>
              <w:tc>
                <w:tcPr>
                  <w:tcW w:w="405" w:type="pct"/>
                  <w:tcBorders>
                    <w:tl2br w:val="nil"/>
                    <w:tr2bl w:val="nil"/>
                  </w:tcBorders>
                  <w:shd w:val="clear" w:color="auto" w:fill="auto"/>
                  <w:vAlign w:val="center"/>
                </w:tcPr>
                <w:p w14:paraId="508B82D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w:t>
                  </w:r>
                </w:p>
              </w:tc>
            </w:tr>
            <w:tr w14:paraId="4AA83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470" w:type="pct"/>
                  <w:vMerge w:val="continue"/>
                  <w:tcBorders>
                    <w:tl2br w:val="nil"/>
                    <w:tr2bl w:val="nil"/>
                  </w:tcBorders>
                  <w:shd w:val="clear" w:color="auto" w:fill="auto"/>
                  <w:vAlign w:val="center"/>
                </w:tcPr>
                <w:p w14:paraId="472B69D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883" w:type="pct"/>
                  <w:tcBorders>
                    <w:tl2br w:val="nil"/>
                    <w:tr2bl w:val="nil"/>
                  </w:tcBorders>
                  <w:shd w:val="clear" w:color="auto" w:fill="auto"/>
                  <w:vAlign w:val="center"/>
                </w:tcPr>
                <w:p w14:paraId="3F4268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临时堆土区</w:t>
                  </w:r>
                </w:p>
              </w:tc>
              <w:tc>
                <w:tcPr>
                  <w:tcW w:w="680" w:type="pct"/>
                  <w:tcBorders>
                    <w:tl2br w:val="nil"/>
                    <w:tr2bl w:val="nil"/>
                  </w:tcBorders>
                  <w:shd w:val="clear" w:color="auto" w:fill="auto"/>
                  <w:noWrap/>
                  <w:vAlign w:val="center"/>
                </w:tcPr>
                <w:p w14:paraId="6EE4A4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w:t>
                  </w:r>
                </w:p>
              </w:tc>
              <w:tc>
                <w:tcPr>
                  <w:tcW w:w="696" w:type="pct"/>
                  <w:tcBorders>
                    <w:tl2br w:val="nil"/>
                    <w:tr2bl w:val="nil"/>
                  </w:tcBorders>
                  <w:shd w:val="clear" w:color="auto" w:fill="auto"/>
                  <w:vAlign w:val="center"/>
                </w:tcPr>
                <w:p w14:paraId="31EB35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0.007</w:t>
                  </w:r>
                </w:p>
              </w:tc>
              <w:tc>
                <w:tcPr>
                  <w:tcW w:w="579" w:type="pct"/>
                  <w:tcBorders>
                    <w:tl2br w:val="nil"/>
                    <w:tr2bl w:val="nil"/>
                  </w:tcBorders>
                  <w:shd w:val="clear" w:color="auto" w:fill="auto"/>
                  <w:vAlign w:val="center"/>
                </w:tcPr>
                <w:p w14:paraId="54B1713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0.007</w:t>
                  </w:r>
                </w:p>
              </w:tc>
              <w:tc>
                <w:tcPr>
                  <w:tcW w:w="675" w:type="pct"/>
                  <w:tcBorders>
                    <w:tl2br w:val="nil"/>
                    <w:tr2bl w:val="nil"/>
                  </w:tcBorders>
                  <w:shd w:val="clear" w:color="auto" w:fill="auto"/>
                  <w:noWrap/>
                  <w:vAlign w:val="center"/>
                </w:tcPr>
                <w:p w14:paraId="729F1A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基坑周边临时堆土，施工后恢复</w:t>
                  </w:r>
                </w:p>
              </w:tc>
              <w:tc>
                <w:tcPr>
                  <w:tcW w:w="608" w:type="pct"/>
                  <w:tcBorders>
                    <w:tl2br w:val="nil"/>
                    <w:tr2bl w:val="nil"/>
                  </w:tcBorders>
                  <w:shd w:val="clear" w:color="auto" w:fill="auto"/>
                  <w:vAlign w:val="center"/>
                </w:tcPr>
                <w:p w14:paraId="729C80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w:t>
                  </w:r>
                </w:p>
              </w:tc>
              <w:tc>
                <w:tcPr>
                  <w:tcW w:w="405" w:type="pct"/>
                  <w:tcBorders>
                    <w:tl2br w:val="nil"/>
                    <w:tr2bl w:val="nil"/>
                  </w:tcBorders>
                  <w:shd w:val="clear" w:color="auto" w:fill="auto"/>
                  <w:vAlign w:val="center"/>
                </w:tcPr>
                <w:p w14:paraId="55C169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0.007</w:t>
                  </w:r>
                </w:p>
              </w:tc>
            </w:tr>
            <w:tr w14:paraId="64873F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470" w:type="pct"/>
                  <w:vMerge w:val="continue"/>
                  <w:tcBorders>
                    <w:tl2br w:val="nil"/>
                    <w:tr2bl w:val="nil"/>
                  </w:tcBorders>
                  <w:shd w:val="clear" w:color="auto" w:fill="auto"/>
                  <w:vAlign w:val="center"/>
                </w:tcPr>
                <w:p w14:paraId="4DF706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883" w:type="pct"/>
                  <w:tcBorders>
                    <w:tl2br w:val="nil"/>
                    <w:tr2bl w:val="nil"/>
                  </w:tcBorders>
                  <w:shd w:val="clear" w:color="auto" w:fill="auto"/>
                  <w:vAlign w:val="center"/>
                </w:tcPr>
                <w:p w14:paraId="7AF3B62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施工</w:t>
                  </w:r>
                  <w:r>
                    <w:rPr>
                      <w:rFonts w:hint="eastAsia" w:ascii="Times New Roman" w:hAnsi="Times New Roman" w:eastAsia="宋体" w:cs="Times New Roman"/>
                      <w:color w:val="auto"/>
                      <w:kern w:val="2"/>
                      <w:sz w:val="21"/>
                      <w:szCs w:val="21"/>
                      <w:highlight w:val="none"/>
                      <w:lang w:val="en-US" w:eastAsia="zh-CN" w:bidi="ar-SA"/>
                    </w:rPr>
                    <w:t>生产区</w:t>
                  </w:r>
                </w:p>
              </w:tc>
              <w:tc>
                <w:tcPr>
                  <w:tcW w:w="680" w:type="pct"/>
                  <w:tcBorders>
                    <w:tl2br w:val="nil"/>
                    <w:tr2bl w:val="nil"/>
                  </w:tcBorders>
                  <w:shd w:val="clear" w:color="auto" w:fill="auto"/>
                  <w:vAlign w:val="center"/>
                </w:tcPr>
                <w:p w14:paraId="6F2103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w:t>
                  </w:r>
                </w:p>
              </w:tc>
              <w:tc>
                <w:tcPr>
                  <w:tcW w:w="696" w:type="pct"/>
                  <w:tcBorders>
                    <w:tl2br w:val="nil"/>
                    <w:tr2bl w:val="nil"/>
                  </w:tcBorders>
                  <w:shd w:val="clear" w:color="auto" w:fill="auto"/>
                  <w:vAlign w:val="center"/>
                </w:tcPr>
                <w:p w14:paraId="2866FE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w:t>
                  </w:r>
                  <w:r>
                    <w:rPr>
                      <w:rFonts w:hint="eastAsia" w:cs="Times New Roman"/>
                      <w:color w:val="auto"/>
                      <w:kern w:val="2"/>
                      <w:sz w:val="21"/>
                      <w:szCs w:val="21"/>
                      <w:highlight w:val="none"/>
                      <w:lang w:val="en-US" w:eastAsia="zh-CN" w:bidi="ar-SA"/>
                    </w:rPr>
                    <w:t>04</w:t>
                  </w:r>
                </w:p>
              </w:tc>
              <w:tc>
                <w:tcPr>
                  <w:tcW w:w="579" w:type="pct"/>
                  <w:tcBorders>
                    <w:tl2br w:val="nil"/>
                    <w:tr2bl w:val="nil"/>
                  </w:tcBorders>
                  <w:shd w:val="clear" w:color="auto" w:fill="auto"/>
                  <w:vAlign w:val="center"/>
                </w:tcPr>
                <w:p w14:paraId="11F5EB6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w:t>
                  </w:r>
                  <w:r>
                    <w:rPr>
                      <w:rFonts w:hint="eastAsia" w:cs="Times New Roman"/>
                      <w:color w:val="auto"/>
                      <w:kern w:val="2"/>
                      <w:sz w:val="21"/>
                      <w:szCs w:val="21"/>
                      <w:highlight w:val="none"/>
                      <w:lang w:val="en-US" w:eastAsia="zh-CN" w:bidi="ar-SA"/>
                    </w:rPr>
                    <w:t>04</w:t>
                  </w:r>
                </w:p>
              </w:tc>
              <w:tc>
                <w:tcPr>
                  <w:tcW w:w="675" w:type="pct"/>
                  <w:tcBorders>
                    <w:tl2br w:val="nil"/>
                    <w:tr2bl w:val="nil"/>
                  </w:tcBorders>
                  <w:shd w:val="clear" w:color="auto" w:fill="auto"/>
                  <w:noWrap/>
                  <w:vAlign w:val="center"/>
                </w:tcPr>
                <w:p w14:paraId="0075A2C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共2处：K5+540东侧、项目区终点北侧约1km</w:t>
                  </w:r>
                </w:p>
              </w:tc>
              <w:tc>
                <w:tcPr>
                  <w:tcW w:w="608" w:type="pct"/>
                  <w:tcBorders>
                    <w:tl2br w:val="nil"/>
                    <w:tr2bl w:val="nil"/>
                  </w:tcBorders>
                  <w:shd w:val="clear" w:color="auto" w:fill="auto"/>
                  <w:vAlign w:val="center"/>
                </w:tcPr>
                <w:p w14:paraId="17B0FD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w:t>
                  </w:r>
                </w:p>
              </w:tc>
              <w:tc>
                <w:tcPr>
                  <w:tcW w:w="405" w:type="pct"/>
                  <w:tcBorders>
                    <w:tl2br w:val="nil"/>
                    <w:tr2bl w:val="nil"/>
                  </w:tcBorders>
                  <w:shd w:val="clear" w:color="auto" w:fill="auto"/>
                  <w:vAlign w:val="center"/>
                </w:tcPr>
                <w:p w14:paraId="5A50A8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w:t>
                  </w:r>
                  <w:r>
                    <w:rPr>
                      <w:rFonts w:hint="eastAsia" w:cs="Times New Roman"/>
                      <w:color w:val="auto"/>
                      <w:kern w:val="2"/>
                      <w:sz w:val="21"/>
                      <w:szCs w:val="21"/>
                      <w:highlight w:val="none"/>
                      <w:lang w:val="en-US" w:eastAsia="zh-CN" w:bidi="ar-SA"/>
                    </w:rPr>
                    <w:t>04</w:t>
                  </w:r>
                </w:p>
              </w:tc>
            </w:tr>
            <w:tr w14:paraId="43888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1354" w:type="pct"/>
                  <w:gridSpan w:val="2"/>
                  <w:tcBorders>
                    <w:tl2br w:val="nil"/>
                    <w:tr2bl w:val="nil"/>
                  </w:tcBorders>
                  <w:shd w:val="clear" w:color="auto" w:fill="auto"/>
                  <w:vAlign w:val="center"/>
                </w:tcPr>
                <w:p w14:paraId="37F8E9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合计（扣除重复占地面积）</w:t>
                  </w:r>
                </w:p>
              </w:tc>
              <w:tc>
                <w:tcPr>
                  <w:tcW w:w="680" w:type="pct"/>
                  <w:tcBorders>
                    <w:tl2br w:val="nil"/>
                    <w:tr2bl w:val="nil"/>
                  </w:tcBorders>
                  <w:shd w:val="clear" w:color="auto" w:fill="auto"/>
                  <w:vAlign w:val="center"/>
                </w:tcPr>
                <w:p w14:paraId="55D1099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17.1947</w:t>
                  </w:r>
                </w:p>
              </w:tc>
              <w:tc>
                <w:tcPr>
                  <w:tcW w:w="696" w:type="pct"/>
                  <w:tcBorders>
                    <w:tl2br w:val="nil"/>
                    <w:tr2bl w:val="nil"/>
                  </w:tcBorders>
                  <w:shd w:val="clear" w:color="auto" w:fill="auto"/>
                  <w:vAlign w:val="center"/>
                </w:tcPr>
                <w:p w14:paraId="369BE91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2.047</w:t>
                  </w:r>
                </w:p>
              </w:tc>
              <w:tc>
                <w:tcPr>
                  <w:tcW w:w="579" w:type="pct"/>
                  <w:tcBorders>
                    <w:tl2br w:val="nil"/>
                    <w:tr2bl w:val="nil"/>
                  </w:tcBorders>
                  <w:shd w:val="clear" w:color="auto" w:fill="auto"/>
                  <w:vAlign w:val="center"/>
                </w:tcPr>
                <w:p w14:paraId="7A1DACD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fldChar w:fldCharType="begin"/>
                  </w:r>
                  <w:r>
                    <w:rPr>
                      <w:rFonts w:hint="eastAsia" w:ascii="Times New Roman" w:hAnsi="Times New Roman" w:eastAsia="宋体" w:cs="Times New Roman"/>
                      <w:color w:val="auto"/>
                      <w:kern w:val="2"/>
                      <w:sz w:val="21"/>
                      <w:szCs w:val="21"/>
                      <w:highlight w:val="none"/>
                      <w:lang w:val="en-US" w:eastAsia="zh-CN" w:bidi="ar-SA"/>
                    </w:rPr>
                    <w:instrText xml:space="preserve"> = sum(E3:E6) \* MERGEFORMAT </w:instrText>
                  </w:r>
                  <w:r>
                    <w:rPr>
                      <w:rFonts w:hint="eastAsia" w:ascii="Times New Roman" w:hAnsi="Times New Roman" w:eastAsia="宋体" w:cs="Times New Roman"/>
                      <w:color w:val="auto"/>
                      <w:kern w:val="2"/>
                      <w:sz w:val="21"/>
                      <w:szCs w:val="21"/>
                      <w:highlight w:val="none"/>
                      <w:lang w:val="en-US" w:eastAsia="zh-CN" w:bidi="ar-SA"/>
                    </w:rPr>
                    <w:fldChar w:fldCharType="separate"/>
                  </w:r>
                  <w:r>
                    <w:rPr>
                      <w:rFonts w:hint="eastAsia" w:ascii="Times New Roman" w:hAnsi="Times New Roman" w:eastAsia="宋体" w:cs="Times New Roman"/>
                      <w:color w:val="auto"/>
                      <w:kern w:val="2"/>
                      <w:sz w:val="21"/>
                      <w:szCs w:val="21"/>
                      <w:highlight w:val="none"/>
                      <w:lang w:val="en-US" w:eastAsia="zh-CN" w:bidi="ar-SA"/>
                    </w:rPr>
                    <w:t>19.2417</w:t>
                  </w:r>
                  <w:r>
                    <w:rPr>
                      <w:rFonts w:hint="eastAsia" w:ascii="Times New Roman" w:hAnsi="Times New Roman" w:eastAsia="宋体" w:cs="Times New Roman"/>
                      <w:color w:val="auto"/>
                      <w:kern w:val="2"/>
                      <w:sz w:val="21"/>
                      <w:szCs w:val="21"/>
                      <w:highlight w:val="none"/>
                      <w:lang w:val="en-US" w:eastAsia="zh-CN" w:bidi="ar-SA"/>
                    </w:rPr>
                    <w:fldChar w:fldCharType="end"/>
                  </w:r>
                </w:p>
              </w:tc>
              <w:tc>
                <w:tcPr>
                  <w:tcW w:w="675" w:type="pct"/>
                  <w:tcBorders>
                    <w:tl2br w:val="nil"/>
                    <w:tr2bl w:val="nil"/>
                  </w:tcBorders>
                  <w:shd w:val="clear" w:color="auto" w:fill="auto"/>
                  <w:noWrap/>
                  <w:vAlign w:val="center"/>
                </w:tcPr>
                <w:p w14:paraId="756CF55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c>
                <w:tcPr>
                  <w:tcW w:w="608" w:type="pct"/>
                  <w:tcBorders>
                    <w:tl2br w:val="nil"/>
                    <w:tr2bl w:val="nil"/>
                  </w:tcBorders>
                  <w:shd w:val="clear" w:color="auto" w:fill="auto"/>
                  <w:vAlign w:val="center"/>
                </w:tcPr>
                <w:p w14:paraId="1E0AF6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13.7947</w:t>
                  </w:r>
                </w:p>
              </w:tc>
              <w:tc>
                <w:tcPr>
                  <w:tcW w:w="405" w:type="pct"/>
                  <w:tcBorders>
                    <w:tl2br w:val="nil"/>
                    <w:tr2bl w:val="nil"/>
                  </w:tcBorders>
                  <w:shd w:val="clear" w:color="auto" w:fill="auto"/>
                  <w:vAlign w:val="center"/>
                </w:tcPr>
                <w:p w14:paraId="357FD9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fldChar w:fldCharType="begin"/>
                  </w:r>
                  <w:r>
                    <w:rPr>
                      <w:rFonts w:hint="default" w:ascii="Times New Roman" w:hAnsi="Times New Roman" w:eastAsia="宋体" w:cs="Times New Roman"/>
                      <w:color w:val="auto"/>
                      <w:kern w:val="2"/>
                      <w:sz w:val="21"/>
                      <w:szCs w:val="21"/>
                      <w:highlight w:val="none"/>
                      <w:lang w:val="en-US" w:eastAsia="zh-CN" w:bidi="ar-SA"/>
                    </w:rPr>
                    <w:instrText xml:space="preserve"> = sum(H3:H6) \* MERGEFORMAT </w:instrText>
                  </w:r>
                  <w:r>
                    <w:rPr>
                      <w:rFonts w:hint="default" w:ascii="Times New Roman" w:hAnsi="Times New Roman" w:eastAsia="宋体" w:cs="Times New Roman"/>
                      <w:color w:val="auto"/>
                      <w:kern w:val="2"/>
                      <w:sz w:val="21"/>
                      <w:szCs w:val="21"/>
                      <w:highlight w:val="none"/>
                      <w:lang w:val="en-US" w:eastAsia="zh-CN" w:bidi="ar-SA"/>
                    </w:rPr>
                    <w:fldChar w:fldCharType="separate"/>
                  </w:r>
                  <w:r>
                    <w:rPr>
                      <w:rFonts w:hint="default" w:ascii="Times New Roman" w:hAnsi="Times New Roman" w:eastAsia="宋体" w:cs="Times New Roman"/>
                      <w:color w:val="auto"/>
                      <w:kern w:val="2"/>
                      <w:sz w:val="21"/>
                      <w:szCs w:val="21"/>
                      <w:highlight w:val="none"/>
                      <w:lang w:val="en-US" w:eastAsia="zh-CN" w:bidi="ar-SA"/>
                    </w:rPr>
                    <w:t>5.447</w:t>
                  </w:r>
                  <w:r>
                    <w:rPr>
                      <w:rFonts w:hint="default" w:ascii="Times New Roman" w:hAnsi="Times New Roman" w:eastAsia="宋体" w:cs="Times New Roman"/>
                      <w:color w:val="auto"/>
                      <w:kern w:val="2"/>
                      <w:sz w:val="21"/>
                      <w:szCs w:val="21"/>
                      <w:highlight w:val="none"/>
                      <w:lang w:val="en-US" w:eastAsia="zh-CN" w:bidi="ar-SA"/>
                    </w:rPr>
                    <w:fldChar w:fldCharType="end"/>
                  </w:r>
                </w:p>
              </w:tc>
            </w:tr>
          </w:tbl>
          <w:p w14:paraId="5617A28F">
            <w:pPr>
              <w:keepNext w:val="0"/>
              <w:keepLines w:val="0"/>
              <w:pageBreakBefore w:val="0"/>
              <w:widowControl w:val="0"/>
              <w:numPr>
                <w:ilvl w:val="0"/>
                <w:numId w:val="4"/>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eastAsia" w:ascii="Times New Roman" w:hAnsi="Times New Roman" w:eastAsia="宋体" w:cs="Times New Roman"/>
                <w:b/>
                <w:bCs/>
                <w:color w:val="auto"/>
                <w:kern w:val="0"/>
                <w:sz w:val="24"/>
                <w:szCs w:val="24"/>
                <w:highlight w:val="none"/>
                <w:lang w:val="en-US" w:eastAsia="zh-CN"/>
              </w:rPr>
              <w:t>土石方平衡</w:t>
            </w:r>
          </w:p>
          <w:p w14:paraId="34962E9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cs="Times New Roman"/>
                <w:color w:val="auto"/>
                <w:sz w:val="24"/>
              </w:rPr>
            </w:pPr>
            <w:r>
              <w:rPr>
                <w:rFonts w:hint="default" w:ascii="Times New Roman" w:hAnsi="Times New Roman" w:cs="Times New Roman"/>
                <w:color w:val="auto"/>
                <w:sz w:val="24"/>
              </w:rPr>
              <w:t>项目主要在原渠道上进行防渗改造，无可剥离表土。本项目挖填方总量为</w:t>
            </w:r>
            <w:r>
              <w:rPr>
                <w:rFonts w:hint="eastAsia" w:cs="Times New Roman"/>
                <w:color w:val="auto"/>
                <w:sz w:val="24"/>
                <w:lang w:val="en-US" w:eastAsia="zh-CN"/>
              </w:rPr>
              <w:t>12.34</w:t>
            </w:r>
            <w:r>
              <w:rPr>
                <w:rFonts w:hint="default" w:ascii="Times New Roman" w:hAnsi="Times New Roman" w:cs="Times New Roman"/>
                <w:color w:val="auto"/>
                <w:sz w:val="24"/>
              </w:rPr>
              <w:t>万m</w:t>
            </w:r>
            <w:r>
              <w:rPr>
                <w:rFonts w:hint="default" w:ascii="Times New Roman" w:hAnsi="Times New Roman" w:cs="Times New Roman"/>
                <w:color w:val="auto"/>
                <w:sz w:val="24"/>
                <w:vertAlign w:val="superscript"/>
              </w:rPr>
              <w:t>3</w:t>
            </w:r>
            <w:r>
              <w:rPr>
                <w:rFonts w:hint="default" w:ascii="Times New Roman" w:hAnsi="Times New Roman" w:cs="Times New Roman"/>
                <w:color w:val="auto"/>
                <w:sz w:val="24"/>
              </w:rPr>
              <w:t>，其中挖方总量为</w:t>
            </w:r>
            <w:r>
              <w:rPr>
                <w:rFonts w:hint="eastAsia" w:cs="Times New Roman"/>
                <w:color w:val="auto"/>
                <w:sz w:val="24"/>
                <w:lang w:val="en-US" w:eastAsia="zh-CN"/>
              </w:rPr>
              <w:t>5.26</w:t>
            </w:r>
            <w:r>
              <w:rPr>
                <w:rFonts w:hint="default" w:ascii="Times New Roman" w:hAnsi="Times New Roman" w:cs="Times New Roman"/>
                <w:color w:val="auto"/>
                <w:sz w:val="24"/>
              </w:rPr>
              <w:t>万m</w:t>
            </w:r>
            <w:r>
              <w:rPr>
                <w:rFonts w:hint="default" w:ascii="Times New Roman" w:hAnsi="Times New Roman" w:cs="Times New Roman"/>
                <w:color w:val="auto"/>
                <w:sz w:val="24"/>
                <w:vertAlign w:val="superscript"/>
              </w:rPr>
              <w:t>3</w:t>
            </w:r>
            <w:r>
              <w:rPr>
                <w:rFonts w:hint="default" w:ascii="Times New Roman" w:hAnsi="Times New Roman" w:cs="Times New Roman"/>
                <w:color w:val="auto"/>
                <w:sz w:val="24"/>
              </w:rPr>
              <w:t>，回填</w:t>
            </w:r>
            <w:r>
              <w:rPr>
                <w:rFonts w:hint="eastAsia" w:cs="Times New Roman"/>
                <w:color w:val="auto"/>
                <w:sz w:val="24"/>
                <w:lang w:val="en-US" w:eastAsia="zh-CN"/>
              </w:rPr>
              <w:t>7.08</w:t>
            </w:r>
            <w:r>
              <w:rPr>
                <w:rFonts w:hint="default" w:ascii="Times New Roman" w:hAnsi="Times New Roman" w:cs="Times New Roman"/>
                <w:color w:val="auto"/>
                <w:sz w:val="24"/>
              </w:rPr>
              <w:t>万m</w:t>
            </w:r>
            <w:r>
              <w:rPr>
                <w:rFonts w:hint="default" w:ascii="Times New Roman" w:hAnsi="Times New Roman" w:cs="Times New Roman"/>
                <w:color w:val="auto"/>
                <w:sz w:val="24"/>
                <w:vertAlign w:val="superscript"/>
              </w:rPr>
              <w:t>3</w:t>
            </w:r>
            <w:r>
              <w:rPr>
                <w:rFonts w:hint="default" w:ascii="Times New Roman" w:hAnsi="Times New Roman" w:cs="Times New Roman"/>
                <w:color w:val="auto"/>
                <w:sz w:val="24"/>
              </w:rPr>
              <w:t>，借方</w:t>
            </w:r>
            <w:r>
              <w:rPr>
                <w:rFonts w:hint="eastAsia" w:cs="Times New Roman"/>
                <w:color w:val="auto"/>
                <w:sz w:val="24"/>
                <w:lang w:val="en-US" w:eastAsia="zh-CN"/>
              </w:rPr>
              <w:t>3.33</w:t>
            </w:r>
            <w:r>
              <w:rPr>
                <w:rFonts w:hint="default" w:ascii="Times New Roman" w:hAnsi="Times New Roman" w:cs="Times New Roman"/>
                <w:color w:val="auto"/>
                <w:sz w:val="24"/>
              </w:rPr>
              <w:t>万m</w:t>
            </w:r>
            <w:r>
              <w:rPr>
                <w:rFonts w:hint="default" w:ascii="Times New Roman" w:hAnsi="Times New Roman" w:cs="Times New Roman"/>
                <w:color w:val="auto"/>
                <w:sz w:val="24"/>
                <w:vertAlign w:val="superscript"/>
              </w:rPr>
              <w:t>3</w:t>
            </w:r>
            <w:r>
              <w:rPr>
                <w:rFonts w:hint="default" w:ascii="Times New Roman" w:hAnsi="Times New Roman" w:cs="Times New Roman"/>
                <w:color w:val="auto"/>
                <w:sz w:val="24"/>
              </w:rPr>
              <w:t>（主要为外购砂石料垫层借方），本项目借方均</w:t>
            </w:r>
            <w:r>
              <w:rPr>
                <w:rFonts w:hint="eastAsia" w:cs="Times New Roman"/>
                <w:color w:val="auto"/>
                <w:sz w:val="24"/>
                <w:lang w:eastAsia="zh-CN"/>
              </w:rPr>
              <w:t>从有</w:t>
            </w:r>
            <w:r>
              <w:rPr>
                <w:rFonts w:hint="default" w:ascii="Times New Roman" w:hAnsi="Times New Roman" w:cs="Times New Roman"/>
                <w:color w:val="auto"/>
                <w:sz w:val="24"/>
              </w:rPr>
              <w:t>合法备案手续的料场</w:t>
            </w:r>
            <w:r>
              <w:rPr>
                <w:rFonts w:hint="eastAsia" w:cs="Times New Roman"/>
                <w:color w:val="auto"/>
                <w:sz w:val="24"/>
                <w:lang w:eastAsia="zh-CN"/>
              </w:rPr>
              <w:t>外购，</w:t>
            </w:r>
            <w:r>
              <w:rPr>
                <w:rFonts w:hint="default" w:ascii="Times New Roman" w:hAnsi="Times New Roman" w:cs="Times New Roman"/>
                <w:color w:val="auto"/>
                <w:sz w:val="24"/>
              </w:rPr>
              <w:t>水土流失防治责任范围属供应方，弃方</w:t>
            </w:r>
            <w:r>
              <w:rPr>
                <w:rFonts w:hint="eastAsia" w:cs="Times New Roman"/>
                <w:color w:val="auto"/>
                <w:sz w:val="24"/>
                <w:lang w:val="en-US" w:eastAsia="zh-CN"/>
              </w:rPr>
              <w:t>1.51</w:t>
            </w:r>
            <w:r>
              <w:rPr>
                <w:rFonts w:hint="default" w:ascii="Times New Roman" w:hAnsi="Times New Roman" w:cs="Times New Roman"/>
                <w:color w:val="auto"/>
                <w:sz w:val="24"/>
              </w:rPr>
              <w:t>万m</w:t>
            </w:r>
            <w:r>
              <w:rPr>
                <w:rFonts w:hint="default" w:ascii="Times New Roman" w:hAnsi="Times New Roman" w:cs="Times New Roman"/>
                <w:color w:val="auto"/>
                <w:sz w:val="24"/>
                <w:vertAlign w:val="superscript"/>
              </w:rPr>
              <w:t>3</w:t>
            </w:r>
            <w:r>
              <w:rPr>
                <w:rFonts w:hint="default" w:ascii="Times New Roman" w:hAnsi="Times New Roman" w:cs="Times New Roman"/>
                <w:color w:val="auto"/>
                <w:sz w:val="24"/>
              </w:rPr>
              <w:t>（主要为</w:t>
            </w:r>
            <w:r>
              <w:rPr>
                <w:rFonts w:hint="default" w:ascii="Times New Roman" w:hAnsi="Times New Roman" w:cs="Times New Roman"/>
                <w:color w:val="auto"/>
                <w:sz w:val="24"/>
                <w:lang w:val="en-US" w:eastAsia="zh-CN"/>
              </w:rPr>
              <w:t>老渠道改造及渠系建筑物改造产生的建筑垃圾</w:t>
            </w:r>
            <w:r>
              <w:rPr>
                <w:rFonts w:hint="default" w:ascii="Times New Roman" w:hAnsi="Times New Roman" w:cs="Times New Roman"/>
                <w:color w:val="auto"/>
                <w:sz w:val="24"/>
              </w:rPr>
              <w:t>），</w:t>
            </w:r>
            <w:r>
              <w:rPr>
                <w:rFonts w:hint="default" w:ascii="Times New Roman" w:hAnsi="Times New Roman" w:cs="Times New Roman"/>
                <w:color w:val="auto"/>
                <w:sz w:val="24"/>
                <w:lang w:val="en-US" w:eastAsia="zh-CN"/>
              </w:rPr>
              <w:t>其余土方</w:t>
            </w:r>
            <w:r>
              <w:rPr>
                <w:rFonts w:hint="default" w:ascii="Times New Roman" w:hAnsi="Times New Roman" w:cs="Times New Roman"/>
                <w:color w:val="auto"/>
                <w:sz w:val="24"/>
              </w:rPr>
              <w:t>全部用于渠堤培高。</w:t>
            </w:r>
          </w:p>
          <w:p w14:paraId="0EAF40F4">
            <w:pPr>
              <w:keepNext w:val="0"/>
              <w:keepLines w:val="0"/>
              <w:pageBreakBefore w:val="0"/>
              <w:widowControl w:val="0"/>
              <w:kinsoku/>
              <w:wordWrap/>
              <w:overflowPunct/>
              <w:topLinePunct w:val="0"/>
              <w:autoSpaceDE/>
              <w:autoSpaceDN/>
              <w:bidi w:val="0"/>
              <w:adjustRightInd w:val="0"/>
              <w:snapToGrid w:val="0"/>
              <w:spacing w:line="240" w:lineRule="auto"/>
              <w:ind w:firstLine="482" w:firstLineChars="200"/>
              <w:jc w:val="center"/>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rPr>
              <w:t>表2-</w:t>
            </w:r>
            <w:r>
              <w:rPr>
                <w:rFonts w:hint="eastAsia" w:cs="Times New Roman"/>
                <w:b/>
                <w:bCs/>
                <w:color w:val="auto"/>
                <w:sz w:val="24"/>
                <w:szCs w:val="24"/>
                <w:highlight w:val="none"/>
                <w:lang w:val="en-US" w:eastAsia="zh-CN"/>
              </w:rPr>
              <w:t>5</w:t>
            </w:r>
            <w:r>
              <w:rPr>
                <w:rFonts w:hint="default" w:ascii="Times New Roman" w:hAnsi="Times New Roman" w:eastAsia="宋体" w:cs="Times New Roman"/>
                <w:b/>
                <w:bCs/>
                <w:color w:val="auto"/>
                <w:sz w:val="24"/>
                <w:szCs w:val="24"/>
                <w:highlight w:val="none"/>
                <w:lang w:val="en-US" w:eastAsia="zh-CN"/>
              </w:rPr>
              <w:t>项目土石方平衡表（单位：万m³）</w:t>
            </w:r>
          </w:p>
          <w:tbl>
            <w:tblPr>
              <w:tblStyle w:val="29"/>
              <w:tblW w:w="78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504"/>
              <w:gridCol w:w="1300"/>
              <w:gridCol w:w="676"/>
              <w:gridCol w:w="675"/>
              <w:gridCol w:w="654"/>
              <w:gridCol w:w="407"/>
              <w:gridCol w:w="385"/>
              <w:gridCol w:w="646"/>
              <w:gridCol w:w="1482"/>
              <w:gridCol w:w="683"/>
              <w:gridCol w:w="467"/>
            </w:tblGrid>
            <w:tr w14:paraId="4A36D3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5" w:hRule="atLeast"/>
              </w:trPr>
              <w:tc>
                <w:tcPr>
                  <w:tcW w:w="319" w:type="pct"/>
                  <w:vMerge w:val="restart"/>
                  <w:tcBorders>
                    <w:tl2br w:val="nil"/>
                    <w:tr2bl w:val="nil"/>
                  </w:tcBorders>
                  <w:shd w:val="clear" w:color="auto" w:fill="auto"/>
                  <w:noWrap/>
                  <w:vAlign w:val="center"/>
                </w:tcPr>
                <w:p w14:paraId="535207A1">
                  <w:pPr>
                    <w:pStyle w:val="22"/>
                    <w:jc w:val="center"/>
                    <w:rPr>
                      <w:rFonts w:hint="default"/>
                      <w:color w:val="auto"/>
                    </w:rPr>
                  </w:pPr>
                  <w:r>
                    <w:rPr>
                      <w:rFonts w:hint="default"/>
                      <w:color w:val="auto"/>
                      <w:lang w:val="en-US" w:eastAsia="zh-CN"/>
                    </w:rPr>
                    <w:t>序号</w:t>
                  </w:r>
                </w:p>
              </w:tc>
              <w:tc>
                <w:tcPr>
                  <w:tcW w:w="824" w:type="pct"/>
                  <w:vMerge w:val="restart"/>
                  <w:tcBorders>
                    <w:tl2br w:val="nil"/>
                    <w:tr2bl w:val="nil"/>
                  </w:tcBorders>
                  <w:shd w:val="clear" w:color="auto" w:fill="auto"/>
                  <w:vAlign w:val="center"/>
                </w:tcPr>
                <w:p w14:paraId="5A9C79E7">
                  <w:pPr>
                    <w:pStyle w:val="22"/>
                    <w:jc w:val="center"/>
                    <w:rPr>
                      <w:rFonts w:hint="default"/>
                      <w:color w:val="auto"/>
                    </w:rPr>
                  </w:pPr>
                  <w:r>
                    <w:rPr>
                      <w:rFonts w:hint="default"/>
                      <w:color w:val="auto"/>
                      <w:lang w:val="en-US" w:eastAsia="zh-CN"/>
                    </w:rPr>
                    <w:t>项目组成</w:t>
                  </w:r>
                </w:p>
              </w:tc>
              <w:tc>
                <w:tcPr>
                  <w:tcW w:w="428" w:type="pct"/>
                  <w:vMerge w:val="restart"/>
                  <w:tcBorders>
                    <w:tl2br w:val="nil"/>
                    <w:tr2bl w:val="nil"/>
                  </w:tcBorders>
                  <w:shd w:val="clear" w:color="auto" w:fill="auto"/>
                  <w:vAlign w:val="center"/>
                </w:tcPr>
                <w:p w14:paraId="50B78E03">
                  <w:pPr>
                    <w:pStyle w:val="22"/>
                    <w:jc w:val="center"/>
                    <w:rPr>
                      <w:rFonts w:hint="default"/>
                      <w:color w:val="auto"/>
                    </w:rPr>
                  </w:pPr>
                  <w:r>
                    <w:rPr>
                      <w:rFonts w:hint="default"/>
                      <w:color w:val="auto"/>
                      <w:lang w:val="en-US" w:eastAsia="zh-CN"/>
                    </w:rPr>
                    <w:t>挖方</w:t>
                  </w:r>
                </w:p>
              </w:tc>
              <w:tc>
                <w:tcPr>
                  <w:tcW w:w="428" w:type="pct"/>
                  <w:vMerge w:val="restart"/>
                  <w:tcBorders>
                    <w:tl2br w:val="nil"/>
                    <w:tr2bl w:val="nil"/>
                  </w:tcBorders>
                  <w:shd w:val="clear" w:color="auto" w:fill="auto"/>
                  <w:vAlign w:val="center"/>
                </w:tcPr>
                <w:p w14:paraId="326D7B81">
                  <w:pPr>
                    <w:pStyle w:val="22"/>
                    <w:jc w:val="center"/>
                    <w:rPr>
                      <w:rFonts w:hint="default"/>
                      <w:color w:val="auto"/>
                    </w:rPr>
                  </w:pPr>
                  <w:r>
                    <w:rPr>
                      <w:rFonts w:hint="default"/>
                      <w:color w:val="auto"/>
                      <w:lang w:val="en-US" w:eastAsia="zh-CN"/>
                    </w:rPr>
                    <w:t>填方</w:t>
                  </w:r>
                </w:p>
              </w:tc>
              <w:tc>
                <w:tcPr>
                  <w:tcW w:w="415" w:type="pct"/>
                  <w:tcBorders>
                    <w:tl2br w:val="nil"/>
                    <w:tr2bl w:val="nil"/>
                  </w:tcBorders>
                  <w:shd w:val="clear" w:color="auto" w:fill="auto"/>
                  <w:vAlign w:val="center"/>
                </w:tcPr>
                <w:p w14:paraId="3F41E015">
                  <w:pPr>
                    <w:pStyle w:val="22"/>
                    <w:jc w:val="center"/>
                    <w:rPr>
                      <w:rFonts w:hint="default"/>
                      <w:color w:val="auto"/>
                    </w:rPr>
                  </w:pPr>
                  <w:r>
                    <w:rPr>
                      <w:rFonts w:hint="default"/>
                      <w:color w:val="auto"/>
                      <w:lang w:val="en-US" w:eastAsia="zh-CN"/>
                    </w:rPr>
                    <w:t>调入</w:t>
                  </w:r>
                </w:p>
              </w:tc>
              <w:tc>
                <w:tcPr>
                  <w:tcW w:w="502" w:type="pct"/>
                  <w:gridSpan w:val="2"/>
                  <w:tcBorders>
                    <w:tl2br w:val="nil"/>
                    <w:tr2bl w:val="nil"/>
                  </w:tcBorders>
                  <w:shd w:val="clear" w:color="auto" w:fill="auto"/>
                  <w:vAlign w:val="center"/>
                </w:tcPr>
                <w:p w14:paraId="296C9CF2">
                  <w:pPr>
                    <w:pStyle w:val="22"/>
                    <w:jc w:val="center"/>
                    <w:rPr>
                      <w:rFonts w:hint="default"/>
                      <w:color w:val="auto"/>
                    </w:rPr>
                  </w:pPr>
                  <w:r>
                    <w:rPr>
                      <w:rFonts w:hint="default"/>
                      <w:color w:val="auto"/>
                      <w:lang w:val="en-US" w:eastAsia="zh-CN"/>
                    </w:rPr>
                    <w:t>调出</w:t>
                  </w:r>
                </w:p>
              </w:tc>
              <w:tc>
                <w:tcPr>
                  <w:tcW w:w="1350" w:type="pct"/>
                  <w:gridSpan w:val="2"/>
                  <w:tcBorders>
                    <w:tl2br w:val="nil"/>
                    <w:tr2bl w:val="nil"/>
                  </w:tcBorders>
                  <w:shd w:val="clear" w:color="auto" w:fill="auto"/>
                  <w:vAlign w:val="center"/>
                </w:tcPr>
                <w:p w14:paraId="5B423960">
                  <w:pPr>
                    <w:pStyle w:val="22"/>
                    <w:jc w:val="center"/>
                    <w:rPr>
                      <w:rFonts w:hint="default"/>
                      <w:color w:val="auto"/>
                    </w:rPr>
                  </w:pPr>
                  <w:r>
                    <w:rPr>
                      <w:rFonts w:hint="default"/>
                      <w:color w:val="auto"/>
                      <w:lang w:val="en-US" w:eastAsia="zh-CN"/>
                    </w:rPr>
                    <w:t>借方</w:t>
                  </w:r>
                </w:p>
              </w:tc>
              <w:tc>
                <w:tcPr>
                  <w:tcW w:w="729" w:type="pct"/>
                  <w:gridSpan w:val="2"/>
                  <w:tcBorders>
                    <w:tl2br w:val="nil"/>
                    <w:tr2bl w:val="nil"/>
                  </w:tcBorders>
                  <w:shd w:val="clear" w:color="auto" w:fill="auto"/>
                  <w:vAlign w:val="center"/>
                </w:tcPr>
                <w:p w14:paraId="1017ABFA">
                  <w:pPr>
                    <w:pStyle w:val="22"/>
                    <w:jc w:val="center"/>
                    <w:rPr>
                      <w:rFonts w:hint="default"/>
                      <w:color w:val="auto"/>
                    </w:rPr>
                  </w:pPr>
                  <w:r>
                    <w:rPr>
                      <w:rFonts w:hint="default"/>
                      <w:color w:val="auto"/>
                      <w:lang w:val="en-US" w:eastAsia="zh-CN"/>
                    </w:rPr>
                    <w:t>弃方</w:t>
                  </w:r>
                </w:p>
              </w:tc>
            </w:tr>
            <w:tr w14:paraId="2B330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5" w:hRule="atLeast"/>
              </w:trPr>
              <w:tc>
                <w:tcPr>
                  <w:tcW w:w="319" w:type="pct"/>
                  <w:vMerge w:val="continue"/>
                  <w:tcBorders>
                    <w:tl2br w:val="nil"/>
                    <w:tr2bl w:val="nil"/>
                  </w:tcBorders>
                  <w:shd w:val="clear" w:color="auto" w:fill="auto"/>
                  <w:noWrap/>
                  <w:vAlign w:val="center"/>
                </w:tcPr>
                <w:p w14:paraId="333AAC45">
                  <w:pPr>
                    <w:pStyle w:val="22"/>
                    <w:jc w:val="center"/>
                    <w:rPr>
                      <w:rFonts w:hint="default"/>
                      <w:color w:val="auto"/>
                    </w:rPr>
                  </w:pPr>
                </w:p>
              </w:tc>
              <w:tc>
                <w:tcPr>
                  <w:tcW w:w="824" w:type="pct"/>
                  <w:vMerge w:val="continue"/>
                  <w:tcBorders>
                    <w:tl2br w:val="nil"/>
                    <w:tr2bl w:val="nil"/>
                  </w:tcBorders>
                  <w:shd w:val="clear" w:color="auto" w:fill="auto"/>
                  <w:vAlign w:val="center"/>
                </w:tcPr>
                <w:p w14:paraId="6B43A6D4">
                  <w:pPr>
                    <w:pStyle w:val="22"/>
                    <w:jc w:val="center"/>
                    <w:rPr>
                      <w:rFonts w:hint="default"/>
                      <w:color w:val="auto"/>
                    </w:rPr>
                  </w:pPr>
                </w:p>
              </w:tc>
              <w:tc>
                <w:tcPr>
                  <w:tcW w:w="428" w:type="pct"/>
                  <w:vMerge w:val="continue"/>
                  <w:tcBorders>
                    <w:tl2br w:val="nil"/>
                    <w:tr2bl w:val="nil"/>
                  </w:tcBorders>
                  <w:shd w:val="clear" w:color="auto" w:fill="auto"/>
                  <w:vAlign w:val="center"/>
                </w:tcPr>
                <w:p w14:paraId="2EE92625">
                  <w:pPr>
                    <w:pStyle w:val="22"/>
                    <w:jc w:val="center"/>
                    <w:rPr>
                      <w:rFonts w:hint="default"/>
                      <w:color w:val="auto"/>
                    </w:rPr>
                  </w:pPr>
                </w:p>
              </w:tc>
              <w:tc>
                <w:tcPr>
                  <w:tcW w:w="428" w:type="pct"/>
                  <w:vMerge w:val="continue"/>
                  <w:tcBorders>
                    <w:tl2br w:val="nil"/>
                    <w:tr2bl w:val="nil"/>
                  </w:tcBorders>
                  <w:shd w:val="clear" w:color="auto" w:fill="auto"/>
                  <w:vAlign w:val="center"/>
                </w:tcPr>
                <w:p w14:paraId="2C835E2E">
                  <w:pPr>
                    <w:pStyle w:val="22"/>
                    <w:jc w:val="center"/>
                    <w:rPr>
                      <w:rFonts w:hint="default"/>
                      <w:color w:val="auto"/>
                    </w:rPr>
                  </w:pPr>
                </w:p>
              </w:tc>
              <w:tc>
                <w:tcPr>
                  <w:tcW w:w="415" w:type="pct"/>
                  <w:tcBorders>
                    <w:tl2br w:val="nil"/>
                    <w:tr2bl w:val="nil"/>
                  </w:tcBorders>
                  <w:shd w:val="clear" w:color="auto" w:fill="auto"/>
                  <w:vAlign w:val="center"/>
                </w:tcPr>
                <w:p w14:paraId="00F256A3">
                  <w:pPr>
                    <w:pStyle w:val="22"/>
                    <w:jc w:val="center"/>
                    <w:rPr>
                      <w:rFonts w:hint="default"/>
                      <w:color w:val="auto"/>
                    </w:rPr>
                  </w:pPr>
                  <w:r>
                    <w:rPr>
                      <w:rFonts w:hint="default"/>
                      <w:color w:val="auto"/>
                      <w:lang w:val="en-US" w:eastAsia="zh-CN"/>
                    </w:rPr>
                    <w:t>来源</w:t>
                  </w:r>
                </w:p>
              </w:tc>
              <w:tc>
                <w:tcPr>
                  <w:tcW w:w="258" w:type="pct"/>
                  <w:tcBorders>
                    <w:tl2br w:val="nil"/>
                    <w:tr2bl w:val="nil"/>
                  </w:tcBorders>
                  <w:shd w:val="clear" w:color="auto" w:fill="auto"/>
                  <w:vAlign w:val="center"/>
                </w:tcPr>
                <w:p w14:paraId="722FE9A7">
                  <w:pPr>
                    <w:pStyle w:val="22"/>
                    <w:jc w:val="center"/>
                    <w:rPr>
                      <w:rFonts w:hint="default"/>
                      <w:color w:val="auto"/>
                    </w:rPr>
                  </w:pPr>
                  <w:r>
                    <w:rPr>
                      <w:rFonts w:hint="default"/>
                      <w:color w:val="auto"/>
                      <w:lang w:val="en-US" w:eastAsia="zh-CN"/>
                    </w:rPr>
                    <w:t>数量</w:t>
                  </w:r>
                </w:p>
              </w:tc>
              <w:tc>
                <w:tcPr>
                  <w:tcW w:w="244" w:type="pct"/>
                  <w:tcBorders>
                    <w:tl2br w:val="nil"/>
                    <w:tr2bl w:val="nil"/>
                  </w:tcBorders>
                  <w:shd w:val="clear" w:color="auto" w:fill="auto"/>
                  <w:vAlign w:val="center"/>
                </w:tcPr>
                <w:p w14:paraId="3CBA1DD9">
                  <w:pPr>
                    <w:pStyle w:val="22"/>
                    <w:jc w:val="center"/>
                    <w:rPr>
                      <w:rFonts w:hint="default"/>
                      <w:color w:val="auto"/>
                    </w:rPr>
                  </w:pPr>
                  <w:r>
                    <w:rPr>
                      <w:rFonts w:hint="default"/>
                      <w:color w:val="auto"/>
                      <w:lang w:val="en-US" w:eastAsia="zh-CN"/>
                    </w:rPr>
                    <w:t>去向</w:t>
                  </w:r>
                </w:p>
              </w:tc>
              <w:tc>
                <w:tcPr>
                  <w:tcW w:w="409" w:type="pct"/>
                  <w:tcBorders>
                    <w:tl2br w:val="nil"/>
                    <w:tr2bl w:val="nil"/>
                  </w:tcBorders>
                  <w:shd w:val="clear" w:color="auto" w:fill="auto"/>
                  <w:vAlign w:val="center"/>
                </w:tcPr>
                <w:p w14:paraId="2D1F4C1A">
                  <w:pPr>
                    <w:pStyle w:val="22"/>
                    <w:jc w:val="center"/>
                    <w:rPr>
                      <w:rFonts w:hint="default"/>
                      <w:color w:val="auto"/>
                    </w:rPr>
                  </w:pPr>
                  <w:r>
                    <w:rPr>
                      <w:rFonts w:hint="default"/>
                      <w:color w:val="auto"/>
                      <w:lang w:val="en-US" w:eastAsia="zh-CN"/>
                    </w:rPr>
                    <w:t>数量</w:t>
                  </w:r>
                </w:p>
              </w:tc>
              <w:tc>
                <w:tcPr>
                  <w:tcW w:w="940" w:type="pct"/>
                  <w:tcBorders>
                    <w:tl2br w:val="nil"/>
                    <w:tr2bl w:val="nil"/>
                  </w:tcBorders>
                  <w:shd w:val="clear" w:color="auto" w:fill="auto"/>
                  <w:vAlign w:val="center"/>
                </w:tcPr>
                <w:p w14:paraId="491EF95B">
                  <w:pPr>
                    <w:pStyle w:val="22"/>
                    <w:jc w:val="center"/>
                    <w:rPr>
                      <w:rFonts w:hint="default"/>
                      <w:color w:val="auto"/>
                    </w:rPr>
                  </w:pPr>
                  <w:r>
                    <w:rPr>
                      <w:rFonts w:hint="default"/>
                      <w:color w:val="auto"/>
                      <w:lang w:val="en-US" w:eastAsia="zh-CN"/>
                    </w:rPr>
                    <w:t>来源</w:t>
                  </w:r>
                </w:p>
              </w:tc>
              <w:tc>
                <w:tcPr>
                  <w:tcW w:w="433" w:type="pct"/>
                  <w:tcBorders>
                    <w:tl2br w:val="nil"/>
                    <w:tr2bl w:val="nil"/>
                  </w:tcBorders>
                  <w:shd w:val="clear" w:color="auto" w:fill="auto"/>
                  <w:vAlign w:val="center"/>
                </w:tcPr>
                <w:p w14:paraId="6036E86E">
                  <w:pPr>
                    <w:pStyle w:val="22"/>
                    <w:jc w:val="center"/>
                    <w:rPr>
                      <w:rFonts w:hint="default"/>
                      <w:color w:val="auto"/>
                    </w:rPr>
                  </w:pPr>
                  <w:r>
                    <w:rPr>
                      <w:rFonts w:hint="default"/>
                      <w:color w:val="auto"/>
                      <w:lang w:val="en-US" w:eastAsia="zh-CN"/>
                    </w:rPr>
                    <w:t>数量</w:t>
                  </w:r>
                </w:p>
              </w:tc>
              <w:tc>
                <w:tcPr>
                  <w:tcW w:w="296" w:type="pct"/>
                  <w:tcBorders>
                    <w:tl2br w:val="nil"/>
                    <w:tr2bl w:val="nil"/>
                  </w:tcBorders>
                  <w:shd w:val="clear" w:color="auto" w:fill="auto"/>
                  <w:vAlign w:val="center"/>
                </w:tcPr>
                <w:p w14:paraId="055E44E9">
                  <w:pPr>
                    <w:pStyle w:val="22"/>
                    <w:jc w:val="center"/>
                    <w:rPr>
                      <w:rFonts w:hint="default"/>
                      <w:color w:val="auto"/>
                    </w:rPr>
                  </w:pPr>
                  <w:r>
                    <w:rPr>
                      <w:rFonts w:hint="default"/>
                      <w:color w:val="auto"/>
                      <w:lang w:val="en-US" w:eastAsia="zh-CN"/>
                    </w:rPr>
                    <w:t>去向</w:t>
                  </w:r>
                </w:p>
              </w:tc>
            </w:tr>
            <w:tr w14:paraId="6163A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10" w:hRule="atLeast"/>
              </w:trPr>
              <w:tc>
                <w:tcPr>
                  <w:tcW w:w="319" w:type="pct"/>
                  <w:tcBorders>
                    <w:tl2br w:val="nil"/>
                    <w:tr2bl w:val="nil"/>
                  </w:tcBorders>
                  <w:shd w:val="clear" w:color="auto" w:fill="auto"/>
                  <w:vAlign w:val="center"/>
                </w:tcPr>
                <w:p w14:paraId="0B7F21D4">
                  <w:pPr>
                    <w:pStyle w:val="22"/>
                    <w:jc w:val="center"/>
                    <w:rPr>
                      <w:rFonts w:hint="default"/>
                      <w:color w:val="auto"/>
                    </w:rPr>
                  </w:pPr>
                  <w:r>
                    <w:rPr>
                      <w:rFonts w:hint="default"/>
                      <w:color w:val="auto"/>
                      <w:lang w:val="en-US" w:eastAsia="zh-CN"/>
                    </w:rPr>
                    <w:t>①</w:t>
                  </w:r>
                </w:p>
              </w:tc>
              <w:tc>
                <w:tcPr>
                  <w:tcW w:w="824" w:type="pct"/>
                  <w:tcBorders>
                    <w:tl2br w:val="nil"/>
                    <w:tr2bl w:val="nil"/>
                  </w:tcBorders>
                  <w:shd w:val="clear" w:color="auto" w:fill="auto"/>
                  <w:vAlign w:val="center"/>
                </w:tcPr>
                <w:p w14:paraId="5694FB0E">
                  <w:pPr>
                    <w:pStyle w:val="22"/>
                    <w:jc w:val="center"/>
                    <w:rPr>
                      <w:rFonts w:hint="default"/>
                      <w:color w:val="auto"/>
                    </w:rPr>
                  </w:pPr>
                  <w:r>
                    <w:rPr>
                      <w:rFonts w:hint="default"/>
                      <w:color w:val="auto"/>
                      <w:lang w:val="en-US" w:eastAsia="zh-CN"/>
                    </w:rPr>
                    <w:t>主体工程区</w:t>
                  </w:r>
                </w:p>
              </w:tc>
              <w:tc>
                <w:tcPr>
                  <w:tcW w:w="428" w:type="pct"/>
                  <w:tcBorders>
                    <w:tl2br w:val="nil"/>
                    <w:tr2bl w:val="nil"/>
                  </w:tcBorders>
                  <w:shd w:val="clear" w:color="auto" w:fill="auto"/>
                  <w:vAlign w:val="center"/>
                </w:tcPr>
                <w:p w14:paraId="3A5B3571">
                  <w:pPr>
                    <w:pStyle w:val="22"/>
                    <w:jc w:val="center"/>
                    <w:rPr>
                      <w:rFonts w:hint="default" w:eastAsia="宋体"/>
                      <w:color w:val="auto"/>
                      <w:lang w:val="en-US" w:eastAsia="zh-CN"/>
                    </w:rPr>
                  </w:pPr>
                  <w:r>
                    <w:rPr>
                      <w:rFonts w:hint="eastAsia"/>
                      <w:color w:val="auto"/>
                      <w:lang w:val="en-US" w:eastAsia="zh-CN"/>
                    </w:rPr>
                    <w:t>3.94</w:t>
                  </w:r>
                </w:p>
              </w:tc>
              <w:tc>
                <w:tcPr>
                  <w:tcW w:w="428" w:type="pct"/>
                  <w:tcBorders>
                    <w:tl2br w:val="nil"/>
                    <w:tr2bl w:val="nil"/>
                  </w:tcBorders>
                  <w:shd w:val="clear" w:color="auto" w:fill="auto"/>
                  <w:vAlign w:val="center"/>
                </w:tcPr>
                <w:p w14:paraId="614E4C77">
                  <w:pPr>
                    <w:pStyle w:val="22"/>
                    <w:jc w:val="center"/>
                    <w:rPr>
                      <w:rFonts w:hint="default"/>
                      <w:color w:val="auto"/>
                      <w:lang w:val="en-US"/>
                    </w:rPr>
                  </w:pPr>
                  <w:r>
                    <w:rPr>
                      <w:rFonts w:hint="eastAsia"/>
                      <w:color w:val="auto"/>
                      <w:lang w:val="en-US" w:eastAsia="zh-CN"/>
                    </w:rPr>
                    <w:t>5.76</w:t>
                  </w:r>
                </w:p>
              </w:tc>
              <w:tc>
                <w:tcPr>
                  <w:tcW w:w="415" w:type="pct"/>
                  <w:tcBorders>
                    <w:tl2br w:val="nil"/>
                    <w:tr2bl w:val="nil"/>
                  </w:tcBorders>
                  <w:shd w:val="clear" w:color="auto" w:fill="auto"/>
                  <w:vAlign w:val="center"/>
                </w:tcPr>
                <w:p w14:paraId="503EBEDA">
                  <w:pPr>
                    <w:pStyle w:val="22"/>
                    <w:jc w:val="center"/>
                    <w:rPr>
                      <w:rFonts w:hint="default"/>
                      <w:color w:val="auto"/>
                      <w:lang w:val="en-US" w:eastAsia="zh-CN"/>
                    </w:rPr>
                  </w:pPr>
                  <w:r>
                    <w:rPr>
                      <w:rFonts w:hint="default"/>
                      <w:color w:val="auto"/>
                      <w:lang w:val="en-US" w:eastAsia="zh-CN"/>
                    </w:rPr>
                    <w:t>/</w:t>
                  </w:r>
                </w:p>
              </w:tc>
              <w:tc>
                <w:tcPr>
                  <w:tcW w:w="258" w:type="pct"/>
                  <w:tcBorders>
                    <w:tl2br w:val="nil"/>
                    <w:tr2bl w:val="nil"/>
                  </w:tcBorders>
                  <w:shd w:val="clear" w:color="auto" w:fill="auto"/>
                  <w:vAlign w:val="center"/>
                </w:tcPr>
                <w:p w14:paraId="10266E3F">
                  <w:pPr>
                    <w:pStyle w:val="22"/>
                    <w:jc w:val="center"/>
                    <w:rPr>
                      <w:rFonts w:hint="default"/>
                      <w:color w:val="auto"/>
                      <w:lang w:val="en-US" w:eastAsia="zh-CN"/>
                    </w:rPr>
                  </w:pPr>
                  <w:r>
                    <w:rPr>
                      <w:rFonts w:hint="default"/>
                      <w:color w:val="auto"/>
                      <w:lang w:val="en-US" w:eastAsia="zh-CN"/>
                    </w:rPr>
                    <w:t>/</w:t>
                  </w:r>
                </w:p>
              </w:tc>
              <w:tc>
                <w:tcPr>
                  <w:tcW w:w="244" w:type="pct"/>
                  <w:tcBorders>
                    <w:tl2br w:val="nil"/>
                    <w:tr2bl w:val="nil"/>
                  </w:tcBorders>
                  <w:shd w:val="clear" w:color="auto" w:fill="auto"/>
                  <w:vAlign w:val="center"/>
                </w:tcPr>
                <w:p w14:paraId="6CE7D3F9">
                  <w:pPr>
                    <w:pStyle w:val="22"/>
                    <w:jc w:val="center"/>
                    <w:rPr>
                      <w:rFonts w:hint="default"/>
                      <w:color w:val="auto"/>
                      <w:lang w:val="en-US" w:eastAsia="zh-CN"/>
                    </w:rPr>
                  </w:pPr>
                  <w:r>
                    <w:rPr>
                      <w:rFonts w:hint="default"/>
                      <w:color w:val="auto"/>
                      <w:lang w:val="en-US" w:eastAsia="zh-CN"/>
                    </w:rPr>
                    <w:t>/</w:t>
                  </w:r>
                </w:p>
              </w:tc>
              <w:tc>
                <w:tcPr>
                  <w:tcW w:w="409" w:type="pct"/>
                  <w:tcBorders>
                    <w:tl2br w:val="nil"/>
                    <w:tr2bl w:val="nil"/>
                  </w:tcBorders>
                  <w:shd w:val="clear" w:color="auto" w:fill="auto"/>
                  <w:vAlign w:val="center"/>
                </w:tcPr>
                <w:p w14:paraId="6E3435F7">
                  <w:pPr>
                    <w:pStyle w:val="22"/>
                    <w:jc w:val="center"/>
                    <w:rPr>
                      <w:rFonts w:hint="default"/>
                      <w:color w:val="auto"/>
                      <w:lang w:val="en-US"/>
                    </w:rPr>
                  </w:pPr>
                  <w:r>
                    <w:rPr>
                      <w:rFonts w:hint="eastAsia"/>
                      <w:color w:val="auto"/>
                      <w:lang w:val="en-US" w:eastAsia="zh-CN"/>
                    </w:rPr>
                    <w:t>3.33</w:t>
                  </w:r>
                </w:p>
              </w:tc>
              <w:tc>
                <w:tcPr>
                  <w:tcW w:w="940" w:type="pct"/>
                  <w:tcBorders>
                    <w:tl2br w:val="nil"/>
                    <w:tr2bl w:val="nil"/>
                  </w:tcBorders>
                  <w:shd w:val="clear" w:color="auto" w:fill="auto"/>
                  <w:vAlign w:val="center"/>
                </w:tcPr>
                <w:p w14:paraId="60A90D03">
                  <w:pPr>
                    <w:pStyle w:val="22"/>
                    <w:jc w:val="center"/>
                    <w:rPr>
                      <w:rFonts w:hint="default"/>
                      <w:color w:val="auto"/>
                    </w:rPr>
                  </w:pPr>
                  <w:r>
                    <w:rPr>
                      <w:rFonts w:hint="default"/>
                      <w:color w:val="auto"/>
                      <w:lang w:val="en-US" w:eastAsia="zh-CN"/>
                    </w:rPr>
                    <w:t>商品砂石料场</w:t>
                  </w:r>
                </w:p>
              </w:tc>
              <w:tc>
                <w:tcPr>
                  <w:tcW w:w="433" w:type="pct"/>
                  <w:tcBorders>
                    <w:tl2br w:val="nil"/>
                    <w:tr2bl w:val="nil"/>
                  </w:tcBorders>
                  <w:shd w:val="clear" w:color="auto" w:fill="auto"/>
                  <w:vAlign w:val="center"/>
                </w:tcPr>
                <w:p w14:paraId="79CB1ABE">
                  <w:pPr>
                    <w:pStyle w:val="22"/>
                    <w:jc w:val="center"/>
                    <w:rPr>
                      <w:rFonts w:hint="default"/>
                      <w:color w:val="auto"/>
                      <w:lang w:val="en-US"/>
                    </w:rPr>
                  </w:pPr>
                  <w:r>
                    <w:rPr>
                      <w:rFonts w:hint="eastAsia"/>
                      <w:color w:val="auto"/>
                      <w:lang w:val="en-US" w:eastAsia="zh-CN"/>
                    </w:rPr>
                    <w:t>1.51</w:t>
                  </w:r>
                </w:p>
              </w:tc>
              <w:tc>
                <w:tcPr>
                  <w:tcW w:w="296" w:type="pct"/>
                  <w:vMerge w:val="restart"/>
                  <w:tcBorders>
                    <w:tl2br w:val="nil"/>
                    <w:tr2bl w:val="nil"/>
                  </w:tcBorders>
                  <w:shd w:val="clear" w:color="auto" w:fill="auto"/>
                  <w:vAlign w:val="center"/>
                </w:tcPr>
                <w:p w14:paraId="2820A11F">
                  <w:pPr>
                    <w:pStyle w:val="22"/>
                    <w:jc w:val="center"/>
                    <w:rPr>
                      <w:rFonts w:hint="default"/>
                      <w:color w:val="auto"/>
                    </w:rPr>
                  </w:pPr>
                  <w:r>
                    <w:rPr>
                      <w:rFonts w:hint="default"/>
                      <w:color w:val="auto"/>
                      <w:lang w:val="en-US" w:eastAsia="zh-CN"/>
                    </w:rPr>
                    <w:t>建筑垃圾场</w:t>
                  </w:r>
                </w:p>
              </w:tc>
            </w:tr>
            <w:tr w14:paraId="55CC97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5" w:hRule="atLeast"/>
              </w:trPr>
              <w:tc>
                <w:tcPr>
                  <w:tcW w:w="319" w:type="pct"/>
                  <w:tcBorders>
                    <w:tl2br w:val="nil"/>
                    <w:tr2bl w:val="nil"/>
                  </w:tcBorders>
                  <w:shd w:val="clear" w:color="auto" w:fill="auto"/>
                  <w:vAlign w:val="center"/>
                </w:tcPr>
                <w:p w14:paraId="01F2275A">
                  <w:pPr>
                    <w:pStyle w:val="22"/>
                    <w:jc w:val="center"/>
                    <w:rPr>
                      <w:rFonts w:hint="default"/>
                      <w:color w:val="auto"/>
                    </w:rPr>
                  </w:pPr>
                  <w:r>
                    <w:rPr>
                      <w:rFonts w:hint="default"/>
                      <w:color w:val="auto"/>
                      <w:lang w:val="en-US" w:eastAsia="zh-CN"/>
                    </w:rPr>
                    <w:t>②</w:t>
                  </w:r>
                </w:p>
              </w:tc>
              <w:tc>
                <w:tcPr>
                  <w:tcW w:w="824" w:type="pct"/>
                  <w:tcBorders>
                    <w:tl2br w:val="nil"/>
                    <w:tr2bl w:val="nil"/>
                  </w:tcBorders>
                  <w:shd w:val="clear" w:color="auto" w:fill="auto"/>
                  <w:vAlign w:val="center"/>
                </w:tcPr>
                <w:p w14:paraId="7EFD2BD3">
                  <w:pPr>
                    <w:pStyle w:val="22"/>
                    <w:jc w:val="center"/>
                    <w:rPr>
                      <w:rFonts w:hint="default"/>
                      <w:color w:val="auto"/>
                    </w:rPr>
                  </w:pPr>
                  <w:r>
                    <w:rPr>
                      <w:rFonts w:hint="default"/>
                      <w:color w:val="auto"/>
                      <w:lang w:val="en-US" w:eastAsia="zh-CN"/>
                    </w:rPr>
                    <w:t>临时道路区</w:t>
                  </w:r>
                </w:p>
              </w:tc>
              <w:tc>
                <w:tcPr>
                  <w:tcW w:w="428" w:type="pct"/>
                  <w:tcBorders>
                    <w:tl2br w:val="nil"/>
                    <w:tr2bl w:val="nil"/>
                  </w:tcBorders>
                  <w:shd w:val="clear" w:color="auto" w:fill="auto"/>
                  <w:vAlign w:val="center"/>
                </w:tcPr>
                <w:p w14:paraId="5CDD1013">
                  <w:pPr>
                    <w:pStyle w:val="22"/>
                    <w:jc w:val="center"/>
                    <w:rPr>
                      <w:rFonts w:hint="default"/>
                      <w:color w:val="auto"/>
                      <w:lang w:val="en-US"/>
                    </w:rPr>
                  </w:pPr>
                  <w:r>
                    <w:rPr>
                      <w:rFonts w:hint="default"/>
                      <w:color w:val="auto"/>
                      <w:lang w:val="en-US" w:eastAsia="zh-CN"/>
                    </w:rPr>
                    <w:t>1.</w:t>
                  </w:r>
                  <w:r>
                    <w:rPr>
                      <w:rFonts w:hint="eastAsia"/>
                      <w:color w:val="auto"/>
                      <w:lang w:val="en-US" w:eastAsia="zh-CN"/>
                    </w:rPr>
                    <w:t>3</w:t>
                  </w:r>
                </w:p>
              </w:tc>
              <w:tc>
                <w:tcPr>
                  <w:tcW w:w="428" w:type="pct"/>
                  <w:tcBorders>
                    <w:tl2br w:val="nil"/>
                    <w:tr2bl w:val="nil"/>
                  </w:tcBorders>
                  <w:shd w:val="clear" w:color="auto" w:fill="auto"/>
                  <w:vAlign w:val="center"/>
                </w:tcPr>
                <w:p w14:paraId="6B4C4F4E">
                  <w:pPr>
                    <w:pStyle w:val="22"/>
                    <w:jc w:val="center"/>
                    <w:rPr>
                      <w:rFonts w:hint="default"/>
                      <w:color w:val="auto"/>
                      <w:lang w:val="en-US"/>
                    </w:rPr>
                  </w:pPr>
                  <w:r>
                    <w:rPr>
                      <w:rFonts w:hint="default"/>
                      <w:color w:val="auto"/>
                      <w:lang w:val="en-US" w:eastAsia="zh-CN"/>
                    </w:rPr>
                    <w:t>1.</w:t>
                  </w:r>
                  <w:r>
                    <w:rPr>
                      <w:rFonts w:hint="eastAsia"/>
                      <w:color w:val="auto"/>
                      <w:lang w:val="en-US" w:eastAsia="zh-CN"/>
                    </w:rPr>
                    <w:t>3</w:t>
                  </w:r>
                </w:p>
              </w:tc>
              <w:tc>
                <w:tcPr>
                  <w:tcW w:w="415" w:type="pct"/>
                  <w:tcBorders>
                    <w:tl2br w:val="nil"/>
                    <w:tr2bl w:val="nil"/>
                  </w:tcBorders>
                  <w:shd w:val="clear" w:color="auto" w:fill="auto"/>
                  <w:vAlign w:val="center"/>
                </w:tcPr>
                <w:p w14:paraId="6394FADE">
                  <w:pPr>
                    <w:pStyle w:val="22"/>
                    <w:jc w:val="center"/>
                    <w:rPr>
                      <w:rFonts w:hint="default"/>
                      <w:color w:val="auto"/>
                      <w:lang w:val="en-US" w:eastAsia="zh-CN"/>
                    </w:rPr>
                  </w:pPr>
                  <w:r>
                    <w:rPr>
                      <w:rFonts w:hint="default"/>
                      <w:color w:val="auto"/>
                      <w:lang w:val="en-US" w:eastAsia="zh-CN"/>
                    </w:rPr>
                    <w:t>/</w:t>
                  </w:r>
                </w:p>
              </w:tc>
              <w:tc>
                <w:tcPr>
                  <w:tcW w:w="258" w:type="pct"/>
                  <w:tcBorders>
                    <w:tl2br w:val="nil"/>
                    <w:tr2bl w:val="nil"/>
                  </w:tcBorders>
                  <w:shd w:val="clear" w:color="auto" w:fill="auto"/>
                  <w:vAlign w:val="center"/>
                </w:tcPr>
                <w:p w14:paraId="3FA793C9">
                  <w:pPr>
                    <w:pStyle w:val="22"/>
                    <w:jc w:val="center"/>
                    <w:rPr>
                      <w:rFonts w:hint="default"/>
                      <w:color w:val="auto"/>
                      <w:lang w:val="en-US" w:eastAsia="zh-CN"/>
                    </w:rPr>
                  </w:pPr>
                  <w:r>
                    <w:rPr>
                      <w:rFonts w:hint="default"/>
                      <w:color w:val="auto"/>
                      <w:lang w:val="en-US" w:eastAsia="zh-CN"/>
                    </w:rPr>
                    <w:t>/</w:t>
                  </w:r>
                </w:p>
              </w:tc>
              <w:tc>
                <w:tcPr>
                  <w:tcW w:w="244" w:type="pct"/>
                  <w:tcBorders>
                    <w:tl2br w:val="nil"/>
                    <w:tr2bl w:val="nil"/>
                  </w:tcBorders>
                  <w:shd w:val="clear" w:color="auto" w:fill="auto"/>
                  <w:vAlign w:val="center"/>
                </w:tcPr>
                <w:p w14:paraId="713F1728">
                  <w:pPr>
                    <w:pStyle w:val="22"/>
                    <w:jc w:val="center"/>
                    <w:rPr>
                      <w:rFonts w:hint="default"/>
                      <w:color w:val="auto"/>
                      <w:lang w:val="en-US" w:eastAsia="zh-CN"/>
                    </w:rPr>
                  </w:pPr>
                  <w:r>
                    <w:rPr>
                      <w:rFonts w:hint="default"/>
                      <w:color w:val="auto"/>
                      <w:lang w:val="en-US" w:eastAsia="zh-CN"/>
                    </w:rPr>
                    <w:t>/</w:t>
                  </w:r>
                </w:p>
              </w:tc>
              <w:tc>
                <w:tcPr>
                  <w:tcW w:w="409" w:type="pct"/>
                  <w:tcBorders>
                    <w:tl2br w:val="nil"/>
                    <w:tr2bl w:val="nil"/>
                  </w:tcBorders>
                  <w:shd w:val="clear" w:color="auto" w:fill="auto"/>
                  <w:vAlign w:val="center"/>
                </w:tcPr>
                <w:p w14:paraId="1E70224C">
                  <w:pPr>
                    <w:pStyle w:val="22"/>
                    <w:jc w:val="center"/>
                    <w:rPr>
                      <w:rFonts w:hint="default"/>
                      <w:color w:val="auto"/>
                      <w:lang w:val="en-US" w:eastAsia="zh-CN"/>
                    </w:rPr>
                  </w:pPr>
                  <w:r>
                    <w:rPr>
                      <w:rFonts w:hint="default"/>
                      <w:color w:val="auto"/>
                      <w:lang w:val="en-US" w:eastAsia="zh-CN"/>
                    </w:rPr>
                    <w:t>/</w:t>
                  </w:r>
                </w:p>
              </w:tc>
              <w:tc>
                <w:tcPr>
                  <w:tcW w:w="940" w:type="pct"/>
                  <w:tcBorders>
                    <w:tl2br w:val="nil"/>
                    <w:tr2bl w:val="nil"/>
                  </w:tcBorders>
                  <w:shd w:val="clear" w:color="auto" w:fill="auto"/>
                  <w:vAlign w:val="center"/>
                </w:tcPr>
                <w:p w14:paraId="153A0827">
                  <w:pPr>
                    <w:pStyle w:val="22"/>
                    <w:jc w:val="center"/>
                    <w:rPr>
                      <w:rFonts w:hint="default"/>
                      <w:color w:val="auto"/>
                      <w:lang w:val="en-US" w:eastAsia="zh-CN"/>
                    </w:rPr>
                  </w:pPr>
                  <w:r>
                    <w:rPr>
                      <w:rFonts w:hint="default"/>
                      <w:color w:val="auto"/>
                      <w:lang w:val="en-US" w:eastAsia="zh-CN"/>
                    </w:rPr>
                    <w:t>/</w:t>
                  </w:r>
                </w:p>
              </w:tc>
              <w:tc>
                <w:tcPr>
                  <w:tcW w:w="433" w:type="pct"/>
                  <w:tcBorders>
                    <w:tl2br w:val="nil"/>
                    <w:tr2bl w:val="nil"/>
                  </w:tcBorders>
                  <w:shd w:val="clear" w:color="auto" w:fill="auto"/>
                  <w:vAlign w:val="center"/>
                </w:tcPr>
                <w:p w14:paraId="5BFB2FDE">
                  <w:pPr>
                    <w:pStyle w:val="22"/>
                    <w:jc w:val="center"/>
                    <w:rPr>
                      <w:rFonts w:hint="default"/>
                      <w:color w:val="auto"/>
                      <w:lang w:val="en-US" w:eastAsia="zh-CN"/>
                    </w:rPr>
                  </w:pPr>
                  <w:r>
                    <w:rPr>
                      <w:rFonts w:hint="default"/>
                      <w:color w:val="auto"/>
                      <w:lang w:val="en-US" w:eastAsia="zh-CN"/>
                    </w:rPr>
                    <w:t>/</w:t>
                  </w:r>
                </w:p>
              </w:tc>
              <w:tc>
                <w:tcPr>
                  <w:tcW w:w="296" w:type="pct"/>
                  <w:vMerge w:val="continue"/>
                  <w:tcBorders>
                    <w:tl2br w:val="nil"/>
                    <w:tr2bl w:val="nil"/>
                  </w:tcBorders>
                  <w:shd w:val="clear" w:color="auto" w:fill="auto"/>
                  <w:vAlign w:val="center"/>
                </w:tcPr>
                <w:p w14:paraId="015EFC52">
                  <w:pPr>
                    <w:pStyle w:val="22"/>
                    <w:rPr>
                      <w:rFonts w:hint="default"/>
                      <w:color w:val="auto"/>
                    </w:rPr>
                  </w:pPr>
                </w:p>
              </w:tc>
            </w:tr>
            <w:tr w14:paraId="11B292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5" w:hRule="atLeast"/>
              </w:trPr>
              <w:tc>
                <w:tcPr>
                  <w:tcW w:w="319" w:type="pct"/>
                  <w:tcBorders>
                    <w:tl2br w:val="nil"/>
                    <w:tr2bl w:val="nil"/>
                  </w:tcBorders>
                  <w:shd w:val="clear" w:color="auto" w:fill="auto"/>
                  <w:vAlign w:val="center"/>
                </w:tcPr>
                <w:p w14:paraId="0A684CB9">
                  <w:pPr>
                    <w:pStyle w:val="22"/>
                    <w:jc w:val="center"/>
                    <w:rPr>
                      <w:rFonts w:hint="default"/>
                      <w:color w:val="auto"/>
                    </w:rPr>
                  </w:pPr>
                  <w:r>
                    <w:rPr>
                      <w:rFonts w:hint="default"/>
                      <w:color w:val="auto"/>
                      <w:lang w:val="en-US" w:eastAsia="zh-CN"/>
                    </w:rPr>
                    <w:t>③</w:t>
                  </w:r>
                </w:p>
              </w:tc>
              <w:tc>
                <w:tcPr>
                  <w:tcW w:w="824" w:type="pct"/>
                  <w:tcBorders>
                    <w:tl2br w:val="nil"/>
                    <w:tr2bl w:val="nil"/>
                  </w:tcBorders>
                  <w:shd w:val="clear" w:color="auto" w:fill="auto"/>
                  <w:vAlign w:val="center"/>
                </w:tcPr>
                <w:p w14:paraId="2F625A3C">
                  <w:pPr>
                    <w:pStyle w:val="22"/>
                    <w:jc w:val="center"/>
                    <w:rPr>
                      <w:rFonts w:hint="default"/>
                      <w:color w:val="auto"/>
                    </w:rPr>
                  </w:pPr>
                  <w:r>
                    <w:rPr>
                      <w:rFonts w:hint="default"/>
                      <w:color w:val="auto"/>
                      <w:lang w:val="en-US" w:eastAsia="zh-CN"/>
                    </w:rPr>
                    <w:t>临时生产区</w:t>
                  </w:r>
                </w:p>
              </w:tc>
              <w:tc>
                <w:tcPr>
                  <w:tcW w:w="428" w:type="pct"/>
                  <w:tcBorders>
                    <w:tl2br w:val="nil"/>
                    <w:tr2bl w:val="nil"/>
                  </w:tcBorders>
                  <w:shd w:val="clear" w:color="auto" w:fill="auto"/>
                  <w:vAlign w:val="center"/>
                </w:tcPr>
                <w:p w14:paraId="050E40B0">
                  <w:pPr>
                    <w:pStyle w:val="22"/>
                    <w:jc w:val="center"/>
                    <w:rPr>
                      <w:rFonts w:hint="default"/>
                      <w:color w:val="auto"/>
                      <w:lang w:val="en-US"/>
                    </w:rPr>
                  </w:pPr>
                  <w:r>
                    <w:rPr>
                      <w:rFonts w:hint="default"/>
                      <w:color w:val="auto"/>
                      <w:lang w:val="en-US" w:eastAsia="zh-CN"/>
                    </w:rPr>
                    <w:t>0.0</w:t>
                  </w:r>
                  <w:r>
                    <w:rPr>
                      <w:rFonts w:hint="eastAsia"/>
                      <w:color w:val="auto"/>
                      <w:lang w:val="en-US" w:eastAsia="zh-CN"/>
                    </w:rPr>
                    <w:t>2</w:t>
                  </w:r>
                </w:p>
              </w:tc>
              <w:tc>
                <w:tcPr>
                  <w:tcW w:w="428" w:type="pct"/>
                  <w:tcBorders>
                    <w:tl2br w:val="nil"/>
                    <w:tr2bl w:val="nil"/>
                  </w:tcBorders>
                  <w:shd w:val="clear" w:color="auto" w:fill="auto"/>
                  <w:vAlign w:val="center"/>
                </w:tcPr>
                <w:p w14:paraId="46121FA3">
                  <w:pPr>
                    <w:pStyle w:val="22"/>
                    <w:jc w:val="center"/>
                    <w:rPr>
                      <w:rFonts w:hint="default"/>
                      <w:color w:val="auto"/>
                      <w:lang w:val="en-US"/>
                    </w:rPr>
                  </w:pPr>
                  <w:r>
                    <w:rPr>
                      <w:rFonts w:hint="default"/>
                      <w:color w:val="auto"/>
                      <w:lang w:val="en-US" w:eastAsia="zh-CN"/>
                    </w:rPr>
                    <w:t>0.0</w:t>
                  </w:r>
                  <w:r>
                    <w:rPr>
                      <w:rFonts w:hint="eastAsia"/>
                      <w:color w:val="auto"/>
                      <w:lang w:val="en-US" w:eastAsia="zh-CN"/>
                    </w:rPr>
                    <w:t>2</w:t>
                  </w:r>
                </w:p>
              </w:tc>
              <w:tc>
                <w:tcPr>
                  <w:tcW w:w="415" w:type="pct"/>
                  <w:tcBorders>
                    <w:tl2br w:val="nil"/>
                    <w:tr2bl w:val="nil"/>
                  </w:tcBorders>
                  <w:shd w:val="clear" w:color="auto" w:fill="auto"/>
                  <w:vAlign w:val="center"/>
                </w:tcPr>
                <w:p w14:paraId="47E16D33">
                  <w:pPr>
                    <w:pStyle w:val="22"/>
                    <w:jc w:val="center"/>
                    <w:rPr>
                      <w:rFonts w:hint="default"/>
                      <w:color w:val="auto"/>
                      <w:lang w:val="en-US" w:eastAsia="zh-CN"/>
                    </w:rPr>
                  </w:pPr>
                  <w:r>
                    <w:rPr>
                      <w:rFonts w:hint="default"/>
                      <w:color w:val="auto"/>
                      <w:lang w:val="en-US" w:eastAsia="zh-CN"/>
                    </w:rPr>
                    <w:t>/</w:t>
                  </w:r>
                </w:p>
              </w:tc>
              <w:tc>
                <w:tcPr>
                  <w:tcW w:w="258" w:type="pct"/>
                  <w:tcBorders>
                    <w:tl2br w:val="nil"/>
                    <w:tr2bl w:val="nil"/>
                  </w:tcBorders>
                  <w:shd w:val="clear" w:color="auto" w:fill="auto"/>
                  <w:vAlign w:val="center"/>
                </w:tcPr>
                <w:p w14:paraId="0F57882B">
                  <w:pPr>
                    <w:pStyle w:val="22"/>
                    <w:jc w:val="center"/>
                    <w:rPr>
                      <w:rFonts w:hint="default"/>
                      <w:color w:val="auto"/>
                      <w:lang w:val="en-US" w:eastAsia="zh-CN"/>
                    </w:rPr>
                  </w:pPr>
                  <w:r>
                    <w:rPr>
                      <w:rFonts w:hint="default"/>
                      <w:color w:val="auto"/>
                      <w:lang w:val="en-US" w:eastAsia="zh-CN"/>
                    </w:rPr>
                    <w:t>/</w:t>
                  </w:r>
                </w:p>
              </w:tc>
              <w:tc>
                <w:tcPr>
                  <w:tcW w:w="244" w:type="pct"/>
                  <w:tcBorders>
                    <w:tl2br w:val="nil"/>
                    <w:tr2bl w:val="nil"/>
                  </w:tcBorders>
                  <w:shd w:val="clear" w:color="auto" w:fill="auto"/>
                  <w:vAlign w:val="center"/>
                </w:tcPr>
                <w:p w14:paraId="3A6F8690">
                  <w:pPr>
                    <w:pStyle w:val="22"/>
                    <w:jc w:val="center"/>
                    <w:rPr>
                      <w:rFonts w:hint="default"/>
                      <w:color w:val="auto"/>
                      <w:lang w:val="en-US" w:eastAsia="zh-CN"/>
                    </w:rPr>
                  </w:pPr>
                  <w:r>
                    <w:rPr>
                      <w:rFonts w:hint="default"/>
                      <w:color w:val="auto"/>
                      <w:lang w:val="en-US" w:eastAsia="zh-CN"/>
                    </w:rPr>
                    <w:t>/</w:t>
                  </w:r>
                </w:p>
              </w:tc>
              <w:tc>
                <w:tcPr>
                  <w:tcW w:w="409" w:type="pct"/>
                  <w:tcBorders>
                    <w:tl2br w:val="nil"/>
                    <w:tr2bl w:val="nil"/>
                  </w:tcBorders>
                  <w:shd w:val="clear" w:color="auto" w:fill="auto"/>
                  <w:vAlign w:val="center"/>
                </w:tcPr>
                <w:p w14:paraId="0D698812">
                  <w:pPr>
                    <w:pStyle w:val="22"/>
                    <w:jc w:val="center"/>
                    <w:rPr>
                      <w:rFonts w:hint="default"/>
                      <w:color w:val="auto"/>
                    </w:rPr>
                  </w:pPr>
                </w:p>
              </w:tc>
              <w:tc>
                <w:tcPr>
                  <w:tcW w:w="940" w:type="pct"/>
                  <w:tcBorders>
                    <w:tl2br w:val="nil"/>
                    <w:tr2bl w:val="nil"/>
                  </w:tcBorders>
                  <w:shd w:val="clear" w:color="auto" w:fill="auto"/>
                  <w:vAlign w:val="center"/>
                </w:tcPr>
                <w:p w14:paraId="7B89C14A">
                  <w:pPr>
                    <w:pStyle w:val="22"/>
                    <w:jc w:val="center"/>
                    <w:rPr>
                      <w:rFonts w:hint="default"/>
                      <w:color w:val="auto"/>
                      <w:lang w:val="en-US" w:eastAsia="zh-CN"/>
                    </w:rPr>
                  </w:pPr>
                  <w:r>
                    <w:rPr>
                      <w:rFonts w:hint="default"/>
                      <w:color w:val="auto"/>
                      <w:lang w:val="en-US" w:eastAsia="zh-CN"/>
                    </w:rPr>
                    <w:t>/</w:t>
                  </w:r>
                </w:p>
              </w:tc>
              <w:tc>
                <w:tcPr>
                  <w:tcW w:w="433" w:type="pct"/>
                  <w:tcBorders>
                    <w:tl2br w:val="nil"/>
                    <w:tr2bl w:val="nil"/>
                  </w:tcBorders>
                  <w:shd w:val="clear" w:color="auto" w:fill="auto"/>
                  <w:vAlign w:val="center"/>
                </w:tcPr>
                <w:p w14:paraId="03530F12">
                  <w:pPr>
                    <w:pStyle w:val="22"/>
                    <w:jc w:val="center"/>
                    <w:rPr>
                      <w:rFonts w:hint="default"/>
                      <w:color w:val="auto"/>
                      <w:lang w:val="en-US" w:eastAsia="zh-CN"/>
                    </w:rPr>
                  </w:pPr>
                  <w:r>
                    <w:rPr>
                      <w:rFonts w:hint="default"/>
                      <w:color w:val="auto"/>
                      <w:lang w:val="en-US" w:eastAsia="zh-CN"/>
                    </w:rPr>
                    <w:t>/</w:t>
                  </w:r>
                </w:p>
              </w:tc>
              <w:tc>
                <w:tcPr>
                  <w:tcW w:w="296" w:type="pct"/>
                  <w:vMerge w:val="continue"/>
                  <w:tcBorders>
                    <w:tl2br w:val="nil"/>
                    <w:tr2bl w:val="nil"/>
                  </w:tcBorders>
                  <w:shd w:val="clear" w:color="auto" w:fill="auto"/>
                  <w:vAlign w:val="center"/>
                </w:tcPr>
                <w:p w14:paraId="5D056232">
                  <w:pPr>
                    <w:pStyle w:val="22"/>
                    <w:rPr>
                      <w:rFonts w:hint="default"/>
                      <w:color w:val="auto"/>
                    </w:rPr>
                  </w:pPr>
                </w:p>
              </w:tc>
            </w:tr>
            <w:tr w14:paraId="1B96D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5" w:hRule="atLeast"/>
              </w:trPr>
              <w:tc>
                <w:tcPr>
                  <w:tcW w:w="319" w:type="pct"/>
                  <w:tcBorders>
                    <w:tl2br w:val="nil"/>
                    <w:tr2bl w:val="nil"/>
                  </w:tcBorders>
                  <w:shd w:val="clear" w:color="auto" w:fill="auto"/>
                  <w:vAlign w:val="center"/>
                </w:tcPr>
                <w:p w14:paraId="2F32D849">
                  <w:pPr>
                    <w:pStyle w:val="22"/>
                    <w:jc w:val="center"/>
                    <w:rPr>
                      <w:rFonts w:hint="default"/>
                      <w:color w:val="auto"/>
                    </w:rPr>
                  </w:pPr>
                  <w:r>
                    <w:rPr>
                      <w:rFonts w:hint="default"/>
                      <w:color w:val="auto"/>
                      <w:lang w:val="en-US" w:eastAsia="zh-CN"/>
                    </w:rPr>
                    <w:t>④</w:t>
                  </w:r>
                </w:p>
              </w:tc>
              <w:tc>
                <w:tcPr>
                  <w:tcW w:w="824" w:type="pct"/>
                  <w:tcBorders>
                    <w:tl2br w:val="nil"/>
                    <w:tr2bl w:val="nil"/>
                  </w:tcBorders>
                  <w:shd w:val="clear" w:color="auto" w:fill="auto"/>
                  <w:vAlign w:val="center"/>
                </w:tcPr>
                <w:p w14:paraId="7443D896">
                  <w:pPr>
                    <w:pStyle w:val="22"/>
                    <w:jc w:val="center"/>
                    <w:rPr>
                      <w:rFonts w:hint="default"/>
                      <w:color w:val="auto"/>
                    </w:rPr>
                  </w:pPr>
                  <w:r>
                    <w:rPr>
                      <w:rFonts w:hint="default"/>
                      <w:color w:val="auto"/>
                      <w:lang w:val="en-US" w:eastAsia="zh-CN"/>
                    </w:rPr>
                    <w:t>总计</w:t>
                  </w:r>
                </w:p>
              </w:tc>
              <w:tc>
                <w:tcPr>
                  <w:tcW w:w="428" w:type="pct"/>
                  <w:tcBorders>
                    <w:tl2br w:val="nil"/>
                    <w:tr2bl w:val="nil"/>
                  </w:tcBorders>
                  <w:shd w:val="clear" w:color="auto" w:fill="auto"/>
                  <w:vAlign w:val="center"/>
                </w:tcPr>
                <w:p w14:paraId="17E184E3">
                  <w:pPr>
                    <w:pStyle w:val="22"/>
                    <w:jc w:val="center"/>
                    <w:rPr>
                      <w:rFonts w:hint="default"/>
                      <w:color w:val="auto"/>
                    </w:rPr>
                  </w:pPr>
                  <w:r>
                    <w:rPr>
                      <w:rFonts w:hint="default"/>
                      <w:color w:val="auto"/>
                    </w:rPr>
                    <w:fldChar w:fldCharType="begin"/>
                  </w:r>
                  <w:r>
                    <w:rPr>
                      <w:rFonts w:hint="default"/>
                      <w:color w:val="auto"/>
                    </w:rPr>
                    <w:instrText xml:space="preserve"> = sum(C3:C5) \* MERGEFORMAT </w:instrText>
                  </w:r>
                  <w:r>
                    <w:rPr>
                      <w:rFonts w:hint="default"/>
                      <w:color w:val="auto"/>
                    </w:rPr>
                    <w:fldChar w:fldCharType="separate"/>
                  </w:r>
                  <w:r>
                    <w:rPr>
                      <w:rFonts w:hint="default"/>
                      <w:color w:val="auto"/>
                    </w:rPr>
                    <w:t>5.26</w:t>
                  </w:r>
                  <w:r>
                    <w:rPr>
                      <w:rFonts w:hint="default"/>
                      <w:color w:val="auto"/>
                    </w:rPr>
                    <w:fldChar w:fldCharType="end"/>
                  </w:r>
                </w:p>
              </w:tc>
              <w:tc>
                <w:tcPr>
                  <w:tcW w:w="428" w:type="pct"/>
                  <w:tcBorders>
                    <w:tl2br w:val="nil"/>
                    <w:tr2bl w:val="nil"/>
                  </w:tcBorders>
                  <w:shd w:val="clear" w:color="auto" w:fill="auto"/>
                  <w:vAlign w:val="center"/>
                </w:tcPr>
                <w:p w14:paraId="4F0BE85A">
                  <w:pPr>
                    <w:pStyle w:val="22"/>
                    <w:jc w:val="center"/>
                    <w:rPr>
                      <w:rFonts w:hint="default" w:eastAsia="宋体"/>
                      <w:color w:val="auto"/>
                      <w:lang w:val="en-US" w:eastAsia="zh-CN"/>
                    </w:rPr>
                  </w:pPr>
                  <w:r>
                    <w:rPr>
                      <w:rFonts w:hint="eastAsia"/>
                      <w:color w:val="auto"/>
                      <w:lang w:val="en-US" w:eastAsia="zh-CN"/>
                    </w:rPr>
                    <w:t>7.08</w:t>
                  </w:r>
                </w:p>
              </w:tc>
              <w:tc>
                <w:tcPr>
                  <w:tcW w:w="415" w:type="pct"/>
                  <w:tcBorders>
                    <w:tl2br w:val="nil"/>
                    <w:tr2bl w:val="nil"/>
                  </w:tcBorders>
                  <w:shd w:val="clear" w:color="auto" w:fill="auto"/>
                  <w:vAlign w:val="center"/>
                </w:tcPr>
                <w:p w14:paraId="50E2772F">
                  <w:pPr>
                    <w:pStyle w:val="22"/>
                    <w:jc w:val="center"/>
                    <w:rPr>
                      <w:rFonts w:hint="default"/>
                      <w:color w:val="auto"/>
                      <w:lang w:val="en-US" w:eastAsia="zh-CN"/>
                    </w:rPr>
                  </w:pPr>
                  <w:r>
                    <w:rPr>
                      <w:rFonts w:hint="default"/>
                      <w:color w:val="auto"/>
                      <w:lang w:val="en-US" w:eastAsia="zh-CN"/>
                    </w:rPr>
                    <w:t>/</w:t>
                  </w:r>
                </w:p>
              </w:tc>
              <w:tc>
                <w:tcPr>
                  <w:tcW w:w="258" w:type="pct"/>
                  <w:tcBorders>
                    <w:tl2br w:val="nil"/>
                    <w:tr2bl w:val="nil"/>
                  </w:tcBorders>
                  <w:shd w:val="clear" w:color="auto" w:fill="auto"/>
                  <w:vAlign w:val="center"/>
                </w:tcPr>
                <w:p w14:paraId="48FD18AA">
                  <w:pPr>
                    <w:pStyle w:val="22"/>
                    <w:jc w:val="center"/>
                    <w:rPr>
                      <w:rFonts w:hint="default"/>
                      <w:color w:val="auto"/>
                      <w:lang w:val="en-US" w:eastAsia="zh-CN"/>
                    </w:rPr>
                  </w:pPr>
                  <w:r>
                    <w:rPr>
                      <w:rFonts w:hint="default"/>
                      <w:color w:val="auto"/>
                      <w:lang w:val="en-US" w:eastAsia="zh-CN"/>
                    </w:rPr>
                    <w:t>/</w:t>
                  </w:r>
                </w:p>
              </w:tc>
              <w:tc>
                <w:tcPr>
                  <w:tcW w:w="244" w:type="pct"/>
                  <w:tcBorders>
                    <w:tl2br w:val="nil"/>
                    <w:tr2bl w:val="nil"/>
                  </w:tcBorders>
                  <w:shd w:val="clear" w:color="auto" w:fill="auto"/>
                  <w:vAlign w:val="center"/>
                </w:tcPr>
                <w:p w14:paraId="4015E9AC">
                  <w:pPr>
                    <w:pStyle w:val="22"/>
                    <w:jc w:val="center"/>
                    <w:rPr>
                      <w:rFonts w:hint="default"/>
                      <w:color w:val="auto"/>
                      <w:lang w:val="en-US" w:eastAsia="zh-CN"/>
                    </w:rPr>
                  </w:pPr>
                  <w:r>
                    <w:rPr>
                      <w:rFonts w:hint="default"/>
                      <w:color w:val="auto"/>
                      <w:lang w:val="en-US" w:eastAsia="zh-CN"/>
                    </w:rPr>
                    <w:t>/</w:t>
                  </w:r>
                </w:p>
              </w:tc>
              <w:tc>
                <w:tcPr>
                  <w:tcW w:w="409" w:type="pct"/>
                  <w:tcBorders>
                    <w:tl2br w:val="nil"/>
                    <w:tr2bl w:val="nil"/>
                  </w:tcBorders>
                  <w:shd w:val="clear" w:color="auto" w:fill="auto"/>
                  <w:vAlign w:val="center"/>
                </w:tcPr>
                <w:p w14:paraId="773D50D5">
                  <w:pPr>
                    <w:pStyle w:val="22"/>
                    <w:jc w:val="center"/>
                    <w:rPr>
                      <w:rFonts w:hint="default"/>
                      <w:color w:val="auto"/>
                      <w:lang w:val="en-US"/>
                    </w:rPr>
                  </w:pPr>
                  <w:r>
                    <w:rPr>
                      <w:rFonts w:hint="eastAsia"/>
                      <w:color w:val="auto"/>
                      <w:lang w:val="en-US" w:eastAsia="zh-CN"/>
                    </w:rPr>
                    <w:t>3.33</w:t>
                  </w:r>
                </w:p>
              </w:tc>
              <w:tc>
                <w:tcPr>
                  <w:tcW w:w="940" w:type="pct"/>
                  <w:tcBorders>
                    <w:tl2br w:val="nil"/>
                    <w:tr2bl w:val="nil"/>
                  </w:tcBorders>
                  <w:shd w:val="clear" w:color="auto" w:fill="auto"/>
                  <w:vAlign w:val="center"/>
                </w:tcPr>
                <w:p w14:paraId="1B45C4F2">
                  <w:pPr>
                    <w:pStyle w:val="22"/>
                    <w:jc w:val="center"/>
                    <w:rPr>
                      <w:rFonts w:hint="default"/>
                      <w:color w:val="auto"/>
                      <w:lang w:val="en-US" w:eastAsia="zh-CN"/>
                    </w:rPr>
                  </w:pPr>
                  <w:r>
                    <w:rPr>
                      <w:rFonts w:hint="default"/>
                      <w:color w:val="auto"/>
                      <w:lang w:val="en-US" w:eastAsia="zh-CN"/>
                    </w:rPr>
                    <w:t>/</w:t>
                  </w:r>
                </w:p>
              </w:tc>
              <w:tc>
                <w:tcPr>
                  <w:tcW w:w="433" w:type="pct"/>
                  <w:tcBorders>
                    <w:tl2br w:val="nil"/>
                    <w:tr2bl w:val="nil"/>
                  </w:tcBorders>
                  <w:shd w:val="clear" w:color="auto" w:fill="auto"/>
                  <w:vAlign w:val="center"/>
                </w:tcPr>
                <w:p w14:paraId="557FDB82">
                  <w:pPr>
                    <w:pStyle w:val="22"/>
                    <w:jc w:val="center"/>
                    <w:rPr>
                      <w:rFonts w:hint="default"/>
                      <w:color w:val="auto"/>
                      <w:lang w:val="en-US"/>
                    </w:rPr>
                  </w:pPr>
                  <w:r>
                    <w:rPr>
                      <w:rFonts w:hint="eastAsia"/>
                      <w:color w:val="auto"/>
                      <w:lang w:val="en-US" w:eastAsia="zh-CN"/>
                    </w:rPr>
                    <w:t>1.51</w:t>
                  </w:r>
                </w:p>
              </w:tc>
              <w:tc>
                <w:tcPr>
                  <w:tcW w:w="296" w:type="pct"/>
                  <w:vMerge w:val="continue"/>
                  <w:tcBorders>
                    <w:tl2br w:val="nil"/>
                    <w:tr2bl w:val="nil"/>
                  </w:tcBorders>
                  <w:shd w:val="clear" w:color="auto" w:fill="auto"/>
                  <w:noWrap/>
                  <w:vAlign w:val="center"/>
                </w:tcPr>
                <w:p w14:paraId="4C880567">
                  <w:pPr>
                    <w:pStyle w:val="22"/>
                    <w:rPr>
                      <w:rFonts w:hint="default"/>
                      <w:color w:val="auto"/>
                    </w:rPr>
                  </w:pPr>
                </w:p>
              </w:tc>
            </w:tr>
          </w:tbl>
          <w:p w14:paraId="3C0EE577">
            <w:pPr>
              <w:keepNext w:val="0"/>
              <w:keepLines w:val="0"/>
              <w:pageBreakBefore w:val="0"/>
              <w:widowControl w:val="0"/>
              <w:numPr>
                <w:ilvl w:val="0"/>
                <w:numId w:val="4"/>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工程设计</w:t>
            </w:r>
          </w:p>
          <w:p w14:paraId="733BACD4">
            <w:pPr>
              <w:keepNext w:val="0"/>
              <w:keepLines w:val="0"/>
              <w:pageBreakBefore w:val="0"/>
              <w:widowControl w:val="0"/>
              <w:numPr>
                <w:ilvl w:val="0"/>
                <w:numId w:val="5"/>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eastAsia" w:ascii="Times New Roman" w:hAnsi="Times New Roman" w:eastAsia="宋体" w:cs="Times New Roman"/>
                <w:color w:val="auto"/>
                <w:kern w:val="0"/>
                <w:sz w:val="24"/>
                <w:szCs w:val="24"/>
                <w:highlight w:val="none"/>
                <w:lang w:val="en-US" w:eastAsia="zh-CN"/>
              </w:rPr>
              <w:t>渠道工程设计</w:t>
            </w:r>
          </w:p>
          <w:p w14:paraId="27C7425A">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老奇台老干渠0+000~0+718段渠底采用C40细粒砼</w:t>
            </w:r>
            <w:r>
              <w:rPr>
                <w:rFonts w:hint="eastAsia" w:cs="Times New Roman"/>
                <w:color w:val="auto"/>
                <w:kern w:val="0"/>
                <w:sz w:val="24"/>
                <w:szCs w:val="24"/>
                <w:highlight w:val="none"/>
                <w:lang w:val="en-US" w:eastAsia="zh-CN"/>
              </w:rPr>
              <w:t>浇筑</w:t>
            </w:r>
            <w:r>
              <w:rPr>
                <w:rFonts w:hint="default" w:ascii="Times New Roman" w:hAnsi="Times New Roman" w:eastAsia="宋体" w:cs="Times New Roman"/>
                <w:color w:val="auto"/>
                <w:kern w:val="0"/>
                <w:sz w:val="24"/>
                <w:szCs w:val="24"/>
                <w:highlight w:val="none"/>
                <w:lang w:val="en-US" w:eastAsia="zh-CN"/>
              </w:rPr>
              <w:t>，灌浆平均厚度20cm。</w:t>
            </w:r>
          </w:p>
          <w:p w14:paraId="6F1C8022">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老奇台老干渠0+718~14+336段渠道断面形式：梯形断面，渠道底宽3.5m，渠深0.9m，采用C40F300W6砼现浇，边坡采用15cm厚C40F300W6现浇砼板护砌，边坡系数1:1.5，渠堤宽度左岸2m，右岸渠堤宽4m。渠身填筑标准：相对密度不小于0.75。</w:t>
            </w:r>
          </w:p>
          <w:p w14:paraId="3B433190">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干渠渠段每2.5m设一道伸缩缝，缝宽2cm，填缝材料为聚氨酯密封胶和聚乙烯高压闭孔泡沫板</w:t>
            </w:r>
            <w:r>
              <w:rPr>
                <w:rFonts w:hint="eastAsia" w:cs="Times New Roman"/>
                <w:color w:val="auto"/>
                <w:kern w:val="0"/>
                <w:sz w:val="24"/>
                <w:szCs w:val="24"/>
                <w:highlight w:val="none"/>
                <w:lang w:val="en-US" w:eastAsia="zh-CN"/>
              </w:rPr>
              <w:t>；</w:t>
            </w:r>
            <w:r>
              <w:rPr>
                <w:rFonts w:hint="default" w:ascii="Times New Roman" w:hAnsi="Times New Roman" w:eastAsia="宋体" w:cs="Times New Roman"/>
                <w:color w:val="auto"/>
                <w:kern w:val="0"/>
                <w:sz w:val="24"/>
                <w:szCs w:val="24"/>
                <w:highlight w:val="none"/>
                <w:lang w:val="en-US" w:eastAsia="zh-CN"/>
              </w:rPr>
              <w:t>封顶板每1.0m设一道分缝，分</w:t>
            </w:r>
            <w:r>
              <w:rPr>
                <w:rFonts w:hint="eastAsia" w:cs="Times New Roman"/>
                <w:color w:val="auto"/>
                <w:kern w:val="0"/>
                <w:sz w:val="24"/>
                <w:szCs w:val="24"/>
                <w:highlight w:val="none"/>
                <w:lang w:val="en-US" w:eastAsia="zh-CN"/>
              </w:rPr>
              <w:t>缝</w:t>
            </w:r>
            <w:r>
              <w:rPr>
                <w:rFonts w:hint="default" w:ascii="Times New Roman" w:hAnsi="Times New Roman" w:eastAsia="宋体" w:cs="Times New Roman"/>
                <w:color w:val="auto"/>
                <w:kern w:val="0"/>
                <w:sz w:val="24"/>
                <w:szCs w:val="24"/>
                <w:highlight w:val="none"/>
                <w:lang w:val="en-US" w:eastAsia="zh-CN"/>
              </w:rPr>
              <w:t>采用高压闭孔泡沫板</w:t>
            </w:r>
            <w:r>
              <w:rPr>
                <w:rFonts w:hint="eastAsia" w:cs="Times New Roman"/>
                <w:color w:val="auto"/>
                <w:kern w:val="0"/>
                <w:sz w:val="24"/>
                <w:szCs w:val="24"/>
                <w:highlight w:val="none"/>
                <w:lang w:val="en-US" w:eastAsia="zh-CN"/>
              </w:rPr>
              <w:t>填充</w:t>
            </w:r>
            <w:r>
              <w:rPr>
                <w:rFonts w:hint="default" w:ascii="Times New Roman" w:hAnsi="Times New Roman" w:eastAsia="宋体" w:cs="Times New Roman"/>
                <w:color w:val="auto"/>
                <w:kern w:val="0"/>
                <w:sz w:val="24"/>
                <w:szCs w:val="24"/>
                <w:highlight w:val="none"/>
                <w:lang w:val="en-US" w:eastAsia="zh-CN"/>
              </w:rPr>
              <w:t>。</w:t>
            </w:r>
          </w:p>
          <w:p w14:paraId="75D1C6BE">
            <w:pPr>
              <w:keepNext w:val="0"/>
              <w:keepLines w:val="0"/>
              <w:pageBreakBefore w:val="0"/>
              <w:widowControl w:val="0"/>
              <w:numPr>
                <w:ilvl w:val="0"/>
                <w:numId w:val="5"/>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eastAsia="宋体"/>
                <w:color w:val="auto"/>
                <w:lang w:val="en-US" w:eastAsia="zh-CN"/>
              </w:rPr>
            </w:pPr>
            <w:r>
              <w:rPr>
                <w:rFonts w:hint="eastAsia" w:ascii="Times New Roman" w:hAnsi="Times New Roman" w:eastAsia="宋体" w:cs="Times New Roman"/>
                <w:color w:val="auto"/>
                <w:kern w:val="0"/>
                <w:sz w:val="24"/>
                <w:szCs w:val="24"/>
                <w:highlight w:val="none"/>
                <w:lang w:val="en-US" w:eastAsia="zh-CN"/>
              </w:rPr>
              <w:t>渠系建筑物设计</w:t>
            </w:r>
          </w:p>
          <w:p w14:paraId="0CBB28AC">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本次项目配套渠系建筑物11座，其中农桥4座，渡槽7座。</w:t>
            </w:r>
          </w:p>
          <w:p w14:paraId="281B2F1A">
            <w:pPr>
              <w:keepNext w:val="0"/>
              <w:keepLines w:val="0"/>
              <w:pageBreakBefore w:val="0"/>
              <w:widowControl w:val="0"/>
              <w:numPr>
                <w:ilvl w:val="1"/>
                <w:numId w:val="5"/>
              </w:numPr>
              <w:kinsoku/>
              <w:wordWrap/>
              <w:overflowPunct/>
              <w:topLinePunct w:val="0"/>
              <w:autoSpaceDE w:val="0"/>
              <w:autoSpaceDN w:val="0"/>
              <w:bidi w:val="0"/>
              <w:adjustRightInd w:val="0"/>
              <w:snapToGrid w:val="0"/>
              <w:spacing w:line="360" w:lineRule="auto"/>
              <w:ind w:left="840" w:leftChars="0" w:right="42" w:rightChars="20" w:hanging="420" w:firstLineChars="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农桥</w:t>
            </w:r>
          </w:p>
          <w:p w14:paraId="47D143D1">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农桥均采用钢筋混凝土简支板桥结构，跨度为2.0～6.0m，桥板</w:t>
            </w:r>
            <w:r>
              <w:rPr>
                <w:rFonts w:hint="eastAsia" w:cs="Times New Roman"/>
                <w:color w:val="auto"/>
                <w:kern w:val="0"/>
                <w:sz w:val="24"/>
                <w:szCs w:val="24"/>
                <w:highlight w:val="none"/>
                <w:lang w:val="en-US" w:eastAsia="zh-CN"/>
              </w:rPr>
              <w:t>厚度</w:t>
            </w:r>
            <w:r>
              <w:rPr>
                <w:rFonts w:hint="default" w:ascii="Times New Roman" w:hAnsi="Times New Roman" w:eastAsia="宋体" w:cs="Times New Roman"/>
                <w:color w:val="auto"/>
                <w:kern w:val="0"/>
                <w:sz w:val="24"/>
                <w:szCs w:val="24"/>
                <w:highlight w:val="none"/>
                <w:lang w:val="en-US" w:eastAsia="zh-CN"/>
              </w:rPr>
              <w:t>为20～35cm，桥面宽度5.0m，桥台采用重力式挡土墙形式，顶宽0.6m，底宽2.21m，墙址宽度0.5m，墙踵宽度0.5m，面坡m=0，背坡0.35。</w:t>
            </w:r>
          </w:p>
          <w:p w14:paraId="7C528BB2">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农桥设计荷载：设计汽车荷载等级按照JTGD60-20</w:t>
            </w:r>
            <w:r>
              <w:rPr>
                <w:rFonts w:hint="eastAsia" w:cs="Times New Roman"/>
                <w:color w:val="auto"/>
                <w:kern w:val="0"/>
                <w:sz w:val="24"/>
                <w:szCs w:val="24"/>
                <w:highlight w:val="none"/>
                <w:lang w:val="en-US" w:eastAsia="zh-CN"/>
              </w:rPr>
              <w:t>15</w:t>
            </w:r>
            <w:r>
              <w:rPr>
                <w:rFonts w:hint="default" w:ascii="Times New Roman" w:hAnsi="Times New Roman" w:eastAsia="宋体" w:cs="Times New Roman"/>
                <w:color w:val="auto"/>
                <w:kern w:val="0"/>
                <w:sz w:val="24"/>
                <w:szCs w:val="24"/>
                <w:highlight w:val="none"/>
                <w:lang w:val="en-US" w:eastAsia="zh-CN"/>
              </w:rPr>
              <w:t>第4.3.1条的规定采用农桥—Ⅰ级，由于本次设计桥涵为乡镇道路，重型车辆较少，其桥涵设计所采用的公路—Ⅱ级车道荷载的效应乘以0.8的折减系数，车辆荷载的效应乘以0.7的折减系数。本次设计的农桥均采用定型设计，板桥采用公路桥涵标准图（中华人民共和国交通行业标准），编号JT/GQB003-2003。</w:t>
            </w:r>
          </w:p>
          <w:p w14:paraId="5A75A012">
            <w:pPr>
              <w:keepNext w:val="0"/>
              <w:keepLines w:val="0"/>
              <w:pageBreakBefore w:val="0"/>
              <w:widowControl w:val="0"/>
              <w:numPr>
                <w:ilvl w:val="1"/>
                <w:numId w:val="5"/>
              </w:numPr>
              <w:kinsoku/>
              <w:wordWrap/>
              <w:overflowPunct/>
              <w:topLinePunct w:val="0"/>
              <w:autoSpaceDE w:val="0"/>
              <w:autoSpaceDN w:val="0"/>
              <w:bidi w:val="0"/>
              <w:adjustRightInd w:val="0"/>
              <w:snapToGrid w:val="0"/>
              <w:spacing w:line="360" w:lineRule="auto"/>
              <w:ind w:left="840" w:leftChars="0" w:right="42" w:rightChars="20" w:hanging="420" w:firstLineChars="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渡槽</w:t>
            </w:r>
          </w:p>
          <w:p w14:paraId="7E7CA268">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本次干渠改造后底宽2.5m，上口宽6.1m，改建渡槽净跨为6.1m，除K5+225、K9+912.77两处渡槽采用钢管渡槽外，其余结构形式采用简支梁式渡槽，槽身断面为矩形，采用C40钢筋混凝土现浇，断面尺寸宽×深为50cm×75cm。槽身置于台帽上，侧向连接处采用止水连接，槽身与台帽上下之间采用两毡三油</w:t>
            </w:r>
            <w:r>
              <w:rPr>
                <w:rFonts w:hint="eastAsia" w:cs="Times New Roman"/>
                <w:color w:val="auto"/>
                <w:kern w:val="0"/>
                <w:sz w:val="24"/>
                <w:szCs w:val="24"/>
                <w:highlight w:val="none"/>
                <w:lang w:val="en-US" w:eastAsia="zh-CN"/>
              </w:rPr>
              <w:t>密封</w:t>
            </w:r>
            <w:r>
              <w:rPr>
                <w:rFonts w:hint="default" w:ascii="Times New Roman" w:hAnsi="Times New Roman" w:eastAsia="宋体" w:cs="Times New Roman"/>
                <w:color w:val="auto"/>
                <w:kern w:val="0"/>
                <w:sz w:val="24"/>
                <w:szCs w:val="24"/>
                <w:highlight w:val="none"/>
                <w:lang w:val="en-US" w:eastAsia="zh-CN"/>
              </w:rPr>
              <w:t>。台帽采用C40钢筋砼现浇，槽墩采用重力式C40砼结构。渡槽上下游连接段长度2.0m，均采用现浇C40砼结构，挡墙高度渐变，与实际地面顺接。</w:t>
            </w:r>
          </w:p>
          <w:p w14:paraId="7B9F1C02">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钢管渡槽采用Q235热轧无缝钢管，壁厚10mm，穿堤处钢管外套管采用DN600预应力钢筋混凝土管，两侧设置现浇混凝土挡墙，重力式结构，顶宽20cm，墙背1</w:t>
            </w:r>
            <w:r>
              <w:rPr>
                <w:rFonts w:hint="eastAsia" w:cs="Times New Roman"/>
                <w:color w:val="auto"/>
                <w:kern w:val="0"/>
                <w:sz w:val="24"/>
                <w:szCs w:val="24"/>
                <w:highlight w:val="none"/>
                <w:lang w:val="en-US" w:eastAsia="zh-CN"/>
              </w:rPr>
              <w:t>:</w:t>
            </w:r>
            <w:r>
              <w:rPr>
                <w:rFonts w:hint="default" w:ascii="Times New Roman" w:hAnsi="Times New Roman" w:eastAsia="宋体" w:cs="Times New Roman"/>
                <w:color w:val="auto"/>
                <w:kern w:val="0"/>
                <w:sz w:val="24"/>
                <w:szCs w:val="24"/>
                <w:highlight w:val="none"/>
                <w:lang w:val="en-US" w:eastAsia="zh-CN"/>
              </w:rPr>
              <w:t>0.35，高度1.2m，底宽75cm。</w:t>
            </w:r>
          </w:p>
          <w:p w14:paraId="5CBC2D84">
            <w:pPr>
              <w:keepNext w:val="0"/>
              <w:keepLines w:val="0"/>
              <w:pageBreakBefore w:val="0"/>
              <w:widowControl w:val="0"/>
              <w:numPr>
                <w:ilvl w:val="1"/>
                <w:numId w:val="5"/>
              </w:numPr>
              <w:kinsoku/>
              <w:wordWrap/>
              <w:overflowPunct/>
              <w:topLinePunct w:val="0"/>
              <w:autoSpaceDE w:val="0"/>
              <w:autoSpaceDN w:val="0"/>
              <w:bidi w:val="0"/>
              <w:adjustRightInd w:val="0"/>
              <w:snapToGrid w:val="0"/>
              <w:spacing w:line="360" w:lineRule="auto"/>
              <w:ind w:left="840" w:leftChars="0" w:right="42" w:rightChars="20" w:hanging="420" w:firstLineChars="0"/>
              <w:textAlignment w:val="auto"/>
              <w:rPr>
                <w:rFonts w:hint="default" w:ascii="Times New Roman" w:hAnsi="Times New Roman" w:eastAsia="宋体" w:cs="Times New Roman"/>
                <w:color w:val="auto"/>
                <w:kern w:val="0"/>
                <w:sz w:val="24"/>
                <w:szCs w:val="24"/>
                <w:highlight w:val="none"/>
                <w:lang w:val="en-US" w:eastAsia="zh-CN"/>
              </w:rPr>
            </w:pPr>
            <w:r>
              <w:rPr>
                <w:rFonts w:hint="eastAsia" w:ascii="Times New Roman" w:hAnsi="Times New Roman" w:eastAsia="宋体" w:cs="Times New Roman"/>
                <w:color w:val="auto"/>
                <w:kern w:val="0"/>
                <w:sz w:val="24"/>
                <w:szCs w:val="24"/>
                <w:highlight w:val="none"/>
                <w:lang w:val="en-US" w:eastAsia="zh-CN"/>
              </w:rPr>
              <w:t>消能台阶</w:t>
            </w:r>
          </w:p>
          <w:p w14:paraId="1FAF362F">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color w:val="auto"/>
                <w:lang w:val="en-US" w:eastAsia="zh-CN"/>
              </w:rPr>
            </w:pPr>
            <w:r>
              <w:rPr>
                <w:rFonts w:hint="default" w:ascii="Times New Roman" w:hAnsi="Times New Roman" w:eastAsia="宋体" w:cs="Times New Roman"/>
                <w:color w:val="auto"/>
                <w:kern w:val="0"/>
                <w:sz w:val="24"/>
                <w:szCs w:val="24"/>
                <w:highlight w:val="none"/>
                <w:lang w:val="en-US" w:eastAsia="zh-CN"/>
              </w:rPr>
              <w:t>台阶高度0.35~0.5m，跌差不大，台阶采用斜坡式台阶，斜坡坡比1:3，厚度40cm，两端设置齿墙，深度80cm，台阶下游4m范围内设置护坦，厚度40cm，混凝土采用C40F300W6，消能台阶两侧采用渐变厚砼边坡与之相连，边坡厚度自上而下12cm</w:t>
            </w:r>
            <w:r>
              <w:rPr>
                <w:rFonts w:hint="eastAsia" w:cs="Times New Roman"/>
                <w:color w:val="auto"/>
                <w:kern w:val="0"/>
                <w:sz w:val="24"/>
                <w:szCs w:val="24"/>
                <w:highlight w:val="none"/>
                <w:lang w:val="en-US" w:eastAsia="zh-CN"/>
              </w:rPr>
              <w:t>～</w:t>
            </w:r>
            <w:r>
              <w:rPr>
                <w:rFonts w:hint="default" w:ascii="Times New Roman" w:hAnsi="Times New Roman" w:eastAsia="宋体" w:cs="Times New Roman"/>
                <w:color w:val="auto"/>
                <w:kern w:val="0"/>
                <w:sz w:val="24"/>
                <w:szCs w:val="24"/>
                <w:highlight w:val="none"/>
                <w:lang w:val="en-US" w:eastAsia="zh-CN"/>
              </w:rPr>
              <w:t>20cm，坡比1:1.5，边坡底采用宽30cm，深60cm现浇砼基础，底板与边坡砼基础之间设置止水，采用651型止水带，高压闭孔板填缝。</w:t>
            </w:r>
          </w:p>
          <w:p w14:paraId="7D4F7BBB">
            <w:pPr>
              <w:keepNext w:val="0"/>
              <w:keepLines w:val="0"/>
              <w:pageBreakBefore w:val="0"/>
              <w:widowControl w:val="0"/>
              <w:numPr>
                <w:ilvl w:val="0"/>
                <w:numId w:val="4"/>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en-US"/>
              </w:rPr>
            </w:pPr>
            <w:r>
              <w:rPr>
                <w:rFonts w:hint="eastAsia" w:ascii="Times New Roman" w:hAnsi="Times New Roman" w:eastAsia="宋体" w:cs="Times New Roman"/>
                <w:b/>
                <w:bCs/>
                <w:color w:val="auto"/>
                <w:kern w:val="0"/>
                <w:sz w:val="24"/>
                <w:szCs w:val="24"/>
                <w:highlight w:val="none"/>
                <w:lang w:val="en-US" w:eastAsia="zh-CN"/>
              </w:rPr>
              <w:t>移民安置与拆迁</w:t>
            </w:r>
          </w:p>
          <w:p w14:paraId="5A3CC333">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color w:val="auto"/>
                <w:lang w:val="en-US" w:eastAsia="zh-CN"/>
              </w:rPr>
            </w:pPr>
            <w:r>
              <w:rPr>
                <w:rFonts w:hint="default" w:ascii="Times New Roman" w:hAnsi="Times New Roman" w:eastAsia="宋体" w:cs="Times New Roman"/>
                <w:color w:val="auto"/>
                <w:kern w:val="0"/>
                <w:sz w:val="24"/>
                <w:szCs w:val="24"/>
                <w:highlight w:val="none"/>
                <w:lang w:val="en-US" w:eastAsia="zh-CN"/>
              </w:rPr>
              <w:t>经现场实地调查，本项目不涉及征地拆迁、移民安置，无搬迁人口。</w:t>
            </w:r>
          </w:p>
        </w:tc>
      </w:tr>
      <w:tr w14:paraId="38319D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18" w:hRule="atLeast"/>
          <w:jc w:val="center"/>
        </w:trPr>
        <w:tc>
          <w:tcPr>
            <w:tcW w:w="248" w:type="pct"/>
            <w:noWrap w:val="0"/>
            <w:vAlign w:val="center"/>
          </w:tcPr>
          <w:p w14:paraId="0888BEB2">
            <w:pPr>
              <w:adjustRightInd w:val="0"/>
              <w:snapToGrid w:val="0"/>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总平面及现场布置</w:t>
            </w:r>
          </w:p>
        </w:tc>
        <w:tc>
          <w:tcPr>
            <w:tcW w:w="4751" w:type="pct"/>
            <w:noWrap w:val="0"/>
            <w:vAlign w:val="center"/>
          </w:tcPr>
          <w:p w14:paraId="3F2AEFAE">
            <w:pPr>
              <w:keepNext w:val="0"/>
              <w:keepLines w:val="0"/>
              <w:pageBreakBefore w:val="0"/>
              <w:widowControl w:val="0"/>
              <w:numPr>
                <w:ilvl w:val="0"/>
                <w:numId w:val="6"/>
              </w:numPr>
              <w:kinsoku/>
              <w:wordWrap/>
              <w:overflowPunct/>
              <w:topLinePunct w:val="0"/>
              <w:autoSpaceDE w:val="0"/>
              <w:autoSpaceDN w:val="0"/>
              <w:bidi w:val="0"/>
              <w:adjustRightInd w:val="0"/>
              <w:snapToGrid w:val="0"/>
              <w:spacing w:before="157" w:beforeLines="50"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工程平面布置</w:t>
            </w:r>
          </w:p>
          <w:p w14:paraId="26A2104E">
            <w:pPr>
              <w:adjustRightInd w:val="0"/>
              <w:snapToGrid w:val="0"/>
              <w:spacing w:line="360" w:lineRule="auto"/>
              <w:ind w:firstLine="480" w:firstLineChars="200"/>
              <w:rPr>
                <w:rFonts w:hint="default" w:ascii="Times New Roman" w:hAnsi="Times New Roman" w:cs="Times New Roman"/>
                <w:b w:val="0"/>
                <w:bCs w:val="0"/>
                <w:color w:val="auto"/>
                <w:sz w:val="24"/>
                <w:lang w:val="en-US" w:eastAsia="zh-CN"/>
              </w:rPr>
            </w:pPr>
            <w:r>
              <w:rPr>
                <w:rFonts w:hint="default" w:ascii="Times New Roman" w:hAnsi="Times New Roman" w:cs="Times New Roman"/>
                <w:b w:val="0"/>
                <w:bCs w:val="0"/>
                <w:color w:val="auto"/>
                <w:sz w:val="24"/>
                <w:lang w:val="en-US" w:eastAsia="zh-CN"/>
              </w:rPr>
              <w:t>一、渠线布置</w:t>
            </w:r>
          </w:p>
          <w:p w14:paraId="57DF88EC">
            <w:pPr>
              <w:adjustRightInd w:val="0"/>
              <w:snapToGrid w:val="0"/>
              <w:spacing w:line="360" w:lineRule="auto"/>
              <w:ind w:firstLine="480" w:firstLineChars="200"/>
              <w:rPr>
                <w:rFonts w:hint="default" w:ascii="Times New Roman" w:hAnsi="Times New Roman" w:cs="Times New Roman"/>
                <w:b w:val="0"/>
                <w:bCs w:val="0"/>
                <w:color w:val="auto"/>
                <w:sz w:val="24"/>
                <w:lang w:val="en-US" w:eastAsia="zh-CN"/>
              </w:rPr>
            </w:pPr>
            <w:r>
              <w:rPr>
                <w:rFonts w:hint="default" w:ascii="Times New Roman" w:hAnsi="Times New Roman" w:cs="Times New Roman"/>
                <w:b w:val="0"/>
                <w:bCs w:val="0"/>
                <w:color w:val="auto"/>
                <w:sz w:val="24"/>
                <w:lang w:val="en-US" w:eastAsia="zh-CN"/>
              </w:rPr>
              <w:t>（1）从地形地貌上分析</w:t>
            </w:r>
          </w:p>
          <w:p w14:paraId="6CCF3B28">
            <w:pPr>
              <w:adjustRightInd w:val="0"/>
              <w:snapToGrid w:val="0"/>
              <w:spacing w:line="360" w:lineRule="auto"/>
              <w:ind w:firstLine="480" w:firstLineChars="200"/>
              <w:rPr>
                <w:rFonts w:hint="default" w:ascii="Times New Roman" w:hAnsi="Times New Roman" w:cs="Times New Roman"/>
                <w:b w:val="0"/>
                <w:bCs w:val="0"/>
                <w:color w:val="auto"/>
                <w:sz w:val="24"/>
                <w:lang w:val="en-US" w:eastAsia="zh-CN"/>
              </w:rPr>
            </w:pPr>
            <w:r>
              <w:rPr>
                <w:rFonts w:hint="default" w:ascii="Times New Roman" w:hAnsi="Times New Roman" w:cs="Times New Roman"/>
                <w:b w:val="0"/>
                <w:bCs w:val="0"/>
                <w:color w:val="auto"/>
                <w:sz w:val="24"/>
                <w:lang w:val="en-US" w:eastAsia="zh-CN"/>
              </w:rPr>
              <w:t>老奇台老干渠现状渠道左右两侧基本为耕地、草地、林地等，若调整新线只能占用耕地及林草地，改变原有的土地性质，与自然资源局沟通后确定两侧的耕地多为基本农田、林地，无法占用，故该段无可选取新线的条件。</w:t>
            </w:r>
          </w:p>
          <w:p w14:paraId="7E8D1566">
            <w:pPr>
              <w:adjustRightInd w:val="0"/>
              <w:snapToGrid w:val="0"/>
              <w:spacing w:line="360" w:lineRule="auto"/>
              <w:ind w:firstLine="480" w:firstLineChars="200"/>
              <w:rPr>
                <w:rFonts w:hint="default" w:ascii="Times New Roman" w:hAnsi="Times New Roman" w:cs="Times New Roman"/>
                <w:b w:val="0"/>
                <w:bCs w:val="0"/>
                <w:color w:val="auto"/>
                <w:sz w:val="24"/>
                <w:lang w:val="en-US" w:eastAsia="zh-CN"/>
              </w:rPr>
            </w:pPr>
            <w:r>
              <w:rPr>
                <w:rFonts w:hint="default" w:ascii="Times New Roman" w:hAnsi="Times New Roman" w:cs="Times New Roman"/>
                <w:b w:val="0"/>
                <w:bCs w:val="0"/>
                <w:color w:val="auto"/>
                <w:sz w:val="24"/>
                <w:lang w:val="en-US" w:eastAsia="zh-CN"/>
              </w:rPr>
              <w:t>（2）从渠道上现有建筑物的可利用情况分析</w:t>
            </w:r>
          </w:p>
          <w:p w14:paraId="06D8A17A">
            <w:pPr>
              <w:adjustRightInd w:val="0"/>
              <w:snapToGrid w:val="0"/>
              <w:spacing w:line="360" w:lineRule="auto"/>
              <w:ind w:firstLine="480" w:firstLineChars="200"/>
              <w:rPr>
                <w:rFonts w:hint="default" w:ascii="Times New Roman" w:hAnsi="Times New Roman" w:cs="Times New Roman"/>
                <w:b w:val="0"/>
                <w:bCs w:val="0"/>
                <w:color w:val="auto"/>
                <w:sz w:val="24"/>
                <w:lang w:val="en-US" w:eastAsia="zh-CN"/>
              </w:rPr>
            </w:pPr>
            <w:r>
              <w:rPr>
                <w:rFonts w:hint="default" w:ascii="Times New Roman" w:hAnsi="Times New Roman" w:cs="Times New Roman"/>
                <w:b w:val="0"/>
                <w:bCs w:val="0"/>
                <w:color w:val="auto"/>
                <w:sz w:val="24"/>
                <w:lang w:val="en-US" w:eastAsia="zh-CN"/>
              </w:rPr>
              <w:t>现状老奇台老干渠为干砌灌浆梯形断面渠道，0+000~0+718.37段边坡板完好，可继续利用，但因渠道</w:t>
            </w:r>
            <w:r>
              <w:rPr>
                <w:rFonts w:hint="eastAsia" w:cs="Times New Roman"/>
                <w:b w:val="0"/>
                <w:bCs w:val="0"/>
                <w:color w:val="auto"/>
                <w:sz w:val="24"/>
                <w:lang w:val="en-US" w:eastAsia="zh-CN"/>
              </w:rPr>
              <w:t>底板</w:t>
            </w:r>
            <w:r>
              <w:rPr>
                <w:rFonts w:hint="default" w:ascii="Times New Roman" w:hAnsi="Times New Roman" w:cs="Times New Roman"/>
                <w:b w:val="0"/>
                <w:bCs w:val="0"/>
                <w:color w:val="auto"/>
                <w:sz w:val="24"/>
                <w:lang w:val="en-US" w:eastAsia="zh-CN"/>
              </w:rPr>
              <w:t>受快速水流冲刷，砂浆多被冲蚀殆尽，导致渠道渗漏，本次工程将对其进行灌浆处理。其余渠段未加固的土坡或简易临时石坡，缺乏正规护坡结构，受植被根系破坏、雨水冲刷影响，易发生坍塌、溜坡现象，既破坏渠道形态，又存在安全隐患，需拆除重建，现状渠线较为顺直，渠线合理，故本次仍按原渠线布置。</w:t>
            </w:r>
          </w:p>
          <w:p w14:paraId="7F73C0B8">
            <w:pPr>
              <w:adjustRightInd w:val="0"/>
              <w:snapToGrid w:val="0"/>
              <w:spacing w:line="360" w:lineRule="auto"/>
              <w:ind w:firstLine="480" w:firstLineChars="200"/>
              <w:rPr>
                <w:rFonts w:hint="default" w:ascii="Times New Roman" w:hAnsi="Times New Roman" w:cs="Times New Roman"/>
                <w:b w:val="0"/>
                <w:bCs w:val="0"/>
                <w:color w:val="auto"/>
                <w:sz w:val="24"/>
                <w:lang w:val="en-US" w:eastAsia="zh-CN"/>
              </w:rPr>
            </w:pPr>
            <w:r>
              <w:rPr>
                <w:rFonts w:hint="default" w:ascii="Times New Roman" w:hAnsi="Times New Roman" w:cs="Times New Roman"/>
                <w:b w:val="0"/>
                <w:bCs w:val="0"/>
                <w:color w:val="auto"/>
                <w:sz w:val="24"/>
                <w:lang w:val="en-US" w:eastAsia="zh-CN"/>
              </w:rPr>
              <w:t>在综合考虑以上因素的基础上，并结合老渠道周围的环境因素和灌区远期规划，经反复踏勘、仔细分析、比较，目前灌区规划较为规整，基本为路、林、渠、耕地，老干渠渠线布置较为合理，大部分无选择新线的条件。本次设计渠道采用老渠线。</w:t>
            </w:r>
          </w:p>
          <w:p w14:paraId="17E7961A">
            <w:pPr>
              <w:adjustRightInd w:val="0"/>
              <w:snapToGrid w:val="0"/>
              <w:spacing w:line="360" w:lineRule="auto"/>
              <w:ind w:firstLine="480" w:firstLineChars="200"/>
              <w:rPr>
                <w:rFonts w:hint="default" w:ascii="Times New Roman" w:hAnsi="Times New Roman" w:cs="Times New Roman"/>
                <w:b w:val="0"/>
                <w:bCs w:val="0"/>
                <w:color w:val="auto"/>
                <w:sz w:val="24"/>
                <w:lang w:val="en-US" w:eastAsia="zh-CN"/>
              </w:rPr>
            </w:pPr>
            <w:r>
              <w:rPr>
                <w:rFonts w:hint="default" w:ascii="Times New Roman" w:hAnsi="Times New Roman" w:cs="Times New Roman"/>
                <w:b w:val="0"/>
                <w:bCs w:val="0"/>
                <w:color w:val="auto"/>
                <w:sz w:val="24"/>
                <w:lang w:val="en-US" w:eastAsia="zh-CN"/>
              </w:rPr>
              <w:t>二、建筑物布置</w:t>
            </w:r>
          </w:p>
          <w:p w14:paraId="74697337">
            <w:pPr>
              <w:adjustRightInd w:val="0"/>
              <w:snapToGrid w:val="0"/>
              <w:spacing w:line="360" w:lineRule="auto"/>
              <w:ind w:firstLine="480" w:firstLineChars="200"/>
              <w:rPr>
                <w:rFonts w:hint="default" w:ascii="Times New Roman" w:hAnsi="Times New Roman" w:cs="Times New Roman"/>
                <w:b w:val="0"/>
                <w:bCs w:val="0"/>
                <w:color w:val="auto"/>
                <w:sz w:val="24"/>
                <w:lang w:val="en-US" w:eastAsia="zh-CN"/>
              </w:rPr>
            </w:pPr>
            <w:r>
              <w:rPr>
                <w:rFonts w:hint="default" w:ascii="Times New Roman" w:hAnsi="Times New Roman" w:cs="Times New Roman"/>
                <w:b w:val="0"/>
                <w:bCs w:val="0"/>
                <w:color w:val="auto"/>
                <w:sz w:val="24"/>
                <w:highlight w:val="none"/>
                <w:lang w:val="en-US" w:eastAsia="zh-CN"/>
              </w:rPr>
              <w:t>项目位于奇台县</w:t>
            </w:r>
            <w:r>
              <w:rPr>
                <w:rFonts w:hint="eastAsia" w:cs="Times New Roman"/>
                <w:b w:val="0"/>
                <w:bCs w:val="0"/>
                <w:color w:val="auto"/>
                <w:sz w:val="24"/>
                <w:highlight w:val="none"/>
                <w:lang w:val="en-US" w:eastAsia="zh-CN"/>
              </w:rPr>
              <w:t>老奇台</w:t>
            </w:r>
            <w:r>
              <w:rPr>
                <w:rFonts w:hint="default" w:ascii="Times New Roman" w:hAnsi="Times New Roman" w:cs="Times New Roman"/>
                <w:b w:val="0"/>
                <w:bCs w:val="0"/>
                <w:color w:val="auto"/>
                <w:sz w:val="24"/>
                <w:highlight w:val="none"/>
                <w:lang w:val="en-US" w:eastAsia="zh-CN"/>
              </w:rPr>
              <w:t>镇，项目主体工程建设主要为渠道工程区建设和渠系建筑物建设。由于本工程是对灌区水利工程进行节水配套改造，灌区内渠、路林经过多年的建设，已形成网络，采用原渠线不仅可以最大程度地降低工程投资，而且还可不破坏现有条田林网建设。故本次灌区内渠道工程拟改造渠道采用原渠线，渠道也按原渠道进行布置。本次渠道工程在进行布置时，应充分利用地形和现有渠道，满足原灌区的灌溉引水水位和配水流量。渠道及其建筑物应运行安全、造价经济、方便节水、大方实用，并配备必要的管理措施；尽可能少占或不占耕地、草场及当地居民的生产生活用地；设置足够的方便当地农民生产生活用桥。渠线布置均采用原有渠线。工程布局和施工布置情况见附图。</w:t>
            </w:r>
          </w:p>
        </w:tc>
      </w:tr>
      <w:tr w14:paraId="4DB15A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8" w:type="pct"/>
            <w:noWrap w:val="0"/>
            <w:vAlign w:val="center"/>
          </w:tcPr>
          <w:p w14:paraId="7BE32768">
            <w:pPr>
              <w:adjustRightInd w:val="0"/>
              <w:snapToGrid w:val="0"/>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施工方案</w:t>
            </w:r>
          </w:p>
        </w:tc>
        <w:tc>
          <w:tcPr>
            <w:tcW w:w="4751" w:type="pct"/>
            <w:noWrap w:val="0"/>
            <w:vAlign w:val="center"/>
          </w:tcPr>
          <w:p w14:paraId="381CC71D">
            <w:pPr>
              <w:keepNext w:val="0"/>
              <w:keepLines w:val="0"/>
              <w:pageBreakBefore w:val="0"/>
              <w:widowControl w:val="0"/>
              <w:numPr>
                <w:ilvl w:val="0"/>
                <w:numId w:val="7"/>
              </w:numPr>
              <w:kinsoku/>
              <w:wordWrap/>
              <w:overflowPunct/>
              <w:topLinePunct w:val="0"/>
              <w:autoSpaceDE w:val="0"/>
              <w:autoSpaceDN w:val="0"/>
              <w:bidi w:val="0"/>
              <w:adjustRightInd w:val="0"/>
              <w:snapToGrid w:val="0"/>
              <w:spacing w:before="157" w:beforeLines="50" w:line="360" w:lineRule="auto"/>
              <w:ind w:left="42" w:leftChars="20" w:right="42" w:rightChars="20" w:firstLine="0" w:firstLineChars="0"/>
              <w:textAlignment w:val="auto"/>
              <w:rPr>
                <w:rFonts w:hint="default"/>
                <w:color w:val="auto"/>
                <w:lang w:val="en-US" w:eastAsia="zh-CN"/>
              </w:rPr>
            </w:pPr>
            <w:r>
              <w:rPr>
                <w:rFonts w:hint="eastAsia" w:cs="Times New Roman"/>
                <w:b/>
                <w:bCs/>
                <w:color w:val="auto"/>
                <w:kern w:val="0"/>
                <w:sz w:val="24"/>
                <w:szCs w:val="24"/>
                <w:highlight w:val="none"/>
                <w:lang w:val="en-US" w:eastAsia="zh-CN"/>
              </w:rPr>
              <w:t>施工组织设计</w:t>
            </w:r>
          </w:p>
          <w:p w14:paraId="4DC21793">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1.1施工条件</w:t>
            </w:r>
          </w:p>
          <w:p w14:paraId="23BF0A90">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（1）天气条件</w:t>
            </w:r>
          </w:p>
          <w:p w14:paraId="5E86EB2F">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流域多年平均气温4.3℃</w:t>
            </w:r>
            <w:r>
              <w:rPr>
                <w:rFonts w:hint="eastAsia" w:cs="Times New Roman"/>
                <w:b w:val="0"/>
                <w:bCs w:val="0"/>
                <w:color w:val="auto"/>
                <w:sz w:val="24"/>
                <w:lang w:val="en-US" w:eastAsia="zh-CN"/>
              </w:rPr>
              <w:t>，</w:t>
            </w:r>
            <w:r>
              <w:rPr>
                <w:rFonts w:hint="default" w:ascii="Times New Roman" w:hAnsi="Times New Roman" w:eastAsia="宋体" w:cs="Times New Roman"/>
                <w:b w:val="0"/>
                <w:bCs w:val="0"/>
                <w:color w:val="auto"/>
                <w:sz w:val="24"/>
                <w:lang w:val="en-US" w:eastAsia="zh-CN"/>
              </w:rPr>
              <w:t>极端最高气温35.2℃，极端最低气温-30.9℃。多年平均风速2.8m/s，多年平均最大风速19m/s。最大冻土深度136cm</w:t>
            </w:r>
            <w:r>
              <w:rPr>
                <w:rFonts w:hint="eastAsia" w:cs="Times New Roman"/>
                <w:b w:val="0"/>
                <w:bCs w:val="0"/>
                <w:color w:val="auto"/>
                <w:sz w:val="24"/>
                <w:lang w:val="en-US" w:eastAsia="zh-CN"/>
              </w:rPr>
              <w:t>，</w:t>
            </w:r>
            <w:r>
              <w:rPr>
                <w:rFonts w:hint="default" w:ascii="Times New Roman" w:hAnsi="Times New Roman" w:eastAsia="宋体" w:cs="Times New Roman"/>
                <w:b w:val="0"/>
                <w:bCs w:val="0"/>
                <w:color w:val="auto"/>
                <w:sz w:val="24"/>
                <w:lang w:val="en-US" w:eastAsia="zh-CN"/>
              </w:rPr>
              <w:t>最大冰厚85cm。多年平均年降水量473.6mm，多年平均蒸发量1250.5mm。</w:t>
            </w:r>
          </w:p>
          <w:p w14:paraId="4B93FF6C">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（2）对外交通条件</w:t>
            </w:r>
          </w:p>
          <w:p w14:paraId="0AE79F98">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工程项目所在地交通十分便利，灌区内均有柏油路面或砂石路面相通，交通方便；各公路均可通过乡村道路通达工程项目区。</w:t>
            </w:r>
          </w:p>
          <w:p w14:paraId="4048B01B">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（3）建筑材料供应</w:t>
            </w:r>
          </w:p>
          <w:p w14:paraId="30754D3D">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工程外购建筑材料水泥、钢筋可从乌鲁木齐购买，运距220km，木材可从奇台县购买，交通方便运距</w:t>
            </w:r>
            <w:r>
              <w:rPr>
                <w:rFonts w:hint="eastAsia" w:cs="Times New Roman"/>
                <w:b w:val="0"/>
                <w:bCs w:val="0"/>
                <w:color w:val="auto"/>
                <w:sz w:val="24"/>
                <w:lang w:val="en-US" w:eastAsia="zh-CN"/>
              </w:rPr>
              <w:t>约</w:t>
            </w:r>
            <w:r>
              <w:rPr>
                <w:rFonts w:hint="default" w:ascii="Times New Roman" w:hAnsi="Times New Roman" w:eastAsia="宋体" w:cs="Times New Roman"/>
                <w:b w:val="0"/>
                <w:bCs w:val="0"/>
                <w:color w:val="auto"/>
                <w:sz w:val="24"/>
                <w:lang w:val="en-US" w:eastAsia="zh-CN"/>
              </w:rPr>
              <w:t>50km，其余材料汽油、柴油等可直接从附近乡镇购买，运距约15km。在采购过程中选择有合法开采权的砂石料场，在购买砂石料时与卖方签订有关水土流失防治责任书，并明确水土流失防治由卖方承担防治责任，严禁随意开采。</w:t>
            </w:r>
          </w:p>
          <w:p w14:paraId="3EF23080">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（4）供水及排水</w:t>
            </w:r>
          </w:p>
          <w:p w14:paraId="00697AD2">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本工程为渠道防渗改建工程，施工用水可由老渠两侧抗旱补充井抽取。生活用水采用渠道所在乡村的机井水，水车拉运至项目区。</w:t>
            </w:r>
          </w:p>
          <w:p w14:paraId="1DEE992C">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施工人员</w:t>
            </w:r>
            <w:r>
              <w:rPr>
                <w:rFonts w:hint="eastAsia" w:ascii="Times New Roman" w:hAnsi="Times New Roman" w:eastAsia="宋体" w:cs="Times New Roman"/>
                <w:b w:val="0"/>
                <w:bCs w:val="0"/>
                <w:color w:val="auto"/>
                <w:sz w:val="24"/>
                <w:lang w:val="en-US" w:eastAsia="zh-CN"/>
              </w:rPr>
              <w:t>租住于民房，产生</w:t>
            </w:r>
            <w:r>
              <w:rPr>
                <w:rFonts w:hint="default" w:ascii="Times New Roman" w:hAnsi="Times New Roman" w:eastAsia="宋体" w:cs="Times New Roman"/>
                <w:b w:val="0"/>
                <w:bCs w:val="0"/>
                <w:color w:val="auto"/>
                <w:sz w:val="24"/>
                <w:lang w:val="en-US" w:eastAsia="zh-CN"/>
              </w:rPr>
              <w:t>的生活污水</w:t>
            </w:r>
            <w:r>
              <w:rPr>
                <w:rFonts w:hint="eastAsia" w:ascii="Times New Roman" w:hAnsi="Times New Roman" w:eastAsia="宋体" w:cs="Times New Roman"/>
                <w:b w:val="0"/>
                <w:bCs w:val="0"/>
                <w:color w:val="auto"/>
                <w:sz w:val="24"/>
                <w:lang w:val="en-US" w:eastAsia="zh-CN"/>
              </w:rPr>
              <w:t>依托村镇民房已建污水管道排入村镇污水处理设施处理。施工现场设置移动式卫生间，定期委托环卫部门收集处置。</w:t>
            </w:r>
            <w:r>
              <w:rPr>
                <w:rFonts w:hint="default" w:ascii="Times New Roman" w:hAnsi="Times New Roman" w:eastAsia="宋体" w:cs="Times New Roman"/>
                <w:b w:val="0"/>
                <w:bCs w:val="0"/>
                <w:color w:val="auto"/>
                <w:sz w:val="24"/>
                <w:lang w:val="en-US" w:eastAsia="zh-CN"/>
              </w:rPr>
              <w:t>设备冲洗废水经沉淀池沉淀后用于施工区泼洒抑尘。</w:t>
            </w:r>
          </w:p>
          <w:p w14:paraId="7AF05739">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（5）供电</w:t>
            </w:r>
          </w:p>
          <w:p w14:paraId="43C723AF">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依托已有电网接入使用，另</w:t>
            </w:r>
            <w:r>
              <w:rPr>
                <w:rFonts w:hint="default" w:ascii="Times New Roman" w:hAnsi="Times New Roman" w:eastAsia="宋体" w:cs="Times New Roman"/>
                <w:b w:val="0"/>
                <w:bCs w:val="0"/>
                <w:color w:val="auto"/>
                <w:sz w:val="24"/>
                <w:lang w:val="en-US" w:eastAsia="zh-CN"/>
              </w:rPr>
              <w:t>自备柴油发电机</w:t>
            </w:r>
            <w:r>
              <w:rPr>
                <w:rFonts w:hint="eastAsia" w:ascii="Times New Roman" w:hAnsi="Times New Roman" w:eastAsia="宋体" w:cs="Times New Roman"/>
                <w:b w:val="0"/>
                <w:bCs w:val="0"/>
                <w:color w:val="auto"/>
                <w:sz w:val="24"/>
                <w:lang w:val="en-US" w:eastAsia="zh-CN"/>
              </w:rPr>
              <w:t>为无接网条件处提供</w:t>
            </w:r>
            <w:r>
              <w:rPr>
                <w:rFonts w:hint="default" w:ascii="Times New Roman" w:hAnsi="Times New Roman" w:eastAsia="宋体" w:cs="Times New Roman"/>
                <w:b w:val="0"/>
                <w:bCs w:val="0"/>
                <w:color w:val="auto"/>
                <w:sz w:val="24"/>
                <w:lang w:val="en-US" w:eastAsia="zh-CN"/>
              </w:rPr>
              <w:t>电源。</w:t>
            </w:r>
          </w:p>
          <w:p w14:paraId="7DE55893">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1.</w:t>
            </w:r>
            <w:r>
              <w:rPr>
                <w:rFonts w:hint="eastAsia" w:ascii="Times New Roman" w:hAnsi="Times New Roman" w:eastAsia="宋体" w:cs="Times New Roman"/>
                <w:b w:val="0"/>
                <w:bCs w:val="0"/>
                <w:color w:val="auto"/>
                <w:sz w:val="24"/>
                <w:lang w:val="en-US" w:eastAsia="zh-CN"/>
              </w:rPr>
              <w:t>2</w:t>
            </w:r>
            <w:r>
              <w:rPr>
                <w:rFonts w:hint="default" w:ascii="Times New Roman" w:hAnsi="Times New Roman" w:eastAsia="宋体" w:cs="Times New Roman"/>
                <w:b w:val="0"/>
                <w:bCs w:val="0"/>
                <w:color w:val="auto"/>
                <w:sz w:val="24"/>
                <w:lang w:val="en-US" w:eastAsia="zh-CN"/>
              </w:rPr>
              <w:t>施工</w:t>
            </w:r>
            <w:r>
              <w:rPr>
                <w:rFonts w:hint="eastAsia" w:ascii="Times New Roman" w:hAnsi="Times New Roman" w:eastAsia="宋体" w:cs="Times New Roman"/>
                <w:b w:val="0"/>
                <w:bCs w:val="0"/>
                <w:color w:val="auto"/>
                <w:sz w:val="24"/>
                <w:lang w:val="en-US" w:eastAsia="zh-CN"/>
              </w:rPr>
              <w:t>工期</w:t>
            </w:r>
          </w:p>
          <w:p w14:paraId="6A5CE12E">
            <w:pPr>
              <w:adjustRightInd w:val="0"/>
              <w:snapToGrid w:val="0"/>
              <w:spacing w:line="360" w:lineRule="auto"/>
              <w:ind w:firstLine="480" w:firstLineChars="200"/>
              <w:rPr>
                <w:rFonts w:hint="eastAsia" w:ascii="Times New Roman" w:hAnsi="Times New Roman" w:eastAsia="宋体" w:cs="Times New Roman"/>
                <w:b w:val="0"/>
                <w:bCs w:val="0"/>
                <w:color w:val="auto"/>
                <w:sz w:val="24"/>
                <w:lang w:val="en-US" w:eastAsia="zh-CN"/>
              </w:rPr>
            </w:pPr>
            <w:r>
              <w:rPr>
                <w:rFonts w:hint="eastAsia" w:cs="Times New Roman"/>
                <w:b w:val="0"/>
                <w:bCs w:val="0"/>
                <w:color w:val="auto"/>
                <w:sz w:val="24"/>
                <w:lang w:val="en-US" w:eastAsia="zh-CN"/>
              </w:rPr>
              <w:t>由于灌区</w:t>
            </w:r>
            <w:r>
              <w:rPr>
                <w:rFonts w:hint="eastAsia" w:ascii="Times New Roman" w:hAnsi="Times New Roman" w:eastAsia="宋体" w:cs="Times New Roman"/>
                <w:b w:val="0"/>
                <w:bCs w:val="0"/>
                <w:color w:val="auto"/>
                <w:sz w:val="24"/>
                <w:lang w:val="en-US" w:eastAsia="zh-CN"/>
              </w:rPr>
              <w:t>战线长，可全线施工，经分析论证灌区施工工期2026年6月至2026年11月。其中主体工程施工期6个月。</w:t>
            </w:r>
          </w:p>
          <w:p w14:paraId="78F0CB0C">
            <w:pPr>
              <w:adjustRightInd w:val="0"/>
              <w:snapToGrid w:val="0"/>
              <w:spacing w:line="360" w:lineRule="auto"/>
              <w:ind w:firstLine="480" w:firstLineChars="200"/>
              <w:rPr>
                <w:rFonts w:hint="eastAsia"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工程建设分为三期，即工程准备期，主体工程施工期和完建期。</w:t>
            </w:r>
          </w:p>
          <w:p w14:paraId="34D91F0E">
            <w:pPr>
              <w:adjustRightInd w:val="0"/>
              <w:snapToGrid w:val="0"/>
              <w:spacing w:line="360" w:lineRule="auto"/>
              <w:ind w:firstLine="480" w:firstLineChars="200"/>
              <w:rPr>
                <w:rFonts w:hint="eastAsia"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（1）工程准备期</w:t>
            </w:r>
          </w:p>
          <w:p w14:paraId="6F3745E7">
            <w:pPr>
              <w:adjustRightInd w:val="0"/>
              <w:snapToGrid w:val="0"/>
              <w:spacing w:line="360" w:lineRule="auto"/>
              <w:ind w:firstLine="480" w:firstLineChars="200"/>
              <w:rPr>
                <w:rFonts w:hint="eastAsia"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施工准备期安排0.5个月，即2026年6月，完成场内三通一平，临时房屋建筑、施工辅助企业及施工所需的临时设施。</w:t>
            </w:r>
          </w:p>
          <w:p w14:paraId="3DBD9B5D">
            <w:pPr>
              <w:adjustRightInd w:val="0"/>
              <w:snapToGrid w:val="0"/>
              <w:spacing w:line="360" w:lineRule="auto"/>
              <w:ind w:firstLine="480" w:firstLineChars="200"/>
              <w:rPr>
                <w:rFonts w:hint="eastAsia"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（2）主体工程施工期</w:t>
            </w:r>
          </w:p>
          <w:p w14:paraId="370F8233">
            <w:pPr>
              <w:adjustRightInd w:val="0"/>
              <w:snapToGrid w:val="0"/>
              <w:spacing w:line="360" w:lineRule="auto"/>
              <w:ind w:firstLine="480" w:firstLineChars="200"/>
              <w:rPr>
                <w:rFonts w:hint="eastAsia"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主体工程施工期为2026年6月中旬至2026年10月，在此施工期内完成土方开挖填筑、装配式预制渠道吊装及建筑物工程的建设。</w:t>
            </w:r>
          </w:p>
          <w:p w14:paraId="0DBFD503">
            <w:pPr>
              <w:adjustRightInd w:val="0"/>
              <w:snapToGrid w:val="0"/>
              <w:spacing w:line="360" w:lineRule="auto"/>
              <w:ind w:firstLine="480" w:firstLineChars="200"/>
              <w:rPr>
                <w:rFonts w:hint="eastAsia"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（3）工程完建期</w:t>
            </w:r>
          </w:p>
          <w:p w14:paraId="794934D4">
            <w:pPr>
              <w:adjustRightInd w:val="0"/>
              <w:snapToGrid w:val="0"/>
              <w:spacing w:line="360" w:lineRule="auto"/>
              <w:ind w:firstLine="480" w:firstLineChars="200"/>
              <w:rPr>
                <w:rFonts w:hint="eastAsia"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工程完建期1个月（2026年11月），主要完成工程的扫尾工作，拆除临时设施，清理施工场地、弃渣等处理工作。</w:t>
            </w:r>
          </w:p>
          <w:p w14:paraId="52395624">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1.3</w:t>
            </w:r>
            <w:r>
              <w:rPr>
                <w:rFonts w:hint="default" w:ascii="Times New Roman" w:hAnsi="Times New Roman" w:eastAsia="宋体" w:cs="Times New Roman"/>
                <w:b w:val="0"/>
                <w:bCs w:val="0"/>
                <w:color w:val="auto"/>
                <w:sz w:val="24"/>
                <w:lang w:val="en-US" w:eastAsia="zh-CN"/>
              </w:rPr>
              <w:t>施工</w:t>
            </w:r>
            <w:r>
              <w:rPr>
                <w:rFonts w:hint="eastAsia" w:ascii="Times New Roman" w:hAnsi="Times New Roman" w:eastAsia="宋体" w:cs="Times New Roman"/>
                <w:b w:val="0"/>
                <w:bCs w:val="0"/>
                <w:color w:val="auto"/>
                <w:sz w:val="24"/>
                <w:lang w:val="en-US" w:eastAsia="zh-CN"/>
              </w:rPr>
              <w:t>布置</w:t>
            </w:r>
          </w:p>
          <w:p w14:paraId="0AE399FD">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（1）施工生产区布置</w:t>
            </w:r>
          </w:p>
          <w:p w14:paraId="4F003617">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根据项目区渠道的分布、地形、地物情况，</w:t>
            </w:r>
            <w:r>
              <w:rPr>
                <w:rFonts w:hint="eastAsia" w:cs="Times New Roman"/>
                <w:b w:val="0"/>
                <w:bCs w:val="0"/>
                <w:color w:val="auto"/>
                <w:sz w:val="24"/>
                <w:lang w:val="en-US" w:eastAsia="zh-CN"/>
              </w:rPr>
              <w:t>结合</w:t>
            </w:r>
            <w:r>
              <w:rPr>
                <w:rFonts w:hint="default" w:ascii="Times New Roman" w:hAnsi="Times New Roman" w:eastAsia="宋体" w:cs="Times New Roman"/>
                <w:b w:val="0"/>
                <w:bCs w:val="0"/>
                <w:color w:val="auto"/>
                <w:sz w:val="24"/>
                <w:lang w:val="en-US" w:eastAsia="zh-CN"/>
              </w:rPr>
              <w:t>环境保护要求、施工组织等因素，在本项目计划布置临时生产区</w:t>
            </w:r>
            <w:r>
              <w:rPr>
                <w:rFonts w:hint="eastAsia" w:cs="Times New Roman"/>
                <w:b w:val="0"/>
                <w:bCs w:val="0"/>
                <w:color w:val="auto"/>
                <w:sz w:val="24"/>
                <w:lang w:val="en-US" w:eastAsia="zh-CN"/>
              </w:rPr>
              <w:t>2</w:t>
            </w:r>
            <w:r>
              <w:rPr>
                <w:rFonts w:hint="default" w:ascii="Times New Roman" w:hAnsi="Times New Roman" w:eastAsia="宋体" w:cs="Times New Roman"/>
                <w:b w:val="0"/>
                <w:bCs w:val="0"/>
                <w:color w:val="auto"/>
                <w:sz w:val="24"/>
                <w:lang w:val="en-US" w:eastAsia="zh-CN"/>
              </w:rPr>
              <w:t>处包括</w:t>
            </w:r>
            <w:r>
              <w:rPr>
                <w:rFonts w:hint="eastAsia" w:cs="Times New Roman"/>
                <w:b w:val="0"/>
                <w:bCs w:val="0"/>
                <w:color w:val="auto"/>
                <w:sz w:val="24"/>
                <w:lang w:val="en-US" w:eastAsia="zh-CN"/>
              </w:rPr>
              <w:t>临时</w:t>
            </w:r>
            <w:r>
              <w:rPr>
                <w:rFonts w:hint="default" w:ascii="Times New Roman" w:hAnsi="Times New Roman" w:eastAsia="宋体" w:cs="Times New Roman"/>
                <w:b w:val="0"/>
                <w:bCs w:val="0"/>
                <w:color w:val="auto"/>
                <w:sz w:val="24"/>
                <w:lang w:val="en-US" w:eastAsia="zh-CN"/>
              </w:rPr>
              <w:t>砼拌合系统、加工系统、施工仓库等，</w:t>
            </w:r>
            <w:r>
              <w:rPr>
                <w:rFonts w:hint="default" w:ascii="Times New Roman" w:hAnsi="Times New Roman" w:eastAsia="宋体" w:cs="Times New Roman"/>
                <w:b w:val="0"/>
                <w:bCs w:val="0"/>
                <w:color w:val="auto"/>
                <w:sz w:val="24"/>
                <w:highlight w:val="none"/>
                <w:lang w:val="en-US" w:eastAsia="zh-CN"/>
              </w:rPr>
              <w:t>总占地面积</w:t>
            </w:r>
            <w:r>
              <w:rPr>
                <w:rFonts w:hint="eastAsia" w:ascii="Times New Roman" w:hAnsi="Times New Roman" w:eastAsia="宋体" w:cs="Times New Roman"/>
                <w:b w:val="0"/>
                <w:bCs w:val="0"/>
                <w:color w:val="auto"/>
                <w:sz w:val="24"/>
                <w:highlight w:val="none"/>
                <w:lang w:val="en-US" w:eastAsia="zh-CN"/>
              </w:rPr>
              <w:t>0.0</w:t>
            </w:r>
            <w:r>
              <w:rPr>
                <w:rFonts w:hint="eastAsia" w:cs="Times New Roman"/>
                <w:b w:val="0"/>
                <w:bCs w:val="0"/>
                <w:color w:val="auto"/>
                <w:sz w:val="24"/>
                <w:highlight w:val="none"/>
                <w:lang w:val="en-US" w:eastAsia="zh-CN"/>
              </w:rPr>
              <w:t>4</w:t>
            </w:r>
            <w:r>
              <w:rPr>
                <w:rFonts w:hint="default" w:ascii="Times New Roman" w:hAnsi="Times New Roman" w:eastAsia="宋体" w:cs="Times New Roman"/>
                <w:b w:val="0"/>
                <w:bCs w:val="0"/>
                <w:color w:val="auto"/>
                <w:sz w:val="24"/>
                <w:highlight w:val="none"/>
                <w:lang w:val="en-US" w:eastAsia="zh-CN"/>
              </w:rPr>
              <w:t>hm</w:t>
            </w:r>
            <w:r>
              <w:rPr>
                <w:rFonts w:hint="default" w:ascii="Times New Roman" w:hAnsi="Times New Roman" w:eastAsia="宋体" w:cs="Times New Roman"/>
                <w:b w:val="0"/>
                <w:bCs w:val="0"/>
                <w:color w:val="auto"/>
                <w:sz w:val="24"/>
                <w:highlight w:val="none"/>
                <w:vertAlign w:val="superscript"/>
                <w:lang w:val="en-US" w:eastAsia="zh-CN"/>
              </w:rPr>
              <w:t>2</w:t>
            </w:r>
            <w:r>
              <w:rPr>
                <w:rFonts w:hint="default" w:ascii="Times New Roman" w:hAnsi="Times New Roman" w:eastAsia="宋体" w:cs="Times New Roman"/>
                <w:b w:val="0"/>
                <w:bCs w:val="0"/>
                <w:color w:val="auto"/>
                <w:sz w:val="24"/>
                <w:highlight w:val="none"/>
                <w:lang w:val="en-US" w:eastAsia="zh-CN"/>
              </w:rPr>
              <w:t>，1处位于K5+540东侧，1处位于项目区终点北侧约1km处。</w:t>
            </w:r>
          </w:p>
          <w:p w14:paraId="0A62C042">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施工单位租用附近的民房居住不设置施工临时生活区。</w:t>
            </w:r>
          </w:p>
          <w:p w14:paraId="7754E721">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（2）施工道路布设</w:t>
            </w:r>
          </w:p>
          <w:p w14:paraId="0EAC3509">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依据项目主体设计资料，本次改建渠道均为灌区骨干输水渠道。除开垦河老干渠中段需新建5km临时施工便道外，其余渠道沿线现有机耕道、沥青道路路况良好，可直接满足施工机械通行、物料运输及设备调运需求。</w:t>
            </w:r>
          </w:p>
          <w:p w14:paraId="673E4738">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新建临时施工道路设计宽度4m，总长5km，总占地面积2hm²，施工前对场地原地表进行平整、碾压夯实处理，保障施工通行条件。施工期严格控制道路施工范围，减少地表扰动；施工结束后及时清除路面硬质铺装及压实层，全面开展土地平整、地貌复原及植被恢复工作，恢复至原地类使用功能，消除临时占地带来的生态与土地扰动影响。</w:t>
            </w:r>
          </w:p>
          <w:p w14:paraId="2392F2DA">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（3）临时堆土</w:t>
            </w:r>
          </w:p>
          <w:p w14:paraId="4DCDACF5">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本渠道工程施工采用以挖作填工艺开展边坡修整与土方填筑作业，场地清表、土方换填产生的多余弃土做到及时外运处置，项目不布设集中式大型临时堆土场。</w:t>
            </w:r>
          </w:p>
          <w:p w14:paraId="7DCCA2B6">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农桥、渡槽等渠系配套建筑物基坑开挖产生的土方，仅就近临时堆置于基坑周边合规区域，全部优先用于后续基坑回填利用，无多余土方外排。土方临时堆放严格规范管控，堆放高度控制在1.5~2.0m，堆体按1:1坡度放坡规整堆放，选取平整场地布设，做好堆土围挡、遮盖抑尘及排水防冲刷措施。</w:t>
            </w:r>
          </w:p>
          <w:p w14:paraId="4640E449">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本项目临时堆土总占地面积0.007hm²，待土方回填工序全部完成后，立即对临时堆土扰动区域进行场地清理、平整夯实，恢复原有地表形态与土地原貌，做好场地生态恢复，杜绝遗留土方乱堆乱放问题。</w:t>
            </w:r>
          </w:p>
          <w:p w14:paraId="572C971D">
            <w:pPr>
              <w:adjustRightInd w:val="0"/>
              <w:snapToGrid w:val="0"/>
              <w:spacing w:line="360" w:lineRule="auto"/>
              <w:ind w:firstLine="480" w:firstLineChars="200"/>
              <w:rPr>
                <w:rFonts w:hint="eastAsia"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w:t>
            </w:r>
            <w:r>
              <w:rPr>
                <w:rFonts w:hint="default" w:ascii="Times New Roman" w:hAnsi="Times New Roman" w:eastAsia="宋体" w:cs="Times New Roman"/>
                <w:b w:val="0"/>
                <w:bCs w:val="0"/>
                <w:color w:val="auto"/>
                <w:sz w:val="24"/>
                <w:lang w:val="en-US" w:eastAsia="zh-CN"/>
              </w:rPr>
              <w:t>4</w:t>
            </w:r>
            <w:r>
              <w:rPr>
                <w:rFonts w:hint="eastAsia" w:ascii="Times New Roman" w:hAnsi="Times New Roman" w:eastAsia="宋体" w:cs="Times New Roman"/>
                <w:b w:val="0"/>
                <w:bCs w:val="0"/>
                <w:color w:val="auto"/>
                <w:sz w:val="24"/>
                <w:lang w:val="en-US" w:eastAsia="zh-CN"/>
              </w:rPr>
              <w:t>）取土（料）场</w:t>
            </w:r>
          </w:p>
          <w:p w14:paraId="79D7DD6A">
            <w:pPr>
              <w:adjustRightInd w:val="0"/>
              <w:snapToGrid w:val="0"/>
              <w:spacing w:line="360" w:lineRule="auto"/>
              <w:ind w:firstLine="480" w:firstLineChars="200"/>
              <w:rPr>
                <w:rFonts w:hint="eastAsia"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项目区不设置取土场，借方为外购砂石料垫层，距离工程区较近、手续齐全的砂砾石料场位于奇台总场东北方向直线距离约6km处，料场地理坐标：东经89°48'56.98"，北纬43°57'03.53"。距工程区平均运距45km</w:t>
            </w:r>
            <w:r>
              <w:rPr>
                <w:rFonts w:hint="eastAsia" w:cs="Times New Roman"/>
                <w:b w:val="0"/>
                <w:bCs w:val="0"/>
                <w:color w:val="auto"/>
                <w:sz w:val="24"/>
                <w:lang w:val="en-US" w:eastAsia="zh-CN"/>
              </w:rPr>
              <w:t>。</w:t>
            </w:r>
            <w:r>
              <w:rPr>
                <w:rFonts w:hint="eastAsia" w:ascii="Times New Roman" w:hAnsi="Times New Roman" w:eastAsia="宋体" w:cs="Times New Roman"/>
                <w:b w:val="0"/>
                <w:bCs w:val="0"/>
                <w:color w:val="auto"/>
                <w:sz w:val="24"/>
                <w:lang w:val="en-US" w:eastAsia="zh-CN"/>
              </w:rPr>
              <w:t>水土流失防治责任范围属供应方。本工程所选用砂石料均从奇台县有合法水土保持备案手续的砂石料场采购，由供应方按照国家水土保持有关要求负责采取相应的水土保持措施恢复该区域的原生地貌。</w:t>
            </w:r>
          </w:p>
          <w:p w14:paraId="047D110A">
            <w:pPr>
              <w:adjustRightInd w:val="0"/>
              <w:snapToGrid w:val="0"/>
              <w:spacing w:line="360" w:lineRule="auto"/>
              <w:ind w:firstLine="480" w:firstLineChars="200"/>
              <w:rPr>
                <w:rFonts w:hint="eastAsia"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w:t>
            </w:r>
            <w:r>
              <w:rPr>
                <w:rFonts w:hint="default" w:ascii="Times New Roman" w:hAnsi="Times New Roman" w:eastAsia="宋体" w:cs="Times New Roman"/>
                <w:b w:val="0"/>
                <w:bCs w:val="0"/>
                <w:color w:val="auto"/>
                <w:sz w:val="24"/>
                <w:lang w:val="en-US" w:eastAsia="zh-CN"/>
              </w:rPr>
              <w:t>5</w:t>
            </w:r>
            <w:r>
              <w:rPr>
                <w:rFonts w:hint="eastAsia" w:ascii="Times New Roman" w:hAnsi="Times New Roman" w:eastAsia="宋体" w:cs="Times New Roman"/>
                <w:b w:val="0"/>
                <w:bCs w:val="0"/>
                <w:color w:val="auto"/>
                <w:sz w:val="24"/>
                <w:lang w:val="en-US" w:eastAsia="zh-CN"/>
              </w:rPr>
              <w:t>）弃渣场</w:t>
            </w:r>
          </w:p>
          <w:p w14:paraId="043C3BD6">
            <w:pPr>
              <w:adjustRightInd w:val="0"/>
              <w:snapToGrid w:val="0"/>
              <w:spacing w:line="360" w:lineRule="auto"/>
              <w:ind w:firstLine="480" w:firstLineChars="200"/>
              <w:rPr>
                <w:rFonts w:hint="eastAsia"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根据土石方平衡计算结果，该项目弃方</w:t>
            </w:r>
            <w:r>
              <w:rPr>
                <w:rFonts w:hint="eastAsia" w:cs="Times New Roman"/>
                <w:b w:val="0"/>
                <w:bCs w:val="0"/>
                <w:color w:val="auto"/>
                <w:sz w:val="24"/>
                <w:highlight w:val="none"/>
                <w:lang w:val="en-US" w:eastAsia="zh-CN"/>
              </w:rPr>
              <w:t>1.51</w:t>
            </w:r>
            <w:r>
              <w:rPr>
                <w:rFonts w:hint="eastAsia" w:ascii="Times New Roman" w:hAnsi="Times New Roman" w:eastAsia="宋体" w:cs="Times New Roman"/>
                <w:b w:val="0"/>
                <w:bCs w:val="0"/>
                <w:color w:val="auto"/>
                <w:sz w:val="24"/>
                <w:highlight w:val="none"/>
                <w:lang w:val="en-US" w:eastAsia="zh-CN"/>
              </w:rPr>
              <w:t>万</w:t>
            </w:r>
            <w:r>
              <w:rPr>
                <w:rFonts w:hint="default" w:ascii="Times New Roman" w:hAnsi="Times New Roman" w:eastAsia="宋体" w:cs="Times New Roman"/>
                <w:b w:val="0"/>
                <w:bCs w:val="0"/>
                <w:color w:val="auto"/>
                <w:sz w:val="24"/>
                <w:lang w:val="en-US" w:eastAsia="zh-CN"/>
              </w:rPr>
              <w:t>m</w:t>
            </w:r>
            <w:r>
              <w:rPr>
                <w:rFonts w:hint="default" w:ascii="Times New Roman" w:hAnsi="Times New Roman" w:eastAsia="宋体" w:cs="Times New Roman"/>
                <w:b w:val="0"/>
                <w:bCs w:val="0"/>
                <w:color w:val="auto"/>
                <w:sz w:val="24"/>
                <w:vertAlign w:val="superscript"/>
                <w:lang w:val="en-US" w:eastAsia="zh-CN"/>
              </w:rPr>
              <w:t>3</w:t>
            </w:r>
            <w:r>
              <w:rPr>
                <w:rFonts w:hint="eastAsia" w:ascii="Times New Roman" w:hAnsi="Times New Roman" w:eastAsia="宋体" w:cs="Times New Roman"/>
                <w:b w:val="0"/>
                <w:bCs w:val="0"/>
                <w:color w:val="auto"/>
                <w:sz w:val="24"/>
                <w:lang w:val="en-US" w:eastAsia="zh-CN"/>
              </w:rPr>
              <w:t>，主要为原渠道及渠系建筑物拆除产生的建筑垃圾，计划拉至奇台县建筑垃圾填埋场处置。因此，本项目不设置弃渣场。</w:t>
            </w:r>
          </w:p>
          <w:p w14:paraId="1EBF3CF8">
            <w:pPr>
              <w:keepNext w:val="0"/>
              <w:keepLines w:val="0"/>
              <w:pageBreakBefore w:val="0"/>
              <w:widowControl w:val="0"/>
              <w:numPr>
                <w:ilvl w:val="0"/>
                <w:numId w:val="7"/>
              </w:numPr>
              <w:kinsoku/>
              <w:wordWrap/>
              <w:overflowPunct/>
              <w:topLinePunct w:val="0"/>
              <w:autoSpaceDE w:val="0"/>
              <w:autoSpaceDN w:val="0"/>
              <w:bidi w:val="0"/>
              <w:adjustRightInd w:val="0"/>
              <w:snapToGrid w:val="0"/>
              <w:spacing w:before="157" w:beforeLines="50"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工艺流程简述</w:t>
            </w:r>
          </w:p>
          <w:p w14:paraId="2ADE2F86">
            <w:pPr>
              <w:adjustRightInd w:val="0"/>
              <w:snapToGrid w:val="0"/>
              <w:spacing w:line="360" w:lineRule="auto"/>
              <w:ind w:firstLine="480" w:firstLineChars="200"/>
              <w:rPr>
                <w:rFonts w:hint="default" w:ascii="Times New Roman" w:hAnsi="Times New Roman" w:cs="Times New Roman"/>
                <w:b w:val="0"/>
                <w:bCs w:val="0"/>
                <w:color w:val="auto"/>
                <w:sz w:val="24"/>
                <w:lang w:val="en-US" w:eastAsia="zh-CN"/>
              </w:rPr>
            </w:pPr>
            <w:r>
              <w:rPr>
                <w:rFonts w:hint="default" w:ascii="Times New Roman" w:hAnsi="Times New Roman" w:cs="Times New Roman"/>
                <w:b w:val="0"/>
                <w:bCs w:val="0"/>
                <w:color w:val="auto"/>
                <w:sz w:val="24"/>
                <w:lang w:val="en-US" w:eastAsia="zh-CN"/>
              </w:rPr>
              <w:t>本工程施工线路较长，施工场地分散，工程量较大，因此需做好施工组织设计。渠道工程施工内容主要为老渠道表层清废或老渠道护面衬砌材料拆除、土方开挖、土方填筑碾压、衬砌材料砌筑等。</w:t>
            </w:r>
          </w:p>
          <w:p w14:paraId="7267E908">
            <w:pPr>
              <w:adjustRightInd w:val="0"/>
              <w:snapToGrid w:val="0"/>
              <w:spacing w:line="360" w:lineRule="auto"/>
              <w:ind w:firstLine="480" w:firstLineChars="200"/>
              <w:rPr>
                <w:rFonts w:hint="default" w:ascii="Times New Roman" w:hAnsi="Times New Roman" w:cs="Times New Roman"/>
                <w:b w:val="0"/>
                <w:bCs w:val="0"/>
                <w:color w:val="auto"/>
                <w:sz w:val="24"/>
                <w:lang w:val="en-US" w:eastAsia="zh-CN"/>
              </w:rPr>
            </w:pPr>
            <w:r>
              <w:rPr>
                <w:rFonts w:hint="default" w:ascii="Times New Roman" w:hAnsi="Times New Roman" w:cs="Times New Roman"/>
                <w:b w:val="0"/>
                <w:bCs w:val="0"/>
                <w:color w:val="auto"/>
                <w:sz w:val="24"/>
                <w:lang w:val="en-US" w:eastAsia="zh-CN"/>
              </w:rPr>
              <w:drawing>
                <wp:anchor distT="0" distB="0" distL="114300" distR="114300" simplePos="0" relativeHeight="251661312" behindDoc="0" locked="0" layoutInCell="1" allowOverlap="1">
                  <wp:simplePos x="0" y="0"/>
                  <wp:positionH relativeFrom="column">
                    <wp:posOffset>195580</wp:posOffset>
                  </wp:positionH>
                  <wp:positionV relativeFrom="paragraph">
                    <wp:posOffset>410210</wp:posOffset>
                  </wp:positionV>
                  <wp:extent cx="4418330" cy="2879725"/>
                  <wp:effectExtent l="0" t="0" r="7620" b="2540"/>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7"/>
                          <a:stretch>
                            <a:fillRect/>
                          </a:stretch>
                        </pic:blipFill>
                        <pic:spPr>
                          <a:xfrm>
                            <a:off x="0" y="0"/>
                            <a:ext cx="4418330" cy="2879725"/>
                          </a:xfrm>
                          <a:prstGeom prst="rect">
                            <a:avLst/>
                          </a:prstGeom>
                          <a:noFill/>
                          <a:ln>
                            <a:noFill/>
                          </a:ln>
                        </pic:spPr>
                      </pic:pic>
                    </a:graphicData>
                  </a:graphic>
                </wp:anchor>
              </w:drawing>
            </w:r>
            <w:r>
              <w:rPr>
                <w:rFonts w:hint="default" w:ascii="Times New Roman" w:hAnsi="Times New Roman" w:cs="Times New Roman"/>
                <w:b w:val="0"/>
                <w:bCs w:val="0"/>
                <w:color w:val="auto"/>
                <w:sz w:val="24"/>
                <w:lang w:val="en-US" w:eastAsia="zh-CN"/>
              </w:rPr>
              <w:t>本项目施工期工艺流程及产污流程如下：</w:t>
            </w:r>
          </w:p>
          <w:p w14:paraId="59D7B2BA">
            <w:pPr>
              <w:adjustRightInd w:val="0"/>
              <w:snapToGrid w:val="0"/>
              <w:spacing w:line="360" w:lineRule="auto"/>
              <w:ind w:firstLine="482" w:firstLineChars="200"/>
              <w:jc w:val="center"/>
              <w:rPr>
                <w:rFonts w:hint="default" w:ascii="Times New Roman" w:hAnsi="Times New Roman" w:eastAsia="宋体" w:cs="Times New Roman"/>
                <w:b/>
                <w:color w:val="auto"/>
                <w:kern w:val="0"/>
                <w:sz w:val="24"/>
                <w:szCs w:val="24"/>
                <w:lang w:val="en-US" w:eastAsia="zh-CN" w:bidi="ar"/>
              </w:rPr>
            </w:pPr>
            <w:r>
              <w:rPr>
                <w:rFonts w:hint="default" w:ascii="Times New Roman" w:hAnsi="Times New Roman" w:eastAsia="宋体" w:cs="Times New Roman"/>
                <w:b/>
                <w:color w:val="auto"/>
                <w:kern w:val="0"/>
                <w:sz w:val="24"/>
                <w:szCs w:val="24"/>
                <w:lang w:val="en-US" w:eastAsia="zh-CN" w:bidi="ar"/>
              </w:rPr>
              <w:t>图 2-1 防渗渠工艺流程及产污环节图</w:t>
            </w:r>
          </w:p>
          <w:p w14:paraId="1FFCACC6">
            <w:pPr>
              <w:adjustRightInd w:val="0"/>
              <w:snapToGrid w:val="0"/>
              <w:spacing w:line="360" w:lineRule="auto"/>
              <w:ind w:firstLine="480" w:firstLineChars="200"/>
              <w:jc w:val="center"/>
              <w:rPr>
                <w:rFonts w:hint="default" w:ascii="Times New Roman" w:hAnsi="Times New Roman" w:eastAsia="宋体" w:cs="Times New Roman"/>
                <w:b/>
                <w:color w:val="auto"/>
                <w:kern w:val="0"/>
                <w:sz w:val="24"/>
                <w:szCs w:val="24"/>
                <w:lang w:val="en-US" w:eastAsia="zh-CN" w:bidi="ar"/>
              </w:rPr>
            </w:pPr>
            <w:r>
              <w:rPr>
                <w:rFonts w:hint="default" w:ascii="Times New Roman" w:hAnsi="Times New Roman" w:cs="Times New Roman"/>
                <w:b w:val="0"/>
                <w:bCs w:val="0"/>
                <w:color w:val="auto"/>
                <w:sz w:val="24"/>
                <w:lang w:val="en-US" w:eastAsia="zh-CN"/>
              </w:rPr>
              <w:drawing>
                <wp:anchor distT="0" distB="0" distL="114300" distR="114300" simplePos="0" relativeHeight="251660288" behindDoc="0" locked="0" layoutInCell="1" allowOverlap="1">
                  <wp:simplePos x="0" y="0"/>
                  <wp:positionH relativeFrom="column">
                    <wp:posOffset>241300</wp:posOffset>
                  </wp:positionH>
                  <wp:positionV relativeFrom="paragraph">
                    <wp:posOffset>60325</wp:posOffset>
                  </wp:positionV>
                  <wp:extent cx="4596130" cy="1701800"/>
                  <wp:effectExtent l="0" t="0" r="2540" b="3810"/>
                  <wp:wrapTopAndBottom/>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8"/>
                          <a:stretch>
                            <a:fillRect/>
                          </a:stretch>
                        </pic:blipFill>
                        <pic:spPr>
                          <a:xfrm>
                            <a:off x="0" y="0"/>
                            <a:ext cx="4596130" cy="1701800"/>
                          </a:xfrm>
                          <a:prstGeom prst="rect">
                            <a:avLst/>
                          </a:prstGeom>
                          <a:noFill/>
                          <a:ln>
                            <a:noFill/>
                          </a:ln>
                        </pic:spPr>
                      </pic:pic>
                    </a:graphicData>
                  </a:graphic>
                </wp:anchor>
              </w:drawing>
            </w:r>
            <w:r>
              <w:rPr>
                <w:rFonts w:hint="default" w:ascii="Times New Roman" w:hAnsi="Times New Roman" w:eastAsia="宋体" w:cs="Times New Roman"/>
                <w:b/>
                <w:color w:val="auto"/>
                <w:kern w:val="0"/>
                <w:sz w:val="24"/>
                <w:szCs w:val="24"/>
                <w:lang w:val="en-US" w:eastAsia="zh-CN" w:bidi="ar"/>
              </w:rPr>
              <w:t>图 2-2 渠道建筑物施工工艺流程及产污节点图</w:t>
            </w:r>
          </w:p>
          <w:p w14:paraId="1DF42561">
            <w:pPr>
              <w:adjustRightInd w:val="0"/>
              <w:snapToGrid w:val="0"/>
              <w:spacing w:line="360" w:lineRule="auto"/>
              <w:ind w:firstLine="480" w:firstLineChars="200"/>
              <w:jc w:val="center"/>
              <w:rPr>
                <w:rFonts w:hint="default" w:ascii="Times New Roman" w:hAnsi="Times New Roman" w:eastAsia="宋体" w:cs="Times New Roman"/>
                <w:b/>
                <w:color w:val="auto"/>
                <w:kern w:val="0"/>
                <w:sz w:val="24"/>
                <w:szCs w:val="24"/>
                <w:lang w:val="en-US" w:eastAsia="zh-CN" w:bidi="ar"/>
              </w:rPr>
            </w:pPr>
            <w:r>
              <w:rPr>
                <w:rFonts w:hint="default" w:ascii="Times New Roman" w:hAnsi="Times New Roman" w:cs="Times New Roman"/>
                <w:b w:val="0"/>
                <w:bCs w:val="0"/>
                <w:color w:val="auto"/>
                <w:sz w:val="24"/>
                <w:lang w:val="en-US" w:eastAsia="zh-CN"/>
              </w:rPr>
              <w:drawing>
                <wp:anchor distT="0" distB="0" distL="114300" distR="114300" simplePos="0" relativeHeight="251662336" behindDoc="0" locked="0" layoutInCell="1" allowOverlap="1">
                  <wp:simplePos x="0" y="0"/>
                  <wp:positionH relativeFrom="column">
                    <wp:posOffset>-18415</wp:posOffset>
                  </wp:positionH>
                  <wp:positionV relativeFrom="paragraph">
                    <wp:posOffset>2540</wp:posOffset>
                  </wp:positionV>
                  <wp:extent cx="5002530" cy="2903220"/>
                  <wp:effectExtent l="0" t="0" r="0" b="0"/>
                  <wp:wrapTopAndBottom/>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9"/>
                          <a:stretch>
                            <a:fillRect/>
                          </a:stretch>
                        </pic:blipFill>
                        <pic:spPr>
                          <a:xfrm>
                            <a:off x="0" y="0"/>
                            <a:ext cx="5002530" cy="2903220"/>
                          </a:xfrm>
                          <a:prstGeom prst="rect">
                            <a:avLst/>
                          </a:prstGeom>
                          <a:noFill/>
                          <a:ln>
                            <a:noFill/>
                          </a:ln>
                        </pic:spPr>
                      </pic:pic>
                    </a:graphicData>
                  </a:graphic>
                </wp:anchor>
              </w:drawing>
            </w:r>
            <w:r>
              <w:rPr>
                <w:rFonts w:hint="default" w:ascii="Times New Roman" w:hAnsi="Times New Roman" w:eastAsia="宋体" w:cs="Times New Roman"/>
                <w:b/>
                <w:color w:val="auto"/>
                <w:kern w:val="0"/>
                <w:sz w:val="24"/>
                <w:szCs w:val="24"/>
                <w:lang w:val="en-US" w:eastAsia="zh-CN" w:bidi="ar"/>
              </w:rPr>
              <w:t>图 2-3 农桥主要施工工序及产污节点图</w:t>
            </w:r>
          </w:p>
          <w:p w14:paraId="4DA84102">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项目区工程施工主要包括清基、土方开挖、土方填筑、砂砾石垫层料施工、现浇砼浇筑及渠系建筑物施工。</w:t>
            </w:r>
          </w:p>
          <w:p w14:paraId="06065B25">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w:t>
            </w:r>
            <w:r>
              <w:rPr>
                <w:rFonts w:hint="default" w:ascii="Times New Roman" w:hAnsi="Times New Roman" w:eastAsia="宋体" w:cs="Times New Roman"/>
                <w:b w:val="0"/>
                <w:bCs w:val="0"/>
                <w:color w:val="auto"/>
                <w:sz w:val="24"/>
                <w:lang w:val="en-US" w:eastAsia="zh-CN"/>
              </w:rPr>
              <w:t>1</w:t>
            </w:r>
            <w:r>
              <w:rPr>
                <w:rFonts w:hint="eastAsia" w:ascii="Times New Roman" w:hAnsi="Times New Roman" w:eastAsia="宋体" w:cs="Times New Roman"/>
                <w:b w:val="0"/>
                <w:bCs w:val="0"/>
                <w:color w:val="auto"/>
                <w:sz w:val="24"/>
                <w:lang w:val="en-US" w:eastAsia="zh-CN"/>
              </w:rPr>
              <w:t>）渠道施工</w:t>
            </w:r>
          </w:p>
          <w:p w14:paraId="4240B1AB">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1</w:t>
            </w:r>
            <w:r>
              <w:rPr>
                <w:rFonts w:hint="eastAsia" w:ascii="Times New Roman" w:hAnsi="Times New Roman" w:eastAsia="宋体" w:cs="Times New Roman"/>
                <w:b w:val="0"/>
                <w:bCs w:val="0"/>
                <w:color w:val="auto"/>
                <w:sz w:val="24"/>
                <w:lang w:val="en-US" w:eastAsia="zh-CN"/>
              </w:rPr>
              <w:t>）清基：施工前，放出清基边线，并做出明显标识，用推土机将清基土从渠中心向左右侧推送，清基厚度为</w:t>
            </w:r>
            <w:r>
              <w:rPr>
                <w:rFonts w:hint="default" w:ascii="Times New Roman" w:hAnsi="Times New Roman" w:eastAsia="宋体" w:cs="Times New Roman"/>
                <w:b w:val="0"/>
                <w:bCs w:val="0"/>
                <w:color w:val="auto"/>
                <w:sz w:val="24"/>
                <w:lang w:val="en-US" w:eastAsia="zh-CN"/>
              </w:rPr>
              <w:t>30cm</w:t>
            </w:r>
            <w:r>
              <w:rPr>
                <w:rFonts w:hint="eastAsia" w:ascii="Times New Roman" w:hAnsi="Times New Roman" w:eastAsia="宋体" w:cs="Times New Roman"/>
                <w:b w:val="0"/>
                <w:bCs w:val="0"/>
                <w:color w:val="auto"/>
                <w:sz w:val="24"/>
                <w:lang w:val="en-US" w:eastAsia="zh-CN"/>
              </w:rPr>
              <w:t>。渠基开挖中清除的弃土、废物、废料等，运到指定场地堆放。</w:t>
            </w:r>
          </w:p>
          <w:p w14:paraId="57EE9BE4">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2</w:t>
            </w:r>
            <w:r>
              <w:rPr>
                <w:rFonts w:hint="eastAsia" w:ascii="Times New Roman" w:hAnsi="Times New Roman" w:eastAsia="宋体" w:cs="Times New Roman"/>
                <w:b w:val="0"/>
                <w:bCs w:val="0"/>
                <w:color w:val="auto"/>
                <w:sz w:val="24"/>
                <w:lang w:val="en-US" w:eastAsia="zh-CN"/>
              </w:rPr>
              <w:t>）开挖：采用挖掘机进行，推土机配合。挖出的土可直接用于填筑渠堤，渠堤填筑严格按施工规范进行。挖出多余土方堆放在渠道外坡脚外，并用推土机推平，并用机械进行碾压，不足土方从土料场调运。</w:t>
            </w:r>
          </w:p>
          <w:p w14:paraId="31A49ABA">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3</w:t>
            </w:r>
            <w:r>
              <w:rPr>
                <w:rFonts w:hint="eastAsia" w:ascii="Times New Roman" w:hAnsi="Times New Roman" w:eastAsia="宋体" w:cs="Times New Roman"/>
                <w:b w:val="0"/>
                <w:bCs w:val="0"/>
                <w:color w:val="auto"/>
                <w:sz w:val="24"/>
                <w:lang w:val="en-US" w:eastAsia="zh-CN"/>
              </w:rPr>
              <w:t>）填筑施工：土方填筑程序依次为渠堤高程引测、宽度控制、渠堤分层填筑、洒水碾压、压实度试验、土堤削坡、成型，填筑土方应采用振动碾压实，渠堤削坡采取人工施工。回填土分层碾压，一次碾压厚度不宜超过</w:t>
            </w:r>
            <w:r>
              <w:rPr>
                <w:rFonts w:hint="default" w:ascii="Times New Roman" w:hAnsi="Times New Roman" w:eastAsia="宋体" w:cs="Times New Roman"/>
                <w:b w:val="0"/>
                <w:bCs w:val="0"/>
                <w:color w:val="auto"/>
                <w:sz w:val="24"/>
                <w:lang w:val="en-US" w:eastAsia="zh-CN"/>
              </w:rPr>
              <w:t>30cm</w:t>
            </w:r>
            <w:r>
              <w:rPr>
                <w:rFonts w:hint="eastAsia" w:ascii="Times New Roman" w:hAnsi="Times New Roman" w:eastAsia="宋体" w:cs="Times New Roman"/>
                <w:b w:val="0"/>
                <w:bCs w:val="0"/>
                <w:color w:val="auto"/>
                <w:sz w:val="24"/>
                <w:lang w:val="en-US" w:eastAsia="zh-CN"/>
              </w:rPr>
              <w:t>，粘性土压实度为</w:t>
            </w:r>
            <w:r>
              <w:rPr>
                <w:rFonts w:hint="default" w:ascii="Times New Roman" w:hAnsi="Times New Roman" w:eastAsia="宋体" w:cs="Times New Roman"/>
                <w:b w:val="0"/>
                <w:bCs w:val="0"/>
                <w:color w:val="auto"/>
                <w:sz w:val="24"/>
                <w:lang w:val="en-US" w:eastAsia="zh-CN"/>
              </w:rPr>
              <w:t>0.93</w:t>
            </w:r>
            <w:r>
              <w:rPr>
                <w:rFonts w:hint="eastAsia" w:ascii="Times New Roman" w:hAnsi="Times New Roman" w:eastAsia="宋体" w:cs="Times New Roman"/>
                <w:b w:val="0"/>
                <w:bCs w:val="0"/>
                <w:color w:val="auto"/>
                <w:sz w:val="24"/>
                <w:lang w:val="en-US" w:eastAsia="zh-CN"/>
              </w:rPr>
              <w:t>，非粘性土相对密度为</w:t>
            </w:r>
            <w:r>
              <w:rPr>
                <w:rFonts w:hint="default" w:ascii="Times New Roman" w:hAnsi="Times New Roman" w:eastAsia="宋体" w:cs="Times New Roman"/>
                <w:b w:val="0"/>
                <w:bCs w:val="0"/>
                <w:color w:val="auto"/>
                <w:sz w:val="24"/>
                <w:lang w:val="en-US" w:eastAsia="zh-CN"/>
              </w:rPr>
              <w:t>0.70</w:t>
            </w:r>
            <w:r>
              <w:rPr>
                <w:rFonts w:hint="eastAsia" w:ascii="Times New Roman" w:hAnsi="Times New Roman" w:eastAsia="宋体" w:cs="Times New Roman"/>
                <w:b w:val="0"/>
                <w:bCs w:val="0"/>
                <w:color w:val="auto"/>
                <w:sz w:val="24"/>
                <w:lang w:val="en-US" w:eastAsia="zh-CN"/>
              </w:rPr>
              <w:t>。碾压方法按进退错距法压实，相邻两段交接带碾压搭接长度，顺碾压方向不小于</w:t>
            </w:r>
            <w:r>
              <w:rPr>
                <w:rFonts w:hint="default" w:ascii="Times New Roman" w:hAnsi="Times New Roman" w:eastAsia="宋体" w:cs="Times New Roman"/>
                <w:b w:val="0"/>
                <w:bCs w:val="0"/>
                <w:color w:val="auto"/>
                <w:sz w:val="24"/>
                <w:lang w:val="en-US" w:eastAsia="zh-CN"/>
              </w:rPr>
              <w:t>0.3m</w:t>
            </w:r>
            <w:r>
              <w:rPr>
                <w:rFonts w:hint="eastAsia" w:ascii="Times New Roman" w:hAnsi="Times New Roman" w:eastAsia="宋体" w:cs="Times New Roman"/>
                <w:b w:val="0"/>
                <w:bCs w:val="0"/>
                <w:color w:val="auto"/>
                <w:sz w:val="24"/>
                <w:lang w:val="en-US" w:eastAsia="zh-CN"/>
              </w:rPr>
              <w:t>，垂直碾压方向搭接长度不小于</w:t>
            </w:r>
            <w:r>
              <w:rPr>
                <w:rFonts w:hint="default" w:ascii="Times New Roman" w:hAnsi="Times New Roman" w:eastAsia="宋体" w:cs="Times New Roman"/>
                <w:b w:val="0"/>
                <w:bCs w:val="0"/>
                <w:color w:val="auto"/>
                <w:sz w:val="24"/>
                <w:lang w:val="en-US" w:eastAsia="zh-CN"/>
              </w:rPr>
              <w:t>1.5m</w:t>
            </w:r>
            <w:r>
              <w:rPr>
                <w:rFonts w:hint="eastAsia" w:ascii="Times New Roman" w:hAnsi="Times New Roman" w:eastAsia="宋体" w:cs="Times New Roman"/>
                <w:b w:val="0"/>
                <w:bCs w:val="0"/>
                <w:color w:val="auto"/>
                <w:sz w:val="24"/>
                <w:lang w:val="en-US" w:eastAsia="zh-CN"/>
              </w:rPr>
              <w:t>，碾压遍数由试验而定。每段渠堤自身在回填碾压过程中留纵横向接槎，渠堤的洒水量要严格控制，如超含水量要进行土料翻晒，含水量不足要及时洒水，再进行碾压，禁止出现欠压和过压现象。</w:t>
            </w:r>
          </w:p>
          <w:p w14:paraId="284936D2">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4</w:t>
            </w:r>
            <w:r>
              <w:rPr>
                <w:rFonts w:hint="eastAsia" w:ascii="Times New Roman" w:hAnsi="Times New Roman" w:eastAsia="宋体" w:cs="Times New Roman"/>
                <w:b w:val="0"/>
                <w:bCs w:val="0"/>
                <w:color w:val="auto"/>
                <w:sz w:val="24"/>
                <w:lang w:val="en-US" w:eastAsia="zh-CN"/>
              </w:rPr>
              <w:t>）砂砾石垫层料施工：考虑冻胀及腐蚀性等问题，需用砂砾石进行换填，用自卸汽车将换填砂砾石运至施工现场，在人工的协助下将砂砾石按设计要求铺设在渠床上，采用振动碾进行碾压，使其相对密度达到</w:t>
            </w:r>
            <w:r>
              <w:rPr>
                <w:rFonts w:hint="default" w:ascii="Times New Roman" w:hAnsi="Times New Roman" w:eastAsia="宋体" w:cs="Times New Roman"/>
                <w:b w:val="0"/>
                <w:bCs w:val="0"/>
                <w:color w:val="auto"/>
                <w:sz w:val="24"/>
                <w:lang w:val="en-US" w:eastAsia="zh-CN"/>
              </w:rPr>
              <w:t>0.70</w:t>
            </w:r>
            <w:r>
              <w:rPr>
                <w:rFonts w:hint="eastAsia" w:ascii="Times New Roman" w:hAnsi="Times New Roman" w:eastAsia="宋体" w:cs="Times New Roman"/>
                <w:b w:val="0"/>
                <w:bCs w:val="0"/>
                <w:color w:val="auto"/>
                <w:sz w:val="24"/>
                <w:lang w:val="en-US" w:eastAsia="zh-CN"/>
              </w:rPr>
              <w:t>。</w:t>
            </w:r>
          </w:p>
          <w:p w14:paraId="32367A4E">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5</w:t>
            </w:r>
            <w:r>
              <w:rPr>
                <w:rFonts w:hint="eastAsia" w:ascii="Times New Roman" w:hAnsi="Times New Roman" w:eastAsia="宋体" w:cs="Times New Roman"/>
                <w:b w:val="0"/>
                <w:bCs w:val="0"/>
                <w:color w:val="auto"/>
                <w:sz w:val="24"/>
                <w:lang w:val="en-US" w:eastAsia="zh-CN"/>
              </w:rPr>
              <w:t>）现浇砼板施工：工序为：定位放线—基础开挖—立模板—浇筑砼。现浇砼板采用人工按常规方法施工即可。配合比严格按实验室提供的配合比，所用的砂石料均应进行清洗与过秤，控制水灰比及坍落度砼</w:t>
            </w:r>
            <w:r>
              <w:rPr>
                <w:rFonts w:hint="eastAsia" w:cs="Times New Roman"/>
                <w:b w:val="0"/>
                <w:bCs w:val="0"/>
                <w:color w:val="auto"/>
                <w:sz w:val="24"/>
                <w:lang w:val="en-US" w:eastAsia="zh-CN"/>
              </w:rPr>
              <w:t>拌和站</w:t>
            </w:r>
            <w:r>
              <w:rPr>
                <w:rFonts w:hint="eastAsia" w:ascii="Times New Roman" w:hAnsi="Times New Roman" w:eastAsia="宋体" w:cs="Times New Roman"/>
                <w:b w:val="0"/>
                <w:bCs w:val="0"/>
                <w:color w:val="auto"/>
                <w:sz w:val="24"/>
                <w:lang w:val="en-US" w:eastAsia="zh-CN"/>
              </w:rPr>
              <w:t>设专职监督员，进行现场控制，不符合要求的砼不允许出机，砼运输采用人工推车运到工作部位，人工入仓，对于大体积砼用振动棒进行振捣，砼板用平板振动器进行振捣。振捣必须密实，严禁出现蜂窝麻面现象。浇完的砼表面要覆盖，</w:t>
            </w:r>
            <w:r>
              <w:rPr>
                <w:rFonts w:hint="eastAsia" w:cs="Times New Roman"/>
                <w:b w:val="0"/>
                <w:bCs w:val="0"/>
                <w:color w:val="auto"/>
                <w:sz w:val="24"/>
                <w:lang w:val="en-US" w:eastAsia="zh-CN"/>
              </w:rPr>
              <w:t>洒水</w:t>
            </w:r>
            <w:r>
              <w:rPr>
                <w:rFonts w:hint="eastAsia" w:ascii="Times New Roman" w:hAnsi="Times New Roman" w:eastAsia="宋体" w:cs="Times New Roman"/>
                <w:b w:val="0"/>
                <w:bCs w:val="0"/>
                <w:color w:val="auto"/>
                <w:sz w:val="24"/>
                <w:lang w:val="en-US" w:eastAsia="zh-CN"/>
              </w:rPr>
              <w:t>养护到规范规定的天数，使砼强度达到设计要求。渠道填筑</w:t>
            </w:r>
            <w:r>
              <w:rPr>
                <w:rFonts w:hint="eastAsia" w:cs="Times New Roman"/>
                <w:b w:val="0"/>
                <w:bCs w:val="0"/>
                <w:color w:val="auto"/>
                <w:sz w:val="24"/>
                <w:lang w:val="en-US" w:eastAsia="zh-CN"/>
              </w:rPr>
              <w:t>完成</w:t>
            </w:r>
            <w:r>
              <w:rPr>
                <w:rFonts w:hint="eastAsia" w:ascii="Times New Roman" w:hAnsi="Times New Roman" w:eastAsia="宋体" w:cs="Times New Roman"/>
                <w:b w:val="0"/>
                <w:bCs w:val="0"/>
                <w:color w:val="auto"/>
                <w:sz w:val="24"/>
                <w:lang w:val="en-US" w:eastAsia="zh-CN"/>
              </w:rPr>
              <w:t>后，根据施工规范进行渠槽的验收，浇筑砼时，要注意砼是否捣实，并严格控制砼浇筑厚度。</w:t>
            </w:r>
          </w:p>
          <w:p w14:paraId="5C882271">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w:t>
            </w:r>
            <w:r>
              <w:rPr>
                <w:rFonts w:hint="default" w:ascii="Times New Roman" w:hAnsi="Times New Roman" w:eastAsia="宋体" w:cs="Times New Roman"/>
                <w:b w:val="0"/>
                <w:bCs w:val="0"/>
                <w:color w:val="auto"/>
                <w:sz w:val="24"/>
                <w:lang w:val="en-US" w:eastAsia="zh-CN"/>
              </w:rPr>
              <w:t>2</w:t>
            </w:r>
            <w:r>
              <w:rPr>
                <w:rFonts w:hint="eastAsia" w:ascii="Times New Roman" w:hAnsi="Times New Roman" w:eastAsia="宋体" w:cs="Times New Roman"/>
                <w:b w:val="0"/>
                <w:bCs w:val="0"/>
                <w:color w:val="auto"/>
                <w:sz w:val="24"/>
                <w:lang w:val="en-US" w:eastAsia="zh-CN"/>
              </w:rPr>
              <w:t>）渠系建筑物施工</w:t>
            </w:r>
          </w:p>
          <w:p w14:paraId="155A04A1">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工序为：定位放线—基础开挖—立模板—浇筑砼。</w:t>
            </w:r>
          </w:p>
          <w:p w14:paraId="26B3115D">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基础开挖：采用挖掘机开挖，</w:t>
            </w:r>
            <w:r>
              <w:rPr>
                <w:rFonts w:hint="default" w:ascii="Times New Roman" w:hAnsi="Times New Roman" w:eastAsia="宋体" w:cs="Times New Roman"/>
                <w:b w:val="0"/>
                <w:bCs w:val="0"/>
                <w:color w:val="auto"/>
                <w:sz w:val="24"/>
                <w:lang w:val="en-US" w:eastAsia="zh-CN"/>
              </w:rPr>
              <w:t>10m</w:t>
            </w:r>
            <w:r>
              <w:rPr>
                <w:rFonts w:hint="default" w:ascii="Times New Roman" w:hAnsi="Times New Roman" w:eastAsia="宋体" w:cs="Times New Roman"/>
                <w:b w:val="0"/>
                <w:bCs w:val="0"/>
                <w:color w:val="auto"/>
                <w:sz w:val="24"/>
                <w:vertAlign w:val="superscript"/>
                <w:lang w:val="en-US" w:eastAsia="zh-CN"/>
              </w:rPr>
              <w:t>3</w:t>
            </w:r>
            <w:r>
              <w:rPr>
                <w:rFonts w:hint="eastAsia" w:ascii="Times New Roman" w:hAnsi="Times New Roman" w:eastAsia="宋体" w:cs="Times New Roman"/>
                <w:b w:val="0"/>
                <w:bCs w:val="0"/>
                <w:color w:val="auto"/>
                <w:sz w:val="24"/>
                <w:lang w:val="en-US" w:eastAsia="zh-CN"/>
              </w:rPr>
              <w:t>挖掘机直接挖料到基坑外，设计开挖边坡均为</w:t>
            </w:r>
            <w:r>
              <w:rPr>
                <w:rFonts w:hint="default" w:ascii="Times New Roman" w:hAnsi="Times New Roman" w:eastAsia="宋体" w:cs="Times New Roman"/>
                <w:b w:val="0"/>
                <w:bCs w:val="0"/>
                <w:color w:val="auto"/>
                <w:sz w:val="24"/>
                <w:lang w:val="en-US" w:eastAsia="zh-CN"/>
              </w:rPr>
              <w:t>1:1.5</w:t>
            </w:r>
            <w:r>
              <w:rPr>
                <w:rFonts w:hint="eastAsia" w:ascii="Times New Roman" w:hAnsi="Times New Roman" w:eastAsia="宋体" w:cs="Times New Roman"/>
                <w:b w:val="0"/>
                <w:bCs w:val="0"/>
                <w:color w:val="auto"/>
                <w:sz w:val="24"/>
                <w:lang w:val="en-US" w:eastAsia="zh-CN"/>
              </w:rPr>
              <w:t>。因建筑物的基础开挖轴线要准确无误，应进行复查后进行开挖，采用机械挖至设计高程的</w:t>
            </w:r>
            <w:r>
              <w:rPr>
                <w:rFonts w:hint="default" w:ascii="Times New Roman" w:hAnsi="Times New Roman" w:eastAsia="宋体" w:cs="Times New Roman"/>
                <w:b w:val="0"/>
                <w:bCs w:val="0"/>
                <w:color w:val="auto"/>
                <w:sz w:val="24"/>
                <w:lang w:val="en-US" w:eastAsia="zh-CN"/>
              </w:rPr>
              <w:t>+10cm</w:t>
            </w:r>
            <w:r>
              <w:rPr>
                <w:rFonts w:hint="eastAsia" w:ascii="Times New Roman" w:hAnsi="Times New Roman" w:eastAsia="宋体" w:cs="Times New Roman"/>
                <w:b w:val="0"/>
                <w:bCs w:val="0"/>
                <w:color w:val="auto"/>
                <w:sz w:val="24"/>
                <w:lang w:val="en-US" w:eastAsia="zh-CN"/>
              </w:rPr>
              <w:t>时，人工清理剩余土方。</w:t>
            </w:r>
          </w:p>
          <w:p w14:paraId="338A6195">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立模板：在建筑物地基处理后，先用素砼铺一层</w:t>
            </w:r>
            <w:r>
              <w:rPr>
                <w:rFonts w:hint="default" w:ascii="Times New Roman" w:hAnsi="Times New Roman" w:eastAsia="宋体" w:cs="Times New Roman"/>
                <w:b w:val="0"/>
                <w:bCs w:val="0"/>
                <w:color w:val="auto"/>
                <w:sz w:val="24"/>
                <w:lang w:val="en-US" w:eastAsia="zh-CN"/>
              </w:rPr>
              <w:t>8</w:t>
            </w:r>
            <w:r>
              <w:rPr>
                <w:rFonts w:hint="eastAsia" w:cs="Times New Roman"/>
                <w:b w:val="0"/>
                <w:bCs w:val="0"/>
                <w:color w:val="auto"/>
                <w:sz w:val="24"/>
                <w:lang w:val="en-US" w:eastAsia="zh-CN"/>
              </w:rPr>
              <w:t>～</w:t>
            </w:r>
            <w:r>
              <w:rPr>
                <w:rFonts w:hint="default" w:ascii="Times New Roman" w:hAnsi="Times New Roman" w:eastAsia="宋体" w:cs="Times New Roman"/>
                <w:b w:val="0"/>
                <w:bCs w:val="0"/>
                <w:color w:val="auto"/>
                <w:sz w:val="24"/>
                <w:lang w:val="en-US" w:eastAsia="zh-CN"/>
              </w:rPr>
              <w:t>10cm</w:t>
            </w:r>
            <w:r>
              <w:rPr>
                <w:rFonts w:hint="eastAsia" w:ascii="Times New Roman" w:hAnsi="Times New Roman" w:eastAsia="宋体" w:cs="Times New Roman"/>
                <w:b w:val="0"/>
                <w:bCs w:val="0"/>
                <w:color w:val="auto"/>
                <w:sz w:val="24"/>
                <w:lang w:val="en-US" w:eastAsia="zh-CN"/>
              </w:rPr>
              <w:t>垫层，以保护地基，找平地面后立模板。模板应尽量采用定型组合模板，钢模板的支撑固定采用</w:t>
            </w:r>
            <w:r>
              <w:rPr>
                <w:rFonts w:hint="default" w:ascii="Times New Roman" w:hAnsi="Times New Roman" w:eastAsia="宋体" w:cs="Times New Roman"/>
                <w:b w:val="0"/>
                <w:bCs w:val="0"/>
                <w:color w:val="auto"/>
                <w:sz w:val="24"/>
                <w:lang w:val="en-US" w:eastAsia="zh-CN"/>
              </w:rPr>
              <w:t>U"</w:t>
            </w:r>
            <w:r>
              <w:rPr>
                <w:rFonts w:hint="eastAsia" w:ascii="Times New Roman" w:hAnsi="Times New Roman" w:eastAsia="宋体" w:cs="Times New Roman"/>
                <w:b w:val="0"/>
                <w:bCs w:val="0"/>
                <w:color w:val="auto"/>
                <w:sz w:val="24"/>
                <w:lang w:val="en-US" w:eastAsia="zh-CN"/>
              </w:rPr>
              <w:t>型卡，勾头螺丝杆，加固采用钢管支撑。管卡内撑进行</w:t>
            </w:r>
            <w:r>
              <w:rPr>
                <w:rFonts w:hint="eastAsia" w:cs="Times New Roman"/>
                <w:b w:val="0"/>
                <w:bCs w:val="0"/>
                <w:color w:val="auto"/>
                <w:sz w:val="24"/>
                <w:lang w:val="en-US" w:eastAsia="zh-CN"/>
              </w:rPr>
              <w:t>刚性连接</w:t>
            </w:r>
            <w:r>
              <w:rPr>
                <w:rFonts w:hint="eastAsia" w:ascii="Times New Roman" w:hAnsi="Times New Roman" w:eastAsia="宋体" w:cs="Times New Roman"/>
                <w:b w:val="0"/>
                <w:bCs w:val="0"/>
                <w:color w:val="auto"/>
                <w:sz w:val="24"/>
                <w:lang w:val="en-US" w:eastAsia="zh-CN"/>
              </w:rPr>
              <w:t>，以确保浇筑砼的过程中模板不变形，保证结构的浇筑尺寸，模板误差要小于验评标准要求。</w:t>
            </w:r>
          </w:p>
          <w:p w14:paraId="66FAC8DA">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钢筋加工安装：钢筋加工要严格按设计图加工制作，钢筋车运输钢筋，安装方式采用绑扎和手工电弧焊接，钢筋绑扎要求整齐、牢固。</w:t>
            </w:r>
          </w:p>
          <w:p w14:paraId="5190AF63">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砼浇筑：配合比严格按实验室提供的配合比，所用的砂石料均应进行清洗与过秤，控制水灰比及坍落度，砼</w:t>
            </w:r>
            <w:r>
              <w:rPr>
                <w:rFonts w:hint="eastAsia" w:cs="Times New Roman"/>
                <w:b w:val="0"/>
                <w:bCs w:val="0"/>
                <w:color w:val="auto"/>
                <w:sz w:val="24"/>
                <w:lang w:val="en-US" w:eastAsia="zh-CN"/>
              </w:rPr>
              <w:t>拌和站</w:t>
            </w:r>
            <w:r>
              <w:rPr>
                <w:rFonts w:hint="eastAsia" w:ascii="Times New Roman" w:hAnsi="Times New Roman" w:eastAsia="宋体" w:cs="Times New Roman"/>
                <w:b w:val="0"/>
                <w:bCs w:val="0"/>
                <w:color w:val="auto"/>
                <w:sz w:val="24"/>
                <w:lang w:val="en-US" w:eastAsia="zh-CN"/>
              </w:rPr>
              <w:t>设专职监督员，进行现场控制，不符合要求的砼不允许出机，砼运输采用人工推车运到工作部位，人工入仓，对于大体积砼用振动棒进行振捣，砼板用平板振动器进行振捣。振捣必须密实，严禁出现蜂窝麻面现象。浇完的砼表面要覆盖</w:t>
            </w:r>
            <w:r>
              <w:rPr>
                <w:rFonts w:hint="eastAsia" w:cs="Times New Roman"/>
                <w:b w:val="0"/>
                <w:bCs w:val="0"/>
                <w:color w:val="auto"/>
                <w:sz w:val="24"/>
                <w:lang w:val="en-US" w:eastAsia="zh-CN"/>
              </w:rPr>
              <w:t>洒水</w:t>
            </w:r>
            <w:r>
              <w:rPr>
                <w:rFonts w:hint="eastAsia" w:ascii="Times New Roman" w:hAnsi="Times New Roman" w:eastAsia="宋体" w:cs="Times New Roman"/>
                <w:b w:val="0"/>
                <w:bCs w:val="0"/>
                <w:color w:val="auto"/>
                <w:sz w:val="24"/>
                <w:lang w:val="en-US" w:eastAsia="zh-CN"/>
              </w:rPr>
              <w:t>养护到规范规定的天数，使砼强度达到设计要求。</w:t>
            </w:r>
          </w:p>
          <w:p w14:paraId="38EA8153">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回填：砼达到</w:t>
            </w:r>
            <w:r>
              <w:rPr>
                <w:rFonts w:hint="default" w:ascii="Times New Roman" w:hAnsi="Times New Roman" w:eastAsia="宋体" w:cs="Times New Roman"/>
                <w:b w:val="0"/>
                <w:bCs w:val="0"/>
                <w:color w:val="auto"/>
                <w:sz w:val="24"/>
                <w:lang w:val="en-US" w:eastAsia="zh-CN"/>
              </w:rPr>
              <w:t>80%</w:t>
            </w:r>
            <w:r>
              <w:rPr>
                <w:rFonts w:hint="eastAsia" w:ascii="Times New Roman" w:hAnsi="Times New Roman" w:eastAsia="宋体" w:cs="Times New Roman"/>
                <w:b w:val="0"/>
                <w:bCs w:val="0"/>
                <w:color w:val="auto"/>
                <w:sz w:val="24"/>
                <w:lang w:val="en-US" w:eastAsia="zh-CN"/>
              </w:rPr>
              <w:t>的设计强度后脱模，人工回填夯实基础土方。最后安装金属结构和机械设备并调试启闭运行。</w:t>
            </w:r>
          </w:p>
          <w:p w14:paraId="2EA77990">
            <w:pPr>
              <w:adjustRightInd w:val="0"/>
              <w:snapToGrid w:val="0"/>
              <w:spacing w:line="360" w:lineRule="auto"/>
              <w:ind w:firstLine="480" w:firstLineChars="200"/>
              <w:rPr>
                <w:rFonts w:hint="default" w:ascii="Times New Roman" w:hAnsi="Times New Roman"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渠系建筑物施工要求较高，施工应严格按照设计要求和有关规范施工。渠道的施工不存在影响灌溉的因素，因此渠系建筑物的施工可以与渠道工程同期施工。</w:t>
            </w:r>
          </w:p>
        </w:tc>
      </w:tr>
      <w:tr w14:paraId="3F21C1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 w:hRule="atLeast"/>
          <w:jc w:val="center"/>
        </w:trPr>
        <w:tc>
          <w:tcPr>
            <w:tcW w:w="248" w:type="pct"/>
            <w:noWrap w:val="0"/>
            <w:vAlign w:val="center"/>
          </w:tcPr>
          <w:p w14:paraId="6112F4CD">
            <w:pPr>
              <w:adjustRightInd w:val="0"/>
              <w:snapToGrid w:val="0"/>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其他</w:t>
            </w:r>
          </w:p>
        </w:tc>
        <w:tc>
          <w:tcPr>
            <w:tcW w:w="4751" w:type="pct"/>
            <w:noWrap w:val="0"/>
            <w:vAlign w:val="center"/>
          </w:tcPr>
          <w:p w14:paraId="11EA43FE">
            <w:pPr>
              <w:pStyle w:val="40"/>
              <w:ind w:firstLine="0" w:firstLineChars="0"/>
              <w:jc w:val="center"/>
              <w:rPr>
                <w:rFonts w:hint="default" w:ascii="Times New Roman" w:hAnsi="Times New Roman" w:cs="Times New Roman"/>
                <w:color w:val="auto"/>
                <w:szCs w:val="24"/>
              </w:rPr>
            </w:pPr>
            <w:r>
              <w:rPr>
                <w:rFonts w:hint="default" w:ascii="Times New Roman" w:hAnsi="Times New Roman" w:cs="Times New Roman"/>
                <w:color w:val="auto"/>
                <w:szCs w:val="24"/>
              </w:rPr>
              <w:t>无</w:t>
            </w:r>
          </w:p>
        </w:tc>
      </w:tr>
    </w:tbl>
    <w:p w14:paraId="4F53DDFB">
      <w:pPr>
        <w:pStyle w:val="26"/>
        <w:jc w:val="center"/>
        <w:outlineLvl w:val="0"/>
        <w:rPr>
          <w:rFonts w:hint="default" w:ascii="Times New Roman" w:hAnsi="Times New Roman" w:cs="Times New Roman"/>
          <w:snapToGrid w:val="0"/>
          <w:color w:val="auto"/>
        </w:rPr>
      </w:pPr>
      <w:r>
        <w:rPr>
          <w:rFonts w:hint="default" w:ascii="Times New Roman" w:hAnsi="Times New Roman" w:cs="Times New Roman"/>
          <w:b/>
          <w:bCs/>
          <w:color w:val="auto"/>
        </w:rPr>
        <w:br w:type="page"/>
      </w:r>
      <w:bookmarkStart w:id="16" w:name="_Toc18348"/>
      <w:bookmarkStart w:id="17" w:name="_Toc16566"/>
      <w:r>
        <w:rPr>
          <w:rFonts w:hint="default" w:ascii="Times New Roman" w:hAnsi="Times New Roman" w:eastAsia="黑体" w:cs="Times New Roman"/>
          <w:snapToGrid w:val="0"/>
          <w:color w:val="auto"/>
          <w:sz w:val="30"/>
          <w:szCs w:val="30"/>
        </w:rPr>
        <w:t>三、生态环境现状、保护目标及评价标准</w:t>
      </w:r>
      <w:bookmarkEnd w:id="16"/>
      <w:bookmarkEnd w:id="17"/>
    </w:p>
    <w:tbl>
      <w:tblPr>
        <w:tblStyle w:val="29"/>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45"/>
        <w:gridCol w:w="8077"/>
      </w:tblGrid>
      <w:tr w14:paraId="0AA5CB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22" w:hRule="atLeast"/>
          <w:jc w:val="center"/>
        </w:trPr>
        <w:tc>
          <w:tcPr>
            <w:tcW w:w="323" w:type="pct"/>
            <w:noWrap w:val="0"/>
            <w:vAlign w:val="center"/>
          </w:tcPr>
          <w:p w14:paraId="71399274">
            <w:pPr>
              <w:adjustRightInd w:val="0"/>
              <w:snapToGrid w:val="0"/>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生态环境现状</w:t>
            </w:r>
          </w:p>
        </w:tc>
        <w:tc>
          <w:tcPr>
            <w:tcW w:w="4676" w:type="pct"/>
            <w:noWrap w:val="0"/>
            <w:vAlign w:val="center"/>
          </w:tcPr>
          <w:p w14:paraId="23BCB64B">
            <w:pPr>
              <w:keepNext w:val="0"/>
              <w:keepLines w:val="0"/>
              <w:pageBreakBefore w:val="0"/>
              <w:widowControl w:val="0"/>
              <w:numPr>
                <w:ilvl w:val="0"/>
                <w:numId w:val="8"/>
              </w:numPr>
              <w:kinsoku/>
              <w:wordWrap/>
              <w:overflowPunct/>
              <w:topLinePunct w:val="0"/>
              <w:autoSpaceDE w:val="0"/>
              <w:autoSpaceDN w:val="0"/>
              <w:bidi w:val="0"/>
              <w:adjustRightInd w:val="0"/>
              <w:snapToGrid w:val="0"/>
              <w:spacing w:before="157" w:beforeLines="50"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生态环境现状</w:t>
            </w:r>
          </w:p>
          <w:p w14:paraId="691D894F">
            <w:pPr>
              <w:numPr>
                <w:ilvl w:val="0"/>
                <w:numId w:val="0"/>
              </w:numPr>
              <w:adjustRightInd w:val="0"/>
              <w:snapToGrid w:val="0"/>
              <w:spacing w:line="360" w:lineRule="auto"/>
              <w:ind w:firstLine="482" w:firstLineChars="200"/>
              <w:rPr>
                <w:rFonts w:hint="default" w:ascii="Times New Roman" w:hAnsi="Times New Roman" w:cs="Times New Roman"/>
                <w:b/>
                <w:bCs/>
                <w:color w:val="auto"/>
                <w:kern w:val="0"/>
                <w:sz w:val="24"/>
                <w:lang w:val="en-US" w:eastAsia="zh-CN"/>
              </w:rPr>
            </w:pPr>
            <w:r>
              <w:rPr>
                <w:rFonts w:hint="default" w:ascii="Times New Roman" w:hAnsi="Times New Roman" w:cs="Times New Roman"/>
                <w:b/>
                <w:bCs/>
                <w:color w:val="auto"/>
                <w:kern w:val="0"/>
                <w:sz w:val="24"/>
                <w:lang w:val="en-US" w:eastAsia="zh-CN"/>
              </w:rPr>
              <w:t>1.1主体功能区划</w:t>
            </w:r>
          </w:p>
          <w:p w14:paraId="1C1C19D7">
            <w:pPr>
              <w:numPr>
                <w:ilvl w:val="0"/>
                <w:numId w:val="0"/>
              </w:numPr>
              <w:adjustRightInd w:val="0"/>
              <w:snapToGrid w:val="0"/>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本项目位于新疆维吾尔自治区昌吉回族自治州奇台县境内，根据《</w:t>
            </w:r>
            <w:r>
              <w:rPr>
                <w:rFonts w:hint="eastAsia" w:cs="Times New Roman"/>
                <w:color w:val="auto"/>
                <w:sz w:val="24"/>
                <w:szCs w:val="24"/>
                <w:lang w:eastAsia="zh-CN"/>
              </w:rPr>
              <w:t>新疆维吾尔自治区主体功能区规划</w:t>
            </w:r>
            <w:r>
              <w:rPr>
                <w:rFonts w:hint="default" w:ascii="Times New Roman" w:hAnsi="Times New Roman" w:eastAsia="宋体" w:cs="Times New Roman"/>
                <w:color w:val="auto"/>
                <w:sz w:val="24"/>
                <w:szCs w:val="24"/>
              </w:rPr>
              <w:t>》，本项目属于国家级天山北坡主产区的新疆农产品生产区，以提供农牧产品为主体功能的区域</w:t>
            </w:r>
            <w:r>
              <w:rPr>
                <w:rFonts w:hint="eastAsia" w:cs="Times New Roman"/>
                <w:color w:val="auto"/>
                <w:sz w:val="24"/>
                <w:szCs w:val="24"/>
                <w:lang w:eastAsia="zh-CN"/>
              </w:rPr>
              <w:t>是</w:t>
            </w:r>
            <w:r>
              <w:rPr>
                <w:rFonts w:hint="default" w:ascii="Times New Roman" w:hAnsi="Times New Roman" w:eastAsia="宋体" w:cs="Times New Roman"/>
                <w:color w:val="auto"/>
                <w:sz w:val="24"/>
                <w:szCs w:val="24"/>
              </w:rPr>
              <w:t>农产品主产区，生态产品为主体功能的区域为重点生态功能区。</w:t>
            </w:r>
          </w:p>
          <w:p w14:paraId="3BC70483">
            <w:pPr>
              <w:adjustRightInd w:val="0"/>
              <w:snapToGrid w:val="0"/>
              <w:spacing w:line="360" w:lineRule="auto"/>
              <w:ind w:firstLine="482" w:firstLineChars="200"/>
              <w:rPr>
                <w:rFonts w:hint="default" w:ascii="Times New Roman" w:hAnsi="Times New Roman" w:eastAsia="宋体" w:cs="Times New Roman"/>
                <w:b/>
                <w:bCs/>
                <w:color w:val="auto"/>
                <w:kern w:val="0"/>
                <w:sz w:val="24"/>
                <w:lang w:val="en-US" w:eastAsia="zh-CN"/>
              </w:rPr>
            </w:pPr>
            <w:r>
              <w:rPr>
                <w:rFonts w:hint="default" w:ascii="Times New Roman" w:hAnsi="Times New Roman" w:cs="Times New Roman"/>
                <w:b/>
                <w:bCs/>
                <w:color w:val="auto"/>
                <w:kern w:val="0"/>
                <w:sz w:val="24"/>
                <w:lang w:val="en-US" w:eastAsia="zh-CN"/>
              </w:rPr>
              <w:t>1.2生态功能区划</w:t>
            </w:r>
          </w:p>
          <w:p w14:paraId="1B0C76EE">
            <w:pPr>
              <w:adjustRightInd w:val="0"/>
              <w:snapToGrid w:val="0"/>
              <w:spacing w:line="360" w:lineRule="auto"/>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lang w:val="en-US" w:eastAsia="zh-CN"/>
              </w:rPr>
              <w:t>新疆生态功能区划是“三线一单”编制的生态基础与空间依据，“三线一单”是生态功能区划落地的刚性管控与实施工具，二者在新疆生态环境保护与空间治理中构成“基础识别—刚性管控—精准落地”的递进与支撑关系。</w:t>
            </w:r>
          </w:p>
          <w:p w14:paraId="0099EA8D">
            <w:pPr>
              <w:adjustRightInd w:val="0"/>
              <w:snapToGrid w:val="0"/>
              <w:spacing w:line="360" w:lineRule="auto"/>
              <w:ind w:firstLine="480" w:firstLineChars="200"/>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kern w:val="0"/>
                <w:sz w:val="24"/>
              </w:rPr>
              <w:t>根据《新疆生态功能区划》，</w:t>
            </w:r>
            <w:r>
              <w:rPr>
                <w:rFonts w:hint="default" w:ascii="Times New Roman" w:hAnsi="Times New Roman" w:eastAsia="宋体" w:cs="Times New Roman"/>
                <w:color w:val="auto"/>
                <w:sz w:val="24"/>
                <w:szCs w:val="24"/>
              </w:rPr>
              <w:t>项目所在区域属于准噶尔盆地南部荒漠绿洲农业生态亚区，</w:t>
            </w:r>
            <w:r>
              <w:rPr>
                <w:rFonts w:hint="eastAsia" w:cs="Times New Roman"/>
                <w:color w:val="auto"/>
                <w:sz w:val="24"/>
                <w:szCs w:val="24"/>
                <w:lang w:val="en-US" w:eastAsia="zh-CN"/>
              </w:rPr>
              <w:t>归属</w:t>
            </w:r>
            <w:r>
              <w:rPr>
                <w:rFonts w:hint="default" w:ascii="Times New Roman" w:hAnsi="Times New Roman" w:eastAsia="宋体" w:cs="Times New Roman"/>
                <w:color w:val="auto"/>
                <w:sz w:val="24"/>
                <w:szCs w:val="24"/>
              </w:rPr>
              <w:t>阜康</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木垒绿洲农业、荒漠草地保护生态功能区</w:t>
            </w:r>
            <w:r>
              <w:rPr>
                <w:rFonts w:hint="default"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28</w:t>
            </w:r>
            <w:r>
              <w:rPr>
                <w:rFonts w:hint="default"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。项目区生态功能区划见表3-</w:t>
            </w: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rPr>
              <w:t>，项目生态功能区划见附图</w:t>
            </w:r>
            <w:r>
              <w:rPr>
                <w:rFonts w:hint="default" w:ascii="Times New Roman" w:hAnsi="Times New Roman" w:eastAsia="宋体" w:cs="Times New Roman"/>
                <w:color w:val="auto"/>
                <w:sz w:val="24"/>
                <w:szCs w:val="24"/>
                <w:lang w:eastAsia="zh-CN"/>
              </w:rPr>
              <w:t>。</w:t>
            </w:r>
          </w:p>
          <w:p w14:paraId="1FD3A484">
            <w:pPr>
              <w:adjustRightInd w:val="0"/>
              <w:snapToGrid w:val="0"/>
              <w:spacing w:line="360" w:lineRule="auto"/>
              <w:ind w:firstLine="480" w:firstLineChars="200"/>
              <w:rPr>
                <w:rFonts w:hint="default"/>
                <w:color w:val="auto"/>
                <w:lang w:val="en-US" w:eastAsia="zh-CN"/>
              </w:rPr>
            </w:pPr>
            <w:r>
              <w:rPr>
                <w:rFonts w:hint="eastAsia" w:ascii="Times New Roman" w:hAnsi="Times New Roman" w:eastAsia="宋体" w:cs="Times New Roman"/>
                <w:color w:val="auto"/>
                <w:kern w:val="0"/>
                <w:sz w:val="24"/>
                <w:lang w:eastAsia="zh-CN"/>
              </w:rPr>
              <w:t>经现场调查</w:t>
            </w:r>
            <w:r>
              <w:rPr>
                <w:rFonts w:hint="eastAsia" w:cs="Times New Roman"/>
                <w:color w:val="auto"/>
                <w:kern w:val="0"/>
                <w:sz w:val="24"/>
                <w:lang w:eastAsia="zh-CN"/>
              </w:rPr>
              <w:t>，项目</w:t>
            </w:r>
            <w:r>
              <w:rPr>
                <w:rFonts w:hint="eastAsia" w:ascii="Times New Roman" w:hAnsi="Times New Roman" w:eastAsia="宋体" w:cs="Times New Roman"/>
                <w:color w:val="auto"/>
                <w:kern w:val="0"/>
                <w:sz w:val="24"/>
                <w:lang w:eastAsia="zh-CN"/>
              </w:rPr>
              <w:t>区内无</w:t>
            </w:r>
            <w:r>
              <w:rPr>
                <w:rFonts w:hint="eastAsia" w:cs="Times New Roman"/>
                <w:color w:val="auto"/>
                <w:kern w:val="0"/>
                <w:sz w:val="24"/>
                <w:lang w:eastAsia="zh-CN"/>
              </w:rPr>
              <w:t>珍稀</w:t>
            </w:r>
            <w:r>
              <w:rPr>
                <w:rFonts w:hint="eastAsia" w:ascii="Times New Roman" w:hAnsi="Times New Roman" w:eastAsia="宋体" w:cs="Times New Roman"/>
                <w:color w:val="auto"/>
                <w:kern w:val="0"/>
                <w:sz w:val="24"/>
                <w:lang w:eastAsia="zh-CN"/>
              </w:rPr>
              <w:t>动植物，无国家和地方各级人民政府批准设立的“自然保护区、森林公园、风景名胜区、文物古迹、地质遗址”等特殊的环境保护目标。项目的实施可减少沿渠水土流失，减少淤积灾害，有利于提高灌区的引水条件，提高输水效率；过水能力和抗冲能力有效提高，保障沿渠农田、道路和公共设施的安全运行；有效控制地下水位及土壤盐碱化程度。项目建设符合《新疆生态功能区划》要求。</w:t>
            </w:r>
          </w:p>
          <w:p w14:paraId="3663E893">
            <w:pPr>
              <w:pStyle w:val="47"/>
              <w:spacing w:line="440" w:lineRule="exact"/>
              <w:ind w:firstLine="0" w:firstLineChars="0"/>
              <w:jc w:val="center"/>
              <w:textAlignment w:val="baseline"/>
              <w:rPr>
                <w:rFonts w:hint="default" w:ascii="Times New Roman" w:hAnsi="Times New Roman" w:eastAsia="宋体" w:cs="Times New Roman"/>
                <w:b/>
                <w:bCs w:val="0"/>
                <w:snapToGrid w:val="0"/>
                <w:color w:val="auto"/>
                <w:sz w:val="24"/>
                <w:szCs w:val="24"/>
              </w:rPr>
            </w:pPr>
            <w:r>
              <w:rPr>
                <w:rFonts w:hint="default" w:ascii="Times New Roman" w:hAnsi="Times New Roman" w:eastAsia="宋体" w:cs="Times New Roman"/>
                <w:b/>
                <w:bCs w:val="0"/>
                <w:snapToGrid w:val="0"/>
                <w:color w:val="auto"/>
                <w:sz w:val="24"/>
                <w:szCs w:val="24"/>
              </w:rPr>
              <w:t>表3-1项目区生态功能区划简表</w:t>
            </w:r>
          </w:p>
          <w:tbl>
            <w:tblPr>
              <w:tblStyle w:val="29"/>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14"/>
              <w:gridCol w:w="1321"/>
              <w:gridCol w:w="921"/>
              <w:gridCol w:w="922"/>
              <w:gridCol w:w="922"/>
              <w:gridCol w:w="779"/>
              <w:gridCol w:w="1056"/>
              <w:gridCol w:w="723"/>
            </w:tblGrid>
            <w:tr w14:paraId="70AD3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622" w:type="pct"/>
                  <w:gridSpan w:val="2"/>
                  <w:tcBorders>
                    <w:top w:val="single" w:color="000000" w:sz="4" w:space="0"/>
                    <w:left w:val="single" w:color="000000" w:sz="4" w:space="0"/>
                    <w:bottom w:val="single" w:color="000000" w:sz="4" w:space="0"/>
                    <w:right w:val="single" w:color="000000" w:sz="4" w:space="0"/>
                  </w:tcBorders>
                  <w:noWrap w:val="0"/>
                  <w:vAlign w:val="center"/>
                </w:tcPr>
                <w:p w14:paraId="063DDDF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cs="Times New Roman"/>
                      <w:b/>
                      <w:bCs/>
                      <w:i w:val="0"/>
                      <w:iCs w:val="0"/>
                      <w:color w:val="auto"/>
                      <w:sz w:val="21"/>
                      <w:szCs w:val="21"/>
                      <w:u w:val="none"/>
                    </w:rPr>
                  </w:pPr>
                  <w:r>
                    <w:rPr>
                      <w:rStyle w:val="48"/>
                      <w:rFonts w:hint="default" w:ascii="Times New Roman" w:hAnsi="Times New Roman" w:cs="Times New Roman"/>
                      <w:b/>
                      <w:bCs/>
                      <w:color w:val="auto"/>
                      <w:sz w:val="21"/>
                      <w:szCs w:val="21"/>
                      <w:lang w:val="en-US" w:eastAsia="zh-CN" w:bidi="ar"/>
                    </w:rPr>
                    <w:t>生态功能分区单元</w:t>
                  </w:r>
                </w:p>
              </w:tc>
              <w:tc>
                <w:tcPr>
                  <w:tcW w:w="591" w:type="pct"/>
                  <w:vMerge w:val="restart"/>
                  <w:tcBorders>
                    <w:top w:val="single" w:color="000000" w:sz="4" w:space="0"/>
                    <w:left w:val="single" w:color="000000" w:sz="4" w:space="0"/>
                    <w:bottom w:val="single" w:color="000000" w:sz="4" w:space="0"/>
                    <w:right w:val="single" w:color="000000" w:sz="4" w:space="0"/>
                  </w:tcBorders>
                  <w:noWrap w:val="0"/>
                  <w:vAlign w:val="center"/>
                </w:tcPr>
                <w:p w14:paraId="0AD58E0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cs="Times New Roman"/>
                      <w:b/>
                      <w:bCs/>
                      <w:i w:val="0"/>
                      <w:iCs w:val="0"/>
                      <w:color w:val="auto"/>
                      <w:sz w:val="21"/>
                      <w:szCs w:val="21"/>
                      <w:u w:val="none"/>
                    </w:rPr>
                  </w:pPr>
                  <w:r>
                    <w:rPr>
                      <w:rStyle w:val="48"/>
                      <w:rFonts w:hint="default" w:ascii="Times New Roman" w:hAnsi="Times New Roman" w:cs="Times New Roman"/>
                      <w:b/>
                      <w:bCs/>
                      <w:color w:val="auto"/>
                      <w:sz w:val="21"/>
                      <w:szCs w:val="21"/>
                      <w:lang w:val="en-US" w:eastAsia="zh-CN" w:bidi="ar"/>
                    </w:rPr>
                    <w:t>主要生态服务功能</w:t>
                  </w:r>
                </w:p>
              </w:tc>
              <w:tc>
                <w:tcPr>
                  <w:tcW w:w="591" w:type="pct"/>
                  <w:vMerge w:val="restart"/>
                  <w:tcBorders>
                    <w:top w:val="single" w:color="000000" w:sz="4" w:space="0"/>
                    <w:left w:val="single" w:color="000000" w:sz="4" w:space="0"/>
                    <w:bottom w:val="single" w:color="000000" w:sz="4" w:space="0"/>
                    <w:right w:val="single" w:color="000000" w:sz="4" w:space="0"/>
                  </w:tcBorders>
                  <w:noWrap w:val="0"/>
                  <w:vAlign w:val="center"/>
                </w:tcPr>
                <w:p w14:paraId="43286EB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cs="Times New Roman"/>
                      <w:b/>
                      <w:bCs/>
                      <w:i w:val="0"/>
                      <w:iCs w:val="0"/>
                      <w:color w:val="auto"/>
                      <w:sz w:val="21"/>
                      <w:szCs w:val="21"/>
                      <w:u w:val="none"/>
                    </w:rPr>
                  </w:pPr>
                  <w:r>
                    <w:rPr>
                      <w:rStyle w:val="48"/>
                      <w:rFonts w:hint="default" w:ascii="Times New Roman" w:hAnsi="Times New Roman" w:cs="Times New Roman"/>
                      <w:b/>
                      <w:bCs/>
                      <w:color w:val="auto"/>
                      <w:sz w:val="21"/>
                      <w:szCs w:val="21"/>
                      <w:lang w:val="en-US" w:eastAsia="zh-CN" w:bidi="ar"/>
                    </w:rPr>
                    <w:t>主要生态功能问题</w:t>
                  </w:r>
                </w:p>
              </w:tc>
              <w:tc>
                <w:tcPr>
                  <w:tcW w:w="591" w:type="pct"/>
                  <w:vMerge w:val="restart"/>
                  <w:tcBorders>
                    <w:top w:val="single" w:color="000000" w:sz="4" w:space="0"/>
                    <w:left w:val="single" w:color="000000" w:sz="4" w:space="0"/>
                    <w:bottom w:val="single" w:color="000000" w:sz="4" w:space="0"/>
                    <w:right w:val="single" w:color="000000" w:sz="4" w:space="0"/>
                  </w:tcBorders>
                  <w:noWrap w:val="0"/>
                  <w:vAlign w:val="center"/>
                </w:tcPr>
                <w:p w14:paraId="78ABAA7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cs="Times New Roman"/>
                      <w:b/>
                      <w:bCs/>
                      <w:i w:val="0"/>
                      <w:iCs w:val="0"/>
                      <w:color w:val="auto"/>
                      <w:sz w:val="21"/>
                      <w:szCs w:val="21"/>
                      <w:u w:val="none"/>
                    </w:rPr>
                  </w:pPr>
                  <w:r>
                    <w:rPr>
                      <w:rStyle w:val="48"/>
                      <w:rFonts w:hint="default" w:ascii="Times New Roman" w:hAnsi="Times New Roman" w:cs="Times New Roman"/>
                      <w:b/>
                      <w:bCs/>
                      <w:color w:val="auto"/>
                      <w:sz w:val="21"/>
                      <w:szCs w:val="21"/>
                      <w:lang w:val="en-US" w:eastAsia="zh-CN" w:bidi="ar"/>
                    </w:rPr>
                    <w:t>主要生态敏感因子、敏感程度</w:t>
                  </w:r>
                </w:p>
              </w:tc>
              <w:tc>
                <w:tcPr>
                  <w:tcW w:w="500" w:type="pct"/>
                  <w:vMerge w:val="restart"/>
                  <w:tcBorders>
                    <w:top w:val="single" w:color="000000" w:sz="4" w:space="0"/>
                    <w:left w:val="single" w:color="000000" w:sz="4" w:space="0"/>
                    <w:bottom w:val="single" w:color="000000" w:sz="4" w:space="0"/>
                    <w:right w:val="single" w:color="000000" w:sz="4" w:space="0"/>
                  </w:tcBorders>
                  <w:noWrap w:val="0"/>
                  <w:vAlign w:val="center"/>
                </w:tcPr>
                <w:p w14:paraId="4D756D2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cs="Times New Roman"/>
                      <w:b/>
                      <w:bCs/>
                      <w:i w:val="0"/>
                      <w:iCs w:val="0"/>
                      <w:color w:val="auto"/>
                      <w:sz w:val="21"/>
                      <w:szCs w:val="21"/>
                      <w:u w:val="none"/>
                    </w:rPr>
                  </w:pPr>
                  <w:r>
                    <w:rPr>
                      <w:rStyle w:val="48"/>
                      <w:rFonts w:hint="default" w:ascii="Times New Roman" w:hAnsi="Times New Roman" w:cs="Times New Roman"/>
                      <w:b/>
                      <w:bCs/>
                      <w:color w:val="auto"/>
                      <w:sz w:val="21"/>
                      <w:szCs w:val="21"/>
                      <w:lang w:val="en-US" w:eastAsia="zh-CN" w:bidi="ar"/>
                    </w:rPr>
                    <w:t>主要保护目标</w:t>
                  </w:r>
                </w:p>
              </w:tc>
              <w:tc>
                <w:tcPr>
                  <w:tcW w:w="639" w:type="pct"/>
                  <w:vMerge w:val="restart"/>
                  <w:tcBorders>
                    <w:top w:val="single" w:color="000000" w:sz="4" w:space="0"/>
                    <w:left w:val="single" w:color="000000" w:sz="4" w:space="0"/>
                    <w:bottom w:val="single" w:color="000000" w:sz="4" w:space="0"/>
                    <w:right w:val="single" w:color="000000" w:sz="4" w:space="0"/>
                  </w:tcBorders>
                  <w:noWrap w:val="0"/>
                  <w:vAlign w:val="center"/>
                </w:tcPr>
                <w:p w14:paraId="1064008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cs="Times New Roman"/>
                      <w:b/>
                      <w:bCs/>
                      <w:i w:val="0"/>
                      <w:iCs w:val="0"/>
                      <w:color w:val="auto"/>
                      <w:sz w:val="21"/>
                      <w:szCs w:val="21"/>
                      <w:u w:val="none"/>
                    </w:rPr>
                  </w:pPr>
                  <w:r>
                    <w:rPr>
                      <w:rStyle w:val="48"/>
                      <w:rFonts w:hint="default" w:ascii="Times New Roman" w:hAnsi="Times New Roman" w:cs="Times New Roman"/>
                      <w:b/>
                      <w:bCs/>
                      <w:color w:val="auto"/>
                      <w:sz w:val="21"/>
                      <w:szCs w:val="21"/>
                      <w:lang w:val="en-US" w:eastAsia="zh-CN" w:bidi="ar"/>
                    </w:rPr>
                    <w:t>主要保护措施</w:t>
                  </w:r>
                </w:p>
              </w:tc>
              <w:tc>
                <w:tcPr>
                  <w:tcW w:w="464" w:type="pct"/>
                  <w:vMerge w:val="restart"/>
                  <w:tcBorders>
                    <w:top w:val="single" w:color="000000" w:sz="4" w:space="0"/>
                    <w:left w:val="single" w:color="000000" w:sz="4" w:space="0"/>
                    <w:bottom w:val="single" w:color="000000" w:sz="4" w:space="0"/>
                    <w:right w:val="single" w:color="000000" w:sz="4" w:space="0"/>
                  </w:tcBorders>
                  <w:noWrap w:val="0"/>
                  <w:vAlign w:val="center"/>
                </w:tcPr>
                <w:p w14:paraId="59FAE6D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cs="Times New Roman"/>
                      <w:b/>
                      <w:bCs/>
                      <w:i w:val="0"/>
                      <w:iCs w:val="0"/>
                      <w:color w:val="auto"/>
                      <w:sz w:val="21"/>
                      <w:szCs w:val="21"/>
                      <w:u w:val="none"/>
                    </w:rPr>
                  </w:pPr>
                  <w:r>
                    <w:rPr>
                      <w:rStyle w:val="48"/>
                      <w:rFonts w:hint="default" w:ascii="Times New Roman" w:hAnsi="Times New Roman" w:cs="Times New Roman"/>
                      <w:b/>
                      <w:bCs/>
                      <w:color w:val="auto"/>
                      <w:sz w:val="21"/>
                      <w:szCs w:val="21"/>
                      <w:lang w:val="en-US" w:eastAsia="zh-CN" w:bidi="ar"/>
                    </w:rPr>
                    <w:t>适宜发展方向</w:t>
                  </w:r>
                </w:p>
              </w:tc>
            </w:tr>
            <w:tr w14:paraId="04E27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8" w:hRule="atLeast"/>
              </w:trPr>
              <w:tc>
                <w:tcPr>
                  <w:tcW w:w="777" w:type="pct"/>
                  <w:tcBorders>
                    <w:top w:val="single" w:color="000000" w:sz="4" w:space="0"/>
                    <w:left w:val="single" w:color="000000" w:sz="4" w:space="0"/>
                    <w:bottom w:val="single" w:color="000000" w:sz="4" w:space="0"/>
                    <w:right w:val="single" w:color="000000" w:sz="4" w:space="0"/>
                  </w:tcBorders>
                  <w:noWrap w:val="0"/>
                  <w:vAlign w:val="center"/>
                </w:tcPr>
                <w:p w14:paraId="1BBE6F0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cs="Times New Roman"/>
                      <w:b/>
                      <w:bCs/>
                      <w:i w:val="0"/>
                      <w:iCs w:val="0"/>
                      <w:color w:val="auto"/>
                      <w:sz w:val="21"/>
                      <w:szCs w:val="21"/>
                      <w:u w:val="none"/>
                    </w:rPr>
                  </w:pPr>
                  <w:r>
                    <w:rPr>
                      <w:rStyle w:val="48"/>
                      <w:rFonts w:hint="default" w:ascii="Times New Roman" w:hAnsi="Times New Roman" w:cs="Times New Roman"/>
                      <w:b/>
                      <w:bCs/>
                      <w:color w:val="auto"/>
                      <w:sz w:val="21"/>
                      <w:szCs w:val="21"/>
                      <w:lang w:val="en-US" w:eastAsia="zh-CN" w:bidi="ar"/>
                    </w:rPr>
                    <w:t>生态亚区</w:t>
                  </w: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26EC290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cs="Times New Roman"/>
                      <w:b/>
                      <w:bCs/>
                      <w:i w:val="0"/>
                      <w:iCs w:val="0"/>
                      <w:color w:val="auto"/>
                      <w:sz w:val="21"/>
                      <w:szCs w:val="21"/>
                      <w:u w:val="none"/>
                    </w:rPr>
                  </w:pPr>
                  <w:r>
                    <w:rPr>
                      <w:rStyle w:val="51"/>
                      <w:rFonts w:hint="default" w:ascii="Times New Roman" w:hAnsi="Times New Roman" w:cs="Times New Roman"/>
                      <w:b/>
                      <w:bCs/>
                      <w:color w:val="auto"/>
                      <w:sz w:val="21"/>
                      <w:szCs w:val="21"/>
                      <w:lang w:val="en-US" w:eastAsia="zh-CN" w:bidi="ar"/>
                    </w:rPr>
                    <w:t>生态功能区</w:t>
                  </w:r>
                </w:p>
              </w:tc>
              <w:tc>
                <w:tcPr>
                  <w:tcW w:w="591" w:type="pct"/>
                  <w:vMerge w:val="continue"/>
                  <w:tcBorders>
                    <w:top w:val="single" w:color="000000" w:sz="4" w:space="0"/>
                    <w:left w:val="single" w:color="000000" w:sz="4" w:space="0"/>
                    <w:bottom w:val="single" w:color="000000" w:sz="4" w:space="0"/>
                    <w:right w:val="single" w:color="000000" w:sz="4" w:space="0"/>
                  </w:tcBorders>
                  <w:noWrap w:val="0"/>
                  <w:vAlign w:val="center"/>
                </w:tcPr>
                <w:p w14:paraId="4C6BF7D4">
                  <w:pPr>
                    <w:keepNext w:val="0"/>
                    <w:keepLines w:val="0"/>
                    <w:pageBreakBefore w:val="0"/>
                    <w:widowControl/>
                    <w:kinsoku/>
                    <w:wordWrap/>
                    <w:overflowPunct/>
                    <w:topLinePunct w:val="0"/>
                    <w:autoSpaceDE/>
                    <w:autoSpaceDN/>
                    <w:bidi w:val="0"/>
                    <w:adjustRightInd/>
                    <w:snapToGrid/>
                    <w:jc w:val="left"/>
                    <w:rPr>
                      <w:rFonts w:hint="default" w:ascii="Times New Roman" w:hAnsi="Times New Roman" w:cs="Times New Roman"/>
                      <w:i w:val="0"/>
                      <w:iCs w:val="0"/>
                      <w:color w:val="auto"/>
                      <w:sz w:val="21"/>
                      <w:szCs w:val="21"/>
                      <w:u w:val="none"/>
                    </w:rPr>
                  </w:pPr>
                </w:p>
              </w:tc>
              <w:tc>
                <w:tcPr>
                  <w:tcW w:w="591" w:type="pct"/>
                  <w:vMerge w:val="continue"/>
                  <w:tcBorders>
                    <w:top w:val="single" w:color="000000" w:sz="4" w:space="0"/>
                    <w:left w:val="single" w:color="000000" w:sz="4" w:space="0"/>
                    <w:bottom w:val="single" w:color="000000" w:sz="4" w:space="0"/>
                    <w:right w:val="single" w:color="000000" w:sz="4" w:space="0"/>
                  </w:tcBorders>
                  <w:noWrap w:val="0"/>
                  <w:vAlign w:val="center"/>
                </w:tcPr>
                <w:p w14:paraId="759510A6">
                  <w:pPr>
                    <w:keepNext w:val="0"/>
                    <w:keepLines w:val="0"/>
                    <w:pageBreakBefore w:val="0"/>
                    <w:widowControl/>
                    <w:kinsoku/>
                    <w:wordWrap/>
                    <w:overflowPunct/>
                    <w:topLinePunct w:val="0"/>
                    <w:autoSpaceDE/>
                    <w:autoSpaceDN/>
                    <w:bidi w:val="0"/>
                    <w:adjustRightInd/>
                    <w:snapToGrid/>
                    <w:jc w:val="left"/>
                    <w:rPr>
                      <w:rFonts w:hint="default" w:ascii="Times New Roman" w:hAnsi="Times New Roman" w:cs="Times New Roman"/>
                      <w:i w:val="0"/>
                      <w:iCs w:val="0"/>
                      <w:color w:val="auto"/>
                      <w:sz w:val="21"/>
                      <w:szCs w:val="21"/>
                      <w:u w:val="none"/>
                    </w:rPr>
                  </w:pPr>
                </w:p>
              </w:tc>
              <w:tc>
                <w:tcPr>
                  <w:tcW w:w="591" w:type="pct"/>
                  <w:vMerge w:val="continue"/>
                  <w:tcBorders>
                    <w:top w:val="single" w:color="000000" w:sz="4" w:space="0"/>
                    <w:left w:val="single" w:color="000000" w:sz="4" w:space="0"/>
                    <w:bottom w:val="single" w:color="000000" w:sz="4" w:space="0"/>
                    <w:right w:val="single" w:color="000000" w:sz="4" w:space="0"/>
                  </w:tcBorders>
                  <w:noWrap w:val="0"/>
                  <w:vAlign w:val="center"/>
                </w:tcPr>
                <w:p w14:paraId="37EB0639">
                  <w:pPr>
                    <w:keepNext w:val="0"/>
                    <w:keepLines w:val="0"/>
                    <w:pageBreakBefore w:val="0"/>
                    <w:widowControl/>
                    <w:kinsoku/>
                    <w:wordWrap/>
                    <w:overflowPunct/>
                    <w:topLinePunct w:val="0"/>
                    <w:autoSpaceDE/>
                    <w:autoSpaceDN/>
                    <w:bidi w:val="0"/>
                    <w:adjustRightInd/>
                    <w:snapToGrid/>
                    <w:jc w:val="right"/>
                    <w:rPr>
                      <w:rFonts w:hint="default" w:ascii="Times New Roman" w:hAnsi="Times New Roman" w:cs="Times New Roman"/>
                      <w:i w:val="0"/>
                      <w:iCs w:val="0"/>
                      <w:color w:val="auto"/>
                      <w:sz w:val="21"/>
                      <w:szCs w:val="21"/>
                      <w:u w:val="none"/>
                    </w:rPr>
                  </w:pPr>
                </w:p>
              </w:tc>
              <w:tc>
                <w:tcPr>
                  <w:tcW w:w="500" w:type="pct"/>
                  <w:vMerge w:val="continue"/>
                  <w:tcBorders>
                    <w:top w:val="single" w:color="000000" w:sz="4" w:space="0"/>
                    <w:left w:val="single" w:color="000000" w:sz="4" w:space="0"/>
                    <w:bottom w:val="single" w:color="000000" w:sz="4" w:space="0"/>
                    <w:right w:val="single" w:color="000000" w:sz="4" w:space="0"/>
                  </w:tcBorders>
                  <w:noWrap w:val="0"/>
                  <w:vAlign w:val="center"/>
                </w:tcPr>
                <w:p w14:paraId="2C48DFB0">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cs="Times New Roman"/>
                      <w:i w:val="0"/>
                      <w:iCs w:val="0"/>
                      <w:color w:val="auto"/>
                      <w:sz w:val="21"/>
                      <w:szCs w:val="21"/>
                      <w:u w:val="none"/>
                    </w:rPr>
                  </w:pPr>
                </w:p>
              </w:tc>
              <w:tc>
                <w:tcPr>
                  <w:tcW w:w="639" w:type="pct"/>
                  <w:vMerge w:val="continue"/>
                  <w:tcBorders>
                    <w:top w:val="single" w:color="000000" w:sz="4" w:space="0"/>
                    <w:left w:val="single" w:color="000000" w:sz="4" w:space="0"/>
                    <w:bottom w:val="single" w:color="000000" w:sz="4" w:space="0"/>
                    <w:right w:val="single" w:color="000000" w:sz="4" w:space="0"/>
                  </w:tcBorders>
                  <w:noWrap w:val="0"/>
                  <w:vAlign w:val="center"/>
                </w:tcPr>
                <w:p w14:paraId="50D0C240">
                  <w:pPr>
                    <w:keepNext w:val="0"/>
                    <w:keepLines w:val="0"/>
                    <w:pageBreakBefore w:val="0"/>
                    <w:widowControl/>
                    <w:kinsoku/>
                    <w:wordWrap/>
                    <w:overflowPunct/>
                    <w:topLinePunct w:val="0"/>
                    <w:autoSpaceDE/>
                    <w:autoSpaceDN/>
                    <w:bidi w:val="0"/>
                    <w:adjustRightInd/>
                    <w:snapToGrid/>
                    <w:jc w:val="left"/>
                    <w:rPr>
                      <w:rFonts w:hint="default" w:ascii="Times New Roman" w:hAnsi="Times New Roman" w:cs="Times New Roman"/>
                      <w:i w:val="0"/>
                      <w:iCs w:val="0"/>
                      <w:color w:val="auto"/>
                      <w:sz w:val="21"/>
                      <w:szCs w:val="21"/>
                      <w:u w:val="none"/>
                    </w:rPr>
                  </w:pPr>
                </w:p>
              </w:tc>
              <w:tc>
                <w:tcPr>
                  <w:tcW w:w="464" w:type="pct"/>
                  <w:vMerge w:val="continue"/>
                  <w:tcBorders>
                    <w:top w:val="single" w:color="000000" w:sz="4" w:space="0"/>
                    <w:left w:val="single" w:color="000000" w:sz="4" w:space="0"/>
                    <w:bottom w:val="single" w:color="000000" w:sz="4" w:space="0"/>
                    <w:right w:val="single" w:color="000000" w:sz="4" w:space="0"/>
                  </w:tcBorders>
                  <w:noWrap w:val="0"/>
                  <w:vAlign w:val="center"/>
                </w:tcPr>
                <w:p w14:paraId="2842F3A8">
                  <w:pPr>
                    <w:keepNext w:val="0"/>
                    <w:keepLines w:val="0"/>
                    <w:pageBreakBefore w:val="0"/>
                    <w:widowControl/>
                    <w:kinsoku/>
                    <w:wordWrap/>
                    <w:overflowPunct/>
                    <w:topLinePunct w:val="0"/>
                    <w:autoSpaceDE/>
                    <w:autoSpaceDN/>
                    <w:bidi w:val="0"/>
                    <w:adjustRightInd/>
                    <w:snapToGrid/>
                    <w:jc w:val="left"/>
                    <w:rPr>
                      <w:rFonts w:hint="default" w:ascii="Times New Roman" w:hAnsi="Times New Roman" w:cs="Times New Roman"/>
                      <w:i w:val="0"/>
                      <w:iCs w:val="0"/>
                      <w:color w:val="auto"/>
                      <w:sz w:val="21"/>
                      <w:szCs w:val="21"/>
                      <w:u w:val="none"/>
                    </w:rPr>
                  </w:pPr>
                </w:p>
              </w:tc>
            </w:tr>
            <w:tr w14:paraId="1179E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10" w:hRule="atLeast"/>
              </w:trPr>
              <w:tc>
                <w:tcPr>
                  <w:tcW w:w="777" w:type="pct"/>
                  <w:tcBorders>
                    <w:top w:val="single" w:color="000000" w:sz="4" w:space="0"/>
                    <w:left w:val="single" w:color="000000" w:sz="4" w:space="0"/>
                    <w:bottom w:val="single" w:color="000000" w:sz="4" w:space="0"/>
                    <w:right w:val="single" w:color="000000" w:sz="4" w:space="0"/>
                  </w:tcBorders>
                  <w:noWrap w:val="0"/>
                  <w:vAlign w:val="center"/>
                </w:tcPr>
                <w:p w14:paraId="4FEDC4A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color w:val="auto"/>
                      <w:sz w:val="21"/>
                      <w:szCs w:val="21"/>
                    </w:rPr>
                    <w:t>本项目所在区域为准噶尔盆地南部荒漠绿洲农业生态亚区</w:t>
                  </w: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68EFBEE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color w:val="auto"/>
                      <w:sz w:val="21"/>
                      <w:szCs w:val="21"/>
                    </w:rPr>
                    <w:t>阜康</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木垒绿洲农业、荒漠草地保护生态功能区</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28</w:t>
                  </w:r>
                  <w:r>
                    <w:rPr>
                      <w:rFonts w:hint="default" w:ascii="Times New Roman" w:hAnsi="Times New Roman" w:cs="Times New Roman"/>
                      <w:color w:val="auto"/>
                      <w:sz w:val="21"/>
                      <w:szCs w:val="21"/>
                      <w:lang w:eastAsia="zh-CN"/>
                    </w:rPr>
                    <w:t>）</w:t>
                  </w:r>
                </w:p>
              </w:tc>
              <w:tc>
                <w:tcPr>
                  <w:tcW w:w="591" w:type="pct"/>
                  <w:tcBorders>
                    <w:top w:val="single" w:color="000000" w:sz="4" w:space="0"/>
                    <w:left w:val="single" w:color="000000" w:sz="4" w:space="0"/>
                    <w:bottom w:val="single" w:color="000000" w:sz="4" w:space="0"/>
                    <w:right w:val="single" w:color="000000" w:sz="4" w:space="0"/>
                  </w:tcBorders>
                  <w:noWrap w:val="0"/>
                  <w:vAlign w:val="center"/>
                </w:tcPr>
                <w:p w14:paraId="2D35262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cs="Times New Roman"/>
                      <w:i w:val="0"/>
                      <w:iCs w:val="0"/>
                      <w:color w:val="auto"/>
                      <w:sz w:val="21"/>
                      <w:szCs w:val="21"/>
                      <w:u w:val="none"/>
                    </w:rPr>
                  </w:pPr>
                  <w:r>
                    <w:rPr>
                      <w:rFonts w:hint="default" w:ascii="Times New Roman" w:hAnsi="Times New Roman" w:cs="Times New Roman"/>
                      <w:i w:val="0"/>
                      <w:iCs w:val="0"/>
                      <w:color w:val="auto"/>
                      <w:sz w:val="21"/>
                      <w:szCs w:val="21"/>
                      <w:u w:val="none"/>
                    </w:rPr>
                    <w:t>农牧业产品生产、人居环境、荒漠化控制</w:t>
                  </w:r>
                </w:p>
              </w:tc>
              <w:tc>
                <w:tcPr>
                  <w:tcW w:w="591" w:type="pct"/>
                  <w:tcBorders>
                    <w:top w:val="single" w:color="000000" w:sz="4" w:space="0"/>
                    <w:left w:val="single" w:color="000000" w:sz="4" w:space="0"/>
                    <w:bottom w:val="single" w:color="000000" w:sz="4" w:space="0"/>
                    <w:right w:val="single" w:color="000000" w:sz="4" w:space="0"/>
                  </w:tcBorders>
                  <w:noWrap w:val="0"/>
                  <w:vAlign w:val="center"/>
                </w:tcPr>
                <w:p w14:paraId="673A57A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cs="Times New Roman"/>
                      <w:i w:val="0"/>
                      <w:iCs w:val="0"/>
                      <w:color w:val="auto"/>
                      <w:sz w:val="21"/>
                      <w:szCs w:val="21"/>
                      <w:u w:val="none"/>
                    </w:rPr>
                  </w:pPr>
                  <w:r>
                    <w:rPr>
                      <w:rFonts w:hint="default" w:ascii="Times New Roman" w:hAnsi="Times New Roman" w:cs="Times New Roman"/>
                      <w:i w:val="0"/>
                      <w:iCs w:val="0"/>
                      <w:color w:val="auto"/>
                      <w:sz w:val="21"/>
                      <w:szCs w:val="21"/>
                      <w:u w:val="none"/>
                    </w:rPr>
                    <w:t>地下水超采、荒漠植被退化、沙漠化威胁、局部土壤盐渍化、河流萎缩、滥开荒地</w:t>
                  </w:r>
                </w:p>
              </w:tc>
              <w:tc>
                <w:tcPr>
                  <w:tcW w:w="591" w:type="pct"/>
                  <w:tcBorders>
                    <w:top w:val="single" w:color="000000" w:sz="4" w:space="0"/>
                    <w:left w:val="single" w:color="000000" w:sz="4" w:space="0"/>
                    <w:bottom w:val="single" w:color="000000" w:sz="4" w:space="0"/>
                    <w:right w:val="single" w:color="000000" w:sz="4" w:space="0"/>
                  </w:tcBorders>
                  <w:noWrap w:val="0"/>
                  <w:vAlign w:val="center"/>
                </w:tcPr>
                <w:p w14:paraId="309445B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cs="Times New Roman"/>
                      <w:i w:val="0"/>
                      <w:iCs w:val="0"/>
                      <w:color w:val="auto"/>
                      <w:sz w:val="21"/>
                      <w:szCs w:val="21"/>
                      <w:u w:val="none"/>
                    </w:rPr>
                  </w:pPr>
                  <w:r>
                    <w:rPr>
                      <w:rFonts w:hint="default" w:ascii="Times New Roman" w:hAnsi="Times New Roman" w:cs="Times New Roman"/>
                      <w:i w:val="0"/>
                      <w:iCs w:val="0"/>
                      <w:color w:val="auto"/>
                      <w:sz w:val="21"/>
                      <w:szCs w:val="21"/>
                      <w:u w:val="none"/>
                    </w:rPr>
                    <w:t>生物多样性及其生境中度敏感，土壤侵蚀轻度敏感、土地沙漠化中度敏感，土壤盐渍化轻度敏感</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4BBCC8D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cs="Times New Roman"/>
                      <w:i w:val="0"/>
                      <w:iCs w:val="0"/>
                      <w:color w:val="auto"/>
                      <w:sz w:val="21"/>
                      <w:szCs w:val="21"/>
                      <w:u w:val="none"/>
                    </w:rPr>
                    <w:t>保护基本农田、保护荒漠植被、保护土壤环境质量</w:t>
                  </w:r>
                </w:p>
              </w:tc>
              <w:tc>
                <w:tcPr>
                  <w:tcW w:w="639" w:type="pct"/>
                  <w:tcBorders>
                    <w:top w:val="single" w:color="000000" w:sz="4" w:space="0"/>
                    <w:left w:val="single" w:color="000000" w:sz="4" w:space="0"/>
                    <w:bottom w:val="single" w:color="000000" w:sz="4" w:space="0"/>
                    <w:right w:val="single" w:color="000000" w:sz="4" w:space="0"/>
                  </w:tcBorders>
                  <w:noWrap w:val="0"/>
                  <w:vAlign w:val="center"/>
                </w:tcPr>
                <w:p w14:paraId="7FD57FE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cs="Times New Roman"/>
                      <w:i w:val="0"/>
                      <w:iCs w:val="0"/>
                      <w:color w:val="auto"/>
                      <w:sz w:val="21"/>
                      <w:szCs w:val="21"/>
                      <w:u w:val="none"/>
                    </w:rPr>
                  </w:pPr>
                  <w:r>
                    <w:rPr>
                      <w:rFonts w:hint="default" w:ascii="Times New Roman" w:hAnsi="Times New Roman" w:cs="Times New Roman"/>
                      <w:i w:val="0"/>
                      <w:iCs w:val="0"/>
                      <w:color w:val="auto"/>
                      <w:sz w:val="21"/>
                      <w:szCs w:val="21"/>
                      <w:u w:val="none"/>
                    </w:rPr>
                    <w:t>节水灌溉、草场休牧、对坡耕地和沙化土地实施退耕还林（草），在水源无保障、植被稀少、生态脆弱地带禁止开荒、加强农田投入品的使用管理</w:t>
                  </w:r>
                </w:p>
              </w:tc>
              <w:tc>
                <w:tcPr>
                  <w:tcW w:w="464" w:type="pct"/>
                  <w:tcBorders>
                    <w:top w:val="single" w:color="000000" w:sz="4" w:space="0"/>
                    <w:left w:val="single" w:color="000000" w:sz="4" w:space="0"/>
                    <w:bottom w:val="single" w:color="000000" w:sz="4" w:space="0"/>
                    <w:right w:val="single" w:color="000000" w:sz="4" w:space="0"/>
                  </w:tcBorders>
                  <w:noWrap w:val="0"/>
                  <w:vAlign w:val="center"/>
                </w:tcPr>
                <w:p w14:paraId="6CDDD35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cs="Times New Roman"/>
                      <w:i w:val="0"/>
                      <w:iCs w:val="0"/>
                      <w:color w:val="auto"/>
                      <w:sz w:val="21"/>
                      <w:szCs w:val="21"/>
                      <w:u w:val="none"/>
                    </w:rPr>
                  </w:pPr>
                  <w:r>
                    <w:rPr>
                      <w:rFonts w:hint="default" w:ascii="Times New Roman" w:hAnsi="Times New Roman" w:cs="Times New Roman"/>
                      <w:i w:val="0"/>
                      <w:iCs w:val="0"/>
                      <w:color w:val="auto"/>
                      <w:sz w:val="21"/>
                      <w:szCs w:val="21"/>
                      <w:u w:val="none"/>
                    </w:rPr>
                    <w:t>农牧结合，发展优质、高效特色农业和畜牧业</w:t>
                  </w:r>
                </w:p>
              </w:tc>
            </w:tr>
          </w:tbl>
          <w:p w14:paraId="2C01264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2" w:firstLineChars="200"/>
              <w:textAlignment w:val="auto"/>
              <w:rPr>
                <w:rFonts w:hint="default" w:ascii="Times New Roman" w:hAnsi="Times New Roman" w:eastAsia="宋体" w:cs="Times New Roman"/>
                <w:color w:val="auto"/>
                <w:sz w:val="24"/>
                <w:szCs w:val="24"/>
              </w:rPr>
            </w:pPr>
            <w:r>
              <w:rPr>
                <w:rFonts w:hint="eastAsia" w:ascii="Times New Roman" w:hAnsi="Times New Roman" w:eastAsia="宋体" w:cs="Times New Roman"/>
                <w:b/>
                <w:bCs/>
                <w:color w:val="auto"/>
                <w:kern w:val="0"/>
                <w:sz w:val="24"/>
                <w:szCs w:val="24"/>
                <w:lang w:val="en-US" w:eastAsia="zh-CN"/>
              </w:rPr>
              <w:t>1.3土地利用类型及土壤类型现状</w:t>
            </w:r>
          </w:p>
          <w:p w14:paraId="2665972D">
            <w:pPr>
              <w:keepNext w:val="0"/>
              <w:keepLines w:val="0"/>
              <w:pageBreakBefore w:val="0"/>
              <w:widowControl w:val="0"/>
              <w:kinsoku/>
              <w:wordWrap/>
              <w:overflowPunct w:val="0"/>
              <w:topLinePunct w:val="0"/>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b w:val="0"/>
                <w:bCs w:val="0"/>
                <w:color w:val="auto"/>
                <w:kern w:val="0"/>
                <w:sz w:val="24"/>
                <w:szCs w:val="24"/>
                <w:lang w:val="en-US" w:eastAsia="zh-CN"/>
              </w:rPr>
            </w:pPr>
            <w:r>
              <w:rPr>
                <w:rFonts w:hint="default" w:ascii="Times New Roman" w:hAnsi="Times New Roman" w:eastAsia="宋体" w:cs="Times New Roman"/>
                <w:color w:val="auto"/>
                <w:sz w:val="24"/>
                <w:szCs w:val="24"/>
                <w:lang w:val="en-US" w:eastAsia="zh-CN"/>
              </w:rPr>
              <w:t>本项目区土壤类型以灰漠土为主，其中灌耕灰漠土占有较大的面积，另外也有草甸土、淡棕钙土等，项目区周边分布有大量村庄及耕地，受人类频繁活动影响，区域土壤均以灌耕为主要功能。土壤质地以砂砾质和砾质为主。</w:t>
            </w:r>
          </w:p>
          <w:p w14:paraId="4D78D415">
            <w:pPr>
              <w:keepNext w:val="0"/>
              <w:keepLines w:val="0"/>
              <w:pageBreakBefore w:val="0"/>
              <w:widowControl w:val="0"/>
              <w:kinsoku/>
              <w:wordWrap/>
              <w:overflowPunct w:val="0"/>
              <w:topLinePunct w:val="0"/>
              <w:autoSpaceDE/>
              <w:autoSpaceDN/>
              <w:bidi w:val="0"/>
              <w:spacing w:line="360" w:lineRule="auto"/>
              <w:ind w:left="0" w:leftChars="0" w:firstLine="474" w:firstLineChars="200"/>
              <w:textAlignment w:val="auto"/>
              <w:rPr>
                <w:rFonts w:hint="default" w:ascii="Times New Roman" w:hAnsi="Times New Roman" w:eastAsia="宋体" w:cs="Times New Roman"/>
                <w:b/>
                <w:bCs/>
                <w:color w:val="auto"/>
                <w:sz w:val="24"/>
                <w:szCs w:val="24"/>
              </w:rPr>
            </w:pPr>
            <w:r>
              <w:rPr>
                <w:rFonts w:hint="eastAsia" w:cs="Times New Roman"/>
                <w:b/>
                <w:bCs/>
                <w:color w:val="auto"/>
                <w:spacing w:val="-2"/>
                <w:sz w:val="24"/>
                <w:szCs w:val="24"/>
                <w:lang w:val="en-US" w:eastAsia="zh-CN"/>
              </w:rPr>
              <w:t>1.4</w:t>
            </w:r>
            <w:r>
              <w:rPr>
                <w:rFonts w:hint="default" w:ascii="Times New Roman" w:hAnsi="Times New Roman" w:eastAsia="宋体" w:cs="Times New Roman"/>
                <w:b/>
                <w:bCs/>
                <w:color w:val="auto"/>
                <w:spacing w:val="-2"/>
                <w:sz w:val="24"/>
                <w:szCs w:val="24"/>
              </w:rPr>
              <w:t>植被现状调查</w:t>
            </w:r>
          </w:p>
          <w:p w14:paraId="61BA302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b w:val="0"/>
                <w:bCs/>
                <w:color w:val="auto"/>
                <w:sz w:val="24"/>
                <w:lang w:val="en-US" w:eastAsia="zh-CN"/>
              </w:rPr>
            </w:pPr>
            <w:r>
              <w:rPr>
                <w:rFonts w:hint="default" w:ascii="Times New Roman" w:hAnsi="Times New Roman" w:eastAsia="宋体" w:cs="Times New Roman"/>
                <w:b w:val="0"/>
                <w:bCs/>
                <w:color w:val="auto"/>
                <w:sz w:val="24"/>
                <w:lang w:val="en-US" w:eastAsia="zh-CN"/>
              </w:rPr>
              <w:t>项目区周边植被类型主要为野生荒漠植被及农田，野生荒漠植被主要为披碱草、野麻黄等，植被覆盖率约为15%。在居民点、道路两侧有人工林分布。据实地踏勘和调查了解，渠道改造工程布局范围内没有发现珍稀保护植物分布。评价范围内植被类型见附图</w:t>
            </w:r>
            <w:r>
              <w:rPr>
                <w:rFonts w:hint="eastAsia" w:ascii="Times New Roman" w:hAnsi="Times New Roman" w:eastAsia="宋体" w:cs="Times New Roman"/>
                <w:b w:val="0"/>
                <w:bCs/>
                <w:color w:val="auto"/>
                <w:sz w:val="24"/>
                <w:lang w:val="en-US" w:eastAsia="zh-CN"/>
              </w:rPr>
              <w:t>。</w:t>
            </w:r>
          </w:p>
          <w:p w14:paraId="3A415F6D">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2" w:firstLineChars="200"/>
              <w:textAlignment w:val="auto"/>
              <w:rPr>
                <w:rFonts w:hint="default" w:ascii="Times New Roman" w:hAnsi="Times New Roman" w:cs="Times New Roman"/>
                <w:b/>
                <w:bCs/>
                <w:color w:val="auto"/>
                <w:sz w:val="24"/>
                <w:lang w:val="en-US" w:eastAsia="zh-CN"/>
              </w:rPr>
            </w:pPr>
            <w:r>
              <w:rPr>
                <w:rFonts w:hint="eastAsia" w:cs="Times New Roman"/>
                <w:b/>
                <w:bCs/>
                <w:color w:val="auto"/>
                <w:sz w:val="24"/>
                <w:lang w:val="en-US" w:eastAsia="zh-CN"/>
              </w:rPr>
              <w:t>1.5</w:t>
            </w:r>
            <w:r>
              <w:rPr>
                <w:rFonts w:hint="default" w:ascii="Times New Roman" w:hAnsi="Times New Roman" w:cs="Times New Roman"/>
                <w:b/>
                <w:bCs/>
                <w:color w:val="auto"/>
                <w:sz w:val="24"/>
                <w:lang w:val="en-US" w:eastAsia="zh-CN"/>
              </w:rPr>
              <w:t>陆生野生动物现状调查</w:t>
            </w:r>
          </w:p>
          <w:p w14:paraId="3281343C">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 w:val="0"/>
                <w:bCs w:val="0"/>
                <w:color w:val="auto"/>
                <w:sz w:val="24"/>
                <w:lang w:val="en-US" w:eastAsia="zh-CN"/>
              </w:rPr>
            </w:pPr>
            <w:r>
              <w:rPr>
                <w:rFonts w:hint="default" w:ascii="Times New Roman" w:hAnsi="Times New Roman" w:cs="Times New Roman"/>
                <w:b w:val="0"/>
                <w:bCs w:val="0"/>
                <w:color w:val="auto"/>
                <w:sz w:val="24"/>
                <w:lang w:val="en-US" w:eastAsia="zh-CN"/>
              </w:rPr>
              <w:t>项目区位于平原区，区域长期受人为生产和社会活动的影响，无大型野生动物及珍、濒物种出没。常见的有啮齿类鼠、爬行类的沙蜥、鸟类的麻雀、沙雀、鸢、金眶鸻</w:t>
            </w:r>
            <w:r>
              <w:rPr>
                <w:rFonts w:hint="eastAsia" w:cs="Times New Roman"/>
                <w:b w:val="0"/>
                <w:bCs w:val="0"/>
                <w:color w:val="auto"/>
                <w:sz w:val="24"/>
                <w:lang w:val="en-US" w:eastAsia="zh-CN"/>
              </w:rPr>
              <w:t>、</w:t>
            </w:r>
            <w:r>
              <w:rPr>
                <w:rFonts w:hint="default" w:ascii="Times New Roman" w:hAnsi="Times New Roman" w:cs="Times New Roman"/>
                <w:b w:val="0"/>
                <w:bCs w:val="0"/>
                <w:color w:val="auto"/>
                <w:sz w:val="24"/>
                <w:lang w:val="en-US" w:eastAsia="zh-CN"/>
              </w:rPr>
              <w:t>戴胜、云雀</w:t>
            </w:r>
            <w:r>
              <w:rPr>
                <w:rFonts w:hint="eastAsia" w:cs="Times New Roman"/>
                <w:b w:val="0"/>
                <w:bCs w:val="0"/>
                <w:color w:val="auto"/>
                <w:sz w:val="24"/>
                <w:lang w:val="en-US" w:eastAsia="zh-CN"/>
              </w:rPr>
              <w:t>、</w:t>
            </w:r>
            <w:r>
              <w:rPr>
                <w:rFonts w:hint="default" w:ascii="Times New Roman" w:hAnsi="Times New Roman" w:cs="Times New Roman"/>
                <w:b w:val="0"/>
                <w:bCs w:val="0"/>
                <w:color w:val="auto"/>
                <w:sz w:val="24"/>
                <w:lang w:val="en-US" w:eastAsia="zh-CN"/>
              </w:rPr>
              <w:t>鸨等。</w:t>
            </w:r>
          </w:p>
          <w:p w14:paraId="30BBAFF0">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 w:val="0"/>
                <w:bCs w:val="0"/>
                <w:color w:val="auto"/>
                <w:sz w:val="24"/>
                <w:lang w:val="en-US" w:eastAsia="zh-CN"/>
              </w:rPr>
            </w:pPr>
            <w:r>
              <w:rPr>
                <w:rFonts w:hint="default" w:ascii="Times New Roman" w:hAnsi="Times New Roman" w:cs="Times New Roman"/>
                <w:b w:val="0"/>
                <w:bCs w:val="0"/>
                <w:color w:val="auto"/>
                <w:sz w:val="24"/>
                <w:lang w:val="en-US" w:eastAsia="zh-CN"/>
              </w:rPr>
              <w:t>项目施工期避开农灌期，且项目区无鱼类等水生生物的洄游通道及“三场”等重要生境，项目建设不会对物种多样性及资源量等产生不利影响。</w:t>
            </w:r>
          </w:p>
          <w:p w14:paraId="4956592B">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2" w:firstLineChars="200"/>
              <w:textAlignment w:val="auto"/>
              <w:rPr>
                <w:rFonts w:hint="eastAsia" w:ascii="Times New Roman" w:hAnsi="Times New Roman" w:eastAsia="宋体" w:cs="Times New Roman"/>
                <w:b/>
                <w:bCs/>
                <w:color w:val="auto"/>
                <w:sz w:val="24"/>
                <w:lang w:val="en-US" w:eastAsia="zh-CN"/>
              </w:rPr>
            </w:pPr>
            <w:r>
              <w:rPr>
                <w:rFonts w:hint="eastAsia" w:ascii="Times New Roman" w:hAnsi="Times New Roman" w:eastAsia="宋体" w:cs="Times New Roman"/>
                <w:b/>
                <w:bCs/>
                <w:color w:val="auto"/>
                <w:sz w:val="24"/>
                <w:lang w:val="en-US" w:eastAsia="zh-CN"/>
              </w:rPr>
              <w:t>1.6水土流失现状调查</w:t>
            </w:r>
          </w:p>
          <w:p w14:paraId="00D52F8C">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项目区位于昌吉州奇台县，根据《全国水土保持规划（</w:t>
            </w:r>
            <w:r>
              <w:rPr>
                <w:rFonts w:hint="default" w:ascii="Times New Roman" w:hAnsi="Times New Roman" w:eastAsia="宋体" w:cs="Times New Roman"/>
                <w:b w:val="0"/>
                <w:bCs w:val="0"/>
                <w:color w:val="auto"/>
                <w:sz w:val="24"/>
                <w:lang w:val="en-US" w:eastAsia="zh-CN"/>
              </w:rPr>
              <w:t>2015</w:t>
            </w:r>
            <w:r>
              <w:rPr>
                <w:rFonts w:hint="eastAsia" w:cs="Times New Roman"/>
                <w:b w:val="0"/>
                <w:bCs w:val="0"/>
                <w:color w:val="auto"/>
                <w:sz w:val="24"/>
                <w:lang w:val="en-US" w:eastAsia="zh-CN"/>
              </w:rPr>
              <w:t>—</w:t>
            </w:r>
            <w:r>
              <w:rPr>
                <w:rFonts w:hint="default" w:ascii="Times New Roman" w:hAnsi="Times New Roman" w:eastAsia="宋体" w:cs="Times New Roman"/>
                <w:b w:val="0"/>
                <w:bCs w:val="0"/>
                <w:color w:val="auto"/>
                <w:sz w:val="24"/>
                <w:lang w:val="en-US" w:eastAsia="zh-CN"/>
              </w:rPr>
              <w:t>2030</w:t>
            </w:r>
            <w:r>
              <w:rPr>
                <w:rFonts w:hint="eastAsia" w:ascii="Times New Roman" w:hAnsi="Times New Roman" w:eastAsia="宋体" w:cs="Times New Roman"/>
                <w:b w:val="0"/>
                <w:bCs w:val="0"/>
                <w:color w:val="auto"/>
                <w:sz w:val="24"/>
                <w:lang w:val="en-US" w:eastAsia="zh-CN"/>
              </w:rPr>
              <w:t>年）》（水规计〔</w:t>
            </w:r>
            <w:r>
              <w:rPr>
                <w:rFonts w:hint="default" w:ascii="Times New Roman" w:hAnsi="Times New Roman" w:eastAsia="宋体" w:cs="Times New Roman"/>
                <w:b w:val="0"/>
                <w:bCs w:val="0"/>
                <w:color w:val="auto"/>
                <w:sz w:val="24"/>
                <w:lang w:val="en-US" w:eastAsia="zh-CN"/>
              </w:rPr>
              <w:t>2015</w:t>
            </w:r>
            <w:r>
              <w:rPr>
                <w:rFonts w:hint="eastAsia" w:ascii="Times New Roman" w:hAnsi="Times New Roman" w:eastAsia="宋体" w:cs="Times New Roman"/>
                <w:b w:val="0"/>
                <w:bCs w:val="0"/>
                <w:color w:val="auto"/>
                <w:sz w:val="24"/>
                <w:lang w:val="en-US" w:eastAsia="zh-CN"/>
              </w:rPr>
              <w:t>〕</w:t>
            </w:r>
            <w:r>
              <w:rPr>
                <w:rFonts w:hint="default" w:ascii="Times New Roman" w:hAnsi="Times New Roman" w:eastAsia="宋体" w:cs="Times New Roman"/>
                <w:b w:val="0"/>
                <w:bCs w:val="0"/>
                <w:color w:val="auto"/>
                <w:sz w:val="24"/>
                <w:lang w:val="en-US" w:eastAsia="zh-CN"/>
              </w:rPr>
              <w:t>507</w:t>
            </w:r>
            <w:r>
              <w:rPr>
                <w:rFonts w:hint="eastAsia" w:ascii="Times New Roman" w:hAnsi="Times New Roman" w:eastAsia="宋体" w:cs="Times New Roman"/>
                <w:b w:val="0"/>
                <w:bCs w:val="0"/>
                <w:color w:val="auto"/>
                <w:sz w:val="24"/>
                <w:lang w:val="en-US" w:eastAsia="zh-CN"/>
              </w:rPr>
              <w:t>号文），项目区位于北方风沙区，根据“水利部办公厅印发关于做好国家级水土流失重点预防区和重点治理区落地上图成果应用的通知（办水保〔2025〕170号）”，对项目区占地进行上图检索，项目区属于天山北坡国家级水土流失重点预防区，根据“关于印发</w:t>
            </w:r>
            <w:r>
              <w:rPr>
                <w:rFonts w:hint="eastAsia" w:cs="Times New Roman"/>
                <w:b w:val="0"/>
                <w:bCs w:val="0"/>
                <w:color w:val="auto"/>
                <w:sz w:val="24"/>
                <w:lang w:val="en-US" w:eastAsia="zh-CN"/>
              </w:rPr>
              <w:t>新疆维吾尔自治区</w:t>
            </w:r>
            <w:r>
              <w:rPr>
                <w:rFonts w:hint="eastAsia" w:ascii="Times New Roman" w:hAnsi="Times New Roman" w:eastAsia="宋体" w:cs="Times New Roman"/>
                <w:b w:val="0"/>
                <w:bCs w:val="0"/>
                <w:color w:val="auto"/>
                <w:sz w:val="24"/>
                <w:lang w:val="en-US" w:eastAsia="zh-CN"/>
              </w:rPr>
              <w:t>级水土流失重点预防区和重点治理区复核划分成果的通知（新水办水保〔2019〕4号）”，项目区所属奇台县不涉及自治区级水土流失重点治理区和预防区。</w:t>
            </w:r>
          </w:p>
          <w:p w14:paraId="3441460B">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根据《土壤侵蚀分类分级标准》（</w:t>
            </w:r>
            <w:r>
              <w:rPr>
                <w:rFonts w:hint="default" w:ascii="Times New Roman" w:hAnsi="Times New Roman" w:eastAsia="宋体" w:cs="Times New Roman"/>
                <w:b w:val="0"/>
                <w:bCs w:val="0"/>
                <w:color w:val="auto"/>
                <w:sz w:val="24"/>
                <w:lang w:val="en-US" w:eastAsia="zh-CN"/>
              </w:rPr>
              <w:t>SL190-2007</w:t>
            </w:r>
            <w:r>
              <w:rPr>
                <w:rFonts w:hint="eastAsia" w:ascii="Times New Roman" w:hAnsi="Times New Roman" w:eastAsia="宋体" w:cs="Times New Roman"/>
                <w:b w:val="0"/>
                <w:bCs w:val="0"/>
                <w:color w:val="auto"/>
                <w:sz w:val="24"/>
                <w:lang w:val="en-US" w:eastAsia="zh-CN"/>
              </w:rPr>
              <w:t>）及《新疆维吾尔自治区</w:t>
            </w:r>
            <w:r>
              <w:rPr>
                <w:rFonts w:hint="default" w:ascii="Times New Roman" w:hAnsi="Times New Roman" w:eastAsia="宋体" w:cs="Times New Roman"/>
                <w:b w:val="0"/>
                <w:bCs w:val="0"/>
                <w:color w:val="auto"/>
                <w:sz w:val="24"/>
                <w:lang w:val="en-US" w:eastAsia="zh-CN"/>
              </w:rPr>
              <w:t>202</w:t>
            </w:r>
            <w:r>
              <w:rPr>
                <w:rFonts w:hint="eastAsia" w:ascii="Times New Roman" w:hAnsi="Times New Roman" w:eastAsia="宋体" w:cs="Times New Roman"/>
                <w:b w:val="0"/>
                <w:bCs w:val="0"/>
                <w:color w:val="auto"/>
                <w:sz w:val="24"/>
                <w:lang w:val="en-US" w:eastAsia="zh-CN"/>
              </w:rPr>
              <w:t>4年动态监测年报》，结合项目区现状情况、流域内土壤侵蚀情况、地形地貌情况、气候特征、土壤植被等自然条件情况，最终确定工程区为轻度风力侵蚀区，原地貌轻度风力侵蚀模数确定为</w:t>
            </w:r>
            <w:r>
              <w:rPr>
                <w:rFonts w:hint="default" w:ascii="Times New Roman" w:hAnsi="Times New Roman" w:eastAsia="宋体" w:cs="Times New Roman"/>
                <w:b w:val="0"/>
                <w:bCs w:val="0"/>
                <w:color w:val="auto"/>
                <w:sz w:val="24"/>
                <w:lang w:val="en-US" w:eastAsia="zh-CN"/>
              </w:rPr>
              <w:t>1300t/km</w:t>
            </w:r>
            <w:r>
              <w:rPr>
                <w:rFonts w:hint="default" w:ascii="Times New Roman" w:hAnsi="Times New Roman" w:eastAsia="宋体" w:cs="Times New Roman"/>
                <w:b w:val="0"/>
                <w:bCs w:val="0"/>
                <w:color w:val="auto"/>
                <w:sz w:val="24"/>
                <w:vertAlign w:val="superscript"/>
                <w:lang w:val="en-US" w:eastAsia="zh-CN"/>
              </w:rPr>
              <w:t>2</w:t>
            </w:r>
            <w:r>
              <w:rPr>
                <w:rFonts w:hint="default" w:ascii="Times New Roman" w:hAnsi="Times New Roman" w:eastAsia="宋体" w:cs="Times New Roman"/>
                <w:b w:val="0"/>
                <w:bCs w:val="0"/>
                <w:color w:val="auto"/>
                <w:sz w:val="24"/>
                <w:lang w:val="en-US" w:eastAsia="zh-CN"/>
              </w:rPr>
              <w:t>·a</w:t>
            </w:r>
            <w:r>
              <w:rPr>
                <w:rFonts w:hint="eastAsia" w:ascii="Times New Roman" w:hAnsi="Times New Roman" w:eastAsia="宋体" w:cs="Times New Roman"/>
                <w:b w:val="0"/>
                <w:bCs w:val="0"/>
                <w:color w:val="auto"/>
                <w:sz w:val="24"/>
                <w:lang w:val="en-US" w:eastAsia="zh-CN"/>
              </w:rPr>
              <w:t>，容许土壤流失量确定为</w:t>
            </w:r>
            <w:r>
              <w:rPr>
                <w:rFonts w:hint="default" w:ascii="Times New Roman" w:hAnsi="Times New Roman" w:eastAsia="宋体" w:cs="Times New Roman"/>
                <w:b w:val="0"/>
                <w:bCs w:val="0"/>
                <w:color w:val="auto"/>
                <w:sz w:val="24"/>
                <w:lang w:val="en-US" w:eastAsia="zh-CN"/>
              </w:rPr>
              <w:t>1300t/km</w:t>
            </w:r>
            <w:r>
              <w:rPr>
                <w:rFonts w:hint="default" w:ascii="Times New Roman" w:hAnsi="Times New Roman" w:eastAsia="宋体" w:cs="Times New Roman"/>
                <w:b w:val="0"/>
                <w:bCs w:val="0"/>
                <w:color w:val="auto"/>
                <w:sz w:val="24"/>
                <w:vertAlign w:val="superscript"/>
                <w:lang w:val="en-US" w:eastAsia="zh-CN"/>
              </w:rPr>
              <w:t>2</w:t>
            </w:r>
            <w:r>
              <w:rPr>
                <w:rFonts w:hint="default" w:ascii="Times New Roman" w:hAnsi="Times New Roman" w:eastAsia="宋体" w:cs="Times New Roman"/>
                <w:b w:val="0"/>
                <w:bCs w:val="0"/>
                <w:color w:val="auto"/>
                <w:sz w:val="24"/>
                <w:lang w:val="en-US" w:eastAsia="zh-CN"/>
              </w:rPr>
              <w:t>·a</w:t>
            </w:r>
            <w:r>
              <w:rPr>
                <w:rFonts w:hint="eastAsia" w:ascii="Times New Roman" w:hAnsi="Times New Roman" w:eastAsia="宋体" w:cs="Times New Roman"/>
                <w:b w:val="0"/>
                <w:bCs w:val="0"/>
                <w:color w:val="auto"/>
                <w:sz w:val="24"/>
                <w:lang w:val="en-US" w:eastAsia="zh-CN"/>
              </w:rPr>
              <w:t>。</w:t>
            </w:r>
          </w:p>
          <w:p w14:paraId="4B771F86">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color w:val="auto"/>
                <w:sz w:val="24"/>
                <w:lang w:val="en-US" w:eastAsia="zh-CN"/>
              </w:rPr>
            </w:pPr>
            <w:r>
              <w:rPr>
                <w:rFonts w:hint="default" w:ascii="Times New Roman" w:hAnsi="Times New Roman" w:eastAsia="宋体" w:cs="Times New Roman"/>
                <w:b/>
                <w:bCs/>
                <w:color w:val="auto"/>
                <w:sz w:val="24"/>
                <w:lang w:val="en-US" w:eastAsia="zh-CN"/>
              </w:rPr>
              <w:t>1.7沙化土地</w:t>
            </w:r>
          </w:p>
          <w:p w14:paraId="14D33B20">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根据《新疆第六次沙化监测报告》和《新疆第六次</w:t>
            </w:r>
            <w:r>
              <w:rPr>
                <w:rFonts w:hint="eastAsia" w:cs="Times New Roman"/>
                <w:b w:val="0"/>
                <w:bCs w:val="0"/>
                <w:color w:val="auto"/>
                <w:sz w:val="24"/>
                <w:lang w:val="en-US" w:eastAsia="zh-CN"/>
              </w:rPr>
              <w:t>沙化</w:t>
            </w:r>
            <w:r>
              <w:rPr>
                <w:rFonts w:hint="default" w:ascii="Times New Roman" w:hAnsi="Times New Roman" w:eastAsia="宋体" w:cs="Times New Roman"/>
                <w:b w:val="0"/>
                <w:bCs w:val="0"/>
                <w:color w:val="auto"/>
                <w:sz w:val="24"/>
                <w:lang w:val="en-US" w:eastAsia="zh-CN"/>
              </w:rPr>
              <w:t>监测区分布图》，本项目位于昌吉回族自治州奇台县境内，不涉及沙化土地区域。目前，该地区尚未出现严重沙化问题，但由于气候干旱、风力较大（年平均风速0.85～5.1m/s），仍需持续关注土壤退化和风蚀风险。</w:t>
            </w:r>
          </w:p>
          <w:p w14:paraId="4D44CFEE">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color w:val="auto"/>
                <w:sz w:val="24"/>
                <w:lang w:val="en-US" w:eastAsia="zh-CN"/>
              </w:rPr>
            </w:pPr>
            <w:r>
              <w:rPr>
                <w:rFonts w:hint="eastAsia" w:cs="Times New Roman"/>
                <w:b/>
                <w:bCs/>
                <w:color w:val="auto"/>
                <w:sz w:val="24"/>
                <w:lang w:val="en-US" w:eastAsia="zh-CN"/>
              </w:rPr>
              <w:t>1.8</w:t>
            </w:r>
            <w:r>
              <w:rPr>
                <w:rFonts w:hint="eastAsia" w:ascii="Times New Roman" w:hAnsi="Times New Roman" w:eastAsia="宋体" w:cs="Times New Roman"/>
                <w:b/>
                <w:bCs/>
                <w:color w:val="auto"/>
                <w:sz w:val="24"/>
                <w:lang w:val="en-US" w:eastAsia="zh-CN"/>
              </w:rPr>
              <w:t>流域现状</w:t>
            </w:r>
          </w:p>
          <w:p w14:paraId="38895975">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（1）流域概况</w:t>
            </w:r>
          </w:p>
          <w:p w14:paraId="4821CAF4">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开垦河灌区隶属昌吉州奇台县，地理位置介于</w:t>
            </w:r>
            <w:r>
              <w:rPr>
                <w:rFonts w:hint="eastAsia" w:eastAsia="宋体" w:cs="Times New Roman"/>
                <w:b w:val="0"/>
                <w:bCs w:val="0"/>
                <w:color w:val="auto"/>
                <w:sz w:val="24"/>
                <w:lang w:val="en-US" w:eastAsia="zh-CN"/>
              </w:rPr>
              <w:t>东经</w:t>
            </w:r>
            <w:r>
              <w:rPr>
                <w:rFonts w:hint="default" w:ascii="Times New Roman" w:hAnsi="Times New Roman" w:eastAsia="宋体" w:cs="Times New Roman"/>
                <w:b w:val="0"/>
                <w:bCs w:val="0"/>
                <w:color w:val="auto"/>
                <w:sz w:val="24"/>
                <w:lang w:val="en-US" w:eastAsia="zh-CN"/>
              </w:rPr>
              <w:t>89°45′～90°05′、北纬43°30′～44°10′之间。南以天山北坡，低山丘陵为界，东邻木垒县，西至奇台县半截沟镇，北抵古尔班通古特沙漠边缘。开垦河灌区中心位置距奇台县城50km，乌木公路贯穿灌区，为灌区对外交通运输主要干线，灌区内各级公路网与之相连，交通便利。</w:t>
            </w:r>
          </w:p>
          <w:p w14:paraId="4B177455">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开垦河流域地貌具有以下特点：地势由南向北倾斜，南北方向差异较大，从准噶尔盆地边缘到天山分水岭，高差变幅很大，由戈壁荒原过渡到冰川雪岭，气候变化显著。</w:t>
            </w:r>
          </w:p>
          <w:p w14:paraId="753ED1FF">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开垦河流域地形较复杂，天山山脉博格达山横贯南部，形成南高北低</w:t>
            </w:r>
            <w:r>
              <w:rPr>
                <w:rFonts w:hint="eastAsia" w:eastAsia="宋体" w:cs="Times New Roman"/>
                <w:b w:val="0"/>
                <w:bCs w:val="0"/>
                <w:color w:val="auto"/>
                <w:sz w:val="24"/>
                <w:lang w:val="en-US" w:eastAsia="zh-CN"/>
              </w:rPr>
              <w:t>的地势。</w:t>
            </w:r>
            <w:r>
              <w:rPr>
                <w:rFonts w:hint="default" w:ascii="Times New Roman" w:hAnsi="Times New Roman" w:eastAsia="宋体" w:cs="Times New Roman"/>
                <w:b w:val="0"/>
                <w:bCs w:val="0"/>
                <w:color w:val="auto"/>
                <w:sz w:val="24"/>
                <w:lang w:val="en-US" w:eastAsia="zh-CN"/>
              </w:rPr>
              <w:t>开垦河上部开恩恰勒克海拔在4000m以上，流域北边最低650m。由南向北从高山、丘陵至平原，可以分为六个典型地貌单元，由南向北分别为：南部高山区、中山区、低山丘陵区、山前冲洪积倾斜平原区、平原区和沙漠区。</w:t>
            </w:r>
          </w:p>
          <w:p w14:paraId="3C36D5A2">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（2）河流水系</w:t>
            </w:r>
          </w:p>
          <w:p w14:paraId="5AA24203">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开垦河是奇台县境内最大的河流，与天山东段诸多中小河流相比，开垦河河网发育良好，其流域形状基本呈树形结构。开垦河由大东沟</w:t>
            </w:r>
            <w:r>
              <w:rPr>
                <w:rFonts w:hint="eastAsia" w:eastAsia="宋体" w:cs="Times New Roman"/>
                <w:b w:val="0"/>
                <w:bCs w:val="0"/>
                <w:color w:val="auto"/>
                <w:sz w:val="24"/>
                <w:lang w:val="en-US" w:eastAsia="zh-CN"/>
              </w:rPr>
              <w:t>（</w:t>
            </w:r>
            <w:r>
              <w:rPr>
                <w:rFonts w:hint="default" w:ascii="Times New Roman" w:hAnsi="Times New Roman" w:eastAsia="宋体" w:cs="Times New Roman"/>
                <w:b w:val="0"/>
                <w:bCs w:val="0"/>
                <w:color w:val="auto"/>
                <w:sz w:val="24"/>
                <w:lang w:val="en-US" w:eastAsia="zh-CN"/>
              </w:rPr>
              <w:t>小南沟、大南沟、奇台郭勒等诸多小沟组成</w:t>
            </w:r>
            <w:r>
              <w:rPr>
                <w:rFonts w:hint="eastAsia" w:eastAsia="宋体" w:cs="Times New Roman"/>
                <w:b w:val="0"/>
                <w:bCs w:val="0"/>
                <w:color w:val="auto"/>
                <w:sz w:val="24"/>
                <w:lang w:val="en-US" w:eastAsia="zh-CN"/>
              </w:rPr>
              <w:t>）</w:t>
            </w:r>
            <w:r>
              <w:rPr>
                <w:rFonts w:hint="default" w:ascii="Times New Roman" w:hAnsi="Times New Roman" w:eastAsia="宋体" w:cs="Times New Roman"/>
                <w:b w:val="0"/>
                <w:bCs w:val="0"/>
                <w:color w:val="auto"/>
                <w:sz w:val="24"/>
                <w:lang w:val="en-US" w:eastAsia="zh-CN"/>
              </w:rPr>
              <w:t>、大西沟</w:t>
            </w:r>
            <w:r>
              <w:rPr>
                <w:rFonts w:hint="eastAsia" w:eastAsia="宋体" w:cs="Times New Roman"/>
                <w:b w:val="0"/>
                <w:bCs w:val="0"/>
                <w:color w:val="auto"/>
                <w:sz w:val="24"/>
                <w:lang w:val="en-US" w:eastAsia="zh-CN"/>
              </w:rPr>
              <w:t>（</w:t>
            </w:r>
            <w:r>
              <w:rPr>
                <w:rFonts w:hint="default" w:ascii="Times New Roman" w:hAnsi="Times New Roman" w:eastAsia="宋体" w:cs="Times New Roman"/>
                <w:b w:val="0"/>
                <w:bCs w:val="0"/>
                <w:color w:val="auto"/>
                <w:sz w:val="24"/>
                <w:lang w:val="en-US" w:eastAsia="zh-CN"/>
              </w:rPr>
              <w:t>维吾尔弯子、喀拉萨依等小沟组成</w:t>
            </w:r>
            <w:r>
              <w:rPr>
                <w:rFonts w:hint="eastAsia" w:eastAsia="宋体" w:cs="Times New Roman"/>
                <w:b w:val="0"/>
                <w:bCs w:val="0"/>
                <w:color w:val="auto"/>
                <w:sz w:val="24"/>
                <w:lang w:val="en-US" w:eastAsia="zh-CN"/>
              </w:rPr>
              <w:t>）</w:t>
            </w:r>
            <w:r>
              <w:rPr>
                <w:rFonts w:hint="default" w:ascii="Times New Roman" w:hAnsi="Times New Roman" w:eastAsia="宋体" w:cs="Times New Roman"/>
                <w:b w:val="0"/>
                <w:bCs w:val="0"/>
                <w:color w:val="auto"/>
                <w:sz w:val="24"/>
                <w:lang w:val="en-US" w:eastAsia="zh-CN"/>
              </w:rPr>
              <w:t>两大支流组成，其中大东沟为主干流，由上述数条平行排列的支流汇入主河道。河流既有冰川和永久积雪消融补给，又有</w:t>
            </w:r>
            <w:r>
              <w:rPr>
                <w:rFonts w:hint="eastAsia" w:cs="Times New Roman"/>
                <w:b w:val="0"/>
                <w:bCs w:val="0"/>
                <w:color w:val="auto"/>
                <w:sz w:val="24"/>
                <w:lang w:val="en-US" w:eastAsia="zh-CN"/>
              </w:rPr>
              <w:t>中低山</w:t>
            </w:r>
            <w:r>
              <w:rPr>
                <w:rFonts w:hint="default" w:ascii="Times New Roman" w:hAnsi="Times New Roman" w:eastAsia="宋体" w:cs="Times New Roman"/>
                <w:b w:val="0"/>
                <w:bCs w:val="0"/>
                <w:color w:val="auto"/>
                <w:sz w:val="24"/>
                <w:lang w:val="en-US" w:eastAsia="zh-CN"/>
              </w:rPr>
              <w:t>季节性积雪融水和夏季雨水补给。在东、西两大支沟汇合口以上有一断层。开垦河流域最高点海拔4356m，开垦河水文站以上主河道长32km，集水面积371k</w:t>
            </w:r>
            <w:r>
              <w:rPr>
                <w:rFonts w:hint="eastAsia" w:eastAsia="宋体" w:cs="Times New Roman"/>
                <w:b w:val="0"/>
                <w:bCs w:val="0"/>
                <w:color w:val="auto"/>
                <w:sz w:val="24"/>
                <w:lang w:val="en-US" w:eastAsia="zh-CN"/>
              </w:rPr>
              <w:t>m</w:t>
            </w:r>
            <w:r>
              <w:rPr>
                <w:rFonts w:hint="eastAsia" w:eastAsia="宋体" w:cs="Times New Roman"/>
                <w:b w:val="0"/>
                <w:bCs w:val="0"/>
                <w:color w:val="auto"/>
                <w:sz w:val="24"/>
                <w:vertAlign w:val="superscript"/>
                <w:lang w:val="en-US" w:eastAsia="zh-CN"/>
              </w:rPr>
              <w:t>2</w:t>
            </w:r>
            <w:r>
              <w:rPr>
                <w:rFonts w:hint="default" w:ascii="Times New Roman" w:hAnsi="Times New Roman" w:eastAsia="宋体" w:cs="Times New Roman"/>
                <w:b w:val="0"/>
                <w:bCs w:val="0"/>
                <w:color w:val="auto"/>
                <w:sz w:val="24"/>
                <w:lang w:val="en-US" w:eastAsia="zh-CN"/>
              </w:rPr>
              <w:t>，流域平均宽度11.6km。河道平均纵坡27.3‰。</w:t>
            </w:r>
          </w:p>
          <w:p w14:paraId="0C4EBC43">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（3）现有主要水利工程</w:t>
            </w:r>
          </w:p>
          <w:p w14:paraId="7846CCA8">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①渠首工程</w:t>
            </w:r>
          </w:p>
          <w:p w14:paraId="4D52BA73">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开垦河老渠首始建于1959年，为费尔干式引水枢纽工程，总引水流量26m</w:t>
            </w:r>
            <w:r>
              <w:rPr>
                <w:rFonts w:hint="eastAsia" w:ascii="Times New Roman" w:hAnsi="Times New Roman" w:eastAsia="宋体" w:cs="Times New Roman"/>
                <w:b w:val="0"/>
                <w:bCs w:val="0"/>
                <w:color w:val="auto"/>
                <w:sz w:val="24"/>
                <w:vertAlign w:val="superscript"/>
                <w:lang w:val="en-US" w:eastAsia="zh-CN"/>
              </w:rPr>
              <w:t>3</w:t>
            </w:r>
            <w:r>
              <w:rPr>
                <w:rFonts w:hint="eastAsia" w:ascii="Times New Roman" w:hAnsi="Times New Roman" w:eastAsia="宋体" w:cs="Times New Roman"/>
                <w:b w:val="0"/>
                <w:bCs w:val="0"/>
                <w:color w:val="auto"/>
                <w:sz w:val="24"/>
                <w:lang w:val="en-US" w:eastAsia="zh-CN"/>
              </w:rPr>
              <w:t>/s，该渠首1987年6月3日因特大洪水被严重冲毁，现仅存东侧分水闸。新渠首于1996年建成，位于老渠首以上约1km处，为改良式弯道费尔干拦河渠首。侧向引水，设引水闸二孔，设计引水流量35m</w:t>
            </w:r>
            <w:r>
              <w:rPr>
                <w:rFonts w:hint="eastAsia" w:ascii="Times New Roman" w:hAnsi="Times New Roman" w:eastAsia="宋体" w:cs="Times New Roman"/>
                <w:b w:val="0"/>
                <w:bCs w:val="0"/>
                <w:color w:val="auto"/>
                <w:sz w:val="24"/>
                <w:vertAlign w:val="superscript"/>
                <w:lang w:val="en-US" w:eastAsia="zh-CN"/>
              </w:rPr>
              <w:t>3</w:t>
            </w:r>
            <w:r>
              <w:rPr>
                <w:rFonts w:hint="eastAsia" w:ascii="Times New Roman" w:hAnsi="Times New Roman" w:eastAsia="宋体" w:cs="Times New Roman"/>
                <w:b w:val="0"/>
                <w:bCs w:val="0"/>
                <w:color w:val="auto"/>
                <w:sz w:val="24"/>
                <w:lang w:val="en-US" w:eastAsia="zh-CN"/>
              </w:rPr>
              <w:t>/s。正面设有冲沙泄洪设施，流量30m</w:t>
            </w:r>
            <w:r>
              <w:rPr>
                <w:rFonts w:hint="eastAsia" w:ascii="Times New Roman" w:hAnsi="Times New Roman" w:eastAsia="宋体" w:cs="Times New Roman"/>
                <w:b w:val="0"/>
                <w:bCs w:val="0"/>
                <w:color w:val="auto"/>
                <w:sz w:val="24"/>
                <w:vertAlign w:val="superscript"/>
                <w:lang w:val="en-US" w:eastAsia="zh-CN"/>
              </w:rPr>
              <w:t>3</w:t>
            </w:r>
            <w:r>
              <w:rPr>
                <w:rFonts w:hint="eastAsia" w:ascii="Times New Roman" w:hAnsi="Times New Roman" w:eastAsia="宋体" w:cs="Times New Roman"/>
                <w:b w:val="0"/>
                <w:bCs w:val="0"/>
                <w:color w:val="auto"/>
                <w:sz w:val="24"/>
                <w:lang w:val="en-US" w:eastAsia="zh-CN"/>
              </w:rPr>
              <w:t>/s。</w:t>
            </w:r>
          </w:p>
          <w:p w14:paraId="314C2BAD">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②蓄水工程</w:t>
            </w:r>
          </w:p>
          <w:p w14:paraId="1797810B">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灌区内现有水库1座，即东塘水库，属中型工程，总库容1050万m³。</w:t>
            </w:r>
          </w:p>
          <w:p w14:paraId="1F170FB5">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③灌排工程</w:t>
            </w:r>
          </w:p>
          <w:p w14:paraId="15D730D7">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奇台县开垦河灌区现有干、支</w:t>
            </w:r>
            <w:r>
              <w:rPr>
                <w:rFonts w:hint="eastAsia" w:cs="Times New Roman"/>
                <w:b w:val="0"/>
                <w:bCs w:val="0"/>
                <w:color w:val="auto"/>
                <w:sz w:val="24"/>
                <w:lang w:val="en-US" w:eastAsia="zh-CN"/>
              </w:rPr>
              <w:t>渠</w:t>
            </w:r>
            <w:r>
              <w:rPr>
                <w:rFonts w:hint="default" w:ascii="Times New Roman" w:hAnsi="Times New Roman" w:eastAsia="宋体" w:cs="Times New Roman"/>
                <w:b w:val="0"/>
                <w:bCs w:val="0"/>
                <w:color w:val="auto"/>
                <w:sz w:val="24"/>
                <w:lang w:val="en-US" w:eastAsia="zh-CN"/>
              </w:rPr>
              <w:t>15条，总长度为97.563km，配套建筑物136座，其中干渠8条，总长为46.146km；支渠7条，总长为51.42km。</w:t>
            </w:r>
          </w:p>
          <w:p w14:paraId="71F67088">
            <w:pPr>
              <w:keepNext w:val="0"/>
              <w:keepLines w:val="0"/>
              <w:pageBreakBefore w:val="0"/>
              <w:widowControl w:val="0"/>
              <w:numPr>
                <w:ilvl w:val="0"/>
                <w:numId w:val="5"/>
              </w:numPr>
              <w:kinsoku/>
              <w:wordWrap/>
              <w:overflowPunct w:val="0"/>
              <w:topLinePunct w:val="0"/>
              <w:autoSpaceDE/>
              <w:autoSpaceDN/>
              <w:bidi w:val="0"/>
              <w:adjustRightInd w:val="0"/>
              <w:snapToGrid w:val="0"/>
              <w:spacing w:line="360" w:lineRule="auto"/>
              <w:ind w:left="42" w:leftChars="20"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水资源平衡分析</w:t>
            </w:r>
            <w:r>
              <w:rPr>
                <w:rFonts w:hint="eastAsia" w:ascii="Times New Roman" w:hAnsi="Times New Roman" w:eastAsia="宋体" w:cs="Times New Roman"/>
                <w:b w:val="0"/>
                <w:bCs w:val="0"/>
                <w:color w:val="auto"/>
                <w:sz w:val="24"/>
                <w:lang w:val="en-US" w:eastAsia="zh-CN"/>
              </w:rPr>
              <w:t>及引水量论证</w:t>
            </w:r>
          </w:p>
          <w:p w14:paraId="35EA3AF8">
            <w:pPr>
              <w:keepNext w:val="0"/>
              <w:keepLines w:val="0"/>
              <w:pageBreakBefore w:val="0"/>
              <w:widowControl w:val="0"/>
              <w:numPr>
                <w:ilvl w:val="1"/>
                <w:numId w:val="5"/>
              </w:numPr>
              <w:kinsoku/>
              <w:wordWrap/>
              <w:overflowPunct w:val="0"/>
              <w:topLinePunct w:val="0"/>
              <w:autoSpaceDE/>
              <w:autoSpaceDN/>
              <w:bidi w:val="0"/>
              <w:adjustRightInd w:val="0"/>
              <w:snapToGrid w:val="0"/>
              <w:spacing w:line="360" w:lineRule="auto"/>
              <w:ind w:left="840" w:leftChars="0" w:hanging="420" w:firstLineChars="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现状水平年供需平衡分析</w:t>
            </w:r>
          </w:p>
          <w:p w14:paraId="76D429A7">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现状水平年（2024年），项目区地表水可供水量为3920.75万m³，地下水可供水量为1136.38万m³，合计可供水量5057.14万m³。现状需水量包括农业灌溉、生活及生态用水，其中农业灌溉需水量5802.0万m³，生活需水量96.4万m³，生态需水量120.5万m³，总需水量6018.9万m³。供需平衡结果显示，现状年缺水961.76万m³，灌区水资源供需矛盾突出，渠道渗漏严重、用水效率偏低，农业灌溉用水紧张，生态用水保障不足。</w:t>
            </w:r>
          </w:p>
          <w:p w14:paraId="3868A918">
            <w:pPr>
              <w:keepNext w:val="0"/>
              <w:keepLines w:val="0"/>
              <w:pageBreakBefore w:val="0"/>
              <w:widowControl w:val="0"/>
              <w:numPr>
                <w:ilvl w:val="1"/>
                <w:numId w:val="5"/>
              </w:numPr>
              <w:kinsoku/>
              <w:wordWrap/>
              <w:overflowPunct w:val="0"/>
              <w:topLinePunct w:val="0"/>
              <w:autoSpaceDE/>
              <w:autoSpaceDN/>
              <w:bidi w:val="0"/>
              <w:adjustRightInd w:val="0"/>
              <w:snapToGrid w:val="0"/>
              <w:spacing w:line="360" w:lineRule="auto"/>
              <w:ind w:left="840" w:leftChars="0" w:hanging="420" w:firstLineChars="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规划水平年供需平衡分析</w:t>
            </w:r>
          </w:p>
          <w:p w14:paraId="2DE69D66">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规划水平年（2030年），项目区地表水可供水量为3820.95万m³，地下水可供水量为892.34万m³，合计可供水量4713.29万m³。规划年需水量中，农业灌溉需水量5451.8万m³，生活需水量108.5万m³，生态需水量132.0万m³，总需水量5692.3万m³。供需平衡结果显示，规划年缺水979.01万m³，虽通过节水增效缓解了部分供需矛盾，但水资源短缺问题仍较为突出，需通过工程改造、优化调度进一步保障用水安全。</w:t>
            </w:r>
          </w:p>
          <w:p w14:paraId="2F48774B">
            <w:pPr>
              <w:keepNext w:val="0"/>
              <w:keepLines w:val="0"/>
              <w:pageBreakBefore w:val="0"/>
              <w:widowControl w:val="0"/>
              <w:numPr>
                <w:ilvl w:val="1"/>
                <w:numId w:val="5"/>
              </w:numPr>
              <w:kinsoku/>
              <w:wordWrap/>
              <w:overflowPunct w:val="0"/>
              <w:topLinePunct w:val="0"/>
              <w:autoSpaceDE/>
              <w:autoSpaceDN/>
              <w:bidi w:val="0"/>
              <w:adjustRightInd w:val="0"/>
              <w:snapToGrid w:val="0"/>
              <w:spacing w:line="360" w:lineRule="auto"/>
              <w:ind w:left="840" w:leftChars="0" w:hanging="420" w:firstLineChars="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引水量论证</w:t>
            </w:r>
          </w:p>
          <w:p w14:paraId="15DCBB0F">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本项目为老干渠提升改造工程，不新增引水量、不新增取水指标，属于灌区内部节水增效、水量优化配置工程。项目取水来源为开垦河现状地表水分配额度，依托现有渠首取水，不新增地表水、地下水开采，取水总量严格控制在奇台县“三条红线”用水指标范围内，未突破区域用水总量控制要求。改造后，渠道防渗能力提升，输水效率提高，年节水198.76万m³，实现水量内部调剂，净供水能力显著提升，有效缓解灌区缺水压力。</w:t>
            </w:r>
          </w:p>
          <w:p w14:paraId="67BE92E7">
            <w:pPr>
              <w:keepNext w:val="0"/>
              <w:keepLines w:val="0"/>
              <w:pageBreakBefore w:val="0"/>
              <w:widowControl w:val="0"/>
              <w:numPr>
                <w:ilvl w:val="1"/>
                <w:numId w:val="5"/>
              </w:numPr>
              <w:kinsoku/>
              <w:wordWrap/>
              <w:overflowPunct w:val="0"/>
              <w:topLinePunct w:val="0"/>
              <w:autoSpaceDE/>
              <w:autoSpaceDN/>
              <w:bidi w:val="0"/>
              <w:adjustRightInd w:val="0"/>
              <w:snapToGrid w:val="0"/>
              <w:spacing w:line="360" w:lineRule="auto"/>
              <w:ind w:left="840" w:leftChars="0" w:hanging="420" w:firstLineChars="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引水量环境影响识别与预测</w:t>
            </w:r>
          </w:p>
          <w:p w14:paraId="4897044B">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本项目引水量依托现有取水体系，不改变开垦河干流径流情势，不挤占河道生态基流，对河道水文、水质无不利影响。渠道防渗改造后，沿渠渗漏减少，区域地下水位小幅下降，可有效减轻局部土壤次生盐渍化风险，对土壤及绿洲生态呈正向改善作用。工程施工及运行期无新增排污行为，不改变区域水环境质量</w:t>
            </w:r>
            <w:r>
              <w:rPr>
                <w:rFonts w:hint="eastAsia" w:cs="Times New Roman"/>
                <w:b w:val="0"/>
                <w:bCs w:val="0"/>
                <w:color w:val="auto"/>
                <w:sz w:val="24"/>
                <w:lang w:val="en-US" w:eastAsia="zh-CN"/>
              </w:rPr>
              <w:t>，对</w:t>
            </w:r>
            <w:r>
              <w:rPr>
                <w:rFonts w:hint="default" w:ascii="Times New Roman" w:hAnsi="Times New Roman" w:eastAsia="宋体" w:cs="Times New Roman"/>
                <w:b w:val="0"/>
                <w:bCs w:val="0"/>
                <w:color w:val="auto"/>
                <w:sz w:val="24"/>
                <w:lang w:val="en-US" w:eastAsia="zh-CN"/>
              </w:rPr>
              <w:t>地下水、土壤、生态影响均可控，无不可逆不利影响。</w:t>
            </w:r>
          </w:p>
          <w:p w14:paraId="60B84416">
            <w:pPr>
              <w:keepNext w:val="0"/>
              <w:keepLines w:val="0"/>
              <w:pageBreakBefore w:val="0"/>
              <w:widowControl w:val="0"/>
              <w:numPr>
                <w:ilvl w:val="1"/>
                <w:numId w:val="5"/>
              </w:numPr>
              <w:kinsoku/>
              <w:wordWrap/>
              <w:overflowPunct w:val="0"/>
              <w:topLinePunct w:val="0"/>
              <w:autoSpaceDE/>
              <w:autoSpaceDN/>
              <w:bidi w:val="0"/>
              <w:adjustRightInd w:val="0"/>
              <w:snapToGrid w:val="0"/>
              <w:spacing w:line="360" w:lineRule="auto"/>
              <w:ind w:left="840" w:leftChars="0" w:hanging="420" w:firstLineChars="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水资源配置结论与环保措施</w:t>
            </w:r>
          </w:p>
          <w:p w14:paraId="7A5BC28E">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综上，本项目水资源配置合理，不新增引水量、不突破用水红线，通过节水改造优化水量配置，缓解灌区水资源短缺矛盾，改善区域生态环境，引水量产生的环境影响可控且以正向效益为主。为进一步降低环境影响，需严格落实用水总量控制，保障河道生态基流；定期监测地下水水位、水质及土壤盐分；实施渠道沿线植被恢复与防护林补植；推广高效节水技术，优化种植结构；施工期废水回用、不外排，严禁新增地下水开采。</w:t>
            </w:r>
          </w:p>
          <w:p w14:paraId="27318A70">
            <w:pPr>
              <w:keepNext w:val="0"/>
              <w:keepLines w:val="0"/>
              <w:pageBreakBefore w:val="0"/>
              <w:widowControl w:val="0"/>
              <w:numPr>
                <w:ilvl w:val="0"/>
                <w:numId w:val="8"/>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大气环境质量现状</w:t>
            </w:r>
          </w:p>
          <w:p w14:paraId="71E67B0A">
            <w:pPr>
              <w:keepNext w:val="0"/>
              <w:keepLines w:val="0"/>
              <w:pageBreakBefore w:val="0"/>
              <w:widowControl w:val="0"/>
              <w:kinsoku/>
              <w:wordWrap/>
              <w:overflowPunct w:val="0"/>
              <w:topLinePunct w:val="0"/>
              <w:autoSpaceDE/>
              <w:autoSpaceDN/>
              <w:bidi w:val="0"/>
              <w:spacing w:line="360" w:lineRule="auto"/>
              <w:ind w:firstLine="480" w:firstLineChars="200"/>
              <w:textAlignment w:val="auto"/>
              <w:rPr>
                <w:rFonts w:hint="default" w:ascii="Times New Roman" w:hAnsi="Times New Roman" w:eastAsia="宋体" w:cs="Times New Roman"/>
                <w:b w:val="0"/>
                <w:bCs w:val="0"/>
                <w:color w:val="auto"/>
                <w:sz w:val="24"/>
                <w:szCs w:val="22"/>
                <w:highlight w:val="none"/>
                <w:lang w:val="en-US" w:eastAsia="zh-CN"/>
              </w:rPr>
            </w:pPr>
            <w:r>
              <w:rPr>
                <w:rFonts w:hint="default" w:ascii="Times New Roman" w:hAnsi="Times New Roman" w:eastAsia="宋体" w:cs="Times New Roman"/>
                <w:b w:val="0"/>
                <w:bCs w:val="0"/>
                <w:color w:val="auto"/>
                <w:sz w:val="24"/>
                <w:szCs w:val="22"/>
                <w:highlight w:val="none"/>
                <w:lang w:val="en-US" w:eastAsia="zh-CN"/>
              </w:rPr>
              <w:t>本环评根据《环境影响评价技术导则 大气环境》（HJ2.2-2018）对环境质量现状数据的要求，本次基本污染物环境质量现状评价引用《昌吉州2024年环境空气质量报告》中2024年奇台县环境空气质量数据进行判定，本次环境空气质量评价标准采用《环境空气质量标准》（GB3095-2026）表1过渡阶段二级浓度限值</w:t>
            </w:r>
            <w:r>
              <w:rPr>
                <w:rFonts w:hint="eastAsia" w:cs="Times New Roman"/>
                <w:b w:val="0"/>
                <w:bCs w:val="0"/>
                <w:color w:val="auto"/>
                <w:sz w:val="24"/>
                <w:szCs w:val="22"/>
                <w:highlight w:val="none"/>
                <w:lang w:val="en-US" w:eastAsia="zh-CN"/>
              </w:rPr>
              <w:t>，</w:t>
            </w:r>
            <w:r>
              <w:rPr>
                <w:rFonts w:hint="default" w:ascii="Times New Roman" w:hAnsi="Times New Roman" w:eastAsia="宋体" w:cs="Times New Roman"/>
                <w:b w:val="0"/>
                <w:bCs w:val="0"/>
                <w:color w:val="auto"/>
                <w:sz w:val="24"/>
                <w:szCs w:val="22"/>
                <w:highlight w:val="none"/>
                <w:lang w:val="en-US" w:eastAsia="zh-CN"/>
              </w:rPr>
              <w:t>空气质量达标区判定结果见表</w:t>
            </w:r>
            <w:r>
              <w:rPr>
                <w:rFonts w:hint="eastAsia" w:cs="Times New Roman"/>
                <w:b w:val="0"/>
                <w:bCs w:val="0"/>
                <w:color w:val="auto"/>
                <w:sz w:val="24"/>
                <w:szCs w:val="22"/>
                <w:highlight w:val="none"/>
                <w:lang w:val="en-US" w:eastAsia="zh-CN"/>
              </w:rPr>
              <w:t>3-2</w:t>
            </w:r>
            <w:r>
              <w:rPr>
                <w:rFonts w:hint="default" w:ascii="Times New Roman" w:hAnsi="Times New Roman" w:eastAsia="宋体" w:cs="Times New Roman"/>
                <w:b w:val="0"/>
                <w:bCs w:val="0"/>
                <w:color w:val="auto"/>
                <w:sz w:val="24"/>
                <w:szCs w:val="22"/>
                <w:highlight w:val="none"/>
                <w:lang w:val="en-US" w:eastAsia="zh-CN"/>
              </w:rPr>
              <w:t>。</w:t>
            </w:r>
          </w:p>
          <w:p w14:paraId="583E0450">
            <w:pPr>
              <w:pStyle w:val="47"/>
              <w:spacing w:line="440" w:lineRule="exact"/>
              <w:ind w:firstLine="0" w:firstLineChars="0"/>
              <w:jc w:val="center"/>
              <w:textAlignment w:val="baseline"/>
              <w:rPr>
                <w:rFonts w:hint="default" w:ascii="Times New Roman" w:hAnsi="Times New Roman" w:eastAsia="宋体" w:cs="Times New Roman"/>
                <w:b/>
                <w:bCs w:val="0"/>
                <w:snapToGrid w:val="0"/>
                <w:color w:val="auto"/>
                <w:sz w:val="24"/>
                <w:szCs w:val="24"/>
                <w:lang w:val="en-US" w:eastAsia="zh-CN"/>
              </w:rPr>
            </w:pPr>
            <w:r>
              <w:rPr>
                <w:rFonts w:hint="default" w:ascii="Times New Roman" w:hAnsi="Times New Roman" w:eastAsia="宋体" w:cs="Times New Roman"/>
                <w:b/>
                <w:bCs w:val="0"/>
                <w:snapToGrid w:val="0"/>
                <w:color w:val="auto"/>
                <w:sz w:val="24"/>
                <w:szCs w:val="24"/>
                <w:lang w:val="en-US" w:eastAsia="zh-CN"/>
              </w:rPr>
              <w:t>表3-</w:t>
            </w:r>
            <w:r>
              <w:rPr>
                <w:rFonts w:hint="eastAsia" w:ascii="Times New Roman" w:hAnsi="Times New Roman" w:cs="Times New Roman"/>
                <w:b/>
                <w:bCs w:val="0"/>
                <w:snapToGrid w:val="0"/>
                <w:color w:val="auto"/>
                <w:sz w:val="24"/>
                <w:szCs w:val="24"/>
                <w:lang w:val="en-US" w:eastAsia="zh-CN"/>
              </w:rPr>
              <w:t>2</w:t>
            </w:r>
            <w:r>
              <w:rPr>
                <w:rFonts w:hint="default" w:ascii="Times New Roman" w:hAnsi="Times New Roman" w:eastAsia="宋体" w:cs="Times New Roman"/>
                <w:b/>
                <w:bCs w:val="0"/>
                <w:snapToGrid w:val="0"/>
                <w:color w:val="auto"/>
                <w:sz w:val="24"/>
                <w:szCs w:val="24"/>
                <w:lang w:val="en-US" w:eastAsia="zh-CN"/>
              </w:rPr>
              <w:t>区域空气质量现状评价结果一览表</w:t>
            </w:r>
          </w:p>
          <w:tbl>
            <w:tblPr>
              <w:tblStyle w:val="2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1"/>
              <w:gridCol w:w="2913"/>
              <w:gridCol w:w="1095"/>
              <w:gridCol w:w="1095"/>
              <w:gridCol w:w="963"/>
              <w:gridCol w:w="941"/>
            </w:tblGrid>
            <w:tr w14:paraId="5A2B4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536" w:type="pct"/>
                  <w:vMerge w:val="restart"/>
                  <w:tcBorders>
                    <w:tl2br w:val="nil"/>
                    <w:tr2bl w:val="nil"/>
                  </w:tcBorders>
                  <w:noWrap w:val="0"/>
                  <w:vAlign w:val="center"/>
                </w:tcPr>
                <w:p w14:paraId="2BBE79CD">
                  <w:pPr>
                    <w:widowControl w:val="0"/>
                    <w:spacing w:line="240" w:lineRule="auto"/>
                    <w:jc w:val="center"/>
                    <w:rPr>
                      <w:rFonts w:hint="default" w:ascii="Times New Roman" w:hAnsi="Times New Roman" w:eastAsia="宋体" w:cs="Times New Roman"/>
                      <w:b/>
                      <w:bCs/>
                      <w:color w:val="auto"/>
                      <w:kern w:val="2"/>
                      <w:sz w:val="21"/>
                      <w:szCs w:val="21"/>
                      <w:highlight w:val="none"/>
                      <w:lang w:val="en-US" w:eastAsia="zh-CN"/>
                    </w:rPr>
                  </w:pPr>
                  <w:r>
                    <w:rPr>
                      <w:rFonts w:hint="default" w:ascii="Times New Roman" w:hAnsi="Times New Roman" w:eastAsia="宋体" w:cs="Times New Roman"/>
                      <w:b/>
                      <w:bCs/>
                      <w:color w:val="auto"/>
                      <w:kern w:val="2"/>
                      <w:sz w:val="21"/>
                      <w:szCs w:val="21"/>
                      <w:highlight w:val="none"/>
                      <w:lang w:val="en-US" w:eastAsia="zh-CN"/>
                    </w:rPr>
                    <w:t>评价</w:t>
                  </w:r>
                </w:p>
                <w:p w14:paraId="5483D6CB">
                  <w:pPr>
                    <w:widowControl w:val="0"/>
                    <w:spacing w:line="240" w:lineRule="auto"/>
                    <w:jc w:val="center"/>
                    <w:rPr>
                      <w:rFonts w:hint="default" w:ascii="Times New Roman" w:hAnsi="Times New Roman" w:eastAsia="宋体" w:cs="Times New Roman"/>
                      <w:b/>
                      <w:bCs/>
                      <w:color w:val="auto"/>
                      <w:kern w:val="2"/>
                      <w:sz w:val="21"/>
                      <w:szCs w:val="21"/>
                      <w:highlight w:val="none"/>
                      <w:lang w:val="en-US" w:eastAsia="zh-CN"/>
                    </w:rPr>
                  </w:pPr>
                  <w:r>
                    <w:rPr>
                      <w:rFonts w:hint="default" w:ascii="Times New Roman" w:hAnsi="Times New Roman" w:eastAsia="宋体" w:cs="Times New Roman"/>
                      <w:b/>
                      <w:bCs/>
                      <w:color w:val="auto"/>
                      <w:kern w:val="2"/>
                      <w:sz w:val="21"/>
                      <w:szCs w:val="21"/>
                      <w:highlight w:val="none"/>
                      <w:lang w:val="en-US" w:eastAsia="zh-CN"/>
                    </w:rPr>
                    <w:t>因子</w:t>
                  </w:r>
                </w:p>
              </w:tc>
              <w:tc>
                <w:tcPr>
                  <w:tcW w:w="1855" w:type="pct"/>
                  <w:vMerge w:val="restart"/>
                  <w:tcBorders>
                    <w:tl2br w:val="nil"/>
                    <w:tr2bl w:val="nil"/>
                  </w:tcBorders>
                  <w:noWrap w:val="0"/>
                  <w:vAlign w:val="center"/>
                </w:tcPr>
                <w:p w14:paraId="269369FA">
                  <w:pPr>
                    <w:widowControl w:val="0"/>
                    <w:spacing w:line="240" w:lineRule="auto"/>
                    <w:jc w:val="center"/>
                    <w:rPr>
                      <w:rFonts w:hint="default" w:ascii="Times New Roman" w:hAnsi="Times New Roman" w:eastAsia="宋体" w:cs="Times New Roman"/>
                      <w:b/>
                      <w:bCs/>
                      <w:color w:val="auto"/>
                      <w:kern w:val="2"/>
                      <w:sz w:val="21"/>
                      <w:szCs w:val="21"/>
                      <w:highlight w:val="none"/>
                      <w:lang w:val="en-US" w:eastAsia="zh-CN"/>
                    </w:rPr>
                  </w:pPr>
                  <w:r>
                    <w:rPr>
                      <w:rFonts w:hint="default" w:ascii="Times New Roman" w:hAnsi="Times New Roman" w:cs="Times New Roman"/>
                      <w:b/>
                      <w:bCs/>
                      <w:color w:val="auto"/>
                      <w:kern w:val="2"/>
                      <w:sz w:val="21"/>
                      <w:szCs w:val="21"/>
                      <w:highlight w:val="none"/>
                      <w:lang w:val="en-US" w:eastAsia="zh-CN"/>
                    </w:rPr>
                    <w:t>年度</w:t>
                  </w:r>
                  <w:r>
                    <w:rPr>
                      <w:rFonts w:hint="default" w:ascii="Times New Roman" w:hAnsi="Times New Roman" w:eastAsia="宋体" w:cs="Times New Roman"/>
                      <w:b/>
                      <w:bCs/>
                      <w:color w:val="auto"/>
                      <w:kern w:val="2"/>
                      <w:sz w:val="21"/>
                      <w:szCs w:val="21"/>
                      <w:highlight w:val="none"/>
                      <w:lang w:val="en-US" w:eastAsia="zh-CN"/>
                    </w:rPr>
                    <w:t>评价指标</w:t>
                  </w:r>
                </w:p>
              </w:tc>
              <w:tc>
                <w:tcPr>
                  <w:tcW w:w="697" w:type="pct"/>
                  <w:tcBorders>
                    <w:tl2br w:val="nil"/>
                    <w:tr2bl w:val="nil"/>
                  </w:tcBorders>
                  <w:noWrap w:val="0"/>
                  <w:vAlign w:val="center"/>
                </w:tcPr>
                <w:p w14:paraId="37B8016F">
                  <w:pPr>
                    <w:widowControl w:val="0"/>
                    <w:spacing w:line="240" w:lineRule="auto"/>
                    <w:jc w:val="center"/>
                    <w:rPr>
                      <w:rFonts w:hint="default" w:ascii="Times New Roman" w:hAnsi="Times New Roman" w:eastAsia="宋体" w:cs="Times New Roman"/>
                      <w:b/>
                      <w:bCs/>
                      <w:color w:val="auto"/>
                      <w:kern w:val="2"/>
                      <w:sz w:val="21"/>
                      <w:szCs w:val="21"/>
                      <w:highlight w:val="none"/>
                      <w:lang w:val="en-US" w:eastAsia="zh-CN"/>
                    </w:rPr>
                  </w:pPr>
                  <w:r>
                    <w:rPr>
                      <w:rFonts w:hint="default" w:ascii="Times New Roman" w:hAnsi="Times New Roman" w:eastAsia="宋体" w:cs="Times New Roman"/>
                      <w:b/>
                      <w:bCs/>
                      <w:color w:val="auto"/>
                      <w:kern w:val="2"/>
                      <w:sz w:val="21"/>
                      <w:szCs w:val="21"/>
                      <w:highlight w:val="none"/>
                      <w:lang w:val="en-US" w:eastAsia="zh-CN"/>
                    </w:rPr>
                    <w:t>现状浓度</w:t>
                  </w:r>
                </w:p>
              </w:tc>
              <w:tc>
                <w:tcPr>
                  <w:tcW w:w="697" w:type="pct"/>
                  <w:tcBorders>
                    <w:tl2br w:val="nil"/>
                    <w:tr2bl w:val="nil"/>
                  </w:tcBorders>
                  <w:noWrap w:val="0"/>
                  <w:vAlign w:val="center"/>
                </w:tcPr>
                <w:p w14:paraId="6B7FFE05">
                  <w:pPr>
                    <w:widowControl w:val="0"/>
                    <w:spacing w:line="240" w:lineRule="auto"/>
                    <w:jc w:val="center"/>
                    <w:rPr>
                      <w:rFonts w:hint="default" w:ascii="Times New Roman" w:hAnsi="Times New Roman" w:eastAsia="宋体" w:cs="Times New Roman"/>
                      <w:b/>
                      <w:bCs/>
                      <w:color w:val="auto"/>
                      <w:kern w:val="2"/>
                      <w:sz w:val="21"/>
                      <w:szCs w:val="21"/>
                      <w:highlight w:val="none"/>
                      <w:lang w:val="en-US" w:eastAsia="zh-CN"/>
                    </w:rPr>
                  </w:pPr>
                  <w:r>
                    <w:rPr>
                      <w:rFonts w:hint="default" w:ascii="Times New Roman" w:hAnsi="Times New Roman" w:eastAsia="宋体" w:cs="Times New Roman"/>
                      <w:b/>
                      <w:bCs/>
                      <w:color w:val="auto"/>
                      <w:kern w:val="2"/>
                      <w:sz w:val="21"/>
                      <w:szCs w:val="21"/>
                      <w:highlight w:val="none"/>
                      <w:lang w:val="en-US" w:eastAsia="zh-CN"/>
                    </w:rPr>
                    <w:t>标准限值</w:t>
                  </w:r>
                </w:p>
              </w:tc>
              <w:tc>
                <w:tcPr>
                  <w:tcW w:w="613" w:type="pct"/>
                  <w:vMerge w:val="restart"/>
                  <w:tcBorders>
                    <w:tl2br w:val="nil"/>
                    <w:tr2bl w:val="nil"/>
                  </w:tcBorders>
                  <w:noWrap w:val="0"/>
                  <w:vAlign w:val="center"/>
                </w:tcPr>
                <w:p w14:paraId="79DBD634">
                  <w:pPr>
                    <w:autoSpaceDE w:val="0"/>
                    <w:autoSpaceDN w:val="0"/>
                    <w:adjustRightInd w:val="0"/>
                    <w:spacing w:before="0" w:after="0" w:line="240" w:lineRule="auto"/>
                    <w:ind w:left="0" w:right="0" w:firstLine="0" w:firstLineChars="0"/>
                    <w:jc w:val="center"/>
                    <w:rPr>
                      <w:rFonts w:hint="default" w:ascii="Times New Roman" w:hAnsi="Times New Roman" w:eastAsia="宋体" w:cs="Times New Roman"/>
                      <w:b/>
                      <w:bCs/>
                      <w:color w:val="auto"/>
                      <w:kern w:val="2"/>
                      <w:sz w:val="21"/>
                      <w:szCs w:val="21"/>
                      <w:highlight w:val="none"/>
                      <w:lang w:val="en-US"/>
                    </w:rPr>
                  </w:pPr>
                  <w:r>
                    <w:rPr>
                      <w:rFonts w:hint="default" w:ascii="Times New Roman" w:hAnsi="Times New Roman" w:eastAsia="宋体" w:cs="Times New Roman"/>
                      <w:b/>
                      <w:bCs/>
                      <w:color w:val="auto"/>
                      <w:kern w:val="2"/>
                      <w:sz w:val="21"/>
                      <w:szCs w:val="21"/>
                      <w:highlight w:val="none"/>
                      <w:lang w:val="en-US"/>
                    </w:rPr>
                    <w:t>占标率%</w:t>
                  </w:r>
                </w:p>
              </w:tc>
              <w:tc>
                <w:tcPr>
                  <w:tcW w:w="599" w:type="pct"/>
                  <w:vMerge w:val="restart"/>
                  <w:tcBorders>
                    <w:tl2br w:val="nil"/>
                    <w:tr2bl w:val="nil"/>
                  </w:tcBorders>
                  <w:noWrap w:val="0"/>
                  <w:vAlign w:val="center"/>
                </w:tcPr>
                <w:p w14:paraId="4CBF6933">
                  <w:pPr>
                    <w:autoSpaceDE w:val="0"/>
                    <w:autoSpaceDN w:val="0"/>
                    <w:adjustRightInd w:val="0"/>
                    <w:spacing w:before="0" w:after="0" w:line="240" w:lineRule="auto"/>
                    <w:ind w:left="0" w:right="0" w:firstLine="0" w:firstLineChars="0"/>
                    <w:jc w:val="center"/>
                    <w:rPr>
                      <w:rFonts w:hint="default" w:ascii="Times New Roman" w:hAnsi="Times New Roman" w:eastAsia="宋体" w:cs="Times New Roman"/>
                      <w:b/>
                      <w:bCs/>
                      <w:color w:val="auto"/>
                      <w:kern w:val="2"/>
                      <w:sz w:val="21"/>
                      <w:szCs w:val="21"/>
                      <w:highlight w:val="none"/>
                      <w:lang w:val="en-US"/>
                    </w:rPr>
                  </w:pPr>
                  <w:r>
                    <w:rPr>
                      <w:rFonts w:hint="default" w:ascii="Times New Roman" w:hAnsi="Times New Roman" w:eastAsia="宋体" w:cs="Times New Roman"/>
                      <w:b/>
                      <w:bCs/>
                      <w:color w:val="auto"/>
                      <w:kern w:val="2"/>
                      <w:sz w:val="21"/>
                      <w:szCs w:val="21"/>
                      <w:highlight w:val="none"/>
                      <w:lang w:val="en-US"/>
                    </w:rPr>
                    <w:t>达标情况</w:t>
                  </w:r>
                </w:p>
              </w:tc>
            </w:tr>
            <w:tr w14:paraId="791E2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536" w:type="pct"/>
                  <w:vMerge w:val="continue"/>
                  <w:tcBorders>
                    <w:tl2br w:val="nil"/>
                    <w:tr2bl w:val="nil"/>
                  </w:tcBorders>
                  <w:noWrap w:val="0"/>
                  <w:vAlign w:val="center"/>
                </w:tcPr>
                <w:p w14:paraId="235DBA9C">
                  <w:pPr>
                    <w:widowControl w:val="0"/>
                    <w:spacing w:line="240" w:lineRule="auto"/>
                    <w:jc w:val="center"/>
                    <w:rPr>
                      <w:rFonts w:hint="default" w:ascii="Times New Roman" w:hAnsi="Times New Roman" w:eastAsia="宋体" w:cs="Times New Roman"/>
                      <w:color w:val="auto"/>
                      <w:kern w:val="2"/>
                      <w:sz w:val="21"/>
                      <w:szCs w:val="21"/>
                      <w:highlight w:val="none"/>
                      <w:lang w:val="en-US" w:eastAsia="zh-CN"/>
                    </w:rPr>
                  </w:pPr>
                </w:p>
              </w:tc>
              <w:tc>
                <w:tcPr>
                  <w:tcW w:w="1855" w:type="pct"/>
                  <w:vMerge w:val="continue"/>
                  <w:tcBorders>
                    <w:tl2br w:val="nil"/>
                    <w:tr2bl w:val="nil"/>
                  </w:tcBorders>
                  <w:noWrap w:val="0"/>
                  <w:vAlign w:val="center"/>
                </w:tcPr>
                <w:p w14:paraId="07F6CCCF">
                  <w:pPr>
                    <w:widowControl w:val="0"/>
                    <w:spacing w:line="240" w:lineRule="auto"/>
                    <w:jc w:val="center"/>
                    <w:rPr>
                      <w:rFonts w:hint="default" w:ascii="Times New Roman" w:hAnsi="Times New Roman" w:eastAsia="宋体" w:cs="Times New Roman"/>
                      <w:color w:val="auto"/>
                      <w:kern w:val="2"/>
                      <w:sz w:val="21"/>
                      <w:szCs w:val="21"/>
                      <w:highlight w:val="none"/>
                      <w:lang w:val="en-US" w:eastAsia="zh-CN"/>
                    </w:rPr>
                  </w:pPr>
                </w:p>
              </w:tc>
              <w:tc>
                <w:tcPr>
                  <w:tcW w:w="697" w:type="pct"/>
                  <w:tcBorders>
                    <w:tl2br w:val="nil"/>
                    <w:tr2bl w:val="nil"/>
                  </w:tcBorders>
                  <w:noWrap w:val="0"/>
                  <w:vAlign w:val="center"/>
                </w:tcPr>
                <w:p w14:paraId="42C2C5BD">
                  <w:pPr>
                    <w:widowControl w:val="0"/>
                    <w:spacing w:line="240" w:lineRule="auto"/>
                    <w:jc w:val="center"/>
                    <w:rPr>
                      <w:rFonts w:hint="default" w:ascii="Times New Roman" w:hAnsi="Times New Roman" w:eastAsia="宋体" w:cs="Times New Roman"/>
                      <w:b/>
                      <w:bCs/>
                      <w:color w:val="auto"/>
                      <w:kern w:val="2"/>
                      <w:sz w:val="21"/>
                      <w:szCs w:val="21"/>
                      <w:highlight w:val="none"/>
                      <w:lang w:val="en-US" w:eastAsia="zh-CN"/>
                    </w:rPr>
                  </w:pPr>
                  <w:r>
                    <w:rPr>
                      <w:rFonts w:hint="eastAsia" w:cs="Times New Roman"/>
                      <w:b/>
                      <w:bCs/>
                      <w:color w:val="auto"/>
                      <w:kern w:val="2"/>
                      <w:sz w:val="21"/>
                      <w:szCs w:val="21"/>
                      <w:highlight w:val="none"/>
                      <w:lang w:val="en-US" w:eastAsia="zh-CN"/>
                    </w:rPr>
                    <w:t>(</w:t>
                  </w:r>
                  <w:r>
                    <w:rPr>
                      <w:rFonts w:hint="default" w:ascii="Times New Roman" w:hAnsi="Times New Roman" w:eastAsia="宋体" w:cs="Times New Roman"/>
                      <w:b/>
                      <w:bCs/>
                      <w:color w:val="auto"/>
                      <w:kern w:val="2"/>
                      <w:sz w:val="21"/>
                      <w:szCs w:val="21"/>
                      <w:highlight w:val="none"/>
                      <w:lang w:val="en-US" w:eastAsia="zh-CN"/>
                    </w:rPr>
                    <w:t>μg/m</w:t>
                  </w:r>
                  <w:r>
                    <w:rPr>
                      <w:rFonts w:hint="default" w:ascii="Times New Roman" w:hAnsi="Times New Roman" w:eastAsia="宋体" w:cs="Times New Roman"/>
                      <w:b/>
                      <w:bCs/>
                      <w:color w:val="auto"/>
                      <w:kern w:val="2"/>
                      <w:sz w:val="21"/>
                      <w:szCs w:val="21"/>
                      <w:highlight w:val="none"/>
                      <w:vertAlign w:val="superscript"/>
                      <w:lang w:val="en-US" w:eastAsia="zh-CN"/>
                    </w:rPr>
                    <w:t>3</w:t>
                  </w:r>
                  <w:r>
                    <w:rPr>
                      <w:rFonts w:hint="eastAsia" w:cs="Times New Roman"/>
                      <w:b/>
                      <w:bCs/>
                      <w:color w:val="auto"/>
                      <w:kern w:val="2"/>
                      <w:sz w:val="21"/>
                      <w:szCs w:val="21"/>
                      <w:highlight w:val="none"/>
                      <w:vertAlign w:val="superscript"/>
                      <w:lang w:val="en-US" w:eastAsia="zh-CN"/>
                    </w:rPr>
                    <w:t>)</w:t>
                  </w:r>
                </w:p>
              </w:tc>
              <w:tc>
                <w:tcPr>
                  <w:tcW w:w="697" w:type="pct"/>
                  <w:tcBorders>
                    <w:tl2br w:val="nil"/>
                    <w:tr2bl w:val="nil"/>
                  </w:tcBorders>
                  <w:noWrap w:val="0"/>
                  <w:vAlign w:val="center"/>
                </w:tcPr>
                <w:p w14:paraId="2F5DD5FC">
                  <w:pPr>
                    <w:widowControl w:val="0"/>
                    <w:spacing w:line="240" w:lineRule="auto"/>
                    <w:jc w:val="center"/>
                    <w:rPr>
                      <w:rFonts w:hint="default" w:ascii="Times New Roman" w:hAnsi="Times New Roman" w:eastAsia="宋体" w:cs="Times New Roman"/>
                      <w:b/>
                      <w:bCs/>
                      <w:color w:val="auto"/>
                      <w:kern w:val="2"/>
                      <w:sz w:val="21"/>
                      <w:szCs w:val="21"/>
                      <w:highlight w:val="none"/>
                      <w:lang w:val="en-US" w:eastAsia="zh-CN"/>
                    </w:rPr>
                  </w:pPr>
                  <w:r>
                    <w:rPr>
                      <w:rFonts w:hint="eastAsia" w:cs="Times New Roman"/>
                      <w:b/>
                      <w:bCs/>
                      <w:color w:val="auto"/>
                      <w:kern w:val="2"/>
                      <w:sz w:val="21"/>
                      <w:szCs w:val="21"/>
                      <w:highlight w:val="none"/>
                      <w:lang w:val="en-US" w:eastAsia="zh-CN"/>
                    </w:rPr>
                    <w:t>(</w:t>
                  </w:r>
                  <w:r>
                    <w:rPr>
                      <w:rFonts w:hint="default" w:ascii="Times New Roman" w:hAnsi="Times New Roman" w:eastAsia="宋体" w:cs="Times New Roman"/>
                      <w:b/>
                      <w:bCs/>
                      <w:color w:val="auto"/>
                      <w:kern w:val="2"/>
                      <w:sz w:val="21"/>
                      <w:szCs w:val="21"/>
                      <w:highlight w:val="none"/>
                      <w:lang w:val="en-US" w:eastAsia="zh-CN"/>
                    </w:rPr>
                    <w:t>μg/m</w:t>
                  </w:r>
                  <w:r>
                    <w:rPr>
                      <w:rFonts w:hint="default" w:ascii="Times New Roman" w:hAnsi="Times New Roman" w:eastAsia="宋体" w:cs="Times New Roman"/>
                      <w:b/>
                      <w:bCs/>
                      <w:color w:val="auto"/>
                      <w:kern w:val="2"/>
                      <w:sz w:val="21"/>
                      <w:szCs w:val="21"/>
                      <w:highlight w:val="none"/>
                      <w:vertAlign w:val="superscript"/>
                      <w:lang w:val="en-US" w:eastAsia="zh-CN"/>
                    </w:rPr>
                    <w:t>3</w:t>
                  </w:r>
                  <w:r>
                    <w:rPr>
                      <w:rFonts w:hint="eastAsia" w:cs="Times New Roman"/>
                      <w:b/>
                      <w:bCs/>
                      <w:color w:val="auto"/>
                      <w:kern w:val="2"/>
                      <w:sz w:val="21"/>
                      <w:szCs w:val="21"/>
                      <w:highlight w:val="none"/>
                      <w:vertAlign w:val="superscript"/>
                      <w:lang w:val="en-US" w:eastAsia="zh-CN"/>
                    </w:rPr>
                    <w:t>)</w:t>
                  </w:r>
                </w:p>
              </w:tc>
              <w:tc>
                <w:tcPr>
                  <w:tcW w:w="613" w:type="pct"/>
                  <w:vMerge w:val="continue"/>
                  <w:tcBorders>
                    <w:tl2br w:val="nil"/>
                    <w:tr2bl w:val="nil"/>
                  </w:tcBorders>
                  <w:noWrap w:val="0"/>
                  <w:vAlign w:val="center"/>
                </w:tcPr>
                <w:p w14:paraId="61BFA1F5">
                  <w:pPr>
                    <w:autoSpaceDE w:val="0"/>
                    <w:autoSpaceDN w:val="0"/>
                    <w:adjustRightInd w:val="0"/>
                    <w:spacing w:before="0" w:after="0" w:line="240" w:lineRule="auto"/>
                    <w:ind w:left="0" w:right="0" w:firstLine="0" w:firstLineChars="0"/>
                    <w:jc w:val="center"/>
                    <w:rPr>
                      <w:rFonts w:hint="default" w:ascii="Times New Roman" w:hAnsi="Times New Roman" w:eastAsia="宋体" w:cs="Times New Roman"/>
                      <w:color w:val="auto"/>
                      <w:kern w:val="2"/>
                      <w:sz w:val="21"/>
                      <w:szCs w:val="21"/>
                      <w:highlight w:val="yellow"/>
                      <w:lang w:val="en-US"/>
                    </w:rPr>
                  </w:pPr>
                </w:p>
              </w:tc>
              <w:tc>
                <w:tcPr>
                  <w:tcW w:w="599" w:type="pct"/>
                  <w:vMerge w:val="continue"/>
                  <w:tcBorders>
                    <w:tl2br w:val="nil"/>
                    <w:tr2bl w:val="nil"/>
                  </w:tcBorders>
                  <w:noWrap w:val="0"/>
                  <w:vAlign w:val="center"/>
                </w:tcPr>
                <w:p w14:paraId="39A17437">
                  <w:pPr>
                    <w:autoSpaceDE w:val="0"/>
                    <w:autoSpaceDN w:val="0"/>
                    <w:adjustRightInd w:val="0"/>
                    <w:spacing w:before="0" w:after="0" w:line="240" w:lineRule="auto"/>
                    <w:ind w:left="0" w:right="0" w:firstLine="0" w:firstLineChars="0"/>
                    <w:jc w:val="center"/>
                    <w:rPr>
                      <w:rFonts w:hint="default" w:ascii="Times New Roman" w:hAnsi="Times New Roman" w:eastAsia="宋体" w:cs="Times New Roman"/>
                      <w:color w:val="auto"/>
                      <w:kern w:val="2"/>
                      <w:sz w:val="21"/>
                      <w:szCs w:val="21"/>
                      <w:highlight w:val="yellow"/>
                      <w:lang w:val="en-US"/>
                    </w:rPr>
                  </w:pPr>
                </w:p>
              </w:tc>
            </w:tr>
            <w:tr w14:paraId="57159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536" w:type="pct"/>
                  <w:tcBorders>
                    <w:tl2br w:val="nil"/>
                    <w:tr2bl w:val="nil"/>
                  </w:tcBorders>
                  <w:noWrap w:val="0"/>
                  <w:vAlign w:val="center"/>
                </w:tcPr>
                <w:p w14:paraId="41E62307">
                  <w:pPr>
                    <w:autoSpaceDE w:val="0"/>
                    <w:autoSpaceDN w:val="0"/>
                    <w:adjustRightInd w:val="0"/>
                    <w:spacing w:before="0" w:after="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rPr>
                  </w:pPr>
                  <w:r>
                    <w:rPr>
                      <w:rFonts w:hint="default" w:ascii="Times New Roman" w:hAnsi="Times New Roman" w:eastAsia="宋体" w:cs="Times New Roman"/>
                      <w:color w:val="auto"/>
                      <w:kern w:val="2"/>
                      <w:sz w:val="21"/>
                      <w:szCs w:val="21"/>
                      <w:highlight w:val="none"/>
                      <w:lang w:val="en-US"/>
                    </w:rPr>
                    <w:t>SO</w:t>
                  </w:r>
                  <w:r>
                    <w:rPr>
                      <w:rFonts w:hint="default" w:ascii="Times New Roman" w:hAnsi="Times New Roman" w:eastAsia="宋体" w:cs="Times New Roman"/>
                      <w:color w:val="auto"/>
                      <w:kern w:val="2"/>
                      <w:sz w:val="21"/>
                      <w:szCs w:val="21"/>
                      <w:highlight w:val="none"/>
                      <w:vertAlign w:val="subscript"/>
                      <w:lang w:val="en-US"/>
                    </w:rPr>
                    <w:t>2</w:t>
                  </w:r>
                </w:p>
              </w:tc>
              <w:tc>
                <w:tcPr>
                  <w:tcW w:w="1855" w:type="pct"/>
                  <w:tcBorders>
                    <w:tl2br w:val="nil"/>
                    <w:tr2bl w:val="nil"/>
                  </w:tcBorders>
                  <w:noWrap w:val="0"/>
                  <w:vAlign w:val="center"/>
                </w:tcPr>
                <w:p w14:paraId="3F05C35B">
                  <w:pPr>
                    <w:autoSpaceDE w:val="0"/>
                    <w:autoSpaceDN w:val="0"/>
                    <w:adjustRightInd w:val="0"/>
                    <w:spacing w:before="0" w:after="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rPr>
                  </w:pPr>
                  <w:r>
                    <w:rPr>
                      <w:rFonts w:hint="default" w:ascii="Times New Roman" w:hAnsi="Times New Roman" w:eastAsia="宋体" w:cs="Times New Roman"/>
                      <w:color w:val="auto"/>
                      <w:kern w:val="2"/>
                      <w:sz w:val="21"/>
                      <w:szCs w:val="21"/>
                      <w:highlight w:val="none"/>
                      <w:lang w:val="en-US"/>
                    </w:rPr>
                    <w:t>年平均</w:t>
                  </w:r>
                </w:p>
              </w:tc>
              <w:tc>
                <w:tcPr>
                  <w:tcW w:w="697" w:type="pct"/>
                  <w:tcBorders>
                    <w:tl2br w:val="nil"/>
                    <w:tr2bl w:val="nil"/>
                  </w:tcBorders>
                  <w:noWrap w:val="0"/>
                  <w:vAlign w:val="center"/>
                </w:tcPr>
                <w:p w14:paraId="7842B95C">
                  <w:pPr>
                    <w:autoSpaceDE w:val="0"/>
                    <w:autoSpaceDN w:val="0"/>
                    <w:adjustRightInd w:val="0"/>
                    <w:spacing w:before="0" w:after="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eastAsia="zh-CN"/>
                    </w:rPr>
                  </w:pPr>
                  <w:r>
                    <w:rPr>
                      <w:rFonts w:hint="default" w:ascii="Times New Roman" w:hAnsi="Times New Roman" w:cs="Times New Roman"/>
                      <w:color w:val="auto"/>
                      <w:kern w:val="2"/>
                      <w:sz w:val="21"/>
                      <w:szCs w:val="21"/>
                      <w:highlight w:val="none"/>
                      <w:lang w:val="en-US" w:eastAsia="zh-CN"/>
                    </w:rPr>
                    <w:t>7</w:t>
                  </w:r>
                </w:p>
              </w:tc>
              <w:tc>
                <w:tcPr>
                  <w:tcW w:w="697" w:type="pct"/>
                  <w:tcBorders>
                    <w:tl2br w:val="nil"/>
                    <w:tr2bl w:val="nil"/>
                  </w:tcBorders>
                  <w:noWrap w:val="0"/>
                  <w:vAlign w:val="center"/>
                </w:tcPr>
                <w:p w14:paraId="6EDA8C1D">
                  <w:pPr>
                    <w:autoSpaceDE w:val="0"/>
                    <w:autoSpaceDN w:val="0"/>
                    <w:adjustRightInd w:val="0"/>
                    <w:spacing w:before="0" w:after="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eastAsia="zh-CN"/>
                    </w:rPr>
                  </w:pPr>
                  <w:r>
                    <w:rPr>
                      <w:rFonts w:hint="default" w:ascii="Times New Roman" w:hAnsi="Times New Roman" w:eastAsia="宋体" w:cs="Times New Roman"/>
                      <w:color w:val="auto"/>
                      <w:kern w:val="2"/>
                      <w:sz w:val="21"/>
                      <w:szCs w:val="21"/>
                      <w:highlight w:val="none"/>
                      <w:lang w:val="en-US" w:eastAsia="zh-CN"/>
                    </w:rPr>
                    <w:t>60</w:t>
                  </w:r>
                </w:p>
              </w:tc>
              <w:tc>
                <w:tcPr>
                  <w:tcW w:w="613" w:type="pct"/>
                  <w:tcBorders>
                    <w:tl2br w:val="nil"/>
                    <w:tr2bl w:val="nil"/>
                  </w:tcBorders>
                  <w:noWrap w:val="0"/>
                  <w:vAlign w:val="center"/>
                </w:tcPr>
                <w:p w14:paraId="1E56E3ED">
                  <w:pPr>
                    <w:autoSpaceDE w:val="0"/>
                    <w:autoSpaceDN w:val="0"/>
                    <w:adjustRightInd w:val="0"/>
                    <w:spacing w:before="0" w:after="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eastAsia="zh-CN"/>
                    </w:rPr>
                  </w:pPr>
                  <w:r>
                    <w:rPr>
                      <w:rFonts w:hint="default" w:ascii="Times New Roman" w:hAnsi="Times New Roman" w:cs="Times New Roman"/>
                      <w:color w:val="auto"/>
                      <w:kern w:val="2"/>
                      <w:sz w:val="21"/>
                      <w:szCs w:val="21"/>
                      <w:highlight w:val="none"/>
                      <w:lang w:val="en-US" w:eastAsia="zh-CN"/>
                    </w:rPr>
                    <w:t>11.7</w:t>
                  </w:r>
                </w:p>
              </w:tc>
              <w:tc>
                <w:tcPr>
                  <w:tcW w:w="599" w:type="pct"/>
                  <w:tcBorders>
                    <w:tl2br w:val="nil"/>
                    <w:tr2bl w:val="nil"/>
                  </w:tcBorders>
                  <w:noWrap w:val="0"/>
                  <w:vAlign w:val="center"/>
                </w:tcPr>
                <w:p w14:paraId="0964F460">
                  <w:pPr>
                    <w:autoSpaceDE w:val="0"/>
                    <w:autoSpaceDN w:val="0"/>
                    <w:adjustRightInd w:val="0"/>
                    <w:spacing w:before="0" w:after="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rPr>
                  </w:pPr>
                  <w:r>
                    <w:rPr>
                      <w:rFonts w:hint="default" w:ascii="Times New Roman" w:hAnsi="Times New Roman" w:eastAsia="宋体" w:cs="Times New Roman"/>
                      <w:color w:val="auto"/>
                      <w:kern w:val="2"/>
                      <w:sz w:val="21"/>
                      <w:szCs w:val="21"/>
                      <w:highlight w:val="none"/>
                      <w:lang w:val="en-US"/>
                    </w:rPr>
                    <w:t>达标</w:t>
                  </w:r>
                </w:p>
              </w:tc>
            </w:tr>
            <w:tr w14:paraId="13E08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jc w:val="center"/>
              </w:trPr>
              <w:tc>
                <w:tcPr>
                  <w:tcW w:w="536" w:type="pct"/>
                  <w:tcBorders>
                    <w:tl2br w:val="nil"/>
                    <w:tr2bl w:val="nil"/>
                  </w:tcBorders>
                  <w:noWrap w:val="0"/>
                  <w:vAlign w:val="center"/>
                </w:tcPr>
                <w:p w14:paraId="28CC1D0E">
                  <w:pPr>
                    <w:autoSpaceDE w:val="0"/>
                    <w:autoSpaceDN w:val="0"/>
                    <w:adjustRightInd w:val="0"/>
                    <w:spacing w:before="0" w:after="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rPr>
                  </w:pPr>
                  <w:r>
                    <w:rPr>
                      <w:rFonts w:hint="default" w:ascii="Times New Roman" w:hAnsi="Times New Roman" w:eastAsia="宋体" w:cs="Times New Roman"/>
                      <w:color w:val="auto"/>
                      <w:kern w:val="2"/>
                      <w:sz w:val="21"/>
                      <w:szCs w:val="21"/>
                      <w:highlight w:val="none"/>
                      <w:lang w:val="en-US"/>
                    </w:rPr>
                    <w:t>NO</w:t>
                  </w:r>
                  <w:r>
                    <w:rPr>
                      <w:rFonts w:hint="default" w:ascii="Times New Roman" w:hAnsi="Times New Roman" w:eastAsia="宋体" w:cs="Times New Roman"/>
                      <w:color w:val="auto"/>
                      <w:kern w:val="2"/>
                      <w:sz w:val="21"/>
                      <w:szCs w:val="21"/>
                      <w:highlight w:val="none"/>
                      <w:vertAlign w:val="subscript"/>
                      <w:lang w:val="en-US"/>
                    </w:rPr>
                    <w:t>2</w:t>
                  </w:r>
                </w:p>
              </w:tc>
              <w:tc>
                <w:tcPr>
                  <w:tcW w:w="1855" w:type="pct"/>
                  <w:tcBorders>
                    <w:tl2br w:val="nil"/>
                    <w:tr2bl w:val="nil"/>
                  </w:tcBorders>
                  <w:noWrap w:val="0"/>
                  <w:vAlign w:val="center"/>
                </w:tcPr>
                <w:p w14:paraId="50DB6339">
                  <w:pPr>
                    <w:autoSpaceDE w:val="0"/>
                    <w:autoSpaceDN w:val="0"/>
                    <w:adjustRightInd w:val="0"/>
                    <w:spacing w:before="0" w:after="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rPr>
                  </w:pPr>
                  <w:r>
                    <w:rPr>
                      <w:rFonts w:hint="default" w:ascii="Times New Roman" w:hAnsi="Times New Roman" w:eastAsia="宋体" w:cs="Times New Roman"/>
                      <w:color w:val="auto"/>
                      <w:kern w:val="2"/>
                      <w:sz w:val="21"/>
                      <w:szCs w:val="21"/>
                      <w:highlight w:val="none"/>
                      <w:lang w:val="en-US"/>
                    </w:rPr>
                    <w:t>年平均</w:t>
                  </w:r>
                </w:p>
              </w:tc>
              <w:tc>
                <w:tcPr>
                  <w:tcW w:w="697" w:type="pct"/>
                  <w:tcBorders>
                    <w:tl2br w:val="nil"/>
                    <w:tr2bl w:val="nil"/>
                  </w:tcBorders>
                  <w:noWrap w:val="0"/>
                  <w:vAlign w:val="center"/>
                </w:tcPr>
                <w:p w14:paraId="53CE1F86">
                  <w:pPr>
                    <w:autoSpaceDE w:val="0"/>
                    <w:autoSpaceDN w:val="0"/>
                    <w:adjustRightInd w:val="0"/>
                    <w:spacing w:before="0" w:after="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10</w:t>
                  </w:r>
                </w:p>
              </w:tc>
              <w:tc>
                <w:tcPr>
                  <w:tcW w:w="697" w:type="pct"/>
                  <w:tcBorders>
                    <w:tl2br w:val="nil"/>
                    <w:tr2bl w:val="nil"/>
                  </w:tcBorders>
                  <w:noWrap w:val="0"/>
                  <w:vAlign w:val="center"/>
                </w:tcPr>
                <w:p w14:paraId="5EAC6A87">
                  <w:pPr>
                    <w:autoSpaceDE w:val="0"/>
                    <w:autoSpaceDN w:val="0"/>
                    <w:adjustRightInd w:val="0"/>
                    <w:spacing w:before="0" w:after="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eastAsia="zh-CN"/>
                    </w:rPr>
                  </w:pPr>
                  <w:r>
                    <w:rPr>
                      <w:rFonts w:hint="default" w:ascii="Times New Roman" w:hAnsi="Times New Roman" w:eastAsia="宋体" w:cs="Times New Roman"/>
                      <w:color w:val="auto"/>
                      <w:kern w:val="2"/>
                      <w:sz w:val="21"/>
                      <w:szCs w:val="21"/>
                      <w:highlight w:val="none"/>
                      <w:lang w:val="en-US" w:eastAsia="zh-CN"/>
                    </w:rPr>
                    <w:t>40</w:t>
                  </w:r>
                </w:p>
              </w:tc>
              <w:tc>
                <w:tcPr>
                  <w:tcW w:w="613" w:type="pct"/>
                  <w:tcBorders>
                    <w:tl2br w:val="nil"/>
                    <w:tr2bl w:val="nil"/>
                  </w:tcBorders>
                  <w:noWrap w:val="0"/>
                  <w:vAlign w:val="center"/>
                </w:tcPr>
                <w:p w14:paraId="2CF6DB93">
                  <w:pPr>
                    <w:autoSpaceDE w:val="0"/>
                    <w:autoSpaceDN w:val="0"/>
                    <w:adjustRightInd w:val="0"/>
                    <w:spacing w:before="0" w:after="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eastAsia="zh-CN"/>
                    </w:rPr>
                  </w:pPr>
                  <w:r>
                    <w:rPr>
                      <w:rFonts w:hint="default" w:ascii="Times New Roman" w:hAnsi="Times New Roman" w:cs="Times New Roman"/>
                      <w:color w:val="auto"/>
                      <w:kern w:val="2"/>
                      <w:sz w:val="21"/>
                      <w:szCs w:val="21"/>
                      <w:highlight w:val="none"/>
                      <w:lang w:val="en-US" w:eastAsia="zh-CN"/>
                    </w:rPr>
                    <w:t>75</w:t>
                  </w:r>
                </w:p>
              </w:tc>
              <w:tc>
                <w:tcPr>
                  <w:tcW w:w="599" w:type="pct"/>
                  <w:tcBorders>
                    <w:tl2br w:val="nil"/>
                    <w:tr2bl w:val="nil"/>
                  </w:tcBorders>
                  <w:noWrap w:val="0"/>
                  <w:vAlign w:val="top"/>
                </w:tcPr>
                <w:p w14:paraId="30201D7A">
                  <w:pPr>
                    <w:autoSpaceDE/>
                    <w:autoSpaceDN/>
                    <w:spacing w:before="0" w:after="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rPr>
                  </w:pPr>
                  <w:r>
                    <w:rPr>
                      <w:rFonts w:hint="default" w:ascii="Times New Roman" w:hAnsi="Times New Roman" w:eastAsia="宋体" w:cs="Times New Roman"/>
                      <w:color w:val="auto"/>
                      <w:kern w:val="2"/>
                      <w:sz w:val="21"/>
                      <w:szCs w:val="21"/>
                      <w:highlight w:val="none"/>
                      <w:lang w:val="en-US"/>
                    </w:rPr>
                    <w:t>达标</w:t>
                  </w:r>
                </w:p>
              </w:tc>
            </w:tr>
            <w:tr w14:paraId="7A303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536" w:type="pct"/>
                  <w:tcBorders>
                    <w:tl2br w:val="nil"/>
                    <w:tr2bl w:val="nil"/>
                  </w:tcBorders>
                  <w:noWrap w:val="0"/>
                  <w:vAlign w:val="center"/>
                </w:tcPr>
                <w:p w14:paraId="72C0376B">
                  <w:pPr>
                    <w:autoSpaceDE w:val="0"/>
                    <w:autoSpaceDN w:val="0"/>
                    <w:adjustRightInd w:val="0"/>
                    <w:spacing w:before="0" w:after="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rPr>
                  </w:pPr>
                  <w:r>
                    <w:rPr>
                      <w:rFonts w:hint="default" w:ascii="Times New Roman" w:hAnsi="Times New Roman" w:eastAsia="宋体" w:cs="Times New Roman"/>
                      <w:color w:val="auto"/>
                      <w:kern w:val="2"/>
                      <w:sz w:val="21"/>
                      <w:szCs w:val="21"/>
                      <w:highlight w:val="none"/>
                      <w:lang w:val="en-US"/>
                    </w:rPr>
                    <w:t>CO</w:t>
                  </w:r>
                </w:p>
              </w:tc>
              <w:tc>
                <w:tcPr>
                  <w:tcW w:w="1855" w:type="pct"/>
                  <w:tcBorders>
                    <w:tl2br w:val="nil"/>
                    <w:tr2bl w:val="nil"/>
                  </w:tcBorders>
                  <w:noWrap w:val="0"/>
                  <w:vAlign w:val="center"/>
                </w:tcPr>
                <w:p w14:paraId="2405F445">
                  <w:pPr>
                    <w:autoSpaceDE w:val="0"/>
                    <w:autoSpaceDN w:val="0"/>
                    <w:adjustRightInd w:val="0"/>
                    <w:spacing w:before="0" w:after="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rPr>
                  </w:pPr>
                  <w:r>
                    <w:rPr>
                      <w:rFonts w:hint="default" w:ascii="Times New Roman" w:hAnsi="Times New Roman" w:eastAsia="宋体" w:cs="Times New Roman"/>
                      <w:color w:val="auto"/>
                      <w:kern w:val="2"/>
                      <w:sz w:val="21"/>
                      <w:szCs w:val="21"/>
                      <w:highlight w:val="none"/>
                      <w:lang w:val="en-US" w:eastAsia="zh-CN"/>
                    </w:rPr>
                    <w:t>24h的</w:t>
                  </w:r>
                  <w:r>
                    <w:rPr>
                      <w:rFonts w:hint="default" w:ascii="Times New Roman" w:hAnsi="Times New Roman" w:eastAsia="宋体" w:cs="Times New Roman"/>
                      <w:color w:val="auto"/>
                      <w:kern w:val="2"/>
                      <w:sz w:val="21"/>
                      <w:szCs w:val="21"/>
                      <w:highlight w:val="none"/>
                      <w:lang w:val="en-US"/>
                    </w:rPr>
                    <w:t>第95百分位数</w:t>
                  </w:r>
                </w:p>
              </w:tc>
              <w:tc>
                <w:tcPr>
                  <w:tcW w:w="697" w:type="pct"/>
                  <w:tcBorders>
                    <w:tl2br w:val="nil"/>
                    <w:tr2bl w:val="nil"/>
                  </w:tcBorders>
                  <w:noWrap w:val="0"/>
                  <w:vAlign w:val="center"/>
                </w:tcPr>
                <w:p w14:paraId="744CF900">
                  <w:pPr>
                    <w:autoSpaceDE w:val="0"/>
                    <w:autoSpaceDN w:val="0"/>
                    <w:adjustRightInd w:val="0"/>
                    <w:spacing w:before="0" w:after="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600</w:t>
                  </w:r>
                </w:p>
              </w:tc>
              <w:tc>
                <w:tcPr>
                  <w:tcW w:w="697" w:type="pct"/>
                  <w:tcBorders>
                    <w:tl2br w:val="nil"/>
                    <w:tr2bl w:val="nil"/>
                  </w:tcBorders>
                  <w:noWrap w:val="0"/>
                  <w:vAlign w:val="center"/>
                </w:tcPr>
                <w:p w14:paraId="2EE30A29">
                  <w:pPr>
                    <w:autoSpaceDE w:val="0"/>
                    <w:autoSpaceDN w:val="0"/>
                    <w:adjustRightInd w:val="0"/>
                    <w:spacing w:before="0" w:after="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rPr>
                  </w:pPr>
                  <w:r>
                    <w:rPr>
                      <w:rFonts w:hint="default" w:ascii="Times New Roman" w:hAnsi="Times New Roman" w:eastAsia="宋体" w:cs="Times New Roman"/>
                      <w:color w:val="auto"/>
                      <w:kern w:val="2"/>
                      <w:sz w:val="21"/>
                      <w:szCs w:val="21"/>
                      <w:highlight w:val="none"/>
                      <w:lang w:val="en-US"/>
                    </w:rPr>
                    <w:t>4000</w:t>
                  </w:r>
                </w:p>
              </w:tc>
              <w:tc>
                <w:tcPr>
                  <w:tcW w:w="613" w:type="pct"/>
                  <w:tcBorders>
                    <w:tl2br w:val="nil"/>
                    <w:tr2bl w:val="nil"/>
                  </w:tcBorders>
                  <w:noWrap w:val="0"/>
                  <w:vAlign w:val="center"/>
                </w:tcPr>
                <w:p w14:paraId="6931910A">
                  <w:pPr>
                    <w:autoSpaceDE w:val="0"/>
                    <w:autoSpaceDN w:val="0"/>
                    <w:adjustRightInd w:val="0"/>
                    <w:spacing w:before="0" w:after="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eastAsia="zh-CN"/>
                    </w:rPr>
                  </w:pPr>
                  <w:r>
                    <w:rPr>
                      <w:rFonts w:hint="default" w:ascii="Times New Roman" w:hAnsi="Times New Roman" w:cs="Times New Roman"/>
                      <w:color w:val="auto"/>
                      <w:kern w:val="2"/>
                      <w:sz w:val="21"/>
                      <w:szCs w:val="21"/>
                      <w:highlight w:val="none"/>
                      <w:lang w:val="en-US" w:eastAsia="zh-CN"/>
                    </w:rPr>
                    <w:t>45</w:t>
                  </w:r>
                </w:p>
              </w:tc>
              <w:tc>
                <w:tcPr>
                  <w:tcW w:w="599" w:type="pct"/>
                  <w:tcBorders>
                    <w:tl2br w:val="nil"/>
                    <w:tr2bl w:val="nil"/>
                  </w:tcBorders>
                  <w:noWrap w:val="0"/>
                  <w:vAlign w:val="top"/>
                </w:tcPr>
                <w:p w14:paraId="0416E5A4">
                  <w:pPr>
                    <w:autoSpaceDE/>
                    <w:autoSpaceDN/>
                    <w:spacing w:before="0" w:after="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rPr>
                  </w:pPr>
                  <w:r>
                    <w:rPr>
                      <w:rFonts w:hint="default" w:ascii="Times New Roman" w:hAnsi="Times New Roman" w:eastAsia="宋体" w:cs="Times New Roman"/>
                      <w:color w:val="auto"/>
                      <w:kern w:val="2"/>
                      <w:sz w:val="21"/>
                      <w:szCs w:val="21"/>
                      <w:highlight w:val="none"/>
                      <w:lang w:val="en-US"/>
                    </w:rPr>
                    <w:t>达标</w:t>
                  </w:r>
                </w:p>
              </w:tc>
            </w:tr>
            <w:tr w14:paraId="16D20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536" w:type="pct"/>
                  <w:tcBorders>
                    <w:tl2br w:val="nil"/>
                    <w:tr2bl w:val="nil"/>
                  </w:tcBorders>
                  <w:noWrap w:val="0"/>
                  <w:vAlign w:val="center"/>
                </w:tcPr>
                <w:p w14:paraId="598A002E">
                  <w:pPr>
                    <w:autoSpaceDE w:val="0"/>
                    <w:autoSpaceDN w:val="0"/>
                    <w:adjustRightInd w:val="0"/>
                    <w:spacing w:before="0" w:after="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eastAsia="zh-CN"/>
                    </w:rPr>
                  </w:pPr>
                  <w:r>
                    <w:rPr>
                      <w:rFonts w:hint="default" w:ascii="Times New Roman" w:hAnsi="Times New Roman" w:eastAsia="宋体" w:cs="Times New Roman"/>
                      <w:color w:val="auto"/>
                      <w:kern w:val="2"/>
                      <w:sz w:val="21"/>
                      <w:szCs w:val="21"/>
                      <w:highlight w:val="none"/>
                      <w:lang w:val="en-US"/>
                    </w:rPr>
                    <w:t>O</w:t>
                  </w:r>
                  <w:r>
                    <w:rPr>
                      <w:rFonts w:hint="default" w:ascii="Times New Roman" w:hAnsi="Times New Roman" w:eastAsia="宋体" w:cs="Times New Roman"/>
                      <w:color w:val="auto"/>
                      <w:kern w:val="2"/>
                      <w:sz w:val="21"/>
                      <w:szCs w:val="21"/>
                      <w:highlight w:val="none"/>
                      <w:vertAlign w:val="subscript"/>
                      <w:lang w:val="en-US"/>
                    </w:rPr>
                    <w:t>3</w:t>
                  </w:r>
                  <w:r>
                    <w:rPr>
                      <w:rFonts w:hint="default" w:ascii="Times New Roman" w:hAnsi="Times New Roman" w:eastAsia="宋体" w:cs="Times New Roman"/>
                      <w:color w:val="auto"/>
                      <w:kern w:val="2"/>
                      <w:sz w:val="21"/>
                      <w:szCs w:val="21"/>
                      <w:highlight w:val="none"/>
                      <w:vertAlign w:val="subscript"/>
                      <w:lang w:val="en-US" w:eastAsia="zh-CN"/>
                    </w:rPr>
                    <w:t>-8h</w:t>
                  </w:r>
                </w:p>
              </w:tc>
              <w:tc>
                <w:tcPr>
                  <w:tcW w:w="1855" w:type="pct"/>
                  <w:tcBorders>
                    <w:tl2br w:val="nil"/>
                    <w:tr2bl w:val="nil"/>
                  </w:tcBorders>
                  <w:noWrap w:val="0"/>
                  <w:vAlign w:val="center"/>
                </w:tcPr>
                <w:p w14:paraId="1D14CE11">
                  <w:pPr>
                    <w:autoSpaceDE w:val="0"/>
                    <w:autoSpaceDN w:val="0"/>
                    <w:adjustRightInd w:val="0"/>
                    <w:spacing w:before="0" w:after="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eastAsia="zh-CN"/>
                    </w:rPr>
                  </w:pPr>
                  <w:r>
                    <w:rPr>
                      <w:rFonts w:hint="default" w:ascii="Times New Roman" w:hAnsi="Times New Roman" w:eastAsia="宋体" w:cs="Times New Roman"/>
                      <w:color w:val="auto"/>
                      <w:kern w:val="2"/>
                      <w:sz w:val="21"/>
                      <w:szCs w:val="21"/>
                      <w:highlight w:val="none"/>
                      <w:lang w:val="en-US" w:eastAsia="zh-CN"/>
                    </w:rPr>
                    <w:t>最大8h</w:t>
                  </w:r>
                  <w:r>
                    <w:rPr>
                      <w:rFonts w:hint="default" w:ascii="Times New Roman" w:hAnsi="Times New Roman" w:eastAsia="宋体" w:cs="Times New Roman"/>
                      <w:color w:val="auto"/>
                      <w:kern w:val="2"/>
                      <w:sz w:val="21"/>
                      <w:szCs w:val="21"/>
                      <w:highlight w:val="none"/>
                      <w:lang w:val="en-US"/>
                    </w:rPr>
                    <w:t>平均</w:t>
                  </w:r>
                  <w:r>
                    <w:rPr>
                      <w:rFonts w:hint="default" w:ascii="Times New Roman" w:hAnsi="Times New Roman" w:eastAsia="宋体" w:cs="Times New Roman"/>
                      <w:color w:val="auto"/>
                      <w:kern w:val="2"/>
                      <w:sz w:val="21"/>
                      <w:szCs w:val="21"/>
                      <w:highlight w:val="none"/>
                      <w:lang w:val="en-US" w:eastAsia="zh-CN"/>
                    </w:rPr>
                    <w:t>值的</w:t>
                  </w:r>
                  <w:r>
                    <w:rPr>
                      <w:rFonts w:hint="default" w:ascii="Times New Roman" w:hAnsi="Times New Roman" w:eastAsia="宋体" w:cs="Times New Roman"/>
                      <w:color w:val="auto"/>
                      <w:kern w:val="2"/>
                      <w:sz w:val="21"/>
                      <w:szCs w:val="21"/>
                      <w:highlight w:val="none"/>
                      <w:lang w:val="en-US"/>
                    </w:rPr>
                    <w:t>第90百分位数</w:t>
                  </w:r>
                </w:p>
              </w:tc>
              <w:tc>
                <w:tcPr>
                  <w:tcW w:w="697" w:type="pct"/>
                  <w:tcBorders>
                    <w:tl2br w:val="nil"/>
                    <w:tr2bl w:val="nil"/>
                  </w:tcBorders>
                  <w:noWrap w:val="0"/>
                  <w:vAlign w:val="center"/>
                </w:tcPr>
                <w:p w14:paraId="379CBF2E">
                  <w:pPr>
                    <w:autoSpaceDE w:val="0"/>
                    <w:autoSpaceDN w:val="0"/>
                    <w:adjustRightInd w:val="0"/>
                    <w:spacing w:before="0" w:after="0" w:line="240" w:lineRule="auto"/>
                    <w:ind w:left="0" w:right="0" w:firstLine="0" w:firstLineChars="0"/>
                    <w:jc w:val="center"/>
                    <w:rPr>
                      <w:rFonts w:hint="default" w:ascii="Times New Roman" w:hAnsi="Times New Roman" w:eastAsia="宋体" w:cs="Times New Roman"/>
                      <w:color w:val="auto"/>
                      <w:kern w:val="2"/>
                      <w:sz w:val="21"/>
                      <w:szCs w:val="21"/>
                      <w:highlight w:val="yellow"/>
                      <w:lang w:val="en-US" w:eastAsia="zh-CN"/>
                    </w:rPr>
                  </w:pPr>
                  <w:r>
                    <w:rPr>
                      <w:rFonts w:hint="eastAsia" w:cs="Times New Roman"/>
                      <w:color w:val="auto"/>
                      <w:kern w:val="2"/>
                      <w:sz w:val="21"/>
                      <w:szCs w:val="21"/>
                      <w:highlight w:val="none"/>
                      <w:lang w:val="en-US" w:eastAsia="zh-CN"/>
                    </w:rPr>
                    <w:t>88</w:t>
                  </w:r>
                </w:p>
              </w:tc>
              <w:tc>
                <w:tcPr>
                  <w:tcW w:w="697" w:type="pct"/>
                  <w:tcBorders>
                    <w:tl2br w:val="nil"/>
                    <w:tr2bl w:val="nil"/>
                  </w:tcBorders>
                  <w:noWrap w:val="0"/>
                  <w:vAlign w:val="center"/>
                </w:tcPr>
                <w:p w14:paraId="0E96A0DB">
                  <w:pPr>
                    <w:autoSpaceDE w:val="0"/>
                    <w:autoSpaceDN w:val="0"/>
                    <w:adjustRightInd w:val="0"/>
                    <w:spacing w:before="0" w:after="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rPr>
                  </w:pPr>
                  <w:r>
                    <w:rPr>
                      <w:rFonts w:hint="default" w:ascii="Times New Roman" w:hAnsi="Times New Roman" w:eastAsia="宋体" w:cs="Times New Roman"/>
                      <w:color w:val="auto"/>
                      <w:kern w:val="2"/>
                      <w:sz w:val="21"/>
                      <w:szCs w:val="21"/>
                      <w:highlight w:val="none"/>
                      <w:lang w:val="en-US"/>
                    </w:rPr>
                    <w:t>160</w:t>
                  </w:r>
                </w:p>
              </w:tc>
              <w:tc>
                <w:tcPr>
                  <w:tcW w:w="613" w:type="pct"/>
                  <w:tcBorders>
                    <w:tl2br w:val="nil"/>
                    <w:tr2bl w:val="nil"/>
                  </w:tcBorders>
                  <w:noWrap w:val="0"/>
                  <w:vAlign w:val="center"/>
                </w:tcPr>
                <w:p w14:paraId="79394194">
                  <w:pPr>
                    <w:autoSpaceDE w:val="0"/>
                    <w:autoSpaceDN w:val="0"/>
                    <w:adjustRightInd w:val="0"/>
                    <w:spacing w:before="0" w:after="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eastAsia="zh-CN"/>
                    </w:rPr>
                  </w:pPr>
                  <w:r>
                    <w:rPr>
                      <w:rFonts w:hint="default" w:ascii="Times New Roman" w:hAnsi="Times New Roman" w:cs="Times New Roman"/>
                      <w:color w:val="auto"/>
                      <w:kern w:val="2"/>
                      <w:sz w:val="21"/>
                      <w:szCs w:val="21"/>
                      <w:highlight w:val="none"/>
                      <w:lang w:val="en-US" w:eastAsia="zh-CN"/>
                    </w:rPr>
                    <w:t>83.7</w:t>
                  </w:r>
                </w:p>
              </w:tc>
              <w:tc>
                <w:tcPr>
                  <w:tcW w:w="599" w:type="pct"/>
                  <w:tcBorders>
                    <w:tl2br w:val="nil"/>
                    <w:tr2bl w:val="nil"/>
                  </w:tcBorders>
                  <w:noWrap w:val="0"/>
                  <w:vAlign w:val="top"/>
                </w:tcPr>
                <w:p w14:paraId="630E74F4">
                  <w:pPr>
                    <w:autoSpaceDE/>
                    <w:autoSpaceDN/>
                    <w:spacing w:before="0" w:after="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rPr>
                  </w:pPr>
                  <w:r>
                    <w:rPr>
                      <w:rFonts w:hint="default" w:ascii="Times New Roman" w:hAnsi="Times New Roman" w:eastAsia="宋体" w:cs="Times New Roman"/>
                      <w:color w:val="auto"/>
                      <w:kern w:val="2"/>
                      <w:sz w:val="21"/>
                      <w:szCs w:val="21"/>
                      <w:highlight w:val="none"/>
                      <w:lang w:val="en-US"/>
                    </w:rPr>
                    <w:t>达标</w:t>
                  </w:r>
                </w:p>
              </w:tc>
            </w:tr>
            <w:tr w14:paraId="16893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536" w:type="pct"/>
                  <w:tcBorders>
                    <w:tl2br w:val="nil"/>
                    <w:tr2bl w:val="nil"/>
                  </w:tcBorders>
                  <w:noWrap w:val="0"/>
                  <w:vAlign w:val="center"/>
                </w:tcPr>
                <w:p w14:paraId="216FA683">
                  <w:pPr>
                    <w:autoSpaceDE w:val="0"/>
                    <w:autoSpaceDN w:val="0"/>
                    <w:adjustRightInd w:val="0"/>
                    <w:spacing w:before="0" w:after="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rPr>
                  </w:pPr>
                  <w:r>
                    <w:rPr>
                      <w:rFonts w:hint="default" w:ascii="Times New Roman" w:hAnsi="Times New Roman" w:eastAsia="宋体" w:cs="Times New Roman"/>
                      <w:color w:val="auto"/>
                      <w:kern w:val="2"/>
                      <w:sz w:val="21"/>
                      <w:szCs w:val="21"/>
                      <w:highlight w:val="none"/>
                      <w:lang w:val="en-US"/>
                    </w:rPr>
                    <w:t>PM</w:t>
                  </w:r>
                  <w:r>
                    <w:rPr>
                      <w:rFonts w:hint="default" w:ascii="Times New Roman" w:hAnsi="Times New Roman" w:eastAsia="宋体" w:cs="Times New Roman"/>
                      <w:color w:val="auto"/>
                      <w:kern w:val="2"/>
                      <w:sz w:val="21"/>
                      <w:szCs w:val="21"/>
                      <w:highlight w:val="none"/>
                      <w:vertAlign w:val="subscript"/>
                      <w:lang w:val="en-US"/>
                    </w:rPr>
                    <w:t>2.5</w:t>
                  </w:r>
                </w:p>
              </w:tc>
              <w:tc>
                <w:tcPr>
                  <w:tcW w:w="1855" w:type="pct"/>
                  <w:tcBorders>
                    <w:tl2br w:val="nil"/>
                    <w:tr2bl w:val="nil"/>
                  </w:tcBorders>
                  <w:noWrap w:val="0"/>
                  <w:vAlign w:val="center"/>
                </w:tcPr>
                <w:p w14:paraId="63317360">
                  <w:pPr>
                    <w:autoSpaceDE w:val="0"/>
                    <w:autoSpaceDN w:val="0"/>
                    <w:adjustRightInd w:val="0"/>
                    <w:spacing w:before="0" w:after="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rPr>
                  </w:pPr>
                  <w:r>
                    <w:rPr>
                      <w:rFonts w:hint="default" w:ascii="Times New Roman" w:hAnsi="Times New Roman" w:eastAsia="宋体" w:cs="Times New Roman"/>
                      <w:color w:val="auto"/>
                      <w:kern w:val="2"/>
                      <w:sz w:val="21"/>
                      <w:szCs w:val="21"/>
                      <w:highlight w:val="none"/>
                      <w:lang w:val="en-US"/>
                    </w:rPr>
                    <w:t>年平均</w:t>
                  </w:r>
                </w:p>
              </w:tc>
              <w:tc>
                <w:tcPr>
                  <w:tcW w:w="697" w:type="pct"/>
                  <w:tcBorders>
                    <w:tl2br w:val="nil"/>
                    <w:tr2bl w:val="nil"/>
                  </w:tcBorders>
                  <w:shd w:val="clear" w:color="auto" w:fill="auto"/>
                  <w:noWrap w:val="0"/>
                  <w:vAlign w:val="center"/>
                </w:tcPr>
                <w:p w14:paraId="43BCF2A2">
                  <w:pPr>
                    <w:autoSpaceDE w:val="0"/>
                    <w:autoSpaceDN w:val="0"/>
                    <w:adjustRightInd w:val="0"/>
                    <w:spacing w:before="0" w:after="0" w:line="240" w:lineRule="auto"/>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9</w:t>
                  </w:r>
                </w:p>
              </w:tc>
              <w:tc>
                <w:tcPr>
                  <w:tcW w:w="697" w:type="pct"/>
                  <w:tcBorders>
                    <w:tl2br w:val="nil"/>
                    <w:tr2bl w:val="nil"/>
                  </w:tcBorders>
                  <w:noWrap w:val="0"/>
                  <w:vAlign w:val="center"/>
                </w:tcPr>
                <w:p w14:paraId="402719E0">
                  <w:pPr>
                    <w:autoSpaceDE w:val="0"/>
                    <w:autoSpaceDN w:val="0"/>
                    <w:adjustRightInd w:val="0"/>
                    <w:spacing w:before="0" w:after="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rPr>
                  </w:pPr>
                  <w:r>
                    <w:rPr>
                      <w:rFonts w:hint="default" w:ascii="Times New Roman" w:hAnsi="Times New Roman" w:eastAsia="宋体" w:cs="Times New Roman"/>
                      <w:color w:val="auto"/>
                      <w:kern w:val="2"/>
                      <w:sz w:val="21"/>
                      <w:szCs w:val="21"/>
                      <w:highlight w:val="none"/>
                      <w:lang w:val="en-US"/>
                    </w:rPr>
                    <w:t>35</w:t>
                  </w:r>
                </w:p>
              </w:tc>
              <w:tc>
                <w:tcPr>
                  <w:tcW w:w="613" w:type="pct"/>
                  <w:tcBorders>
                    <w:tl2br w:val="nil"/>
                    <w:tr2bl w:val="nil"/>
                  </w:tcBorders>
                  <w:noWrap w:val="0"/>
                  <w:vAlign w:val="center"/>
                </w:tcPr>
                <w:p w14:paraId="5ED79E8A">
                  <w:pPr>
                    <w:autoSpaceDE w:val="0"/>
                    <w:autoSpaceDN w:val="0"/>
                    <w:adjustRightInd w:val="0"/>
                    <w:spacing w:before="0" w:after="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eastAsia="zh-CN"/>
                    </w:rPr>
                  </w:pPr>
                  <w:r>
                    <w:rPr>
                      <w:rFonts w:hint="default" w:ascii="Times New Roman" w:hAnsi="Times New Roman" w:cs="Times New Roman"/>
                      <w:color w:val="auto"/>
                      <w:kern w:val="2"/>
                      <w:sz w:val="21"/>
                      <w:szCs w:val="21"/>
                      <w:highlight w:val="none"/>
                      <w:lang w:val="en-US" w:eastAsia="zh-CN"/>
                    </w:rPr>
                    <w:t>114.3</w:t>
                  </w:r>
                </w:p>
              </w:tc>
              <w:tc>
                <w:tcPr>
                  <w:tcW w:w="599" w:type="pct"/>
                  <w:tcBorders>
                    <w:tl2br w:val="nil"/>
                    <w:tr2bl w:val="nil"/>
                  </w:tcBorders>
                  <w:noWrap w:val="0"/>
                  <w:vAlign w:val="top"/>
                </w:tcPr>
                <w:p w14:paraId="74206EBC">
                  <w:pPr>
                    <w:autoSpaceDE/>
                    <w:autoSpaceDN/>
                    <w:spacing w:before="0" w:after="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rPr>
                  </w:pPr>
                  <w:r>
                    <w:rPr>
                      <w:rFonts w:hint="eastAsia" w:cs="Times New Roman"/>
                      <w:color w:val="auto"/>
                      <w:kern w:val="2"/>
                      <w:sz w:val="21"/>
                      <w:szCs w:val="21"/>
                      <w:highlight w:val="none"/>
                      <w:lang w:val="en-US" w:eastAsia="zh-CN"/>
                    </w:rPr>
                    <w:t>达</w:t>
                  </w:r>
                  <w:r>
                    <w:rPr>
                      <w:rFonts w:hint="default" w:ascii="Times New Roman" w:hAnsi="Times New Roman" w:eastAsia="宋体" w:cs="Times New Roman"/>
                      <w:color w:val="auto"/>
                      <w:kern w:val="2"/>
                      <w:sz w:val="21"/>
                      <w:szCs w:val="21"/>
                      <w:highlight w:val="none"/>
                      <w:lang w:val="en-US"/>
                    </w:rPr>
                    <w:t>标</w:t>
                  </w:r>
                </w:p>
              </w:tc>
            </w:tr>
            <w:tr w14:paraId="7C24A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536" w:type="pct"/>
                  <w:tcBorders>
                    <w:tl2br w:val="nil"/>
                    <w:tr2bl w:val="nil"/>
                  </w:tcBorders>
                  <w:noWrap w:val="0"/>
                  <w:vAlign w:val="center"/>
                </w:tcPr>
                <w:p w14:paraId="76CB8DFC">
                  <w:pPr>
                    <w:autoSpaceDE/>
                    <w:autoSpaceDN/>
                    <w:spacing w:before="0" w:after="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rPr>
                  </w:pPr>
                  <w:r>
                    <w:rPr>
                      <w:rFonts w:hint="default" w:ascii="Times New Roman" w:hAnsi="Times New Roman" w:eastAsia="宋体" w:cs="Times New Roman"/>
                      <w:color w:val="auto"/>
                      <w:kern w:val="2"/>
                      <w:sz w:val="21"/>
                      <w:szCs w:val="21"/>
                      <w:highlight w:val="none"/>
                      <w:lang w:val="en-US"/>
                    </w:rPr>
                    <w:t>PM</w:t>
                  </w:r>
                  <w:r>
                    <w:rPr>
                      <w:rFonts w:hint="default" w:ascii="Times New Roman" w:hAnsi="Times New Roman" w:eastAsia="宋体" w:cs="Times New Roman"/>
                      <w:color w:val="auto"/>
                      <w:kern w:val="2"/>
                      <w:sz w:val="21"/>
                      <w:szCs w:val="21"/>
                      <w:highlight w:val="none"/>
                      <w:vertAlign w:val="subscript"/>
                      <w:lang w:val="en-US"/>
                    </w:rPr>
                    <w:t>10</w:t>
                  </w:r>
                </w:p>
              </w:tc>
              <w:tc>
                <w:tcPr>
                  <w:tcW w:w="1855" w:type="pct"/>
                  <w:tcBorders>
                    <w:tl2br w:val="nil"/>
                    <w:tr2bl w:val="nil"/>
                  </w:tcBorders>
                  <w:noWrap w:val="0"/>
                  <w:vAlign w:val="center"/>
                </w:tcPr>
                <w:p w14:paraId="66F9C1DF">
                  <w:pPr>
                    <w:autoSpaceDE w:val="0"/>
                    <w:autoSpaceDN w:val="0"/>
                    <w:adjustRightInd w:val="0"/>
                    <w:spacing w:before="0" w:after="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rPr>
                  </w:pPr>
                  <w:r>
                    <w:rPr>
                      <w:rFonts w:hint="default" w:ascii="Times New Roman" w:hAnsi="Times New Roman" w:eastAsia="宋体" w:cs="Times New Roman"/>
                      <w:color w:val="auto"/>
                      <w:kern w:val="2"/>
                      <w:sz w:val="21"/>
                      <w:szCs w:val="21"/>
                      <w:highlight w:val="none"/>
                      <w:lang w:val="en-US"/>
                    </w:rPr>
                    <w:t>年平均</w:t>
                  </w:r>
                </w:p>
              </w:tc>
              <w:tc>
                <w:tcPr>
                  <w:tcW w:w="697" w:type="pct"/>
                  <w:tcBorders>
                    <w:tl2br w:val="nil"/>
                    <w:tr2bl w:val="nil"/>
                  </w:tcBorders>
                  <w:shd w:val="clear" w:color="auto" w:fill="auto"/>
                  <w:noWrap w:val="0"/>
                  <w:vAlign w:val="center"/>
                </w:tcPr>
                <w:p w14:paraId="6015C158">
                  <w:pPr>
                    <w:autoSpaceDE w:val="0"/>
                    <w:autoSpaceDN w:val="0"/>
                    <w:adjustRightInd w:val="0"/>
                    <w:spacing w:before="0" w:after="0" w:line="240" w:lineRule="auto"/>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rPr>
                    <w:t>29</w:t>
                  </w:r>
                </w:p>
              </w:tc>
              <w:tc>
                <w:tcPr>
                  <w:tcW w:w="697" w:type="pct"/>
                  <w:tcBorders>
                    <w:tl2br w:val="nil"/>
                    <w:tr2bl w:val="nil"/>
                  </w:tcBorders>
                  <w:noWrap w:val="0"/>
                  <w:vAlign w:val="center"/>
                </w:tcPr>
                <w:p w14:paraId="5A7DEBFB">
                  <w:pPr>
                    <w:autoSpaceDE w:val="0"/>
                    <w:autoSpaceDN w:val="0"/>
                    <w:adjustRightInd w:val="0"/>
                    <w:spacing w:before="0" w:after="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rPr>
                  </w:pPr>
                  <w:r>
                    <w:rPr>
                      <w:rFonts w:hint="default" w:ascii="Times New Roman" w:hAnsi="Times New Roman" w:eastAsia="宋体" w:cs="Times New Roman"/>
                      <w:color w:val="auto"/>
                      <w:kern w:val="2"/>
                      <w:sz w:val="21"/>
                      <w:szCs w:val="21"/>
                      <w:highlight w:val="none"/>
                      <w:lang w:val="en-US"/>
                    </w:rPr>
                    <w:t>70</w:t>
                  </w:r>
                </w:p>
              </w:tc>
              <w:tc>
                <w:tcPr>
                  <w:tcW w:w="613" w:type="pct"/>
                  <w:tcBorders>
                    <w:tl2br w:val="nil"/>
                    <w:tr2bl w:val="nil"/>
                  </w:tcBorders>
                  <w:noWrap w:val="0"/>
                  <w:vAlign w:val="center"/>
                </w:tcPr>
                <w:p w14:paraId="50D851BF">
                  <w:pPr>
                    <w:autoSpaceDE w:val="0"/>
                    <w:autoSpaceDN w:val="0"/>
                    <w:adjustRightInd w:val="0"/>
                    <w:spacing w:before="0" w:after="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eastAsia="zh-CN"/>
                    </w:rPr>
                  </w:pPr>
                  <w:r>
                    <w:rPr>
                      <w:rFonts w:hint="default" w:ascii="Times New Roman" w:hAnsi="Times New Roman" w:cs="Times New Roman"/>
                      <w:color w:val="auto"/>
                      <w:kern w:val="2"/>
                      <w:sz w:val="21"/>
                      <w:szCs w:val="21"/>
                      <w:highlight w:val="none"/>
                      <w:lang w:val="en-US" w:eastAsia="zh-CN"/>
                    </w:rPr>
                    <w:t>100</w:t>
                  </w:r>
                </w:p>
              </w:tc>
              <w:tc>
                <w:tcPr>
                  <w:tcW w:w="599" w:type="pct"/>
                  <w:tcBorders>
                    <w:tl2br w:val="nil"/>
                    <w:tr2bl w:val="nil"/>
                  </w:tcBorders>
                  <w:noWrap w:val="0"/>
                  <w:vAlign w:val="top"/>
                </w:tcPr>
                <w:p w14:paraId="042318BD">
                  <w:pPr>
                    <w:autoSpaceDE/>
                    <w:autoSpaceDN/>
                    <w:spacing w:before="0" w:after="0" w:line="240" w:lineRule="auto"/>
                    <w:ind w:left="0" w:right="0" w:firstLine="0" w:firstLineChars="0"/>
                    <w:jc w:val="center"/>
                    <w:rPr>
                      <w:rFonts w:hint="default" w:ascii="Times New Roman" w:hAnsi="Times New Roman" w:eastAsia="宋体" w:cs="Times New Roman"/>
                      <w:color w:val="auto"/>
                      <w:kern w:val="2"/>
                      <w:sz w:val="21"/>
                      <w:szCs w:val="21"/>
                      <w:highlight w:val="yellow"/>
                      <w:lang w:val="en-US"/>
                    </w:rPr>
                  </w:pPr>
                  <w:r>
                    <w:rPr>
                      <w:rFonts w:hint="default" w:ascii="Times New Roman" w:hAnsi="Times New Roman" w:eastAsia="宋体" w:cs="Times New Roman"/>
                      <w:color w:val="auto"/>
                      <w:kern w:val="2"/>
                      <w:sz w:val="21"/>
                      <w:szCs w:val="21"/>
                      <w:highlight w:val="none"/>
                      <w:lang w:val="en-US" w:eastAsia="zh-CN"/>
                    </w:rPr>
                    <w:t>达</w:t>
                  </w:r>
                  <w:r>
                    <w:rPr>
                      <w:rFonts w:hint="default" w:ascii="Times New Roman" w:hAnsi="Times New Roman" w:eastAsia="宋体" w:cs="Times New Roman"/>
                      <w:color w:val="auto"/>
                      <w:kern w:val="2"/>
                      <w:sz w:val="21"/>
                      <w:szCs w:val="21"/>
                      <w:highlight w:val="none"/>
                      <w:lang w:val="en-US"/>
                    </w:rPr>
                    <w:t>标</w:t>
                  </w:r>
                </w:p>
              </w:tc>
            </w:tr>
          </w:tbl>
          <w:p w14:paraId="40C80D6A">
            <w:pPr>
              <w:keepNext w:val="0"/>
              <w:keepLines w:val="0"/>
              <w:pageBreakBefore w:val="0"/>
              <w:widowControl w:val="0"/>
              <w:kinsoku/>
              <w:wordWrap/>
              <w:overflowPunct w:val="0"/>
              <w:topLinePunct w:val="0"/>
              <w:autoSpaceDE/>
              <w:autoSpaceDN/>
              <w:bidi w:val="0"/>
              <w:adjustRightInd w:val="0"/>
              <w:snapToGrid/>
              <w:spacing w:before="157" w:beforeLines="50" w:line="360" w:lineRule="auto"/>
              <w:ind w:firstLine="480" w:firstLineChars="200"/>
              <w:jc w:val="both"/>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根据上表评价结果可知，2024年奇台县PM</w:t>
            </w:r>
            <w:r>
              <w:rPr>
                <w:rFonts w:hint="default" w:ascii="Times New Roman" w:hAnsi="Times New Roman" w:eastAsia="宋体" w:cs="Times New Roman"/>
                <w:color w:val="auto"/>
                <w:sz w:val="24"/>
                <w:szCs w:val="24"/>
                <w:vertAlign w:val="subscript"/>
                <w:lang w:eastAsia="zh-CN"/>
              </w:rPr>
              <w:t>10</w:t>
            </w:r>
            <w:r>
              <w:rPr>
                <w:rFonts w:hint="default" w:ascii="Times New Roman" w:hAnsi="Times New Roman" w:eastAsia="宋体" w:cs="Times New Roman"/>
                <w:color w:val="auto"/>
                <w:sz w:val="24"/>
                <w:szCs w:val="24"/>
                <w:lang w:eastAsia="zh-CN"/>
              </w:rPr>
              <w:t>、PM</w:t>
            </w:r>
            <w:r>
              <w:rPr>
                <w:rFonts w:hint="default" w:ascii="Times New Roman" w:hAnsi="Times New Roman" w:eastAsia="宋体" w:cs="Times New Roman"/>
                <w:color w:val="auto"/>
                <w:sz w:val="24"/>
                <w:szCs w:val="24"/>
                <w:vertAlign w:val="subscript"/>
                <w:lang w:eastAsia="zh-CN"/>
              </w:rPr>
              <w:t>2.5</w:t>
            </w:r>
            <w:r>
              <w:rPr>
                <w:rFonts w:hint="default" w:ascii="Times New Roman" w:hAnsi="Times New Roman" w:eastAsia="宋体" w:cs="Times New Roman"/>
                <w:color w:val="auto"/>
                <w:sz w:val="24"/>
                <w:szCs w:val="24"/>
                <w:lang w:eastAsia="zh-CN"/>
              </w:rPr>
              <w:t>、NO</w:t>
            </w:r>
            <w:r>
              <w:rPr>
                <w:rFonts w:hint="default" w:ascii="Times New Roman" w:hAnsi="Times New Roman" w:eastAsia="宋体" w:cs="Times New Roman"/>
                <w:color w:val="auto"/>
                <w:sz w:val="24"/>
                <w:szCs w:val="24"/>
                <w:vertAlign w:val="subscript"/>
                <w:lang w:eastAsia="zh-CN"/>
              </w:rPr>
              <w:t>2</w:t>
            </w:r>
            <w:r>
              <w:rPr>
                <w:rFonts w:hint="default" w:ascii="Times New Roman" w:hAnsi="Times New Roman" w:eastAsia="宋体" w:cs="Times New Roman"/>
                <w:color w:val="auto"/>
                <w:sz w:val="24"/>
                <w:szCs w:val="24"/>
                <w:lang w:eastAsia="zh-CN"/>
              </w:rPr>
              <w:t>、O</w:t>
            </w:r>
            <w:r>
              <w:rPr>
                <w:rFonts w:hint="default" w:ascii="Times New Roman" w:hAnsi="Times New Roman" w:eastAsia="宋体" w:cs="Times New Roman"/>
                <w:color w:val="auto"/>
                <w:sz w:val="24"/>
                <w:szCs w:val="24"/>
                <w:vertAlign w:val="subscript"/>
                <w:lang w:eastAsia="zh-CN"/>
              </w:rPr>
              <w:t>3</w:t>
            </w:r>
            <w:r>
              <w:rPr>
                <w:rFonts w:hint="default" w:ascii="Times New Roman" w:hAnsi="Times New Roman" w:eastAsia="宋体" w:cs="Times New Roman"/>
                <w:color w:val="auto"/>
                <w:sz w:val="24"/>
                <w:szCs w:val="24"/>
                <w:lang w:eastAsia="zh-CN"/>
              </w:rPr>
              <w:t>、CO、SO</w:t>
            </w:r>
            <w:r>
              <w:rPr>
                <w:rFonts w:hint="default" w:ascii="Times New Roman" w:hAnsi="Times New Roman" w:eastAsia="宋体" w:cs="Times New Roman"/>
                <w:color w:val="auto"/>
                <w:sz w:val="24"/>
                <w:szCs w:val="24"/>
                <w:vertAlign w:val="subscript"/>
                <w:lang w:eastAsia="zh-CN"/>
              </w:rPr>
              <w:t>2</w:t>
            </w:r>
            <w:r>
              <w:rPr>
                <w:rFonts w:hint="default" w:ascii="Times New Roman" w:hAnsi="Times New Roman" w:eastAsia="宋体" w:cs="Times New Roman"/>
                <w:color w:val="auto"/>
                <w:sz w:val="24"/>
                <w:szCs w:val="24"/>
                <w:lang w:eastAsia="zh-CN"/>
              </w:rPr>
              <w:t>指标均</w:t>
            </w:r>
            <w:r>
              <w:rPr>
                <w:rFonts w:hint="default" w:ascii="Times New Roman" w:hAnsi="Times New Roman" w:eastAsia="宋体" w:cs="Times New Roman"/>
                <w:color w:val="auto"/>
                <w:sz w:val="24"/>
                <w:szCs w:val="24"/>
                <w:lang w:val="en-US" w:eastAsia="zh-CN"/>
              </w:rPr>
              <w:t>符合</w:t>
            </w:r>
            <w:r>
              <w:rPr>
                <w:rFonts w:hint="default" w:ascii="Times New Roman" w:hAnsi="Times New Roman" w:eastAsia="宋体" w:cs="Times New Roman"/>
                <w:color w:val="auto"/>
                <w:sz w:val="24"/>
                <w:szCs w:val="24"/>
                <w:lang w:eastAsia="zh-CN"/>
              </w:rPr>
              <w:t>《环境空气质量标准》（GB3095-20</w:t>
            </w:r>
            <w:r>
              <w:rPr>
                <w:rFonts w:hint="default" w:ascii="Times New Roman" w:hAnsi="Times New Roman" w:eastAsia="宋体" w:cs="Times New Roman"/>
                <w:color w:val="auto"/>
                <w:sz w:val="24"/>
                <w:szCs w:val="24"/>
                <w:lang w:val="en-US" w:eastAsia="zh-CN"/>
              </w:rPr>
              <w:t>26</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表1过渡阶段二级浓度限值</w:t>
            </w:r>
            <w:r>
              <w:rPr>
                <w:rFonts w:hint="default" w:ascii="Times New Roman" w:hAnsi="Times New Roman" w:eastAsia="宋体" w:cs="Times New Roman"/>
                <w:color w:val="auto"/>
                <w:sz w:val="24"/>
                <w:szCs w:val="24"/>
                <w:lang w:eastAsia="zh-CN"/>
              </w:rPr>
              <w:t>。根据《环境影响评价技术导则</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lang w:eastAsia="zh-CN"/>
              </w:rPr>
              <w:t>大气环境》（HJ2.2-2018），判定该区域环境空气质量达标区域。</w:t>
            </w:r>
          </w:p>
          <w:p w14:paraId="223368F2">
            <w:pPr>
              <w:keepNext w:val="0"/>
              <w:keepLines w:val="0"/>
              <w:pageBreakBefore w:val="0"/>
              <w:widowControl w:val="0"/>
              <w:numPr>
                <w:ilvl w:val="0"/>
                <w:numId w:val="8"/>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地下水质量现状</w:t>
            </w:r>
          </w:p>
          <w:p w14:paraId="00BF25CC">
            <w:pPr>
              <w:pStyle w:val="39"/>
              <w:keepNext/>
              <w:keepLines/>
              <w:pageBreakBefore w:val="0"/>
              <w:widowControl w:val="0"/>
              <w:kinsoku/>
              <w:wordWrap/>
              <w:overflowPunct w:val="0"/>
              <w:topLinePunct w:val="0"/>
              <w:autoSpaceDE/>
              <w:autoSpaceDN/>
              <w:bidi w:val="0"/>
              <w:adjustRightInd w:val="0"/>
              <w:snapToGrid/>
              <w:spacing w:line="360" w:lineRule="auto"/>
              <w:ind w:firstLine="480" w:firstLineChars="200"/>
              <w:textAlignment w:val="auto"/>
              <w:outlineLvl w:val="9"/>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rPr>
              <w:t>根据《环境影响评价技术导则地下水环境》</w:t>
            </w:r>
            <w:r>
              <w:rPr>
                <w:rFonts w:hint="default" w:ascii="Times New Roman" w:hAnsi="Times New Roman" w:cs="Times New Roman"/>
                <w:b w:val="0"/>
                <w:bCs w:val="0"/>
                <w:color w:val="auto"/>
                <w:sz w:val="24"/>
                <w:lang w:eastAsia="zh-CN"/>
              </w:rPr>
              <w:t>（</w:t>
            </w:r>
            <w:r>
              <w:rPr>
                <w:rFonts w:hint="default" w:ascii="Times New Roman" w:hAnsi="Times New Roman" w:cs="Times New Roman"/>
                <w:b w:val="0"/>
                <w:bCs w:val="0"/>
                <w:color w:val="auto"/>
                <w:sz w:val="24"/>
              </w:rPr>
              <w:t>HJ610-2016</w:t>
            </w:r>
            <w:r>
              <w:rPr>
                <w:rFonts w:hint="default" w:ascii="Times New Roman" w:hAnsi="Times New Roman" w:cs="Times New Roman"/>
                <w:b w:val="0"/>
                <w:bCs w:val="0"/>
                <w:color w:val="auto"/>
                <w:sz w:val="24"/>
                <w:lang w:eastAsia="zh-CN"/>
              </w:rPr>
              <w:t>）</w:t>
            </w:r>
            <w:r>
              <w:rPr>
                <w:rFonts w:hint="default" w:ascii="Times New Roman" w:hAnsi="Times New Roman" w:cs="Times New Roman"/>
                <w:b w:val="0"/>
                <w:bCs w:val="0"/>
                <w:color w:val="auto"/>
                <w:sz w:val="24"/>
              </w:rPr>
              <w:t>，对照导则附录A地下水环境影响评价行业分类表，本项目属于“A水利-2.0灌区工程</w:t>
            </w:r>
            <w:r>
              <w:rPr>
                <w:rFonts w:hint="eastAsia" w:cs="Times New Roman"/>
                <w:b w:val="0"/>
                <w:bCs w:val="0"/>
                <w:color w:val="auto"/>
                <w:sz w:val="24"/>
                <w:lang w:eastAsia="zh-CN"/>
              </w:rPr>
              <w:t>－</w:t>
            </w:r>
            <w:r>
              <w:rPr>
                <w:rFonts w:hint="default" w:ascii="Times New Roman" w:hAnsi="Times New Roman" w:cs="Times New Roman"/>
                <w:b w:val="0"/>
                <w:bCs w:val="0"/>
                <w:color w:val="auto"/>
                <w:sz w:val="24"/>
              </w:rPr>
              <w:t>其他”，属于Ⅳ类项目，故本项目不开展地下水质量现状监测及评价。</w:t>
            </w:r>
          </w:p>
          <w:p w14:paraId="304987A3">
            <w:pPr>
              <w:keepNext w:val="0"/>
              <w:keepLines w:val="0"/>
              <w:pageBreakBefore w:val="0"/>
              <w:widowControl w:val="0"/>
              <w:numPr>
                <w:ilvl w:val="0"/>
                <w:numId w:val="8"/>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地表水环境现状</w:t>
            </w:r>
          </w:p>
          <w:p w14:paraId="2E2889BF">
            <w:pPr>
              <w:pageBreakBefore w:val="0"/>
              <w:widowControl w:val="0"/>
              <w:kinsoku/>
              <w:wordWrap/>
              <w:overflowPunct w:val="0"/>
              <w:topLinePunct w:val="0"/>
              <w:autoSpaceDE/>
              <w:autoSpaceDN/>
              <w:bidi w:val="0"/>
              <w:snapToGrid/>
              <w:spacing w:line="360" w:lineRule="auto"/>
              <w:ind w:firstLine="480" w:firstLineChars="200"/>
              <w:textAlignment w:val="auto"/>
              <w:rPr>
                <w:rFonts w:hint="default" w:ascii="Times New Roman" w:hAnsi="Times New Roman" w:cs="Times New Roman"/>
                <w:color w:val="auto"/>
                <w:sz w:val="24"/>
                <w:szCs w:val="22"/>
              </w:rPr>
            </w:pPr>
            <w:r>
              <w:rPr>
                <w:rFonts w:hint="default" w:ascii="Times New Roman" w:hAnsi="Times New Roman" w:cs="Times New Roman"/>
                <w:color w:val="auto"/>
                <w:sz w:val="24"/>
                <w:szCs w:val="22"/>
              </w:rPr>
              <w:t>根据《环境影响评价技术导则地表水环境》（HJ2.3-2018），本项目不向地表水体排污，因此地表水评价等级为三级B。故不用做地表水现状调查</w:t>
            </w:r>
            <w:r>
              <w:rPr>
                <w:rFonts w:hint="eastAsia" w:cs="Times New Roman"/>
                <w:color w:val="auto"/>
                <w:sz w:val="24"/>
                <w:szCs w:val="22"/>
                <w:lang w:eastAsia="zh-CN"/>
              </w:rPr>
              <w:t>和</w:t>
            </w:r>
            <w:r>
              <w:rPr>
                <w:rFonts w:hint="default" w:ascii="Times New Roman" w:hAnsi="Times New Roman" w:cs="Times New Roman"/>
                <w:color w:val="auto"/>
                <w:sz w:val="24"/>
                <w:szCs w:val="22"/>
              </w:rPr>
              <w:t>评价。</w:t>
            </w:r>
          </w:p>
          <w:p w14:paraId="628C07D8">
            <w:pPr>
              <w:pageBreakBefore w:val="0"/>
              <w:widowControl w:val="0"/>
              <w:kinsoku/>
              <w:wordWrap/>
              <w:overflowPunct w:val="0"/>
              <w:topLinePunct w:val="0"/>
              <w:autoSpaceDE/>
              <w:autoSpaceDN/>
              <w:bidi w:val="0"/>
              <w:snapToGrid/>
              <w:spacing w:line="360" w:lineRule="auto"/>
              <w:ind w:firstLine="480" w:firstLineChars="200"/>
              <w:textAlignment w:val="auto"/>
              <w:rPr>
                <w:rFonts w:hint="default" w:ascii="Times New Roman" w:hAnsi="Times New Roman" w:cs="Times New Roman"/>
                <w:color w:val="auto"/>
                <w:sz w:val="24"/>
                <w:szCs w:val="22"/>
                <w:lang w:val="en-US" w:eastAsia="zh-CN"/>
              </w:rPr>
            </w:pPr>
            <w:r>
              <w:rPr>
                <w:rFonts w:hint="default" w:ascii="Times New Roman" w:hAnsi="Times New Roman" w:cs="Times New Roman"/>
                <w:color w:val="auto"/>
                <w:sz w:val="24"/>
                <w:szCs w:val="22"/>
                <w:lang w:val="en-US" w:eastAsia="zh-CN"/>
              </w:rPr>
              <w:t>为掌握开垦河河水水质状况，本次依据昌吉州生态环境局奇台县分局发布的《奇台县2026年一季度水环境污染防治进展情况》（）污染源监测成果进行分析。</w:t>
            </w:r>
            <w:r>
              <w:rPr>
                <w:rFonts w:hint="eastAsia" w:cs="Times New Roman"/>
                <w:color w:val="auto"/>
                <w:sz w:val="24"/>
                <w:szCs w:val="22"/>
                <w:lang w:val="en-US" w:eastAsia="zh-CN"/>
              </w:rPr>
              <w:t>监测数据</w:t>
            </w:r>
            <w:r>
              <w:rPr>
                <w:rFonts w:hint="default" w:ascii="Times New Roman" w:hAnsi="Times New Roman" w:cs="Times New Roman"/>
                <w:color w:val="auto"/>
                <w:sz w:val="24"/>
                <w:szCs w:val="22"/>
                <w:lang w:val="en-US" w:eastAsia="zh-CN"/>
              </w:rPr>
              <w:t>表明，开垦河河水水质符合《地表水环境质量标准》（GB3838-2002）Ⅲ类标准限值要求。</w:t>
            </w:r>
          </w:p>
          <w:p w14:paraId="38184B82">
            <w:pPr>
              <w:keepNext w:val="0"/>
              <w:keepLines w:val="0"/>
              <w:pageBreakBefore w:val="0"/>
              <w:widowControl w:val="0"/>
              <w:numPr>
                <w:ilvl w:val="0"/>
                <w:numId w:val="8"/>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声环境质量现状</w:t>
            </w:r>
          </w:p>
          <w:p w14:paraId="560CA3A3">
            <w:pPr>
              <w:pageBreakBefore w:val="0"/>
              <w:widowControl w:val="0"/>
              <w:kinsoku/>
              <w:wordWrap/>
              <w:overflowPunct w:val="0"/>
              <w:topLinePunct w:val="0"/>
              <w:autoSpaceDE/>
              <w:autoSpaceDN/>
              <w:bidi w:val="0"/>
              <w:snapToGrid/>
              <w:spacing w:line="360" w:lineRule="auto"/>
              <w:ind w:firstLine="480" w:firstLineChars="200"/>
              <w:textAlignment w:val="auto"/>
              <w:rPr>
                <w:rFonts w:hint="default" w:ascii="Times New Roman" w:hAnsi="Times New Roman" w:cs="Times New Roman"/>
                <w:color w:val="auto"/>
                <w:sz w:val="24"/>
                <w:szCs w:val="22"/>
              </w:rPr>
            </w:pPr>
            <w:r>
              <w:rPr>
                <w:rFonts w:hint="default" w:ascii="Times New Roman" w:hAnsi="Times New Roman" w:cs="Times New Roman"/>
                <w:color w:val="auto"/>
                <w:sz w:val="24"/>
                <w:szCs w:val="22"/>
              </w:rPr>
              <w:t>项目位于昌吉回族自治州奇台县境内，项目施工边界50m范围内分布有居民，其为集中的居民分布区，属于环境敏感点，因此，本次项目选取了</w:t>
            </w:r>
            <w:r>
              <w:rPr>
                <w:rFonts w:hint="eastAsia" w:cs="Times New Roman"/>
                <w:color w:val="auto"/>
                <w:sz w:val="24"/>
                <w:szCs w:val="22"/>
                <w:lang w:val="en-US" w:eastAsia="zh-CN"/>
              </w:rPr>
              <w:t>4</w:t>
            </w:r>
            <w:r>
              <w:rPr>
                <w:rFonts w:hint="default" w:ascii="Times New Roman" w:hAnsi="Times New Roman" w:cs="Times New Roman"/>
                <w:color w:val="auto"/>
                <w:sz w:val="24"/>
                <w:szCs w:val="22"/>
              </w:rPr>
              <w:t>处距离项目最近的区域进行现状监测。本次声环境质量现状评价</w:t>
            </w:r>
            <w:r>
              <w:rPr>
                <w:rFonts w:hint="default" w:ascii="Times New Roman" w:hAnsi="Times New Roman" w:cs="Times New Roman"/>
                <w:color w:val="auto"/>
                <w:sz w:val="24"/>
                <w:szCs w:val="22"/>
                <w:highlight w:val="none"/>
              </w:rPr>
              <w:t>委托新疆</w:t>
            </w:r>
            <w:r>
              <w:rPr>
                <w:rFonts w:hint="eastAsia" w:cs="Times New Roman"/>
                <w:color w:val="auto"/>
                <w:sz w:val="24"/>
                <w:szCs w:val="22"/>
                <w:highlight w:val="none"/>
                <w:lang w:val="en-US" w:eastAsia="zh-CN"/>
              </w:rPr>
              <w:t>合普联科</w:t>
            </w:r>
            <w:r>
              <w:rPr>
                <w:rFonts w:hint="default" w:ascii="Times New Roman" w:hAnsi="Times New Roman" w:cs="Times New Roman"/>
                <w:color w:val="auto"/>
                <w:sz w:val="24"/>
                <w:szCs w:val="22"/>
                <w:highlight w:val="none"/>
              </w:rPr>
              <w:t>检测技术</w:t>
            </w:r>
            <w:r>
              <w:rPr>
                <w:rFonts w:hint="eastAsia" w:cs="Times New Roman"/>
                <w:color w:val="auto"/>
                <w:sz w:val="24"/>
                <w:szCs w:val="22"/>
                <w:highlight w:val="none"/>
                <w:lang w:val="en-US" w:eastAsia="zh-CN"/>
              </w:rPr>
              <w:t>研究院（</w:t>
            </w:r>
            <w:r>
              <w:rPr>
                <w:rFonts w:hint="default" w:ascii="Times New Roman" w:hAnsi="Times New Roman" w:cs="Times New Roman"/>
                <w:color w:val="auto"/>
                <w:sz w:val="24"/>
                <w:szCs w:val="22"/>
                <w:highlight w:val="none"/>
              </w:rPr>
              <w:t>有限公司</w:t>
            </w:r>
            <w:r>
              <w:rPr>
                <w:rFonts w:hint="eastAsia" w:cs="Times New Roman"/>
                <w:color w:val="auto"/>
                <w:sz w:val="24"/>
                <w:szCs w:val="22"/>
                <w:highlight w:val="none"/>
                <w:lang w:val="en-US" w:eastAsia="zh-CN"/>
              </w:rPr>
              <w:t>）</w:t>
            </w:r>
            <w:r>
              <w:rPr>
                <w:rFonts w:hint="default" w:ascii="Times New Roman" w:hAnsi="Times New Roman" w:cs="Times New Roman"/>
                <w:color w:val="auto"/>
                <w:sz w:val="24"/>
                <w:szCs w:val="22"/>
                <w:highlight w:val="none"/>
              </w:rPr>
              <w:t>于202</w:t>
            </w:r>
            <w:r>
              <w:rPr>
                <w:rFonts w:hint="eastAsia" w:cs="Times New Roman"/>
                <w:color w:val="auto"/>
                <w:sz w:val="24"/>
                <w:szCs w:val="22"/>
                <w:highlight w:val="none"/>
                <w:lang w:val="en-US" w:eastAsia="zh-CN"/>
              </w:rPr>
              <w:t>6</w:t>
            </w:r>
            <w:r>
              <w:rPr>
                <w:rFonts w:hint="default" w:ascii="Times New Roman" w:hAnsi="Times New Roman" w:cs="Times New Roman"/>
                <w:color w:val="auto"/>
                <w:sz w:val="24"/>
                <w:szCs w:val="22"/>
                <w:highlight w:val="none"/>
              </w:rPr>
              <w:t>年</w:t>
            </w:r>
            <w:r>
              <w:rPr>
                <w:rFonts w:hint="eastAsia" w:cs="Times New Roman"/>
                <w:color w:val="auto"/>
                <w:sz w:val="24"/>
                <w:szCs w:val="22"/>
                <w:highlight w:val="none"/>
                <w:lang w:val="en-US" w:eastAsia="zh-CN"/>
              </w:rPr>
              <w:t>5</w:t>
            </w:r>
            <w:r>
              <w:rPr>
                <w:rFonts w:hint="default" w:ascii="Times New Roman" w:hAnsi="Times New Roman" w:cs="Times New Roman"/>
                <w:color w:val="auto"/>
                <w:sz w:val="24"/>
                <w:szCs w:val="22"/>
                <w:highlight w:val="none"/>
              </w:rPr>
              <w:t>月</w:t>
            </w:r>
            <w:r>
              <w:rPr>
                <w:rFonts w:hint="eastAsia" w:cs="Times New Roman"/>
                <w:color w:val="auto"/>
                <w:sz w:val="24"/>
                <w:szCs w:val="22"/>
                <w:highlight w:val="none"/>
                <w:lang w:val="en-US" w:eastAsia="zh-CN"/>
              </w:rPr>
              <w:t>2</w:t>
            </w:r>
            <w:r>
              <w:rPr>
                <w:rFonts w:hint="default" w:ascii="Times New Roman" w:hAnsi="Times New Roman" w:cs="Times New Roman"/>
                <w:color w:val="auto"/>
                <w:sz w:val="24"/>
                <w:szCs w:val="22"/>
                <w:highlight w:val="none"/>
              </w:rPr>
              <w:t>日对本项</w:t>
            </w:r>
            <w:r>
              <w:rPr>
                <w:rFonts w:hint="default" w:ascii="Times New Roman" w:hAnsi="Times New Roman" w:cs="Times New Roman"/>
                <w:color w:val="auto"/>
                <w:sz w:val="24"/>
                <w:szCs w:val="22"/>
              </w:rPr>
              <w:t>目周边50m范围内的声环境保护目标进行了噪声实测，共设置了</w:t>
            </w:r>
            <w:r>
              <w:rPr>
                <w:rFonts w:hint="eastAsia" w:cs="Times New Roman"/>
                <w:color w:val="auto"/>
                <w:sz w:val="24"/>
                <w:szCs w:val="22"/>
                <w:lang w:val="en-US" w:eastAsia="zh-CN"/>
              </w:rPr>
              <w:t>4</w:t>
            </w:r>
            <w:r>
              <w:rPr>
                <w:rFonts w:hint="default" w:ascii="Times New Roman" w:hAnsi="Times New Roman" w:cs="Times New Roman"/>
                <w:color w:val="auto"/>
                <w:sz w:val="24"/>
                <w:szCs w:val="22"/>
              </w:rPr>
              <w:t>个环境噪声监测点，</w:t>
            </w:r>
            <w:r>
              <w:rPr>
                <w:rFonts w:hint="default" w:ascii="Times New Roman" w:hAnsi="Times New Roman" w:cs="Times New Roman"/>
                <w:color w:val="auto"/>
                <w:sz w:val="24"/>
                <w:szCs w:val="22"/>
                <w:lang w:val="en-US" w:eastAsia="zh-CN"/>
              </w:rPr>
              <w:t>用于说明项目区声环境质量现状</w:t>
            </w:r>
            <w:r>
              <w:rPr>
                <w:rFonts w:hint="eastAsia" w:cs="Times New Roman"/>
                <w:color w:val="auto"/>
                <w:sz w:val="24"/>
                <w:szCs w:val="22"/>
                <w:lang w:val="en-US" w:eastAsia="zh-CN"/>
              </w:rPr>
              <w:t>。</w:t>
            </w:r>
          </w:p>
          <w:p w14:paraId="6578F90D">
            <w:pPr>
              <w:widowControl w:val="0"/>
              <w:spacing w:line="440" w:lineRule="exact"/>
              <w:ind w:firstLine="0" w:firstLineChars="0"/>
              <w:jc w:val="center"/>
              <w:textAlignment w:val="baseline"/>
              <w:rPr>
                <w:rFonts w:hint="default" w:ascii="Times New Roman" w:hAnsi="Times New Roman" w:eastAsia="宋体" w:cs="Times New Roman"/>
                <w:b/>
                <w:bCs w:val="0"/>
                <w:snapToGrid w:val="0"/>
                <w:color w:val="auto"/>
                <w:kern w:val="2"/>
                <w:sz w:val="24"/>
                <w:szCs w:val="24"/>
                <w:lang w:val="en-US" w:eastAsia="zh-CN" w:bidi="ar-SA"/>
              </w:rPr>
            </w:pPr>
            <w:r>
              <w:rPr>
                <w:rFonts w:hint="eastAsia" w:ascii="Times New Roman" w:hAnsi="Times New Roman" w:eastAsia="宋体" w:cs="Times New Roman"/>
                <w:b/>
                <w:bCs w:val="0"/>
                <w:snapToGrid w:val="0"/>
                <w:color w:val="auto"/>
                <w:kern w:val="2"/>
                <w:sz w:val="24"/>
                <w:szCs w:val="24"/>
                <w:lang w:val="en-US" w:eastAsia="zh-CN" w:bidi="ar-SA"/>
              </w:rPr>
              <w:t>表3-</w:t>
            </w:r>
            <w:r>
              <w:rPr>
                <w:rFonts w:hint="eastAsia" w:cs="Times New Roman"/>
                <w:b/>
                <w:bCs w:val="0"/>
                <w:snapToGrid w:val="0"/>
                <w:color w:val="auto"/>
                <w:kern w:val="2"/>
                <w:sz w:val="24"/>
                <w:szCs w:val="24"/>
                <w:lang w:val="en-US" w:eastAsia="zh-CN" w:bidi="ar-SA"/>
              </w:rPr>
              <w:t>3</w:t>
            </w:r>
            <w:r>
              <w:rPr>
                <w:rFonts w:hint="eastAsia" w:ascii="宋体" w:hAnsi="宋体" w:cs="Times New Roman"/>
                <w:b/>
                <w:bCs/>
                <w:color w:val="auto"/>
                <w:kern w:val="2"/>
                <w:sz w:val="24"/>
                <w:szCs w:val="21"/>
                <w:highlight w:val="none"/>
                <w:lang w:val="en-US" w:eastAsia="zh-CN" w:bidi="ar-SA"/>
              </w:rPr>
              <w:t>噪声</w:t>
            </w:r>
            <w:r>
              <w:rPr>
                <w:rFonts w:hint="eastAsia" w:ascii="宋体" w:hAnsi="宋体" w:eastAsia="宋体" w:cs="Times New Roman"/>
                <w:b/>
                <w:bCs/>
                <w:color w:val="auto"/>
                <w:kern w:val="2"/>
                <w:sz w:val="24"/>
                <w:szCs w:val="21"/>
                <w:highlight w:val="none"/>
                <w:lang w:val="en-US" w:eastAsia="zh-CN" w:bidi="ar-SA"/>
              </w:rPr>
              <w:t>监测</w:t>
            </w:r>
            <w:r>
              <w:rPr>
                <w:rFonts w:hint="eastAsia" w:ascii="宋体" w:hAnsi="宋体" w:cs="Times New Roman"/>
                <w:b/>
                <w:bCs/>
                <w:color w:val="auto"/>
                <w:kern w:val="2"/>
                <w:sz w:val="24"/>
                <w:szCs w:val="21"/>
                <w:highlight w:val="none"/>
                <w:lang w:val="en-US" w:eastAsia="zh-CN" w:bidi="ar-SA"/>
              </w:rPr>
              <w:t>点位</w:t>
            </w:r>
          </w:p>
          <w:tbl>
            <w:tblPr>
              <w:tblStyle w:val="3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4"/>
              <w:gridCol w:w="2566"/>
              <w:gridCol w:w="2053"/>
              <w:gridCol w:w="2085"/>
            </w:tblGrid>
            <w:tr w14:paraId="6E923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29" w:type="pct"/>
                  <w:vAlign w:val="center"/>
                </w:tcPr>
                <w:p w14:paraId="640D9FDE">
                  <w:pPr>
                    <w:widowControl w:val="0"/>
                    <w:jc w:val="center"/>
                    <w:rPr>
                      <w:rFonts w:hint="default" w:ascii="Times New Roman" w:hAnsi="Times New Roman" w:eastAsia="宋体" w:cs="Times New Roman"/>
                      <w:b/>
                      <w:bCs/>
                      <w:color w:val="auto"/>
                      <w:kern w:val="2"/>
                      <w:sz w:val="21"/>
                      <w:szCs w:val="24"/>
                      <w:vertAlign w:val="baseline"/>
                      <w:lang w:val="en-US" w:eastAsia="zh-CN" w:bidi="ar-SA"/>
                    </w:rPr>
                  </w:pPr>
                  <w:r>
                    <w:rPr>
                      <w:rFonts w:hint="eastAsia" w:cs="Times New Roman"/>
                      <w:b/>
                      <w:bCs/>
                      <w:color w:val="auto"/>
                      <w:kern w:val="2"/>
                      <w:sz w:val="21"/>
                      <w:szCs w:val="24"/>
                      <w:vertAlign w:val="baseline"/>
                      <w:lang w:val="en-US" w:eastAsia="zh-CN" w:bidi="ar-SA"/>
                    </w:rPr>
                    <w:t>监测因子</w:t>
                  </w:r>
                </w:p>
              </w:tc>
              <w:tc>
                <w:tcPr>
                  <w:tcW w:w="1634" w:type="pct"/>
                  <w:vAlign w:val="center"/>
                </w:tcPr>
                <w:p w14:paraId="572B6B8B">
                  <w:pPr>
                    <w:widowControl w:val="0"/>
                    <w:jc w:val="center"/>
                    <w:rPr>
                      <w:rFonts w:hint="default" w:ascii="Times New Roman" w:hAnsi="Times New Roman" w:eastAsia="宋体" w:cs="Times New Roman"/>
                      <w:b/>
                      <w:bCs/>
                      <w:color w:val="auto"/>
                      <w:kern w:val="2"/>
                      <w:sz w:val="21"/>
                      <w:szCs w:val="24"/>
                      <w:vertAlign w:val="baseline"/>
                      <w:lang w:val="en-US" w:eastAsia="zh-CN" w:bidi="ar-SA"/>
                    </w:rPr>
                  </w:pPr>
                  <w:r>
                    <w:rPr>
                      <w:rFonts w:hint="eastAsia" w:cs="Times New Roman"/>
                      <w:b/>
                      <w:bCs/>
                      <w:color w:val="auto"/>
                      <w:kern w:val="2"/>
                      <w:sz w:val="21"/>
                      <w:szCs w:val="24"/>
                      <w:vertAlign w:val="baseline"/>
                      <w:lang w:val="en-US" w:eastAsia="zh-CN" w:bidi="ar-SA"/>
                    </w:rPr>
                    <w:t>监测点</w:t>
                  </w:r>
                </w:p>
              </w:tc>
              <w:tc>
                <w:tcPr>
                  <w:tcW w:w="1308" w:type="pct"/>
                  <w:vAlign w:val="center"/>
                </w:tcPr>
                <w:p w14:paraId="050B83C3">
                  <w:pPr>
                    <w:widowControl w:val="0"/>
                    <w:jc w:val="center"/>
                    <w:rPr>
                      <w:rFonts w:hint="default" w:ascii="Times New Roman" w:hAnsi="Times New Roman" w:eastAsia="宋体" w:cs="Times New Roman"/>
                      <w:b/>
                      <w:bCs/>
                      <w:color w:val="auto"/>
                      <w:kern w:val="2"/>
                      <w:sz w:val="21"/>
                      <w:szCs w:val="24"/>
                      <w:vertAlign w:val="baseline"/>
                      <w:lang w:val="en-US" w:eastAsia="zh-CN" w:bidi="ar-SA"/>
                    </w:rPr>
                  </w:pPr>
                  <w:r>
                    <w:rPr>
                      <w:rFonts w:hint="eastAsia" w:cs="Times New Roman"/>
                      <w:b/>
                      <w:bCs/>
                      <w:color w:val="auto"/>
                      <w:kern w:val="2"/>
                      <w:sz w:val="21"/>
                      <w:szCs w:val="24"/>
                      <w:vertAlign w:val="baseline"/>
                      <w:lang w:val="en-US" w:eastAsia="zh-CN" w:bidi="ar-SA"/>
                    </w:rPr>
                    <w:t>昼间</w:t>
                  </w:r>
                </w:p>
              </w:tc>
              <w:tc>
                <w:tcPr>
                  <w:tcW w:w="1327" w:type="pct"/>
                  <w:vAlign w:val="center"/>
                </w:tcPr>
                <w:p w14:paraId="3E4C96FD">
                  <w:pPr>
                    <w:widowControl w:val="0"/>
                    <w:jc w:val="center"/>
                    <w:rPr>
                      <w:rFonts w:hint="default" w:ascii="Times New Roman" w:hAnsi="Times New Roman" w:eastAsia="宋体" w:cs="Times New Roman"/>
                      <w:b/>
                      <w:bCs/>
                      <w:color w:val="auto"/>
                      <w:kern w:val="2"/>
                      <w:sz w:val="21"/>
                      <w:szCs w:val="24"/>
                      <w:vertAlign w:val="baseline"/>
                      <w:lang w:val="en-US" w:eastAsia="zh-CN" w:bidi="ar-SA"/>
                    </w:rPr>
                  </w:pPr>
                  <w:r>
                    <w:rPr>
                      <w:rFonts w:hint="eastAsia" w:cs="Times New Roman"/>
                      <w:b/>
                      <w:bCs/>
                      <w:color w:val="auto"/>
                      <w:kern w:val="2"/>
                      <w:sz w:val="21"/>
                      <w:szCs w:val="24"/>
                      <w:vertAlign w:val="baseline"/>
                      <w:lang w:val="en-US" w:eastAsia="zh-CN" w:bidi="ar-SA"/>
                    </w:rPr>
                    <w:t>夜间</w:t>
                  </w:r>
                </w:p>
              </w:tc>
            </w:tr>
            <w:tr w14:paraId="6EB11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29" w:type="pct"/>
                  <w:vMerge w:val="restart"/>
                  <w:vAlign w:val="center"/>
                </w:tcPr>
                <w:p w14:paraId="1DCCB739">
                  <w:pPr>
                    <w:widowControl w:val="0"/>
                    <w:jc w:val="center"/>
                    <w:rPr>
                      <w:rFonts w:hint="default" w:ascii="Times New Roman" w:hAnsi="Times New Roman" w:eastAsia="宋体" w:cs="Times New Roman"/>
                      <w:color w:val="auto"/>
                      <w:kern w:val="2"/>
                      <w:sz w:val="21"/>
                      <w:szCs w:val="24"/>
                      <w:vertAlign w:val="baseline"/>
                      <w:lang w:val="en-US" w:eastAsia="zh-CN" w:bidi="ar-SA"/>
                    </w:rPr>
                  </w:pPr>
                  <w:r>
                    <w:rPr>
                      <w:rFonts w:hint="eastAsia" w:cs="Times New Roman"/>
                      <w:color w:val="auto"/>
                      <w:kern w:val="2"/>
                      <w:sz w:val="21"/>
                      <w:szCs w:val="24"/>
                      <w:vertAlign w:val="baseline"/>
                      <w:lang w:val="en-US" w:eastAsia="zh-CN" w:bidi="ar-SA"/>
                    </w:rPr>
                    <w:t>噪声</w:t>
                  </w:r>
                </w:p>
              </w:tc>
              <w:tc>
                <w:tcPr>
                  <w:tcW w:w="1634" w:type="pct"/>
                  <w:vAlign w:val="center"/>
                </w:tcPr>
                <w:p w14:paraId="15F78DF6">
                  <w:pPr>
                    <w:widowControl w:val="0"/>
                    <w:jc w:val="center"/>
                    <w:rPr>
                      <w:rFonts w:hint="default" w:ascii="Times New Roman" w:hAnsi="Times New Roman" w:eastAsia="宋体" w:cs="Times New Roman"/>
                      <w:color w:val="auto"/>
                      <w:kern w:val="2"/>
                      <w:sz w:val="21"/>
                      <w:szCs w:val="24"/>
                      <w:vertAlign w:val="baseline"/>
                      <w:lang w:val="en-US" w:eastAsia="zh-CN" w:bidi="ar-SA"/>
                    </w:rPr>
                  </w:pPr>
                  <w:r>
                    <w:rPr>
                      <w:rFonts w:hint="eastAsia" w:cs="Times New Roman"/>
                      <w:color w:val="auto"/>
                      <w:kern w:val="2"/>
                      <w:sz w:val="21"/>
                      <w:szCs w:val="24"/>
                      <w:vertAlign w:val="baseline"/>
                      <w:lang w:val="en-US" w:eastAsia="zh-CN" w:bidi="ar-SA"/>
                    </w:rPr>
                    <w:t>1#</w:t>
                  </w:r>
                </w:p>
              </w:tc>
              <w:tc>
                <w:tcPr>
                  <w:tcW w:w="1308" w:type="pct"/>
                  <w:vAlign w:val="center"/>
                </w:tcPr>
                <w:p w14:paraId="588AD524">
                  <w:pPr>
                    <w:widowControl w:val="0"/>
                    <w:jc w:val="center"/>
                    <w:rPr>
                      <w:rFonts w:hint="default" w:ascii="Times New Roman" w:hAnsi="Times New Roman" w:eastAsia="宋体" w:cs="Times New Roman"/>
                      <w:color w:val="auto"/>
                      <w:kern w:val="2"/>
                      <w:sz w:val="21"/>
                      <w:szCs w:val="24"/>
                      <w:vertAlign w:val="baseline"/>
                      <w:lang w:val="en-US" w:eastAsia="zh-CN" w:bidi="ar-SA"/>
                    </w:rPr>
                  </w:pPr>
                  <w:r>
                    <w:rPr>
                      <w:rFonts w:hint="eastAsia" w:cs="Times New Roman"/>
                      <w:color w:val="auto"/>
                      <w:kern w:val="2"/>
                      <w:sz w:val="21"/>
                      <w:szCs w:val="24"/>
                      <w:vertAlign w:val="baseline"/>
                      <w:lang w:val="en-US" w:eastAsia="zh-CN" w:bidi="ar-SA"/>
                    </w:rPr>
                    <w:t>42</w:t>
                  </w:r>
                </w:p>
              </w:tc>
              <w:tc>
                <w:tcPr>
                  <w:tcW w:w="1327" w:type="pct"/>
                  <w:vAlign w:val="center"/>
                </w:tcPr>
                <w:p w14:paraId="7817CA83">
                  <w:pPr>
                    <w:widowControl w:val="0"/>
                    <w:jc w:val="center"/>
                    <w:rPr>
                      <w:rFonts w:hint="default" w:ascii="Times New Roman" w:hAnsi="Times New Roman" w:eastAsia="宋体" w:cs="Times New Roman"/>
                      <w:color w:val="auto"/>
                      <w:kern w:val="2"/>
                      <w:sz w:val="21"/>
                      <w:szCs w:val="24"/>
                      <w:vertAlign w:val="baseline"/>
                      <w:lang w:val="en-US" w:eastAsia="zh-CN" w:bidi="ar-SA"/>
                    </w:rPr>
                  </w:pPr>
                  <w:r>
                    <w:rPr>
                      <w:rFonts w:hint="eastAsia" w:cs="Times New Roman"/>
                      <w:color w:val="auto"/>
                      <w:kern w:val="2"/>
                      <w:sz w:val="21"/>
                      <w:szCs w:val="24"/>
                      <w:vertAlign w:val="baseline"/>
                      <w:lang w:val="en-US" w:eastAsia="zh-CN" w:bidi="ar-SA"/>
                    </w:rPr>
                    <w:t>40</w:t>
                  </w:r>
                </w:p>
              </w:tc>
            </w:tr>
            <w:tr w14:paraId="1931F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pct"/>
                  <w:vMerge w:val="continue"/>
                  <w:vAlign w:val="center"/>
                </w:tcPr>
                <w:p w14:paraId="05617D23">
                  <w:pPr>
                    <w:widowControl w:val="0"/>
                    <w:jc w:val="center"/>
                    <w:rPr>
                      <w:rFonts w:hint="default" w:ascii="Times New Roman" w:hAnsi="Times New Roman" w:eastAsia="宋体" w:cs="Times New Roman"/>
                      <w:color w:val="auto"/>
                      <w:kern w:val="2"/>
                      <w:sz w:val="21"/>
                      <w:szCs w:val="24"/>
                      <w:vertAlign w:val="baseline"/>
                      <w:lang w:val="en-US" w:eastAsia="zh-CN" w:bidi="ar-SA"/>
                    </w:rPr>
                  </w:pPr>
                </w:p>
              </w:tc>
              <w:tc>
                <w:tcPr>
                  <w:tcW w:w="1634" w:type="pct"/>
                  <w:vAlign w:val="center"/>
                </w:tcPr>
                <w:p w14:paraId="7965CA71">
                  <w:pPr>
                    <w:widowControl w:val="0"/>
                    <w:jc w:val="center"/>
                    <w:rPr>
                      <w:rFonts w:hint="default" w:ascii="Times New Roman" w:hAnsi="Times New Roman" w:eastAsia="宋体" w:cs="Times New Roman"/>
                      <w:color w:val="auto"/>
                      <w:kern w:val="2"/>
                      <w:sz w:val="21"/>
                      <w:szCs w:val="24"/>
                      <w:vertAlign w:val="baseline"/>
                      <w:lang w:val="en-US" w:eastAsia="zh-CN" w:bidi="ar-SA"/>
                    </w:rPr>
                  </w:pPr>
                  <w:r>
                    <w:rPr>
                      <w:rFonts w:hint="eastAsia" w:cs="Times New Roman"/>
                      <w:color w:val="auto"/>
                      <w:kern w:val="2"/>
                      <w:sz w:val="21"/>
                      <w:szCs w:val="24"/>
                      <w:vertAlign w:val="baseline"/>
                      <w:lang w:val="en-US" w:eastAsia="zh-CN" w:bidi="ar-SA"/>
                    </w:rPr>
                    <w:t>2#</w:t>
                  </w:r>
                </w:p>
              </w:tc>
              <w:tc>
                <w:tcPr>
                  <w:tcW w:w="1308" w:type="pct"/>
                  <w:vAlign w:val="center"/>
                </w:tcPr>
                <w:p w14:paraId="797BFD40">
                  <w:pPr>
                    <w:widowControl w:val="0"/>
                    <w:jc w:val="center"/>
                    <w:rPr>
                      <w:rFonts w:hint="default" w:ascii="Times New Roman" w:hAnsi="Times New Roman" w:eastAsia="宋体" w:cs="Times New Roman"/>
                      <w:color w:val="auto"/>
                      <w:kern w:val="2"/>
                      <w:sz w:val="21"/>
                      <w:szCs w:val="24"/>
                      <w:vertAlign w:val="baseline"/>
                      <w:lang w:val="en-US" w:eastAsia="zh-CN" w:bidi="ar-SA"/>
                    </w:rPr>
                  </w:pPr>
                  <w:r>
                    <w:rPr>
                      <w:rFonts w:hint="eastAsia" w:cs="Times New Roman"/>
                      <w:color w:val="auto"/>
                      <w:kern w:val="2"/>
                      <w:sz w:val="21"/>
                      <w:szCs w:val="24"/>
                      <w:vertAlign w:val="baseline"/>
                      <w:lang w:val="en-US" w:eastAsia="zh-CN" w:bidi="ar-SA"/>
                    </w:rPr>
                    <w:t>41</w:t>
                  </w:r>
                </w:p>
              </w:tc>
              <w:tc>
                <w:tcPr>
                  <w:tcW w:w="1327" w:type="pct"/>
                  <w:vAlign w:val="center"/>
                </w:tcPr>
                <w:p w14:paraId="4A4B6059">
                  <w:pPr>
                    <w:widowControl w:val="0"/>
                    <w:jc w:val="center"/>
                    <w:rPr>
                      <w:rFonts w:hint="default" w:ascii="Times New Roman" w:hAnsi="Times New Roman" w:eastAsia="宋体" w:cs="Times New Roman"/>
                      <w:color w:val="auto"/>
                      <w:kern w:val="2"/>
                      <w:sz w:val="21"/>
                      <w:szCs w:val="24"/>
                      <w:vertAlign w:val="baseline"/>
                      <w:lang w:val="en-US" w:eastAsia="zh-CN" w:bidi="ar-SA"/>
                    </w:rPr>
                  </w:pPr>
                  <w:r>
                    <w:rPr>
                      <w:rFonts w:hint="eastAsia" w:cs="Times New Roman"/>
                      <w:color w:val="auto"/>
                      <w:kern w:val="2"/>
                      <w:sz w:val="21"/>
                      <w:szCs w:val="24"/>
                      <w:vertAlign w:val="baseline"/>
                      <w:lang w:val="en-US" w:eastAsia="zh-CN" w:bidi="ar-SA"/>
                    </w:rPr>
                    <w:t>41</w:t>
                  </w:r>
                </w:p>
              </w:tc>
            </w:tr>
            <w:tr w14:paraId="72D90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pct"/>
                  <w:vMerge w:val="continue"/>
                  <w:vAlign w:val="center"/>
                </w:tcPr>
                <w:p w14:paraId="0ED26856">
                  <w:pPr>
                    <w:widowControl w:val="0"/>
                    <w:jc w:val="center"/>
                    <w:rPr>
                      <w:rFonts w:hint="default" w:ascii="Times New Roman" w:hAnsi="Times New Roman" w:eastAsia="宋体" w:cs="Times New Roman"/>
                      <w:color w:val="auto"/>
                      <w:kern w:val="2"/>
                      <w:sz w:val="21"/>
                      <w:szCs w:val="24"/>
                      <w:vertAlign w:val="baseline"/>
                      <w:lang w:val="en-US" w:eastAsia="zh-CN" w:bidi="ar-SA"/>
                    </w:rPr>
                  </w:pPr>
                </w:p>
              </w:tc>
              <w:tc>
                <w:tcPr>
                  <w:tcW w:w="1634" w:type="pct"/>
                  <w:vAlign w:val="center"/>
                </w:tcPr>
                <w:p w14:paraId="6A16DC66">
                  <w:pPr>
                    <w:widowControl w:val="0"/>
                    <w:jc w:val="center"/>
                    <w:rPr>
                      <w:rFonts w:hint="default" w:ascii="Times New Roman" w:hAnsi="Times New Roman" w:eastAsia="宋体" w:cs="Times New Roman"/>
                      <w:color w:val="auto"/>
                      <w:kern w:val="2"/>
                      <w:sz w:val="21"/>
                      <w:szCs w:val="24"/>
                      <w:vertAlign w:val="baseline"/>
                      <w:lang w:val="en-US" w:eastAsia="zh-CN" w:bidi="ar-SA"/>
                    </w:rPr>
                  </w:pPr>
                  <w:r>
                    <w:rPr>
                      <w:rFonts w:hint="eastAsia" w:cs="Times New Roman"/>
                      <w:color w:val="auto"/>
                      <w:kern w:val="2"/>
                      <w:sz w:val="21"/>
                      <w:szCs w:val="24"/>
                      <w:vertAlign w:val="baseline"/>
                      <w:lang w:val="en-US" w:eastAsia="zh-CN" w:bidi="ar-SA"/>
                    </w:rPr>
                    <w:t>3#</w:t>
                  </w:r>
                </w:p>
              </w:tc>
              <w:tc>
                <w:tcPr>
                  <w:tcW w:w="1308" w:type="pct"/>
                  <w:vAlign w:val="center"/>
                </w:tcPr>
                <w:p w14:paraId="5C4F5B53">
                  <w:pPr>
                    <w:widowControl w:val="0"/>
                    <w:jc w:val="center"/>
                    <w:rPr>
                      <w:rFonts w:hint="default" w:ascii="Times New Roman" w:hAnsi="Times New Roman" w:eastAsia="宋体" w:cs="Times New Roman"/>
                      <w:color w:val="auto"/>
                      <w:kern w:val="2"/>
                      <w:sz w:val="21"/>
                      <w:szCs w:val="24"/>
                      <w:vertAlign w:val="baseline"/>
                      <w:lang w:val="en-US" w:eastAsia="zh-CN" w:bidi="ar-SA"/>
                    </w:rPr>
                  </w:pPr>
                  <w:r>
                    <w:rPr>
                      <w:rFonts w:hint="eastAsia" w:cs="Times New Roman"/>
                      <w:color w:val="auto"/>
                      <w:kern w:val="2"/>
                      <w:sz w:val="21"/>
                      <w:szCs w:val="24"/>
                      <w:vertAlign w:val="baseline"/>
                      <w:lang w:val="en-US" w:eastAsia="zh-CN" w:bidi="ar-SA"/>
                    </w:rPr>
                    <w:t>44</w:t>
                  </w:r>
                </w:p>
              </w:tc>
              <w:tc>
                <w:tcPr>
                  <w:tcW w:w="1327" w:type="pct"/>
                  <w:vAlign w:val="center"/>
                </w:tcPr>
                <w:p w14:paraId="76F9E04D">
                  <w:pPr>
                    <w:widowControl w:val="0"/>
                    <w:jc w:val="center"/>
                    <w:rPr>
                      <w:rFonts w:hint="default" w:ascii="Times New Roman" w:hAnsi="Times New Roman" w:eastAsia="宋体" w:cs="Times New Roman"/>
                      <w:color w:val="auto"/>
                      <w:kern w:val="2"/>
                      <w:sz w:val="21"/>
                      <w:szCs w:val="24"/>
                      <w:vertAlign w:val="baseline"/>
                      <w:lang w:val="en-US" w:eastAsia="zh-CN" w:bidi="ar-SA"/>
                    </w:rPr>
                  </w:pPr>
                  <w:r>
                    <w:rPr>
                      <w:rFonts w:hint="eastAsia" w:cs="Times New Roman"/>
                      <w:color w:val="auto"/>
                      <w:kern w:val="2"/>
                      <w:sz w:val="21"/>
                      <w:szCs w:val="24"/>
                      <w:vertAlign w:val="baseline"/>
                      <w:lang w:val="en-US" w:eastAsia="zh-CN" w:bidi="ar-SA"/>
                    </w:rPr>
                    <w:t>40</w:t>
                  </w:r>
                </w:p>
              </w:tc>
            </w:tr>
            <w:tr w14:paraId="6577E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pct"/>
                  <w:vMerge w:val="continue"/>
                  <w:vAlign w:val="center"/>
                </w:tcPr>
                <w:p w14:paraId="508BD27F">
                  <w:pPr>
                    <w:widowControl w:val="0"/>
                    <w:jc w:val="center"/>
                    <w:rPr>
                      <w:rFonts w:hint="default" w:ascii="Times New Roman" w:hAnsi="Times New Roman" w:eastAsia="宋体" w:cs="Times New Roman"/>
                      <w:color w:val="auto"/>
                      <w:kern w:val="2"/>
                      <w:sz w:val="21"/>
                      <w:szCs w:val="24"/>
                      <w:vertAlign w:val="baseline"/>
                      <w:lang w:val="en-US" w:eastAsia="zh-CN" w:bidi="ar-SA"/>
                    </w:rPr>
                  </w:pPr>
                </w:p>
              </w:tc>
              <w:tc>
                <w:tcPr>
                  <w:tcW w:w="1634" w:type="pct"/>
                  <w:vAlign w:val="center"/>
                </w:tcPr>
                <w:p w14:paraId="7483C4EF">
                  <w:pPr>
                    <w:widowControl w:val="0"/>
                    <w:jc w:val="center"/>
                    <w:rPr>
                      <w:rFonts w:hint="default" w:ascii="Times New Roman" w:hAnsi="Times New Roman" w:eastAsia="宋体" w:cs="Times New Roman"/>
                      <w:color w:val="auto"/>
                      <w:kern w:val="2"/>
                      <w:sz w:val="21"/>
                      <w:szCs w:val="24"/>
                      <w:vertAlign w:val="baseline"/>
                      <w:lang w:val="en-US" w:eastAsia="zh-CN" w:bidi="ar-SA"/>
                    </w:rPr>
                  </w:pPr>
                  <w:r>
                    <w:rPr>
                      <w:rFonts w:hint="default" w:ascii="Times New Roman" w:hAnsi="Times New Roman" w:eastAsia="宋体" w:cs="Times New Roman"/>
                      <w:color w:val="auto"/>
                      <w:kern w:val="2"/>
                      <w:sz w:val="21"/>
                      <w:szCs w:val="24"/>
                      <w:vertAlign w:val="baseline"/>
                      <w:lang w:val="en-US" w:eastAsia="zh-CN" w:bidi="ar-SA"/>
                    </w:rPr>
                    <w:t>奇台农场（八道滩）二十六连连队管理委员会</w:t>
                  </w:r>
                </w:p>
              </w:tc>
              <w:tc>
                <w:tcPr>
                  <w:tcW w:w="1308" w:type="pct"/>
                  <w:vAlign w:val="center"/>
                </w:tcPr>
                <w:p w14:paraId="5AEA1B40">
                  <w:pPr>
                    <w:widowControl w:val="0"/>
                    <w:jc w:val="center"/>
                    <w:rPr>
                      <w:rFonts w:hint="default" w:ascii="Times New Roman" w:hAnsi="Times New Roman" w:eastAsia="宋体" w:cs="Times New Roman"/>
                      <w:color w:val="auto"/>
                      <w:kern w:val="2"/>
                      <w:sz w:val="21"/>
                      <w:szCs w:val="24"/>
                      <w:vertAlign w:val="baseline"/>
                      <w:lang w:val="en-US" w:eastAsia="zh-CN" w:bidi="ar-SA"/>
                    </w:rPr>
                  </w:pPr>
                  <w:r>
                    <w:rPr>
                      <w:rFonts w:hint="eastAsia" w:cs="Times New Roman"/>
                      <w:color w:val="auto"/>
                      <w:kern w:val="2"/>
                      <w:sz w:val="21"/>
                      <w:szCs w:val="24"/>
                      <w:vertAlign w:val="baseline"/>
                      <w:lang w:val="en-US" w:eastAsia="zh-CN" w:bidi="ar-SA"/>
                    </w:rPr>
                    <w:t>46</w:t>
                  </w:r>
                </w:p>
              </w:tc>
              <w:tc>
                <w:tcPr>
                  <w:tcW w:w="1327" w:type="pct"/>
                  <w:vAlign w:val="center"/>
                </w:tcPr>
                <w:p w14:paraId="5F56D5C0">
                  <w:pPr>
                    <w:widowControl w:val="0"/>
                    <w:jc w:val="center"/>
                    <w:rPr>
                      <w:rFonts w:hint="default" w:ascii="Times New Roman" w:hAnsi="Times New Roman" w:eastAsia="宋体" w:cs="Times New Roman"/>
                      <w:color w:val="auto"/>
                      <w:kern w:val="2"/>
                      <w:sz w:val="21"/>
                      <w:szCs w:val="24"/>
                      <w:vertAlign w:val="baseline"/>
                      <w:lang w:val="en-US" w:eastAsia="zh-CN" w:bidi="ar-SA"/>
                    </w:rPr>
                  </w:pPr>
                  <w:r>
                    <w:rPr>
                      <w:rFonts w:hint="eastAsia" w:cs="Times New Roman"/>
                      <w:color w:val="auto"/>
                      <w:kern w:val="2"/>
                      <w:sz w:val="21"/>
                      <w:szCs w:val="24"/>
                      <w:vertAlign w:val="baseline"/>
                      <w:lang w:val="en-US" w:eastAsia="zh-CN" w:bidi="ar-SA"/>
                    </w:rPr>
                    <w:t>42</w:t>
                  </w:r>
                </w:p>
              </w:tc>
            </w:tr>
            <w:tr w14:paraId="77010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64" w:type="pct"/>
                  <w:gridSpan w:val="2"/>
                  <w:vAlign w:val="center"/>
                </w:tcPr>
                <w:p w14:paraId="5910D3FC">
                  <w:pPr>
                    <w:widowControl w:val="0"/>
                    <w:jc w:val="center"/>
                    <w:rPr>
                      <w:rFonts w:hint="default" w:ascii="Times New Roman" w:hAnsi="Times New Roman" w:eastAsia="宋体" w:cs="Times New Roman"/>
                      <w:color w:val="auto"/>
                      <w:kern w:val="2"/>
                      <w:sz w:val="21"/>
                      <w:szCs w:val="24"/>
                      <w:vertAlign w:val="baseline"/>
                      <w:lang w:val="en-US" w:eastAsia="zh-CN" w:bidi="ar-SA"/>
                    </w:rPr>
                  </w:pPr>
                  <w:r>
                    <w:rPr>
                      <w:rFonts w:hint="eastAsia" w:cs="Times New Roman"/>
                      <w:color w:val="auto"/>
                      <w:kern w:val="2"/>
                      <w:sz w:val="21"/>
                      <w:szCs w:val="24"/>
                      <w:vertAlign w:val="baseline"/>
                      <w:lang w:val="en-US" w:eastAsia="zh-CN" w:bidi="ar-SA"/>
                    </w:rPr>
                    <w:t>标准值</w:t>
                  </w:r>
                </w:p>
              </w:tc>
              <w:tc>
                <w:tcPr>
                  <w:tcW w:w="1308" w:type="pct"/>
                  <w:vAlign w:val="center"/>
                </w:tcPr>
                <w:p w14:paraId="0976644B">
                  <w:pPr>
                    <w:widowControl w:val="0"/>
                    <w:jc w:val="center"/>
                    <w:rPr>
                      <w:rFonts w:hint="default" w:ascii="Times New Roman" w:hAnsi="Times New Roman" w:eastAsia="宋体" w:cs="Times New Roman"/>
                      <w:color w:val="auto"/>
                      <w:kern w:val="2"/>
                      <w:sz w:val="21"/>
                      <w:szCs w:val="24"/>
                      <w:vertAlign w:val="baseline"/>
                      <w:lang w:val="en-US" w:eastAsia="zh-CN" w:bidi="ar-SA"/>
                    </w:rPr>
                  </w:pPr>
                  <w:r>
                    <w:rPr>
                      <w:rFonts w:hint="eastAsia" w:cs="Times New Roman"/>
                      <w:color w:val="auto"/>
                      <w:kern w:val="2"/>
                      <w:sz w:val="21"/>
                      <w:szCs w:val="24"/>
                      <w:vertAlign w:val="baseline"/>
                      <w:lang w:val="en-US" w:eastAsia="zh-CN" w:bidi="ar-SA"/>
                    </w:rPr>
                    <w:t>55</w:t>
                  </w:r>
                </w:p>
              </w:tc>
              <w:tc>
                <w:tcPr>
                  <w:tcW w:w="1327" w:type="pct"/>
                  <w:vAlign w:val="center"/>
                </w:tcPr>
                <w:p w14:paraId="36D6FD4A">
                  <w:pPr>
                    <w:widowControl w:val="0"/>
                    <w:jc w:val="center"/>
                    <w:rPr>
                      <w:rFonts w:hint="default" w:ascii="Times New Roman" w:hAnsi="Times New Roman" w:eastAsia="宋体" w:cs="Times New Roman"/>
                      <w:color w:val="auto"/>
                      <w:kern w:val="2"/>
                      <w:sz w:val="21"/>
                      <w:szCs w:val="24"/>
                      <w:vertAlign w:val="baseline"/>
                      <w:lang w:val="en-US" w:eastAsia="zh-CN" w:bidi="ar-SA"/>
                    </w:rPr>
                  </w:pPr>
                  <w:r>
                    <w:rPr>
                      <w:rFonts w:hint="eastAsia" w:cs="Times New Roman"/>
                      <w:color w:val="auto"/>
                      <w:kern w:val="2"/>
                      <w:sz w:val="21"/>
                      <w:szCs w:val="24"/>
                      <w:vertAlign w:val="baseline"/>
                      <w:lang w:val="en-US" w:eastAsia="zh-CN" w:bidi="ar-SA"/>
                    </w:rPr>
                    <w:t>45</w:t>
                  </w:r>
                </w:p>
              </w:tc>
            </w:tr>
            <w:tr w14:paraId="70707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64" w:type="pct"/>
                  <w:gridSpan w:val="2"/>
                  <w:vAlign w:val="center"/>
                </w:tcPr>
                <w:p w14:paraId="2F264603">
                  <w:pPr>
                    <w:widowControl w:val="0"/>
                    <w:jc w:val="center"/>
                    <w:rPr>
                      <w:rFonts w:hint="default" w:ascii="Times New Roman" w:hAnsi="Times New Roman" w:eastAsia="宋体" w:cs="Times New Roman"/>
                      <w:color w:val="auto"/>
                      <w:kern w:val="2"/>
                      <w:sz w:val="21"/>
                      <w:szCs w:val="24"/>
                      <w:vertAlign w:val="baseline"/>
                      <w:lang w:val="en-US" w:eastAsia="zh-CN" w:bidi="ar-SA"/>
                    </w:rPr>
                  </w:pPr>
                  <w:r>
                    <w:rPr>
                      <w:rFonts w:hint="eastAsia" w:cs="Times New Roman"/>
                      <w:color w:val="auto"/>
                      <w:kern w:val="2"/>
                      <w:sz w:val="21"/>
                      <w:szCs w:val="24"/>
                      <w:vertAlign w:val="baseline"/>
                      <w:lang w:val="en-US" w:eastAsia="zh-CN" w:bidi="ar-SA"/>
                    </w:rPr>
                    <w:t>评价</w:t>
                  </w:r>
                </w:p>
              </w:tc>
              <w:tc>
                <w:tcPr>
                  <w:tcW w:w="1308" w:type="pct"/>
                  <w:vAlign w:val="center"/>
                </w:tcPr>
                <w:p w14:paraId="355C2026">
                  <w:pPr>
                    <w:widowControl w:val="0"/>
                    <w:jc w:val="center"/>
                    <w:rPr>
                      <w:rFonts w:hint="default" w:ascii="Times New Roman" w:hAnsi="Times New Roman" w:eastAsia="宋体" w:cs="Times New Roman"/>
                      <w:color w:val="auto"/>
                      <w:kern w:val="2"/>
                      <w:sz w:val="21"/>
                      <w:szCs w:val="24"/>
                      <w:vertAlign w:val="baseline"/>
                      <w:lang w:val="en-US" w:eastAsia="zh-CN" w:bidi="ar-SA"/>
                    </w:rPr>
                  </w:pPr>
                  <w:r>
                    <w:rPr>
                      <w:rFonts w:hint="eastAsia" w:cs="Times New Roman"/>
                      <w:color w:val="auto"/>
                      <w:kern w:val="2"/>
                      <w:sz w:val="21"/>
                      <w:szCs w:val="24"/>
                      <w:vertAlign w:val="baseline"/>
                      <w:lang w:val="en-US" w:eastAsia="zh-CN" w:bidi="ar-SA"/>
                    </w:rPr>
                    <w:t>达标</w:t>
                  </w:r>
                </w:p>
              </w:tc>
              <w:tc>
                <w:tcPr>
                  <w:tcW w:w="1327" w:type="pct"/>
                  <w:vAlign w:val="center"/>
                </w:tcPr>
                <w:p w14:paraId="35FEB779">
                  <w:pPr>
                    <w:widowControl w:val="0"/>
                    <w:jc w:val="center"/>
                    <w:rPr>
                      <w:rFonts w:hint="default" w:ascii="Times New Roman" w:hAnsi="Times New Roman" w:eastAsia="宋体" w:cs="Times New Roman"/>
                      <w:color w:val="auto"/>
                      <w:kern w:val="2"/>
                      <w:sz w:val="21"/>
                      <w:szCs w:val="24"/>
                      <w:vertAlign w:val="baseline"/>
                      <w:lang w:val="en-US" w:eastAsia="zh-CN" w:bidi="ar-SA"/>
                    </w:rPr>
                  </w:pPr>
                  <w:r>
                    <w:rPr>
                      <w:rFonts w:hint="default" w:ascii="Times New Roman" w:hAnsi="Times New Roman" w:eastAsia="宋体" w:cs="Times New Roman"/>
                      <w:color w:val="auto"/>
                      <w:kern w:val="2"/>
                      <w:sz w:val="21"/>
                      <w:szCs w:val="24"/>
                      <w:vertAlign w:val="baseline"/>
                      <w:lang w:val="en-US" w:eastAsia="zh-CN" w:bidi="ar-SA"/>
                    </w:rPr>
                    <w:t>达标</w:t>
                  </w:r>
                </w:p>
              </w:tc>
            </w:tr>
            <w:tr w14:paraId="44910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vAlign w:val="center"/>
                </w:tcPr>
                <w:p w14:paraId="16AA9491">
                  <w:pPr>
                    <w:widowControl w:val="0"/>
                    <w:jc w:val="left"/>
                    <w:rPr>
                      <w:rFonts w:hint="default" w:ascii="Times New Roman" w:hAnsi="Times New Roman" w:eastAsia="宋体" w:cs="Times New Roman"/>
                      <w:color w:val="auto"/>
                      <w:kern w:val="2"/>
                      <w:sz w:val="21"/>
                      <w:szCs w:val="24"/>
                      <w:vertAlign w:val="baseline"/>
                      <w:lang w:val="en-US" w:eastAsia="zh-CN" w:bidi="ar-SA"/>
                    </w:rPr>
                  </w:pPr>
                  <w:r>
                    <w:rPr>
                      <w:rFonts w:hint="default" w:ascii="Times New Roman" w:hAnsi="Times New Roman" w:eastAsia="宋体" w:cs="Times New Roman"/>
                      <w:color w:val="auto"/>
                      <w:kern w:val="2"/>
                      <w:sz w:val="21"/>
                      <w:szCs w:val="24"/>
                      <w:vertAlign w:val="baseline"/>
                      <w:lang w:val="en-US" w:eastAsia="zh-CN" w:bidi="ar-SA"/>
                    </w:rPr>
                    <w:t>执行标准：《声环境质量标准》（GB3096-2008）中的1类标准</w:t>
                  </w:r>
                </w:p>
              </w:tc>
            </w:tr>
          </w:tbl>
          <w:p w14:paraId="1C9C67E3">
            <w:pPr>
              <w:pStyle w:val="39"/>
              <w:pageBreakBefore w:val="0"/>
              <w:widowControl w:val="0"/>
              <w:kinsoku/>
              <w:wordWrap/>
              <w:overflowPunct w:val="0"/>
              <w:topLinePunct w:val="0"/>
              <w:autoSpaceDE/>
              <w:autoSpaceDN/>
              <w:bidi w:val="0"/>
              <w:snapToGrid/>
              <w:spacing w:line="360" w:lineRule="auto"/>
              <w:ind w:firstLine="480" w:firstLineChars="200"/>
              <w:textAlignment w:val="auto"/>
              <w:outlineLvl w:val="9"/>
              <w:rPr>
                <w:rFonts w:hint="default"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根据监测结果可知</w:t>
            </w:r>
            <w:r>
              <w:rPr>
                <w:rFonts w:hint="eastAsia" w:cs="Times New Roman"/>
                <w:b w:val="0"/>
                <w:bCs w:val="0"/>
                <w:color w:val="auto"/>
                <w:sz w:val="24"/>
                <w:lang w:val="en-US" w:eastAsia="zh-CN"/>
              </w:rPr>
              <w:t>，</w:t>
            </w:r>
            <w:r>
              <w:rPr>
                <w:rFonts w:hint="eastAsia" w:ascii="Times New Roman" w:hAnsi="Times New Roman" w:eastAsia="宋体" w:cs="Times New Roman"/>
                <w:b w:val="0"/>
                <w:bCs w:val="0"/>
                <w:color w:val="auto"/>
                <w:sz w:val="24"/>
                <w:lang w:val="en-US" w:eastAsia="zh-CN"/>
              </w:rPr>
              <w:t>居民区昼夜间声环境质量现状监测值符合《声环境质量标准》（GB3096-2008）中的1类标准限值要求。</w:t>
            </w:r>
          </w:p>
          <w:p w14:paraId="4E29ECA4">
            <w:pPr>
              <w:keepNext w:val="0"/>
              <w:keepLines w:val="0"/>
              <w:pageBreakBefore w:val="0"/>
              <w:widowControl w:val="0"/>
              <w:numPr>
                <w:ilvl w:val="0"/>
                <w:numId w:val="8"/>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土壤质量现状</w:t>
            </w:r>
          </w:p>
          <w:p w14:paraId="48C2FE31">
            <w:pPr>
              <w:pStyle w:val="39"/>
              <w:pageBreakBefore w:val="0"/>
              <w:widowControl w:val="0"/>
              <w:kinsoku/>
              <w:wordWrap/>
              <w:overflowPunct w:val="0"/>
              <w:topLinePunct w:val="0"/>
              <w:autoSpaceDE/>
              <w:autoSpaceDN/>
              <w:bidi w:val="0"/>
              <w:snapToGrid/>
              <w:spacing w:line="360" w:lineRule="auto"/>
              <w:ind w:firstLine="480" w:firstLineChars="200"/>
              <w:textAlignment w:val="auto"/>
              <w:outlineLvl w:val="9"/>
              <w:rPr>
                <w:rFonts w:hint="default" w:ascii="Times New Roman" w:hAnsi="Times New Roman" w:cs="Times New Roman"/>
                <w:b w:val="0"/>
                <w:bCs w:val="0"/>
                <w:color w:val="auto"/>
                <w:sz w:val="24"/>
                <w:lang w:val="en-US" w:eastAsia="zh-CN"/>
              </w:rPr>
            </w:pPr>
            <w:r>
              <w:rPr>
                <w:rFonts w:hint="default" w:ascii="Times New Roman" w:hAnsi="Times New Roman" w:cs="Times New Roman"/>
                <w:b w:val="0"/>
                <w:bCs w:val="0"/>
                <w:color w:val="auto"/>
                <w:sz w:val="24"/>
                <w:lang w:val="en-US" w:eastAsia="zh-CN"/>
              </w:rPr>
              <w:t>根据《环境影响评价技术导则土壤环境（试行）》（HJ964-2018）附录A土壤环境影响评价行业分类表，本项目行业类别为“水利，其他”，土壤环境影响评价项目类别属于Ⅲ类项目，根据第三次全国土壤普查（2022—2025）昌吉州国家级汇总成果，项目区位于昌吉州奇台县，属中温带大陆性干旱气候，干燥度K=3.0～7.0，为重度干旱区；土壤类型以棕钙土、灰漠土、轻度盐渍土为主，pH8.0～8.8，呈弱碱性；渠道沿线地形平坦，地下水埋深1～2.5m，存在次生盐渍化风险。根据《环境影响评价技术导则土壤环境（试行）》（HJ964-2018）的生态影响型敏感程度分级表，可知项目土壤环境敏感程度判定为较敏感。评价等级为三级。</w:t>
            </w:r>
          </w:p>
          <w:p w14:paraId="50B80023">
            <w:pPr>
              <w:pStyle w:val="39"/>
              <w:pageBreakBefore w:val="0"/>
              <w:widowControl w:val="0"/>
              <w:kinsoku/>
              <w:wordWrap/>
              <w:overflowPunct w:val="0"/>
              <w:topLinePunct w:val="0"/>
              <w:autoSpaceDE/>
              <w:autoSpaceDN/>
              <w:bidi w:val="0"/>
              <w:snapToGrid/>
              <w:spacing w:line="360" w:lineRule="auto"/>
              <w:ind w:firstLine="480" w:firstLineChars="200"/>
              <w:textAlignment w:val="auto"/>
              <w:outlineLvl w:val="9"/>
              <w:rPr>
                <w:rFonts w:hint="default" w:ascii="Times New Roman" w:hAnsi="Times New Roman" w:cs="Times New Roman"/>
                <w:color w:val="auto"/>
                <w:kern w:val="0"/>
                <w:sz w:val="24"/>
              </w:rPr>
            </w:pPr>
            <w:r>
              <w:rPr>
                <w:rFonts w:hint="default" w:ascii="Times New Roman" w:hAnsi="Times New Roman" w:cs="Times New Roman"/>
                <w:b w:val="0"/>
                <w:bCs w:val="0"/>
                <w:color w:val="auto"/>
                <w:sz w:val="24"/>
                <w:lang w:val="en-US" w:eastAsia="zh-CN"/>
              </w:rPr>
              <w:t>根据第三次全国土壤普查（2022—2025）昌吉州国家级汇总成果及其数据显示，项目区土壤环境质量问题主要为土壤盐泽化。</w:t>
            </w:r>
          </w:p>
        </w:tc>
      </w:tr>
      <w:tr w14:paraId="428FE0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323" w:type="pct"/>
            <w:noWrap w:val="0"/>
            <w:vAlign w:val="center"/>
          </w:tcPr>
          <w:p w14:paraId="6D80B48B">
            <w:pPr>
              <w:adjustRightInd w:val="0"/>
              <w:snapToGrid w:val="0"/>
              <w:jc w:val="center"/>
              <w:rPr>
                <w:rFonts w:hint="default" w:ascii="Times New Roman" w:hAnsi="Times New Roman" w:cs="Times New Roman"/>
                <w:color w:val="auto"/>
                <w:kern w:val="0"/>
                <w:sz w:val="24"/>
              </w:rPr>
            </w:pPr>
            <w:r>
              <w:rPr>
                <w:rFonts w:hint="default" w:ascii="Times New Roman" w:hAnsi="Times New Roman" w:cs="Times New Roman"/>
                <w:bCs/>
                <w:color w:val="auto"/>
                <w:sz w:val="24"/>
              </w:rPr>
              <w:t>与项目有关的原有环境污染和生态破坏问题</w:t>
            </w:r>
          </w:p>
        </w:tc>
        <w:tc>
          <w:tcPr>
            <w:tcW w:w="4676" w:type="pct"/>
            <w:noWrap w:val="0"/>
            <w:vAlign w:val="center"/>
          </w:tcPr>
          <w:p w14:paraId="3AECE531">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eastAsia" w:cs="Times New Roman"/>
                <w:color w:val="auto"/>
                <w:kern w:val="0"/>
                <w:sz w:val="24"/>
                <w:szCs w:val="24"/>
                <w:highlight w:val="none"/>
                <w:lang w:val="en-US" w:eastAsia="zh-CN"/>
              </w:rPr>
              <w:t>（1）渠道现状</w:t>
            </w:r>
          </w:p>
          <w:p w14:paraId="6B017D80">
            <w:pPr>
              <w:adjustRightInd w:val="0"/>
              <w:snapToGrid w:val="0"/>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老奇台镇老干渠原为开垦河灌区重要输水渠道，自东塘水库建成投运后，开垦河水源通过东干渠、东塘水库引水渠进入水库调蓄，再经水库放水渠向灌区供水，老干渠因此逐步停用并丧失原有灌溉功能。当前东塘水库即将实施除险加固工程，而下游老奇台镇灌区仅依靠东塘水库单一水源供水，无其他备用水源。为保障水库除险加固期间灌区正常灌溉用水，需对已停用的老干渠进行提升改造，恢复其输水能力，使其在水库施工期间承担应急供水任务，实现老干渠再次启用，切实保障灌区灌溉用水安全。</w:t>
            </w:r>
          </w:p>
          <w:p w14:paraId="265C09C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老奇台镇老干渠0+000~0+718段渠道为梯形断面结构，两侧采用浆砌石衬砌，表面整体保持完整，渠底为干砌灌浆卵石，厚度30</w:t>
            </w:r>
            <w:r>
              <w:rPr>
                <w:rFonts w:hint="eastAsia" w:cs="Times New Roman"/>
                <w:color w:val="auto"/>
                <w:kern w:val="0"/>
                <w:sz w:val="24"/>
                <w:szCs w:val="24"/>
                <w:highlight w:val="none"/>
                <w:lang w:val="en-US" w:eastAsia="zh-CN"/>
              </w:rPr>
              <w:t>～</w:t>
            </w:r>
            <w:r>
              <w:rPr>
                <w:rFonts w:hint="default" w:ascii="Times New Roman" w:hAnsi="Times New Roman" w:eastAsia="宋体" w:cs="Times New Roman"/>
                <w:color w:val="auto"/>
                <w:kern w:val="0"/>
                <w:sz w:val="24"/>
                <w:szCs w:val="24"/>
                <w:highlight w:val="none"/>
                <w:lang w:val="en-US" w:eastAsia="zh-CN"/>
              </w:rPr>
              <w:t>40cm，渠底宽度4.5m。现状渠道断面边坡结构完好，仅渠底灌浆被水流冲蚀殆尽，引发渗漏。</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09"/>
              <w:gridCol w:w="3942"/>
            </w:tblGrid>
            <w:tr w14:paraId="11F6A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3877" w:type="dxa"/>
                </w:tcPr>
                <w:p w14:paraId="35779D1F">
                  <w:pPr>
                    <w:pStyle w:val="22"/>
                    <w:rPr>
                      <w:rFonts w:hint="default"/>
                      <w:color w:val="auto"/>
                      <w:vertAlign w:val="baseline"/>
                      <w:lang w:val="en-US" w:eastAsia="zh-CN"/>
                    </w:rPr>
                  </w:pPr>
                  <w:r>
                    <w:rPr>
                      <w:rFonts w:hint="default"/>
                      <w:color w:val="auto"/>
                      <w:lang w:val="en-US" w:eastAsia="zh-CN"/>
                    </w:rPr>
                    <w:drawing>
                      <wp:inline distT="0" distB="0" distL="114300" distR="114300">
                        <wp:extent cx="2372360" cy="1877695"/>
                        <wp:effectExtent l="0" t="0" r="254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0"/>
                                <a:stretch>
                                  <a:fillRect/>
                                </a:stretch>
                              </pic:blipFill>
                              <pic:spPr>
                                <a:xfrm>
                                  <a:off x="0" y="0"/>
                                  <a:ext cx="2372360" cy="1877695"/>
                                </a:xfrm>
                                <a:prstGeom prst="rect">
                                  <a:avLst/>
                                </a:prstGeom>
                                <a:noFill/>
                                <a:ln>
                                  <a:noFill/>
                                </a:ln>
                              </pic:spPr>
                            </pic:pic>
                          </a:graphicData>
                        </a:graphic>
                      </wp:inline>
                    </w:drawing>
                  </w:r>
                </w:p>
              </w:tc>
              <w:tc>
                <w:tcPr>
                  <w:tcW w:w="3877" w:type="dxa"/>
                </w:tcPr>
                <w:p w14:paraId="0FB0803B">
                  <w:pPr>
                    <w:pStyle w:val="22"/>
                    <w:rPr>
                      <w:rFonts w:hint="default"/>
                      <w:color w:val="auto"/>
                      <w:vertAlign w:val="baseline"/>
                      <w:lang w:val="en-US" w:eastAsia="zh-CN"/>
                    </w:rPr>
                  </w:pPr>
                  <w:r>
                    <w:rPr>
                      <w:rFonts w:hint="default"/>
                      <w:color w:val="auto"/>
                      <w:lang w:val="en-US" w:eastAsia="zh-CN"/>
                    </w:rPr>
                    <w:drawing>
                      <wp:inline distT="0" distB="0" distL="114300" distR="114300">
                        <wp:extent cx="2390775" cy="1855470"/>
                        <wp:effectExtent l="0" t="0" r="5715" b="12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1"/>
                                <a:stretch>
                                  <a:fillRect/>
                                </a:stretch>
                              </pic:blipFill>
                              <pic:spPr>
                                <a:xfrm>
                                  <a:off x="0" y="0"/>
                                  <a:ext cx="2390775" cy="1855470"/>
                                </a:xfrm>
                                <a:prstGeom prst="rect">
                                  <a:avLst/>
                                </a:prstGeom>
                                <a:noFill/>
                                <a:ln>
                                  <a:noFill/>
                                </a:ln>
                              </pic:spPr>
                            </pic:pic>
                          </a:graphicData>
                        </a:graphic>
                      </wp:inline>
                    </w:drawing>
                  </w:r>
                </w:p>
              </w:tc>
            </w:tr>
            <w:tr w14:paraId="7F5E8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77" w:type="dxa"/>
                </w:tcPr>
                <w:p w14:paraId="4C75531B">
                  <w:pPr>
                    <w:widowControl w:val="0"/>
                    <w:spacing w:line="440" w:lineRule="exact"/>
                    <w:ind w:firstLine="0" w:firstLineChars="0"/>
                    <w:jc w:val="center"/>
                    <w:textAlignment w:val="baseline"/>
                    <w:rPr>
                      <w:rFonts w:hint="default" w:ascii="Times New Roman" w:hAnsi="Times New Roman" w:eastAsia="宋体" w:cs="Times New Roman"/>
                      <w:b/>
                      <w:bCs w:val="0"/>
                      <w:snapToGrid w:val="0"/>
                      <w:color w:val="auto"/>
                      <w:kern w:val="2"/>
                      <w:sz w:val="21"/>
                      <w:szCs w:val="21"/>
                      <w:lang w:val="en-US" w:eastAsia="zh-CN" w:bidi="ar-SA"/>
                    </w:rPr>
                  </w:pPr>
                  <w:r>
                    <w:rPr>
                      <w:rFonts w:hint="default" w:ascii="Times New Roman" w:hAnsi="Times New Roman" w:eastAsia="宋体" w:cs="Times New Roman"/>
                      <w:b/>
                      <w:bCs w:val="0"/>
                      <w:snapToGrid w:val="0"/>
                      <w:color w:val="auto"/>
                      <w:kern w:val="2"/>
                      <w:sz w:val="21"/>
                      <w:szCs w:val="21"/>
                      <w:lang w:val="en-US" w:eastAsia="zh-CN" w:bidi="ar-SA"/>
                    </w:rPr>
                    <w:t>老奇台老干渠0+050</w:t>
                  </w:r>
                </w:p>
              </w:tc>
              <w:tc>
                <w:tcPr>
                  <w:tcW w:w="3877" w:type="dxa"/>
                </w:tcPr>
                <w:p w14:paraId="7E8BB327">
                  <w:pPr>
                    <w:widowControl w:val="0"/>
                    <w:spacing w:line="440" w:lineRule="exact"/>
                    <w:ind w:firstLine="0" w:firstLineChars="0"/>
                    <w:jc w:val="center"/>
                    <w:textAlignment w:val="baseline"/>
                    <w:rPr>
                      <w:rFonts w:hint="default" w:ascii="Times New Roman" w:hAnsi="Times New Roman" w:eastAsia="宋体" w:cs="Times New Roman"/>
                      <w:b/>
                      <w:bCs w:val="0"/>
                      <w:snapToGrid w:val="0"/>
                      <w:color w:val="auto"/>
                      <w:kern w:val="2"/>
                      <w:sz w:val="21"/>
                      <w:szCs w:val="21"/>
                      <w:lang w:val="en-US" w:eastAsia="zh-CN" w:bidi="ar-SA"/>
                    </w:rPr>
                  </w:pPr>
                  <w:r>
                    <w:rPr>
                      <w:rFonts w:hint="default" w:ascii="Times New Roman" w:hAnsi="Times New Roman" w:eastAsia="宋体" w:cs="Times New Roman"/>
                      <w:b/>
                      <w:bCs w:val="0"/>
                      <w:snapToGrid w:val="0"/>
                      <w:color w:val="auto"/>
                      <w:kern w:val="2"/>
                      <w:sz w:val="21"/>
                      <w:szCs w:val="21"/>
                      <w:lang w:val="en-US" w:eastAsia="zh-CN" w:bidi="ar-SA"/>
                    </w:rPr>
                    <w:t>老奇台老干渠0+580</w:t>
                  </w:r>
                </w:p>
              </w:tc>
            </w:tr>
          </w:tbl>
          <w:p w14:paraId="2935CC73">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渠道0+718~14+336段渠道为梯形断面，结构形式为干砌卵石渠道，渠底宽度3~5m，渠深1~1.5m。由于渠道建设年代久，加之弃用多年，运行维护不到位，现状渠道杂草丛生，局部渠段丧失渠形，渗漏严重，无法投入使用。</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61"/>
              <w:gridCol w:w="3990"/>
            </w:tblGrid>
            <w:tr w14:paraId="65CC4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901" w:type="dxa"/>
                </w:tcPr>
                <w:p w14:paraId="73028521">
                  <w:pPr>
                    <w:pStyle w:val="22"/>
                    <w:rPr>
                      <w:rFonts w:hint="default"/>
                      <w:color w:val="auto"/>
                      <w:vertAlign w:val="baseline"/>
                      <w:lang w:val="en-US" w:eastAsia="zh-CN"/>
                    </w:rPr>
                  </w:pPr>
                  <w:r>
                    <w:rPr>
                      <w:rFonts w:hint="default"/>
                      <w:color w:val="auto"/>
                      <w:vertAlign w:val="baseline"/>
                      <w:lang w:val="en-US" w:eastAsia="zh-CN"/>
                    </w:rPr>
                    <w:drawing>
                      <wp:inline distT="0" distB="0" distL="114300" distR="114300">
                        <wp:extent cx="2418715" cy="1970405"/>
                        <wp:effectExtent l="0" t="0" r="10160" b="508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22"/>
                                <a:stretch>
                                  <a:fillRect/>
                                </a:stretch>
                              </pic:blipFill>
                              <pic:spPr>
                                <a:xfrm>
                                  <a:off x="0" y="0"/>
                                  <a:ext cx="2418715" cy="1970405"/>
                                </a:xfrm>
                                <a:prstGeom prst="rect">
                                  <a:avLst/>
                                </a:prstGeom>
                                <a:noFill/>
                                <a:ln>
                                  <a:noFill/>
                                </a:ln>
                              </pic:spPr>
                            </pic:pic>
                          </a:graphicData>
                        </a:graphic>
                      </wp:inline>
                    </w:drawing>
                  </w:r>
                </w:p>
              </w:tc>
              <w:tc>
                <w:tcPr>
                  <w:tcW w:w="3902" w:type="dxa"/>
                </w:tcPr>
                <w:p w14:paraId="4DF4A9C3">
                  <w:pPr>
                    <w:pStyle w:val="22"/>
                    <w:jc w:val="center"/>
                    <w:rPr>
                      <w:rFonts w:hint="default"/>
                      <w:color w:val="auto"/>
                      <w:vertAlign w:val="baseline"/>
                      <w:lang w:val="en-US" w:eastAsia="zh-CN"/>
                    </w:rPr>
                  </w:pPr>
                  <w:r>
                    <w:rPr>
                      <w:rFonts w:hint="default"/>
                      <w:color w:val="auto"/>
                      <w:vertAlign w:val="baseline"/>
                      <w:lang w:val="en-US" w:eastAsia="zh-CN"/>
                    </w:rPr>
                    <w:drawing>
                      <wp:inline distT="0" distB="0" distL="114300" distR="114300">
                        <wp:extent cx="2509520" cy="2012315"/>
                        <wp:effectExtent l="0" t="0" r="5715" b="6350"/>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23"/>
                                <a:stretch>
                                  <a:fillRect/>
                                </a:stretch>
                              </pic:blipFill>
                              <pic:spPr>
                                <a:xfrm>
                                  <a:off x="0" y="0"/>
                                  <a:ext cx="2509520" cy="2012315"/>
                                </a:xfrm>
                                <a:prstGeom prst="rect">
                                  <a:avLst/>
                                </a:prstGeom>
                                <a:noFill/>
                                <a:ln>
                                  <a:noFill/>
                                </a:ln>
                              </pic:spPr>
                            </pic:pic>
                          </a:graphicData>
                        </a:graphic>
                      </wp:inline>
                    </w:drawing>
                  </w:r>
                </w:p>
              </w:tc>
            </w:tr>
            <w:tr w14:paraId="7F62C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3901" w:type="dxa"/>
                </w:tcPr>
                <w:p w14:paraId="41349976">
                  <w:pPr>
                    <w:widowControl w:val="0"/>
                    <w:spacing w:line="440" w:lineRule="exact"/>
                    <w:ind w:firstLine="0" w:firstLineChars="0"/>
                    <w:jc w:val="center"/>
                    <w:textAlignment w:val="baseline"/>
                    <w:rPr>
                      <w:rFonts w:hint="default" w:ascii="Times New Roman" w:hAnsi="Times New Roman" w:eastAsia="宋体" w:cs="Times New Roman"/>
                      <w:b/>
                      <w:bCs w:val="0"/>
                      <w:snapToGrid w:val="0"/>
                      <w:color w:val="auto"/>
                      <w:kern w:val="2"/>
                      <w:sz w:val="21"/>
                      <w:szCs w:val="21"/>
                      <w:lang w:val="en-US" w:eastAsia="zh-CN" w:bidi="ar-SA"/>
                    </w:rPr>
                  </w:pPr>
                  <w:r>
                    <w:rPr>
                      <w:rFonts w:hint="default" w:ascii="Times New Roman" w:hAnsi="Times New Roman" w:eastAsia="宋体" w:cs="Times New Roman"/>
                      <w:b/>
                      <w:bCs w:val="0"/>
                      <w:snapToGrid w:val="0"/>
                      <w:color w:val="auto"/>
                      <w:kern w:val="2"/>
                      <w:sz w:val="21"/>
                      <w:szCs w:val="21"/>
                      <w:lang w:val="en-US" w:eastAsia="zh-CN" w:bidi="ar-SA"/>
                    </w:rPr>
                    <w:t>老奇台老干渠0+815</w:t>
                  </w:r>
                </w:p>
              </w:tc>
              <w:tc>
                <w:tcPr>
                  <w:tcW w:w="3902" w:type="dxa"/>
                </w:tcPr>
                <w:p w14:paraId="53B47BDC">
                  <w:pPr>
                    <w:widowControl w:val="0"/>
                    <w:spacing w:line="440" w:lineRule="exact"/>
                    <w:ind w:firstLine="0" w:firstLineChars="0"/>
                    <w:jc w:val="center"/>
                    <w:textAlignment w:val="baseline"/>
                    <w:rPr>
                      <w:rFonts w:hint="default" w:ascii="Times New Roman" w:hAnsi="Times New Roman" w:eastAsia="宋体" w:cs="Times New Roman"/>
                      <w:b/>
                      <w:bCs w:val="0"/>
                      <w:snapToGrid w:val="0"/>
                      <w:color w:val="auto"/>
                      <w:kern w:val="2"/>
                      <w:sz w:val="21"/>
                      <w:szCs w:val="21"/>
                      <w:lang w:val="en-US" w:eastAsia="zh-CN" w:bidi="ar-SA"/>
                    </w:rPr>
                  </w:pPr>
                  <w:r>
                    <w:rPr>
                      <w:rFonts w:hint="default" w:ascii="Times New Roman" w:hAnsi="Times New Roman" w:eastAsia="宋体" w:cs="Times New Roman"/>
                      <w:b/>
                      <w:bCs w:val="0"/>
                      <w:snapToGrid w:val="0"/>
                      <w:color w:val="auto"/>
                      <w:kern w:val="2"/>
                      <w:sz w:val="21"/>
                      <w:szCs w:val="21"/>
                      <w:lang w:val="en-US" w:eastAsia="zh-CN" w:bidi="ar-SA"/>
                    </w:rPr>
                    <w:t>老奇台老干渠4+850</w:t>
                  </w:r>
                </w:p>
              </w:tc>
            </w:tr>
          </w:tbl>
          <w:p w14:paraId="2D520E18">
            <w:pPr>
              <w:pStyle w:val="22"/>
              <w:rPr>
                <w:rFonts w:hint="default"/>
                <w:color w:val="auto"/>
                <w:lang w:val="en-US" w:eastAsia="zh-CN"/>
              </w:rPr>
            </w:pPr>
          </w:p>
          <w:p w14:paraId="55E3B421">
            <w:pPr>
              <w:adjustRightInd w:val="0"/>
              <w:snapToGrid w:val="0"/>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（2）存在问题</w:t>
            </w:r>
          </w:p>
          <w:p w14:paraId="58638C13">
            <w:pPr>
              <w:adjustRightInd w:val="0"/>
              <w:snapToGrid w:val="0"/>
              <w:spacing w:line="360" w:lineRule="auto"/>
              <w:ind w:firstLine="480" w:firstLineChars="200"/>
              <w:rPr>
                <w:rFonts w:hint="eastAsia" w:cs="Times New Roman"/>
                <w:color w:val="auto"/>
                <w:sz w:val="24"/>
                <w:highlight w:val="none"/>
                <w:lang w:val="en-US" w:eastAsia="zh-CN"/>
              </w:rPr>
            </w:pPr>
            <w:r>
              <w:rPr>
                <w:rFonts w:hint="eastAsia" w:cs="Times New Roman"/>
                <w:color w:val="auto"/>
                <w:sz w:val="24"/>
                <w:highlight w:val="none"/>
                <w:lang w:val="en-US" w:eastAsia="zh-CN"/>
              </w:rPr>
              <w:t>1、</w:t>
            </w:r>
            <w:r>
              <w:rPr>
                <w:rFonts w:hint="default" w:ascii="Times New Roman" w:hAnsi="Times New Roman" w:cs="Times New Roman"/>
                <w:color w:val="auto"/>
                <w:sz w:val="24"/>
                <w:highlight w:val="none"/>
                <w:lang w:val="en-US" w:eastAsia="zh-CN"/>
              </w:rPr>
              <w:t>建设标准低、年久失修，渗漏严重，丧失渠形，无法运行</w:t>
            </w:r>
            <w:r>
              <w:rPr>
                <w:rFonts w:hint="eastAsia" w:cs="Times New Roman"/>
                <w:color w:val="auto"/>
                <w:sz w:val="24"/>
                <w:highlight w:val="none"/>
                <w:lang w:val="en-US" w:eastAsia="zh-CN"/>
              </w:rPr>
              <w:t>；</w:t>
            </w:r>
          </w:p>
          <w:p w14:paraId="5456BC32">
            <w:pPr>
              <w:adjustRightInd w:val="0"/>
              <w:snapToGrid w:val="0"/>
              <w:spacing w:line="360" w:lineRule="auto"/>
              <w:ind w:firstLine="480" w:firstLineChars="200"/>
              <w:rPr>
                <w:rFonts w:hint="default" w:ascii="Times New Roman" w:hAnsi="Times New Roman" w:cs="Times New Roman"/>
                <w:color w:val="auto"/>
                <w:sz w:val="24"/>
                <w:highlight w:val="none"/>
              </w:rPr>
            </w:pPr>
            <w:r>
              <w:rPr>
                <w:rFonts w:hint="eastAsia" w:cs="Times New Roman"/>
                <w:color w:val="auto"/>
                <w:sz w:val="24"/>
                <w:highlight w:val="none"/>
                <w:lang w:val="en-US" w:eastAsia="zh-CN"/>
              </w:rPr>
              <w:t>2、</w:t>
            </w:r>
            <w:r>
              <w:rPr>
                <w:rFonts w:hint="default" w:ascii="Times New Roman" w:hAnsi="Times New Roman" w:cs="Times New Roman"/>
                <w:color w:val="auto"/>
                <w:sz w:val="24"/>
                <w:highlight w:val="none"/>
                <w:lang w:val="en-US" w:eastAsia="zh-CN"/>
              </w:rPr>
              <w:t>渠道冲刷问题，0+000~0+718段渠底部灌浆冲蚀殆尽，渗漏严重；</w:t>
            </w:r>
          </w:p>
          <w:p w14:paraId="4865DFF4">
            <w:pPr>
              <w:adjustRightInd w:val="0"/>
              <w:snapToGrid w:val="0"/>
              <w:spacing w:line="360" w:lineRule="auto"/>
              <w:ind w:firstLine="480" w:firstLineChars="200"/>
              <w:rPr>
                <w:rFonts w:hint="default" w:ascii="Times New Roman" w:hAnsi="Times New Roman" w:cs="Times New Roman"/>
                <w:color w:val="auto"/>
                <w:sz w:val="24"/>
                <w:highlight w:val="none"/>
              </w:rPr>
            </w:pPr>
            <w:r>
              <w:rPr>
                <w:rFonts w:hint="eastAsia" w:cs="Times New Roman"/>
                <w:color w:val="auto"/>
                <w:sz w:val="24"/>
                <w:highlight w:val="none"/>
                <w:lang w:val="en-US" w:eastAsia="zh-CN"/>
              </w:rPr>
              <w:t>3、</w:t>
            </w:r>
            <w:r>
              <w:rPr>
                <w:rFonts w:hint="default" w:ascii="Times New Roman" w:hAnsi="Times New Roman" w:cs="Times New Roman"/>
                <w:color w:val="auto"/>
                <w:sz w:val="24"/>
                <w:highlight w:val="none"/>
                <w:lang w:val="en-US" w:eastAsia="zh-CN"/>
              </w:rPr>
              <w:t>安全防护措施不到位，无安全防护围栏，存在安全隐患；</w:t>
            </w:r>
          </w:p>
          <w:p w14:paraId="117716EC">
            <w:pPr>
              <w:adjustRightInd w:val="0"/>
              <w:snapToGrid w:val="0"/>
              <w:spacing w:line="360" w:lineRule="auto"/>
              <w:ind w:firstLine="480" w:firstLineChars="200"/>
              <w:rPr>
                <w:rFonts w:hint="default" w:ascii="Times New Roman" w:hAnsi="Times New Roman" w:cs="Times New Roman"/>
                <w:color w:val="auto"/>
                <w:sz w:val="24"/>
                <w:highlight w:val="none"/>
              </w:rPr>
            </w:pPr>
            <w:r>
              <w:rPr>
                <w:rFonts w:hint="eastAsia" w:cs="Times New Roman"/>
                <w:color w:val="auto"/>
                <w:sz w:val="24"/>
                <w:highlight w:val="none"/>
                <w:lang w:val="en-US" w:eastAsia="zh-CN"/>
              </w:rPr>
              <w:t>4、</w:t>
            </w:r>
            <w:r>
              <w:rPr>
                <w:rFonts w:hint="default" w:ascii="Times New Roman" w:hAnsi="Times New Roman" w:cs="Times New Roman"/>
                <w:color w:val="auto"/>
                <w:sz w:val="24"/>
                <w:highlight w:val="none"/>
                <w:lang w:val="en-US" w:eastAsia="zh-CN"/>
              </w:rPr>
              <w:t>渠道建筑物年久失修：现状渠道沿线建筑物如跨渠渡槽、人行桥、农桥等，因建设标准低，加之年久失修，存在裂缝、结构破坏等安全隐患。</w:t>
            </w:r>
          </w:p>
          <w:p w14:paraId="0D445F82">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color w:val="auto"/>
              </w:rPr>
            </w:pPr>
            <w:r>
              <w:rPr>
                <w:rFonts w:hint="default" w:ascii="Times New Roman" w:hAnsi="Times New Roman" w:eastAsia="宋体" w:cs="Times New Roman"/>
                <w:color w:val="auto"/>
                <w:kern w:val="0"/>
                <w:sz w:val="24"/>
                <w:szCs w:val="24"/>
                <w:highlight w:val="none"/>
                <w:lang w:val="en-US" w:eastAsia="zh-CN"/>
              </w:rPr>
              <w:t>工程的实施是解决渠道损毁严重问题、恢复灌溉功能的必要</w:t>
            </w:r>
            <w:r>
              <w:rPr>
                <w:rFonts w:hint="eastAsia" w:ascii="Times New Roman" w:hAnsi="Times New Roman" w:eastAsia="宋体" w:cs="Times New Roman"/>
                <w:color w:val="auto"/>
                <w:kern w:val="0"/>
                <w:sz w:val="24"/>
                <w:szCs w:val="24"/>
                <w:highlight w:val="none"/>
                <w:lang w:val="en-US" w:eastAsia="zh-CN"/>
              </w:rPr>
              <w:t>，</w:t>
            </w:r>
            <w:r>
              <w:rPr>
                <w:rFonts w:hint="default" w:ascii="Times New Roman" w:hAnsi="Times New Roman" w:eastAsia="宋体" w:cs="Times New Roman"/>
                <w:color w:val="auto"/>
                <w:kern w:val="0"/>
                <w:sz w:val="24"/>
                <w:szCs w:val="24"/>
                <w:highlight w:val="none"/>
                <w:lang w:val="en-US" w:eastAsia="zh-CN"/>
              </w:rPr>
              <w:t>老奇台镇老干渠上游段全长14.336km，损毁率高达95%，渗漏损失量初步估计达40%。其中0+000～0+718段渠底灌浆被水流冲蚀殆尽，渗漏严重；0+718～14+336段杂草丛生、局部丧失渠形，无法投入使用。实施改造，对受损渠段进行修补、新建，是恢复渠道原有灌溉功能、满足灌区灌溉需求、保障农业生产顺利开展的必要手段。</w:t>
            </w:r>
          </w:p>
        </w:tc>
      </w:tr>
      <w:tr w14:paraId="682A2A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8" w:hRule="atLeast"/>
          <w:jc w:val="center"/>
        </w:trPr>
        <w:tc>
          <w:tcPr>
            <w:tcW w:w="323" w:type="pct"/>
            <w:noWrap w:val="0"/>
            <w:vAlign w:val="center"/>
          </w:tcPr>
          <w:p w14:paraId="23370070">
            <w:pPr>
              <w:adjustRightInd w:val="0"/>
              <w:snapToGrid w:val="0"/>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生态环境保护目标</w:t>
            </w:r>
          </w:p>
        </w:tc>
        <w:tc>
          <w:tcPr>
            <w:tcW w:w="4676" w:type="pct"/>
            <w:noWrap w:val="0"/>
            <w:vAlign w:val="top"/>
          </w:tcPr>
          <w:p w14:paraId="66648740">
            <w:pPr>
              <w:adjustRightInd w:val="0"/>
              <w:snapToGrid w:val="0"/>
              <w:spacing w:line="360" w:lineRule="auto"/>
              <w:ind w:firstLine="480" w:firstLineChars="200"/>
              <w:jc w:val="both"/>
              <w:rPr>
                <w:rFonts w:hint="default" w:ascii="Times New Roman" w:hAnsi="Times New Roman" w:cs="Times New Roman"/>
                <w:color w:val="auto"/>
                <w:sz w:val="24"/>
              </w:rPr>
            </w:pPr>
            <w:r>
              <w:rPr>
                <w:rFonts w:hint="default" w:ascii="Times New Roman" w:hAnsi="Times New Roman" w:cs="Times New Roman"/>
                <w:color w:val="auto"/>
                <w:sz w:val="24"/>
              </w:rPr>
              <w:t>（1）大气环境：本项目区</w:t>
            </w:r>
            <w:r>
              <w:rPr>
                <w:rFonts w:hint="default" w:ascii="Times New Roman" w:hAnsi="Times New Roman" w:cs="Times New Roman"/>
                <w:color w:val="auto"/>
                <w:kern w:val="21"/>
                <w:sz w:val="24"/>
              </w:rPr>
              <w:t>厂界外500</w:t>
            </w:r>
            <w:r>
              <w:rPr>
                <w:rFonts w:hint="default" w:ascii="Times New Roman" w:hAnsi="Times New Roman" w:cs="Times New Roman"/>
                <w:color w:val="auto"/>
                <w:kern w:val="21"/>
                <w:sz w:val="24"/>
                <w:lang w:val="en-US" w:eastAsia="zh-CN"/>
              </w:rPr>
              <w:t>m</w:t>
            </w:r>
            <w:r>
              <w:rPr>
                <w:rFonts w:hint="default" w:ascii="Times New Roman" w:hAnsi="Times New Roman" w:cs="Times New Roman"/>
                <w:color w:val="auto"/>
                <w:kern w:val="21"/>
                <w:sz w:val="24"/>
              </w:rPr>
              <w:t>范围内无自然保护区、风景名胜区、</w:t>
            </w:r>
            <w:r>
              <w:rPr>
                <w:rFonts w:hint="eastAsia" w:cs="Times New Roman"/>
                <w:color w:val="auto"/>
                <w:kern w:val="21"/>
                <w:sz w:val="24"/>
                <w:lang w:val="en-US" w:eastAsia="zh-CN"/>
              </w:rPr>
              <w:t>存在</w:t>
            </w:r>
            <w:r>
              <w:rPr>
                <w:rFonts w:hint="default" w:ascii="Times New Roman" w:hAnsi="Times New Roman" w:cs="Times New Roman"/>
                <w:color w:val="auto"/>
                <w:kern w:val="21"/>
                <w:sz w:val="24"/>
              </w:rPr>
              <w:t>居住区、文化区等人群较集中的区域。</w:t>
            </w:r>
          </w:p>
          <w:p w14:paraId="0BE6900D">
            <w:pPr>
              <w:pStyle w:val="53"/>
              <w:spacing w:line="360" w:lineRule="auto"/>
              <w:ind w:firstLine="480"/>
              <w:jc w:val="both"/>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（2）声环境：</w:t>
            </w:r>
            <w:r>
              <w:rPr>
                <w:rFonts w:hint="default" w:ascii="Times New Roman" w:hAnsi="Times New Roman" w:cs="Times New Roman"/>
                <w:color w:val="auto"/>
                <w:kern w:val="21"/>
                <w:sz w:val="24"/>
                <w:szCs w:val="24"/>
              </w:rPr>
              <w:t>本项目厂界外50</w:t>
            </w:r>
            <w:r>
              <w:rPr>
                <w:rFonts w:hint="default" w:ascii="Times New Roman" w:hAnsi="Times New Roman" w:cs="Times New Roman"/>
                <w:color w:val="auto"/>
                <w:kern w:val="21"/>
                <w:sz w:val="24"/>
                <w:szCs w:val="24"/>
                <w:lang w:val="en-US" w:eastAsia="zh-CN"/>
              </w:rPr>
              <w:t>m</w:t>
            </w:r>
            <w:r>
              <w:rPr>
                <w:rFonts w:hint="default" w:ascii="Times New Roman" w:hAnsi="Times New Roman" w:cs="Times New Roman"/>
                <w:color w:val="auto"/>
                <w:kern w:val="21"/>
                <w:sz w:val="24"/>
                <w:szCs w:val="24"/>
              </w:rPr>
              <w:t>范围内</w:t>
            </w:r>
            <w:r>
              <w:rPr>
                <w:rFonts w:hint="default" w:ascii="Times New Roman" w:hAnsi="Times New Roman" w:cs="Times New Roman"/>
                <w:color w:val="auto"/>
                <w:kern w:val="21"/>
                <w:sz w:val="24"/>
                <w:szCs w:val="24"/>
                <w:lang w:val="en-US" w:eastAsia="zh-CN"/>
              </w:rPr>
              <w:t>存在</w:t>
            </w:r>
            <w:r>
              <w:rPr>
                <w:rFonts w:hint="default" w:ascii="Times New Roman" w:hAnsi="Times New Roman" w:cs="Times New Roman"/>
                <w:color w:val="auto"/>
                <w:kern w:val="21"/>
                <w:sz w:val="24"/>
                <w:szCs w:val="24"/>
              </w:rPr>
              <w:t>居住区</w:t>
            </w:r>
            <w:r>
              <w:rPr>
                <w:rFonts w:hint="default" w:ascii="Times New Roman" w:hAnsi="Times New Roman" w:cs="Times New Roman"/>
                <w:color w:val="auto"/>
                <w:kern w:val="2"/>
                <w:sz w:val="24"/>
                <w:szCs w:val="24"/>
              </w:rPr>
              <w:t>。</w:t>
            </w:r>
          </w:p>
          <w:p w14:paraId="48B4A47F">
            <w:pPr>
              <w:pStyle w:val="53"/>
              <w:spacing w:line="360" w:lineRule="auto"/>
              <w:ind w:firstLine="480"/>
              <w:jc w:val="both"/>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（3）地下水环境：</w:t>
            </w:r>
            <w:r>
              <w:rPr>
                <w:rFonts w:hint="default" w:ascii="Times New Roman" w:hAnsi="Times New Roman" w:cs="Times New Roman"/>
                <w:color w:val="auto"/>
                <w:kern w:val="21"/>
                <w:sz w:val="24"/>
                <w:szCs w:val="24"/>
              </w:rPr>
              <w:t>本项目厂界外500</w:t>
            </w:r>
            <w:r>
              <w:rPr>
                <w:rFonts w:hint="default" w:ascii="Times New Roman" w:hAnsi="Times New Roman" w:cs="Times New Roman"/>
                <w:color w:val="auto"/>
                <w:kern w:val="21"/>
                <w:sz w:val="24"/>
                <w:szCs w:val="24"/>
                <w:lang w:val="en-US" w:eastAsia="zh-CN"/>
              </w:rPr>
              <w:t>m</w:t>
            </w:r>
            <w:r>
              <w:rPr>
                <w:rFonts w:hint="default" w:ascii="Times New Roman" w:hAnsi="Times New Roman" w:cs="Times New Roman"/>
                <w:color w:val="auto"/>
                <w:kern w:val="21"/>
                <w:sz w:val="24"/>
                <w:szCs w:val="24"/>
              </w:rPr>
              <w:t>范围内无地下水集中式饮用水水源和热水、矿泉水、温泉等特殊地下水资源</w:t>
            </w:r>
            <w:r>
              <w:rPr>
                <w:rFonts w:hint="default" w:ascii="Times New Roman" w:hAnsi="Times New Roman" w:cs="Times New Roman"/>
                <w:color w:val="auto"/>
                <w:kern w:val="2"/>
                <w:sz w:val="24"/>
                <w:szCs w:val="24"/>
              </w:rPr>
              <w:t>。</w:t>
            </w:r>
          </w:p>
          <w:p w14:paraId="4E0A44E0">
            <w:pPr>
              <w:adjustRightInd w:val="0"/>
              <w:snapToGrid w:val="0"/>
              <w:spacing w:line="360" w:lineRule="auto"/>
              <w:ind w:firstLine="480" w:firstLineChars="200"/>
              <w:jc w:val="both"/>
              <w:rPr>
                <w:rFonts w:hint="default" w:ascii="Times New Roman" w:hAnsi="Times New Roman" w:cs="Times New Roman"/>
                <w:color w:val="auto"/>
                <w:sz w:val="24"/>
              </w:rPr>
            </w:pPr>
            <w:r>
              <w:rPr>
                <w:rFonts w:hint="default" w:ascii="Times New Roman" w:hAnsi="Times New Roman" w:cs="Times New Roman"/>
                <w:color w:val="auto"/>
                <w:sz w:val="24"/>
              </w:rPr>
              <w:t>（4）生态环境：根据对项目的现场踏勘，本项目主要</w:t>
            </w:r>
            <w:r>
              <w:rPr>
                <w:rFonts w:hint="default" w:ascii="Times New Roman" w:hAnsi="Times New Roman" w:cs="Times New Roman"/>
                <w:color w:val="auto"/>
                <w:sz w:val="24"/>
                <w:lang w:val="en-US" w:eastAsia="zh-CN"/>
              </w:rPr>
              <w:t>占用水利设施用地和</w:t>
            </w:r>
            <w:r>
              <w:rPr>
                <w:rFonts w:hint="eastAsia" w:cs="Times New Roman"/>
                <w:color w:val="auto"/>
                <w:sz w:val="24"/>
                <w:lang w:val="en-US" w:eastAsia="zh-CN"/>
              </w:rPr>
              <w:t>裸土地</w:t>
            </w:r>
            <w:r>
              <w:rPr>
                <w:rFonts w:hint="default" w:ascii="Times New Roman" w:hAnsi="Times New Roman" w:cs="Times New Roman"/>
                <w:color w:val="auto"/>
                <w:sz w:val="24"/>
              </w:rPr>
              <w:t>。本项目生态环境保护目标见表3-</w:t>
            </w:r>
            <w:r>
              <w:rPr>
                <w:rFonts w:hint="eastAsia" w:cs="Times New Roman"/>
                <w:color w:val="auto"/>
                <w:sz w:val="24"/>
                <w:lang w:val="en-US" w:eastAsia="zh-CN"/>
              </w:rPr>
              <w:t>4</w:t>
            </w:r>
            <w:r>
              <w:rPr>
                <w:rFonts w:hint="default" w:ascii="Times New Roman" w:hAnsi="Times New Roman" w:cs="Times New Roman"/>
                <w:color w:val="auto"/>
                <w:sz w:val="24"/>
              </w:rPr>
              <w:t>。</w:t>
            </w:r>
          </w:p>
          <w:p w14:paraId="5481E2E0">
            <w:pPr>
              <w:pStyle w:val="47"/>
              <w:spacing w:line="440" w:lineRule="exact"/>
              <w:ind w:firstLine="0" w:firstLineChars="0"/>
              <w:jc w:val="center"/>
              <w:textAlignment w:val="baseline"/>
              <w:rPr>
                <w:rFonts w:hint="default" w:ascii="Times New Roman" w:hAnsi="Times New Roman" w:eastAsia="宋体" w:cs="Times New Roman"/>
                <w:b/>
                <w:bCs w:val="0"/>
                <w:snapToGrid w:val="0"/>
                <w:color w:val="auto"/>
                <w:sz w:val="24"/>
                <w:szCs w:val="24"/>
                <w:lang w:val="en-US" w:eastAsia="zh-CN"/>
              </w:rPr>
            </w:pPr>
            <w:r>
              <w:rPr>
                <w:rFonts w:hint="default" w:ascii="Times New Roman" w:hAnsi="Times New Roman" w:eastAsia="宋体" w:cs="Times New Roman"/>
                <w:b/>
                <w:bCs w:val="0"/>
                <w:snapToGrid w:val="0"/>
                <w:color w:val="auto"/>
                <w:sz w:val="24"/>
                <w:szCs w:val="24"/>
                <w:lang w:val="en-US" w:eastAsia="zh-CN"/>
              </w:rPr>
              <w:t>表3-</w:t>
            </w:r>
            <w:r>
              <w:rPr>
                <w:rFonts w:hint="eastAsia" w:ascii="Times New Roman" w:hAnsi="Times New Roman" w:cs="Times New Roman"/>
                <w:b/>
                <w:bCs w:val="0"/>
                <w:snapToGrid w:val="0"/>
                <w:color w:val="auto"/>
                <w:sz w:val="24"/>
                <w:szCs w:val="24"/>
                <w:lang w:val="en-US" w:eastAsia="zh-CN"/>
              </w:rPr>
              <w:t>4</w:t>
            </w:r>
            <w:r>
              <w:rPr>
                <w:rFonts w:hint="default" w:ascii="Times New Roman" w:hAnsi="Times New Roman" w:eastAsia="宋体" w:cs="Times New Roman"/>
                <w:b/>
                <w:bCs w:val="0"/>
                <w:snapToGrid w:val="0"/>
                <w:color w:val="auto"/>
                <w:sz w:val="24"/>
                <w:szCs w:val="24"/>
                <w:lang w:val="en-US" w:eastAsia="zh-CN"/>
              </w:rPr>
              <w:t>生态环境保护目标</w:t>
            </w:r>
          </w:p>
          <w:tbl>
            <w:tblPr>
              <w:tblStyle w:val="30"/>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9"/>
              <w:gridCol w:w="744"/>
              <w:gridCol w:w="1776"/>
              <w:gridCol w:w="647"/>
              <w:gridCol w:w="1430"/>
              <w:gridCol w:w="741"/>
              <w:gridCol w:w="1838"/>
            </w:tblGrid>
            <w:tr w14:paraId="47BE9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434" w:type="pct"/>
                  <w:vMerge w:val="restart"/>
                  <w:tcBorders>
                    <w:tl2br w:val="nil"/>
                    <w:tr2bl w:val="nil"/>
                  </w:tcBorders>
                  <w:vAlign w:val="center"/>
                </w:tcPr>
                <w:p w14:paraId="44805A8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保护时段</w:t>
                  </w:r>
                </w:p>
              </w:tc>
              <w:tc>
                <w:tcPr>
                  <w:tcW w:w="481" w:type="pct"/>
                  <w:vMerge w:val="restart"/>
                  <w:tcBorders>
                    <w:tl2br w:val="nil"/>
                    <w:tr2bl w:val="nil"/>
                  </w:tcBorders>
                  <w:vAlign w:val="center"/>
                </w:tcPr>
                <w:p w14:paraId="7A2B4B2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环境要素</w:t>
                  </w:r>
                </w:p>
              </w:tc>
              <w:tc>
                <w:tcPr>
                  <w:tcW w:w="1138" w:type="pct"/>
                  <w:vMerge w:val="restart"/>
                  <w:tcBorders>
                    <w:tl2br w:val="nil"/>
                    <w:tr2bl w:val="nil"/>
                  </w:tcBorders>
                  <w:vAlign w:val="center"/>
                </w:tcPr>
                <w:p w14:paraId="4904FE7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保护目标</w:t>
                  </w:r>
                </w:p>
              </w:tc>
              <w:tc>
                <w:tcPr>
                  <w:tcW w:w="419" w:type="pct"/>
                  <w:vMerge w:val="restart"/>
                  <w:tcBorders>
                    <w:tl2br w:val="nil"/>
                    <w:tr2bl w:val="nil"/>
                  </w:tcBorders>
                  <w:vAlign w:val="center"/>
                </w:tcPr>
                <w:p w14:paraId="641CB7C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规模</w:t>
                  </w:r>
                </w:p>
              </w:tc>
              <w:tc>
                <w:tcPr>
                  <w:tcW w:w="1397" w:type="pct"/>
                  <w:gridSpan w:val="2"/>
                  <w:tcBorders>
                    <w:tl2br w:val="nil"/>
                    <w:tr2bl w:val="nil"/>
                  </w:tcBorders>
                  <w:vAlign w:val="center"/>
                </w:tcPr>
                <w:p w14:paraId="5EA3538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敏感点方位和距离</w:t>
                  </w:r>
                </w:p>
              </w:tc>
              <w:tc>
                <w:tcPr>
                  <w:tcW w:w="1128" w:type="pct"/>
                  <w:vMerge w:val="restart"/>
                  <w:tcBorders>
                    <w:tl2br w:val="nil"/>
                    <w:tr2bl w:val="nil"/>
                  </w:tcBorders>
                  <w:vAlign w:val="center"/>
                </w:tcPr>
                <w:p w14:paraId="32AF4B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保护标准</w:t>
                  </w:r>
                </w:p>
              </w:tc>
            </w:tr>
            <w:tr w14:paraId="1350D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434" w:type="pct"/>
                  <w:vMerge w:val="continue"/>
                  <w:tcBorders>
                    <w:tl2br w:val="nil"/>
                    <w:tr2bl w:val="nil"/>
                  </w:tcBorders>
                  <w:vAlign w:val="center"/>
                </w:tcPr>
                <w:p w14:paraId="6ED037B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rPr>
                  </w:pPr>
                </w:p>
              </w:tc>
              <w:tc>
                <w:tcPr>
                  <w:tcW w:w="481" w:type="pct"/>
                  <w:vMerge w:val="continue"/>
                  <w:tcBorders>
                    <w:tl2br w:val="nil"/>
                    <w:tr2bl w:val="nil"/>
                  </w:tcBorders>
                  <w:vAlign w:val="center"/>
                </w:tcPr>
                <w:p w14:paraId="493DCE1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rPr>
                  </w:pPr>
                </w:p>
              </w:tc>
              <w:tc>
                <w:tcPr>
                  <w:tcW w:w="1138" w:type="pct"/>
                  <w:vMerge w:val="continue"/>
                  <w:tcBorders>
                    <w:tl2br w:val="nil"/>
                    <w:tr2bl w:val="nil"/>
                  </w:tcBorders>
                  <w:vAlign w:val="center"/>
                </w:tcPr>
                <w:p w14:paraId="0968571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rPr>
                  </w:pPr>
                </w:p>
              </w:tc>
              <w:tc>
                <w:tcPr>
                  <w:tcW w:w="419" w:type="pct"/>
                  <w:vMerge w:val="continue"/>
                  <w:tcBorders>
                    <w:tl2br w:val="nil"/>
                    <w:tr2bl w:val="nil"/>
                  </w:tcBorders>
                  <w:vAlign w:val="center"/>
                </w:tcPr>
                <w:p w14:paraId="7813E1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rPr>
                  </w:pPr>
                </w:p>
              </w:tc>
              <w:tc>
                <w:tcPr>
                  <w:tcW w:w="918" w:type="pct"/>
                  <w:tcBorders>
                    <w:tl2br w:val="nil"/>
                    <w:tr2bl w:val="nil"/>
                  </w:tcBorders>
                  <w:vAlign w:val="center"/>
                </w:tcPr>
                <w:p w14:paraId="589EE01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方位</w:t>
                  </w:r>
                </w:p>
              </w:tc>
              <w:tc>
                <w:tcPr>
                  <w:tcW w:w="479" w:type="pct"/>
                  <w:tcBorders>
                    <w:tl2br w:val="nil"/>
                    <w:tr2bl w:val="nil"/>
                  </w:tcBorders>
                  <w:vAlign w:val="center"/>
                </w:tcPr>
                <w:p w14:paraId="7789A04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距离</w:t>
                  </w:r>
                </w:p>
              </w:tc>
              <w:tc>
                <w:tcPr>
                  <w:tcW w:w="1128" w:type="pct"/>
                  <w:vMerge w:val="continue"/>
                  <w:tcBorders>
                    <w:tl2br w:val="nil"/>
                    <w:tr2bl w:val="nil"/>
                  </w:tcBorders>
                  <w:vAlign w:val="center"/>
                </w:tcPr>
                <w:p w14:paraId="37F09AF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r>
            <w:tr w14:paraId="6211F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vMerge w:val="restart"/>
                  <w:tcBorders>
                    <w:tl2br w:val="nil"/>
                    <w:tr2bl w:val="nil"/>
                  </w:tcBorders>
                  <w:vAlign w:val="center"/>
                </w:tcPr>
                <w:p w14:paraId="69D4091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施工期</w:t>
                  </w:r>
                </w:p>
              </w:tc>
              <w:tc>
                <w:tcPr>
                  <w:tcW w:w="481" w:type="pct"/>
                  <w:vMerge w:val="restart"/>
                  <w:tcBorders>
                    <w:tl2br w:val="nil"/>
                    <w:tr2bl w:val="nil"/>
                  </w:tcBorders>
                  <w:vAlign w:val="center"/>
                </w:tcPr>
                <w:p w14:paraId="615E164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环境空气</w:t>
                  </w:r>
                </w:p>
              </w:tc>
              <w:tc>
                <w:tcPr>
                  <w:tcW w:w="1138" w:type="pct"/>
                  <w:tcBorders>
                    <w:tl2br w:val="nil"/>
                    <w:tr2bl w:val="nil"/>
                  </w:tcBorders>
                  <w:vAlign w:val="center"/>
                </w:tcPr>
                <w:p w14:paraId="72B7213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居民点</w:t>
                  </w:r>
                </w:p>
              </w:tc>
              <w:tc>
                <w:tcPr>
                  <w:tcW w:w="419" w:type="pct"/>
                  <w:tcBorders>
                    <w:tl2br w:val="nil"/>
                    <w:tr2bl w:val="nil"/>
                  </w:tcBorders>
                  <w:vAlign w:val="center"/>
                </w:tcPr>
                <w:p w14:paraId="7CFD7DE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5</w:t>
                  </w:r>
                  <w:r>
                    <w:rPr>
                      <w:rFonts w:hint="eastAsia" w:ascii="Times New Roman" w:hAnsi="Times New Roman" w:eastAsia="宋体" w:cs="Times New Roman"/>
                      <w:color w:val="auto"/>
                      <w:sz w:val="21"/>
                      <w:szCs w:val="21"/>
                      <w:highlight w:val="none"/>
                      <w:vertAlign w:val="baseline"/>
                      <w:lang w:val="en-US" w:eastAsia="zh-CN"/>
                    </w:rPr>
                    <w:t>户</w:t>
                  </w:r>
                </w:p>
              </w:tc>
              <w:tc>
                <w:tcPr>
                  <w:tcW w:w="918" w:type="pct"/>
                  <w:tcBorders>
                    <w:tl2br w:val="nil"/>
                    <w:tr2bl w:val="nil"/>
                  </w:tcBorders>
                  <w:vAlign w:val="center"/>
                </w:tcPr>
                <w:p w14:paraId="3017114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老干渠东</w:t>
                  </w:r>
                  <w:r>
                    <w:rPr>
                      <w:rFonts w:hint="eastAsia" w:ascii="Times New Roman" w:hAnsi="Times New Roman" w:eastAsia="宋体" w:cs="Times New Roman"/>
                      <w:color w:val="auto"/>
                      <w:sz w:val="21"/>
                      <w:szCs w:val="21"/>
                      <w:highlight w:val="none"/>
                      <w:vertAlign w:val="baseline"/>
                      <w:lang w:val="en-US" w:eastAsia="zh-CN"/>
                    </w:rPr>
                    <w:t>侧</w:t>
                  </w:r>
                </w:p>
              </w:tc>
              <w:tc>
                <w:tcPr>
                  <w:tcW w:w="479" w:type="pct"/>
                  <w:tcBorders>
                    <w:tl2br w:val="nil"/>
                    <w:tr2bl w:val="nil"/>
                  </w:tcBorders>
                  <w:vAlign w:val="center"/>
                </w:tcPr>
                <w:p w14:paraId="0AAF683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2</w:t>
                  </w:r>
                  <w:r>
                    <w:rPr>
                      <w:rFonts w:hint="eastAsia" w:ascii="Times New Roman" w:hAnsi="Times New Roman" w:eastAsia="宋体" w:cs="Times New Roman"/>
                      <w:color w:val="auto"/>
                      <w:sz w:val="21"/>
                      <w:szCs w:val="21"/>
                      <w:highlight w:val="none"/>
                      <w:vertAlign w:val="baseline"/>
                      <w:lang w:val="en-US" w:eastAsia="zh-CN"/>
                    </w:rPr>
                    <w:t>0m</w:t>
                  </w:r>
                </w:p>
              </w:tc>
              <w:tc>
                <w:tcPr>
                  <w:tcW w:w="1128" w:type="pct"/>
                  <w:vMerge w:val="restart"/>
                  <w:tcBorders>
                    <w:tl2br w:val="nil"/>
                    <w:tr2bl w:val="nil"/>
                  </w:tcBorders>
                  <w:vAlign w:val="center"/>
                </w:tcPr>
                <w:p w14:paraId="457033E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rPr>
                    <w:t>《环境空气质量标准》（GB3095-20</w:t>
                  </w:r>
                  <w:r>
                    <w:rPr>
                      <w:rFonts w:hint="eastAsia" w:cs="Times New Roman"/>
                      <w:color w:val="auto"/>
                      <w:sz w:val="21"/>
                      <w:szCs w:val="21"/>
                      <w:vertAlign w:val="baseline"/>
                      <w:lang w:val="en-US" w:eastAsia="zh-CN"/>
                    </w:rPr>
                    <w:t>26</w:t>
                  </w:r>
                  <w:r>
                    <w:rPr>
                      <w:rFonts w:hint="default" w:ascii="Times New Roman" w:hAnsi="Times New Roman" w:eastAsia="宋体" w:cs="Times New Roman"/>
                      <w:color w:val="auto"/>
                      <w:sz w:val="21"/>
                      <w:szCs w:val="21"/>
                      <w:vertAlign w:val="baseline"/>
                    </w:rPr>
                    <w:t>）</w:t>
                  </w:r>
                  <w:r>
                    <w:rPr>
                      <w:rFonts w:hint="default" w:ascii="Times New Roman" w:hAnsi="Times New Roman" w:eastAsia="宋体" w:cs="Times New Roman"/>
                      <w:color w:val="auto"/>
                      <w:sz w:val="21"/>
                      <w:szCs w:val="21"/>
                      <w:vertAlign w:val="baseline"/>
                      <w:lang w:val="en-US" w:eastAsia="zh-CN"/>
                    </w:rPr>
                    <w:t>过渡阶段浓度限值（二级）</w:t>
                  </w:r>
                </w:p>
              </w:tc>
            </w:tr>
            <w:tr w14:paraId="7FB91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vMerge w:val="continue"/>
                  <w:tcBorders>
                    <w:tl2br w:val="nil"/>
                    <w:tr2bl w:val="nil"/>
                  </w:tcBorders>
                  <w:vAlign w:val="center"/>
                </w:tcPr>
                <w:p w14:paraId="3E54BF9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481" w:type="pct"/>
                  <w:vMerge w:val="continue"/>
                  <w:tcBorders>
                    <w:tl2br w:val="nil"/>
                    <w:tr2bl w:val="nil"/>
                  </w:tcBorders>
                  <w:vAlign w:val="center"/>
                </w:tcPr>
                <w:p w14:paraId="04E0459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1138" w:type="pct"/>
                  <w:tcBorders>
                    <w:tl2br w:val="nil"/>
                    <w:tr2bl w:val="nil"/>
                  </w:tcBorders>
                  <w:vAlign w:val="center"/>
                </w:tcPr>
                <w:p w14:paraId="5F4010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居民点</w:t>
                  </w:r>
                </w:p>
              </w:tc>
              <w:tc>
                <w:tcPr>
                  <w:tcW w:w="419" w:type="pct"/>
                  <w:tcBorders>
                    <w:tl2br w:val="nil"/>
                    <w:tr2bl w:val="nil"/>
                  </w:tcBorders>
                  <w:vAlign w:val="center"/>
                </w:tcPr>
                <w:p w14:paraId="7B6E995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3</w:t>
                  </w:r>
                  <w:r>
                    <w:rPr>
                      <w:rFonts w:hint="eastAsia" w:ascii="Times New Roman" w:hAnsi="Times New Roman" w:eastAsia="宋体" w:cs="Times New Roman"/>
                      <w:color w:val="auto"/>
                      <w:sz w:val="21"/>
                      <w:szCs w:val="21"/>
                      <w:highlight w:val="none"/>
                      <w:vertAlign w:val="baseline"/>
                      <w:lang w:val="en-US" w:eastAsia="zh-CN"/>
                    </w:rPr>
                    <w:t>户</w:t>
                  </w:r>
                </w:p>
              </w:tc>
              <w:tc>
                <w:tcPr>
                  <w:tcW w:w="918" w:type="pct"/>
                  <w:tcBorders>
                    <w:tl2br w:val="nil"/>
                    <w:tr2bl w:val="nil"/>
                  </w:tcBorders>
                  <w:vAlign w:val="center"/>
                </w:tcPr>
                <w:p w14:paraId="16B1A13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老干渠</w:t>
                  </w:r>
                  <w:r>
                    <w:rPr>
                      <w:rFonts w:hint="eastAsia" w:cs="Times New Roman"/>
                      <w:color w:val="auto"/>
                      <w:sz w:val="21"/>
                      <w:szCs w:val="21"/>
                      <w:highlight w:val="none"/>
                      <w:vertAlign w:val="baseline"/>
                      <w:lang w:val="en-US" w:eastAsia="zh-CN"/>
                    </w:rPr>
                    <w:t>西</w:t>
                  </w:r>
                  <w:r>
                    <w:rPr>
                      <w:rFonts w:hint="eastAsia" w:ascii="Times New Roman" w:hAnsi="Times New Roman" w:eastAsia="宋体" w:cs="Times New Roman"/>
                      <w:color w:val="auto"/>
                      <w:sz w:val="21"/>
                      <w:szCs w:val="21"/>
                      <w:highlight w:val="none"/>
                      <w:vertAlign w:val="baseline"/>
                      <w:lang w:val="en-US" w:eastAsia="zh-CN"/>
                    </w:rPr>
                    <w:t>侧</w:t>
                  </w:r>
                </w:p>
              </w:tc>
              <w:tc>
                <w:tcPr>
                  <w:tcW w:w="479" w:type="pct"/>
                  <w:tcBorders>
                    <w:tl2br w:val="nil"/>
                    <w:tr2bl w:val="nil"/>
                  </w:tcBorders>
                  <w:vAlign w:val="center"/>
                </w:tcPr>
                <w:p w14:paraId="1C4BCA0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4</w:t>
                  </w:r>
                  <w:r>
                    <w:rPr>
                      <w:rFonts w:hint="eastAsia" w:cs="Times New Roman"/>
                      <w:color w:val="auto"/>
                      <w:sz w:val="21"/>
                      <w:szCs w:val="21"/>
                      <w:highlight w:val="none"/>
                      <w:vertAlign w:val="baseline"/>
                      <w:lang w:val="en-US" w:eastAsia="zh-CN"/>
                    </w:rPr>
                    <w:t>5</w:t>
                  </w:r>
                  <w:r>
                    <w:rPr>
                      <w:rFonts w:hint="eastAsia" w:ascii="Times New Roman" w:hAnsi="Times New Roman" w:eastAsia="宋体" w:cs="Times New Roman"/>
                      <w:color w:val="auto"/>
                      <w:sz w:val="21"/>
                      <w:szCs w:val="21"/>
                      <w:highlight w:val="none"/>
                      <w:vertAlign w:val="baseline"/>
                      <w:lang w:val="en-US" w:eastAsia="zh-CN"/>
                    </w:rPr>
                    <w:t>m</w:t>
                  </w:r>
                </w:p>
              </w:tc>
              <w:tc>
                <w:tcPr>
                  <w:tcW w:w="1128" w:type="pct"/>
                  <w:vMerge w:val="continue"/>
                  <w:tcBorders>
                    <w:tl2br w:val="nil"/>
                    <w:tr2bl w:val="nil"/>
                  </w:tcBorders>
                  <w:vAlign w:val="center"/>
                </w:tcPr>
                <w:p w14:paraId="2459B1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r>
            <w:tr w14:paraId="669C8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vMerge w:val="continue"/>
                  <w:tcBorders>
                    <w:tl2br w:val="nil"/>
                    <w:tr2bl w:val="nil"/>
                  </w:tcBorders>
                  <w:vAlign w:val="center"/>
                </w:tcPr>
                <w:p w14:paraId="6BED4E0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481" w:type="pct"/>
                  <w:vMerge w:val="continue"/>
                  <w:tcBorders>
                    <w:tl2br w:val="nil"/>
                    <w:tr2bl w:val="nil"/>
                  </w:tcBorders>
                  <w:vAlign w:val="center"/>
                </w:tcPr>
                <w:p w14:paraId="66DA22A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1138" w:type="pct"/>
                  <w:tcBorders>
                    <w:tl2br w:val="nil"/>
                    <w:tr2bl w:val="nil"/>
                  </w:tcBorders>
                  <w:vAlign w:val="center"/>
                </w:tcPr>
                <w:p w14:paraId="71C50C1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居民点</w:t>
                  </w:r>
                </w:p>
              </w:tc>
              <w:tc>
                <w:tcPr>
                  <w:tcW w:w="419" w:type="pct"/>
                  <w:tcBorders>
                    <w:tl2br w:val="nil"/>
                    <w:tr2bl w:val="nil"/>
                  </w:tcBorders>
                  <w:vAlign w:val="center"/>
                </w:tcPr>
                <w:p w14:paraId="3565D7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2</w:t>
                  </w:r>
                  <w:r>
                    <w:rPr>
                      <w:rFonts w:hint="eastAsia" w:ascii="Times New Roman" w:hAnsi="Times New Roman" w:eastAsia="宋体" w:cs="Times New Roman"/>
                      <w:color w:val="auto"/>
                      <w:sz w:val="21"/>
                      <w:szCs w:val="21"/>
                      <w:highlight w:val="none"/>
                      <w:vertAlign w:val="baseline"/>
                      <w:lang w:val="en-US" w:eastAsia="zh-CN"/>
                    </w:rPr>
                    <w:t>户</w:t>
                  </w:r>
                </w:p>
              </w:tc>
              <w:tc>
                <w:tcPr>
                  <w:tcW w:w="918" w:type="pct"/>
                  <w:tcBorders>
                    <w:tl2br w:val="nil"/>
                    <w:tr2bl w:val="nil"/>
                  </w:tcBorders>
                  <w:vAlign w:val="center"/>
                </w:tcPr>
                <w:p w14:paraId="512849F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lang w:val="en-US" w:eastAsia="zh-CN"/>
                    </w:rPr>
                    <w:t>老干渠东侧</w:t>
                  </w:r>
                </w:p>
              </w:tc>
              <w:tc>
                <w:tcPr>
                  <w:tcW w:w="479" w:type="pct"/>
                  <w:tcBorders>
                    <w:tl2br w:val="nil"/>
                    <w:tr2bl w:val="nil"/>
                  </w:tcBorders>
                  <w:vAlign w:val="center"/>
                </w:tcPr>
                <w:p w14:paraId="1E6E9BE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15</w:t>
                  </w:r>
                  <w:r>
                    <w:rPr>
                      <w:rFonts w:hint="eastAsia" w:ascii="Times New Roman" w:hAnsi="Times New Roman" w:eastAsia="宋体" w:cs="Times New Roman"/>
                      <w:color w:val="auto"/>
                      <w:sz w:val="21"/>
                      <w:szCs w:val="21"/>
                      <w:highlight w:val="none"/>
                      <w:vertAlign w:val="baseline"/>
                      <w:lang w:val="en-US" w:eastAsia="zh-CN"/>
                    </w:rPr>
                    <w:t>m</w:t>
                  </w:r>
                </w:p>
              </w:tc>
              <w:tc>
                <w:tcPr>
                  <w:tcW w:w="1128" w:type="pct"/>
                  <w:vMerge w:val="continue"/>
                  <w:tcBorders>
                    <w:tl2br w:val="nil"/>
                    <w:tr2bl w:val="nil"/>
                  </w:tcBorders>
                  <w:vAlign w:val="center"/>
                </w:tcPr>
                <w:p w14:paraId="2E6C3A7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r>
            <w:tr w14:paraId="7763A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34" w:type="pct"/>
                  <w:vMerge w:val="continue"/>
                  <w:tcBorders>
                    <w:tl2br w:val="nil"/>
                    <w:tr2bl w:val="nil"/>
                  </w:tcBorders>
                  <w:vAlign w:val="center"/>
                </w:tcPr>
                <w:p w14:paraId="22A49A8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481" w:type="pct"/>
                  <w:vMerge w:val="continue"/>
                  <w:tcBorders>
                    <w:tl2br w:val="nil"/>
                    <w:tr2bl w:val="nil"/>
                  </w:tcBorders>
                  <w:vAlign w:val="center"/>
                </w:tcPr>
                <w:p w14:paraId="1806636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1138" w:type="pct"/>
                  <w:tcBorders>
                    <w:tl2br w:val="nil"/>
                    <w:tr2bl w:val="nil"/>
                  </w:tcBorders>
                  <w:vAlign w:val="center"/>
                </w:tcPr>
                <w:p w14:paraId="7A2C21D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vertAlign w:val="baseline"/>
                    </w:rPr>
                  </w:pPr>
                  <w:r>
                    <w:rPr>
                      <w:rFonts w:hint="eastAsia" w:ascii="Times New Roman" w:hAnsi="Times New Roman" w:eastAsia="宋体" w:cs="Times New Roman"/>
                      <w:color w:val="auto"/>
                      <w:sz w:val="21"/>
                      <w:szCs w:val="21"/>
                      <w:highlight w:val="none"/>
                      <w:vertAlign w:val="baseline"/>
                      <w:lang w:val="en-US" w:eastAsia="zh-CN"/>
                    </w:rPr>
                    <w:t>奇台农场（八道滩）二十六连连队管理委员会</w:t>
                  </w:r>
                </w:p>
              </w:tc>
              <w:tc>
                <w:tcPr>
                  <w:tcW w:w="419" w:type="pct"/>
                  <w:tcBorders>
                    <w:tl2br w:val="nil"/>
                    <w:tr2bl w:val="nil"/>
                  </w:tcBorders>
                  <w:vAlign w:val="center"/>
                </w:tcPr>
                <w:p w14:paraId="5A6D7D2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w:t>
                  </w:r>
                </w:p>
              </w:tc>
              <w:tc>
                <w:tcPr>
                  <w:tcW w:w="918" w:type="pct"/>
                  <w:tcBorders>
                    <w:tl2br w:val="nil"/>
                    <w:tr2bl w:val="nil"/>
                  </w:tcBorders>
                  <w:vAlign w:val="center"/>
                </w:tcPr>
                <w:p w14:paraId="4D6AA31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老干渠东侧</w:t>
                  </w:r>
                </w:p>
              </w:tc>
              <w:tc>
                <w:tcPr>
                  <w:tcW w:w="479" w:type="pct"/>
                  <w:tcBorders>
                    <w:tl2br w:val="nil"/>
                    <w:tr2bl w:val="nil"/>
                  </w:tcBorders>
                  <w:vAlign w:val="center"/>
                </w:tcPr>
                <w:p w14:paraId="35AB6F7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20m</w:t>
                  </w:r>
                </w:p>
              </w:tc>
              <w:tc>
                <w:tcPr>
                  <w:tcW w:w="1128" w:type="pct"/>
                  <w:vMerge w:val="continue"/>
                  <w:tcBorders>
                    <w:tl2br w:val="nil"/>
                    <w:tr2bl w:val="nil"/>
                  </w:tcBorders>
                  <w:vAlign w:val="center"/>
                </w:tcPr>
                <w:p w14:paraId="22C5AD0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r>
            <w:tr w14:paraId="1A4B3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vMerge w:val="continue"/>
                  <w:tcBorders>
                    <w:tl2br w:val="nil"/>
                    <w:tr2bl w:val="nil"/>
                  </w:tcBorders>
                  <w:vAlign w:val="center"/>
                </w:tcPr>
                <w:p w14:paraId="3A4702D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481" w:type="pct"/>
                  <w:vMerge w:val="restart"/>
                  <w:tcBorders>
                    <w:tl2br w:val="nil"/>
                    <w:tr2bl w:val="nil"/>
                  </w:tcBorders>
                  <w:vAlign w:val="center"/>
                </w:tcPr>
                <w:p w14:paraId="710E904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r>
                    <w:rPr>
                      <w:rFonts w:hint="eastAsia"/>
                      <w:color w:val="auto"/>
                      <w:kern w:val="0"/>
                      <w:szCs w:val="21"/>
                      <w:highlight w:val="none"/>
                    </w:rPr>
                    <w:t>声环境</w:t>
                  </w:r>
                </w:p>
              </w:tc>
              <w:tc>
                <w:tcPr>
                  <w:tcW w:w="1138" w:type="pct"/>
                  <w:tcBorders>
                    <w:tl2br w:val="nil"/>
                    <w:tr2bl w:val="nil"/>
                  </w:tcBorders>
                  <w:vAlign w:val="center"/>
                </w:tcPr>
                <w:p w14:paraId="5551FE2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居民点</w:t>
                  </w:r>
                </w:p>
              </w:tc>
              <w:tc>
                <w:tcPr>
                  <w:tcW w:w="419" w:type="pct"/>
                  <w:tcBorders>
                    <w:tl2br w:val="nil"/>
                    <w:tr2bl w:val="nil"/>
                  </w:tcBorders>
                  <w:vAlign w:val="center"/>
                </w:tcPr>
                <w:p w14:paraId="723F8D8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4户</w:t>
                  </w:r>
                </w:p>
              </w:tc>
              <w:tc>
                <w:tcPr>
                  <w:tcW w:w="918" w:type="pct"/>
                  <w:tcBorders>
                    <w:tl2br w:val="nil"/>
                    <w:tr2bl w:val="nil"/>
                  </w:tcBorders>
                  <w:vAlign w:val="center"/>
                </w:tcPr>
                <w:p w14:paraId="230B8EE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老干渠东</w:t>
                  </w:r>
                  <w:r>
                    <w:rPr>
                      <w:rFonts w:hint="eastAsia" w:ascii="Times New Roman" w:hAnsi="Times New Roman" w:eastAsia="宋体" w:cs="Times New Roman"/>
                      <w:color w:val="auto"/>
                      <w:sz w:val="21"/>
                      <w:szCs w:val="21"/>
                      <w:highlight w:val="none"/>
                      <w:vertAlign w:val="baseline"/>
                      <w:lang w:val="en-US" w:eastAsia="zh-CN"/>
                    </w:rPr>
                    <w:t>侧</w:t>
                  </w:r>
                </w:p>
              </w:tc>
              <w:tc>
                <w:tcPr>
                  <w:tcW w:w="479" w:type="pct"/>
                  <w:tcBorders>
                    <w:tl2br w:val="nil"/>
                    <w:tr2bl w:val="nil"/>
                  </w:tcBorders>
                  <w:vAlign w:val="center"/>
                </w:tcPr>
                <w:p w14:paraId="67FA68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2</w:t>
                  </w:r>
                  <w:r>
                    <w:rPr>
                      <w:rFonts w:hint="eastAsia" w:ascii="Times New Roman" w:hAnsi="Times New Roman" w:eastAsia="宋体" w:cs="Times New Roman"/>
                      <w:color w:val="auto"/>
                      <w:sz w:val="21"/>
                      <w:szCs w:val="21"/>
                      <w:highlight w:val="none"/>
                      <w:vertAlign w:val="baseline"/>
                      <w:lang w:val="en-US" w:eastAsia="zh-CN"/>
                    </w:rPr>
                    <w:t>0m</w:t>
                  </w:r>
                </w:p>
              </w:tc>
              <w:tc>
                <w:tcPr>
                  <w:tcW w:w="1128" w:type="pct"/>
                  <w:vMerge w:val="restart"/>
                  <w:tcBorders>
                    <w:tl2br w:val="nil"/>
                    <w:tr2bl w:val="nil"/>
                  </w:tcBorders>
                  <w:vAlign w:val="center"/>
                </w:tcPr>
                <w:p w14:paraId="03A8F6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rPr>
                    <w:t>《声环境质量标准》（GB3096-2008）1类标准</w:t>
                  </w:r>
                </w:p>
              </w:tc>
            </w:tr>
            <w:tr w14:paraId="4FE48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vMerge w:val="continue"/>
                  <w:tcBorders>
                    <w:tl2br w:val="nil"/>
                    <w:tr2bl w:val="nil"/>
                  </w:tcBorders>
                  <w:vAlign w:val="center"/>
                </w:tcPr>
                <w:p w14:paraId="5C3B250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481" w:type="pct"/>
                  <w:vMerge w:val="continue"/>
                  <w:tcBorders>
                    <w:tl2br w:val="nil"/>
                    <w:tr2bl w:val="nil"/>
                  </w:tcBorders>
                  <w:vAlign w:val="center"/>
                </w:tcPr>
                <w:p w14:paraId="60255F2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1138" w:type="pct"/>
                  <w:tcBorders>
                    <w:tl2br w:val="nil"/>
                    <w:tr2bl w:val="nil"/>
                  </w:tcBorders>
                  <w:vAlign w:val="center"/>
                </w:tcPr>
                <w:p w14:paraId="10391A0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居民点</w:t>
                  </w:r>
                </w:p>
              </w:tc>
              <w:tc>
                <w:tcPr>
                  <w:tcW w:w="419" w:type="pct"/>
                  <w:tcBorders>
                    <w:tl2br w:val="nil"/>
                    <w:tr2bl w:val="nil"/>
                  </w:tcBorders>
                  <w:vAlign w:val="center"/>
                </w:tcPr>
                <w:p w14:paraId="6EB305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10户</w:t>
                  </w:r>
                </w:p>
              </w:tc>
              <w:tc>
                <w:tcPr>
                  <w:tcW w:w="918" w:type="pct"/>
                  <w:tcBorders>
                    <w:tl2br w:val="nil"/>
                    <w:tr2bl w:val="nil"/>
                  </w:tcBorders>
                  <w:vAlign w:val="center"/>
                </w:tcPr>
                <w:p w14:paraId="5C1B256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老干渠</w:t>
                  </w:r>
                  <w:r>
                    <w:rPr>
                      <w:rFonts w:hint="eastAsia" w:cs="Times New Roman"/>
                      <w:color w:val="auto"/>
                      <w:sz w:val="21"/>
                      <w:szCs w:val="21"/>
                      <w:highlight w:val="none"/>
                      <w:vertAlign w:val="baseline"/>
                      <w:lang w:val="en-US" w:eastAsia="zh-CN"/>
                    </w:rPr>
                    <w:t>西</w:t>
                  </w:r>
                  <w:r>
                    <w:rPr>
                      <w:rFonts w:hint="eastAsia" w:ascii="Times New Roman" w:hAnsi="Times New Roman" w:eastAsia="宋体" w:cs="Times New Roman"/>
                      <w:color w:val="auto"/>
                      <w:sz w:val="21"/>
                      <w:szCs w:val="21"/>
                      <w:highlight w:val="none"/>
                      <w:vertAlign w:val="baseline"/>
                      <w:lang w:val="en-US" w:eastAsia="zh-CN"/>
                    </w:rPr>
                    <w:t>侧</w:t>
                  </w:r>
                </w:p>
              </w:tc>
              <w:tc>
                <w:tcPr>
                  <w:tcW w:w="479" w:type="pct"/>
                  <w:tcBorders>
                    <w:tl2br w:val="nil"/>
                    <w:tr2bl w:val="nil"/>
                  </w:tcBorders>
                  <w:vAlign w:val="center"/>
                </w:tcPr>
                <w:p w14:paraId="47F9466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4</w:t>
                  </w:r>
                  <w:r>
                    <w:rPr>
                      <w:rFonts w:hint="eastAsia" w:cs="Times New Roman"/>
                      <w:color w:val="auto"/>
                      <w:sz w:val="21"/>
                      <w:szCs w:val="21"/>
                      <w:highlight w:val="none"/>
                      <w:vertAlign w:val="baseline"/>
                      <w:lang w:val="en-US" w:eastAsia="zh-CN"/>
                    </w:rPr>
                    <w:t>5</w:t>
                  </w:r>
                  <w:r>
                    <w:rPr>
                      <w:rFonts w:hint="eastAsia" w:ascii="Times New Roman" w:hAnsi="Times New Roman" w:eastAsia="宋体" w:cs="Times New Roman"/>
                      <w:color w:val="auto"/>
                      <w:sz w:val="21"/>
                      <w:szCs w:val="21"/>
                      <w:highlight w:val="none"/>
                      <w:vertAlign w:val="baseline"/>
                      <w:lang w:val="en-US" w:eastAsia="zh-CN"/>
                    </w:rPr>
                    <w:t>m</w:t>
                  </w:r>
                </w:p>
              </w:tc>
              <w:tc>
                <w:tcPr>
                  <w:tcW w:w="1128" w:type="pct"/>
                  <w:vMerge w:val="continue"/>
                  <w:tcBorders>
                    <w:tl2br w:val="nil"/>
                    <w:tr2bl w:val="nil"/>
                  </w:tcBorders>
                  <w:vAlign w:val="center"/>
                </w:tcPr>
                <w:p w14:paraId="2EA3424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r>
            <w:tr w14:paraId="38210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vMerge w:val="continue"/>
                  <w:tcBorders>
                    <w:tl2br w:val="nil"/>
                    <w:tr2bl w:val="nil"/>
                  </w:tcBorders>
                  <w:vAlign w:val="center"/>
                </w:tcPr>
                <w:p w14:paraId="0575283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481" w:type="pct"/>
                  <w:vMerge w:val="continue"/>
                  <w:tcBorders>
                    <w:tl2br w:val="nil"/>
                    <w:tr2bl w:val="nil"/>
                  </w:tcBorders>
                  <w:vAlign w:val="center"/>
                </w:tcPr>
                <w:p w14:paraId="0B0A2AF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1138" w:type="pct"/>
                  <w:tcBorders>
                    <w:tl2br w:val="nil"/>
                    <w:tr2bl w:val="nil"/>
                  </w:tcBorders>
                  <w:vAlign w:val="center"/>
                </w:tcPr>
                <w:p w14:paraId="2C92279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居民点</w:t>
                  </w:r>
                </w:p>
              </w:tc>
              <w:tc>
                <w:tcPr>
                  <w:tcW w:w="419" w:type="pct"/>
                  <w:tcBorders>
                    <w:tl2br w:val="nil"/>
                    <w:tr2bl w:val="nil"/>
                  </w:tcBorders>
                  <w:vAlign w:val="center"/>
                </w:tcPr>
                <w:p w14:paraId="520041F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5户</w:t>
                  </w:r>
                </w:p>
              </w:tc>
              <w:tc>
                <w:tcPr>
                  <w:tcW w:w="918" w:type="pct"/>
                  <w:tcBorders>
                    <w:tl2br w:val="nil"/>
                    <w:tr2bl w:val="nil"/>
                  </w:tcBorders>
                  <w:vAlign w:val="center"/>
                </w:tcPr>
                <w:p w14:paraId="4F3B29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老干渠东侧</w:t>
                  </w:r>
                </w:p>
              </w:tc>
              <w:tc>
                <w:tcPr>
                  <w:tcW w:w="479" w:type="pct"/>
                  <w:tcBorders>
                    <w:tl2br w:val="nil"/>
                    <w:tr2bl w:val="nil"/>
                  </w:tcBorders>
                  <w:vAlign w:val="center"/>
                </w:tcPr>
                <w:p w14:paraId="48FB52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15</w:t>
                  </w:r>
                  <w:r>
                    <w:rPr>
                      <w:rFonts w:hint="eastAsia" w:ascii="Times New Roman" w:hAnsi="Times New Roman" w:eastAsia="宋体" w:cs="Times New Roman"/>
                      <w:color w:val="auto"/>
                      <w:sz w:val="21"/>
                      <w:szCs w:val="21"/>
                      <w:highlight w:val="none"/>
                      <w:vertAlign w:val="baseline"/>
                      <w:lang w:val="en-US" w:eastAsia="zh-CN"/>
                    </w:rPr>
                    <w:t>m</w:t>
                  </w:r>
                </w:p>
              </w:tc>
              <w:tc>
                <w:tcPr>
                  <w:tcW w:w="1128" w:type="pct"/>
                  <w:vMerge w:val="continue"/>
                  <w:tcBorders>
                    <w:tl2br w:val="nil"/>
                    <w:tr2bl w:val="nil"/>
                  </w:tcBorders>
                  <w:vAlign w:val="center"/>
                </w:tcPr>
                <w:p w14:paraId="19D2203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r>
            <w:tr w14:paraId="6680F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vMerge w:val="continue"/>
                  <w:tcBorders>
                    <w:tl2br w:val="nil"/>
                    <w:tr2bl w:val="nil"/>
                  </w:tcBorders>
                  <w:vAlign w:val="center"/>
                </w:tcPr>
                <w:p w14:paraId="2AF725F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481" w:type="pct"/>
                  <w:vMerge w:val="continue"/>
                  <w:tcBorders>
                    <w:tl2br w:val="nil"/>
                    <w:tr2bl w:val="nil"/>
                  </w:tcBorders>
                  <w:vAlign w:val="center"/>
                </w:tcPr>
                <w:p w14:paraId="2B9C30F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1138" w:type="pct"/>
                  <w:tcBorders>
                    <w:tl2br w:val="nil"/>
                    <w:tr2bl w:val="nil"/>
                  </w:tcBorders>
                  <w:vAlign w:val="center"/>
                </w:tcPr>
                <w:p w14:paraId="4498575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奇台农场（八道滩）二十六连连队管理委员会</w:t>
                  </w:r>
                </w:p>
              </w:tc>
              <w:tc>
                <w:tcPr>
                  <w:tcW w:w="419" w:type="pct"/>
                  <w:tcBorders>
                    <w:tl2br w:val="nil"/>
                    <w:tr2bl w:val="nil"/>
                  </w:tcBorders>
                  <w:vAlign w:val="center"/>
                </w:tcPr>
                <w:p w14:paraId="0ABD4DC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10户</w:t>
                  </w:r>
                </w:p>
              </w:tc>
              <w:tc>
                <w:tcPr>
                  <w:tcW w:w="918" w:type="pct"/>
                  <w:tcBorders>
                    <w:tl2br w:val="nil"/>
                    <w:tr2bl w:val="nil"/>
                  </w:tcBorders>
                  <w:vAlign w:val="center"/>
                </w:tcPr>
                <w:p w14:paraId="7E113B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老干渠东侧</w:t>
                  </w:r>
                </w:p>
              </w:tc>
              <w:tc>
                <w:tcPr>
                  <w:tcW w:w="479" w:type="pct"/>
                  <w:tcBorders>
                    <w:tl2br w:val="nil"/>
                    <w:tr2bl w:val="nil"/>
                  </w:tcBorders>
                  <w:vAlign w:val="center"/>
                </w:tcPr>
                <w:p w14:paraId="5CF7293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20m</w:t>
                  </w:r>
                </w:p>
              </w:tc>
              <w:tc>
                <w:tcPr>
                  <w:tcW w:w="1128" w:type="pct"/>
                  <w:vMerge w:val="continue"/>
                  <w:tcBorders>
                    <w:tl2br w:val="nil"/>
                    <w:tr2bl w:val="nil"/>
                  </w:tcBorders>
                  <w:vAlign w:val="center"/>
                </w:tcPr>
                <w:p w14:paraId="2D338D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r>
            <w:tr w14:paraId="31344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vMerge w:val="continue"/>
                  <w:tcBorders>
                    <w:tl2br w:val="nil"/>
                    <w:tr2bl w:val="nil"/>
                  </w:tcBorders>
                  <w:vAlign w:val="center"/>
                </w:tcPr>
                <w:p w14:paraId="1CC2336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481" w:type="pct"/>
                  <w:tcBorders>
                    <w:tl2br w:val="nil"/>
                    <w:tr2bl w:val="nil"/>
                  </w:tcBorders>
                  <w:vAlign w:val="center"/>
                </w:tcPr>
                <w:p w14:paraId="04869400">
                  <w:pPr>
                    <w:adjustRightInd w:val="0"/>
                    <w:snapToGrid w:val="0"/>
                    <w:jc w:val="center"/>
                    <w:textAlignment w:val="baseline"/>
                    <w:rPr>
                      <w:rFonts w:hint="default" w:ascii="Times New Roman" w:hAnsi="Times New Roman" w:eastAsia="宋体" w:cs="Times New Roman"/>
                      <w:color w:val="auto"/>
                      <w:sz w:val="21"/>
                      <w:szCs w:val="21"/>
                      <w:vertAlign w:val="baseline"/>
                    </w:rPr>
                  </w:pPr>
                  <w:r>
                    <w:rPr>
                      <w:rFonts w:hint="eastAsia"/>
                      <w:color w:val="auto"/>
                      <w:kern w:val="0"/>
                      <w:szCs w:val="21"/>
                      <w:highlight w:val="none"/>
                    </w:rPr>
                    <w:t>地表水</w:t>
                  </w:r>
                </w:p>
              </w:tc>
              <w:tc>
                <w:tcPr>
                  <w:tcW w:w="1138" w:type="pct"/>
                  <w:tcBorders>
                    <w:tl2br w:val="nil"/>
                    <w:tr2bl w:val="nil"/>
                  </w:tcBorders>
                  <w:vAlign w:val="center"/>
                </w:tcPr>
                <w:p w14:paraId="3E86BD74">
                  <w:pPr>
                    <w:adjustRightInd w:val="0"/>
                    <w:snapToGrid w:val="0"/>
                    <w:jc w:val="center"/>
                    <w:textAlignment w:val="baseline"/>
                    <w:rPr>
                      <w:rFonts w:hint="default" w:ascii="Times New Roman" w:hAnsi="Times New Roman" w:eastAsia="宋体" w:cs="Times New Roman"/>
                      <w:color w:val="auto"/>
                      <w:sz w:val="21"/>
                      <w:szCs w:val="21"/>
                      <w:vertAlign w:val="baseline"/>
                      <w:lang w:val="en-US" w:eastAsia="zh-CN"/>
                    </w:rPr>
                  </w:pPr>
                  <w:r>
                    <w:rPr>
                      <w:rFonts w:hint="eastAsia" w:eastAsia="宋体"/>
                      <w:color w:val="auto"/>
                      <w:kern w:val="0"/>
                      <w:szCs w:val="21"/>
                      <w:highlight w:val="none"/>
                      <w:lang w:val="en-US" w:eastAsia="zh-CN"/>
                    </w:rPr>
                    <w:t>开垦河</w:t>
                  </w:r>
                </w:p>
              </w:tc>
              <w:tc>
                <w:tcPr>
                  <w:tcW w:w="419" w:type="pct"/>
                  <w:tcBorders>
                    <w:tl2br w:val="nil"/>
                    <w:tr2bl w:val="nil"/>
                  </w:tcBorders>
                  <w:vAlign w:val="center"/>
                </w:tcPr>
                <w:p w14:paraId="2F53A541">
                  <w:pPr>
                    <w:adjustRightInd w:val="0"/>
                    <w:snapToGrid w:val="0"/>
                    <w:jc w:val="center"/>
                    <w:textAlignment w:val="baseline"/>
                    <w:rPr>
                      <w:rFonts w:hint="eastAsia" w:ascii="Times New Roman" w:hAnsi="Times New Roman" w:eastAsia="宋体" w:cs="Times New Roman"/>
                      <w:color w:val="auto"/>
                      <w:sz w:val="21"/>
                      <w:szCs w:val="21"/>
                      <w:vertAlign w:val="baseline"/>
                      <w:lang w:val="en-US" w:eastAsia="zh-CN"/>
                    </w:rPr>
                  </w:pPr>
                  <w:r>
                    <w:rPr>
                      <w:rFonts w:hint="eastAsia"/>
                      <w:color w:val="auto"/>
                      <w:kern w:val="0"/>
                      <w:szCs w:val="21"/>
                      <w:highlight w:val="none"/>
                    </w:rPr>
                    <w:t>项目区</w:t>
                  </w:r>
                </w:p>
              </w:tc>
              <w:tc>
                <w:tcPr>
                  <w:tcW w:w="918" w:type="pct"/>
                  <w:tcBorders>
                    <w:tl2br w:val="nil"/>
                    <w:tr2bl w:val="nil"/>
                  </w:tcBorders>
                  <w:vAlign w:val="center"/>
                </w:tcPr>
                <w:p w14:paraId="50E0C59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w:t>
                  </w:r>
                </w:p>
              </w:tc>
              <w:tc>
                <w:tcPr>
                  <w:tcW w:w="479" w:type="pct"/>
                  <w:tcBorders>
                    <w:tl2br w:val="nil"/>
                    <w:tr2bl w:val="nil"/>
                  </w:tcBorders>
                  <w:vAlign w:val="center"/>
                </w:tcPr>
                <w:p w14:paraId="5E8FDDF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w:t>
                  </w:r>
                </w:p>
              </w:tc>
              <w:tc>
                <w:tcPr>
                  <w:tcW w:w="1128" w:type="pct"/>
                  <w:tcBorders>
                    <w:tl2br w:val="nil"/>
                    <w:tr2bl w:val="nil"/>
                  </w:tcBorders>
                  <w:vAlign w:val="center"/>
                </w:tcPr>
                <w:p w14:paraId="32A30B0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rPr>
                    <w:t>《地表水环境质量标准》（GB3838-2002）Ⅲ类标准</w:t>
                  </w:r>
                </w:p>
              </w:tc>
            </w:tr>
            <w:tr w14:paraId="063EE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80" w:hRule="atLeast"/>
              </w:trPr>
              <w:tc>
                <w:tcPr>
                  <w:tcW w:w="434" w:type="pct"/>
                  <w:vMerge w:val="continue"/>
                  <w:tcBorders>
                    <w:tl2br w:val="nil"/>
                    <w:tr2bl w:val="nil"/>
                  </w:tcBorders>
                  <w:vAlign w:val="center"/>
                </w:tcPr>
                <w:p w14:paraId="3D62735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481" w:type="pct"/>
                  <w:tcBorders>
                    <w:tl2br w:val="nil"/>
                    <w:tr2bl w:val="nil"/>
                  </w:tcBorders>
                  <w:vAlign w:val="center"/>
                </w:tcPr>
                <w:p w14:paraId="2BEDEFD9">
                  <w:pPr>
                    <w:adjustRightInd w:val="0"/>
                    <w:snapToGrid w:val="0"/>
                    <w:jc w:val="center"/>
                    <w:textAlignment w:val="baseline"/>
                    <w:rPr>
                      <w:rFonts w:hint="eastAsia"/>
                      <w:color w:val="auto"/>
                      <w:kern w:val="0"/>
                      <w:szCs w:val="21"/>
                      <w:highlight w:val="none"/>
                    </w:rPr>
                  </w:pPr>
                  <w:r>
                    <w:rPr>
                      <w:rFonts w:hint="eastAsia"/>
                      <w:color w:val="auto"/>
                      <w:kern w:val="0"/>
                      <w:szCs w:val="21"/>
                      <w:highlight w:val="none"/>
                    </w:rPr>
                    <w:t>生态环境</w:t>
                  </w:r>
                </w:p>
              </w:tc>
              <w:tc>
                <w:tcPr>
                  <w:tcW w:w="1138" w:type="pct"/>
                  <w:tcBorders>
                    <w:tl2br w:val="nil"/>
                    <w:tr2bl w:val="nil"/>
                  </w:tcBorders>
                  <w:vAlign w:val="center"/>
                </w:tcPr>
                <w:p w14:paraId="1558CC9C">
                  <w:pPr>
                    <w:adjustRightInd w:val="0"/>
                    <w:snapToGrid w:val="0"/>
                    <w:jc w:val="center"/>
                    <w:textAlignment w:val="baseline"/>
                    <w:rPr>
                      <w:rFonts w:hint="eastAsia"/>
                      <w:color w:val="auto"/>
                      <w:kern w:val="0"/>
                      <w:szCs w:val="21"/>
                      <w:highlight w:val="none"/>
                    </w:rPr>
                  </w:pPr>
                  <w:r>
                    <w:rPr>
                      <w:rFonts w:hint="eastAsia"/>
                      <w:color w:val="auto"/>
                      <w:kern w:val="0"/>
                      <w:szCs w:val="21"/>
                      <w:highlight w:val="none"/>
                    </w:rPr>
                    <w:t>耕地、自然植被、野生动物</w:t>
                  </w:r>
                </w:p>
              </w:tc>
              <w:tc>
                <w:tcPr>
                  <w:tcW w:w="419" w:type="pct"/>
                  <w:tcBorders>
                    <w:tl2br w:val="nil"/>
                    <w:tr2bl w:val="nil"/>
                  </w:tcBorders>
                  <w:vAlign w:val="center"/>
                </w:tcPr>
                <w:p w14:paraId="4AD5F590">
                  <w:pPr>
                    <w:adjustRightInd w:val="0"/>
                    <w:snapToGrid w:val="0"/>
                    <w:jc w:val="center"/>
                    <w:textAlignment w:val="baseline"/>
                    <w:rPr>
                      <w:rFonts w:hint="eastAsia"/>
                      <w:color w:val="auto"/>
                      <w:kern w:val="0"/>
                      <w:szCs w:val="21"/>
                      <w:highlight w:val="none"/>
                    </w:rPr>
                  </w:pPr>
                  <w:r>
                    <w:rPr>
                      <w:rFonts w:hint="eastAsia"/>
                      <w:color w:val="auto"/>
                      <w:kern w:val="0"/>
                      <w:szCs w:val="21"/>
                      <w:highlight w:val="none"/>
                    </w:rPr>
                    <w:t>项目区沿线</w:t>
                  </w:r>
                </w:p>
              </w:tc>
              <w:tc>
                <w:tcPr>
                  <w:tcW w:w="918" w:type="pct"/>
                  <w:tcBorders>
                    <w:tl2br w:val="nil"/>
                    <w:tr2bl w:val="nil"/>
                  </w:tcBorders>
                  <w:vAlign w:val="center"/>
                </w:tcPr>
                <w:p w14:paraId="6B671DD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w:t>
                  </w:r>
                </w:p>
              </w:tc>
              <w:tc>
                <w:tcPr>
                  <w:tcW w:w="479" w:type="pct"/>
                  <w:tcBorders>
                    <w:tl2br w:val="nil"/>
                    <w:tr2bl w:val="nil"/>
                  </w:tcBorders>
                  <w:vAlign w:val="center"/>
                </w:tcPr>
                <w:p w14:paraId="6E5F3AD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w:t>
                  </w:r>
                </w:p>
              </w:tc>
              <w:tc>
                <w:tcPr>
                  <w:tcW w:w="1128" w:type="pct"/>
                  <w:tcBorders>
                    <w:tl2br w:val="nil"/>
                    <w:tr2bl w:val="nil"/>
                  </w:tcBorders>
                  <w:vAlign w:val="center"/>
                </w:tcPr>
                <w:p w14:paraId="590BB36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rPr>
                    <w:t>保护区域植被、生物多样性</w:t>
                  </w:r>
                </w:p>
              </w:tc>
            </w:tr>
          </w:tbl>
          <w:p w14:paraId="2C7E4B36">
            <w:pPr>
              <w:adjustRightInd w:val="0"/>
              <w:snapToGrid w:val="0"/>
              <w:spacing w:line="360" w:lineRule="auto"/>
              <w:jc w:val="both"/>
              <w:rPr>
                <w:rFonts w:hint="default" w:ascii="Times New Roman" w:hAnsi="Times New Roman" w:cs="Times New Roman"/>
                <w:color w:val="auto"/>
                <w:sz w:val="24"/>
              </w:rPr>
            </w:pPr>
          </w:p>
        </w:tc>
      </w:tr>
      <w:tr w14:paraId="39E8C2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82" w:hRule="atLeast"/>
          <w:jc w:val="center"/>
        </w:trPr>
        <w:tc>
          <w:tcPr>
            <w:tcW w:w="323" w:type="pct"/>
            <w:noWrap w:val="0"/>
            <w:vAlign w:val="center"/>
          </w:tcPr>
          <w:p w14:paraId="23BBCE16">
            <w:pPr>
              <w:adjustRightInd w:val="0"/>
              <w:snapToGrid w:val="0"/>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评价</w:t>
            </w:r>
          </w:p>
          <w:p w14:paraId="21B6FE3D">
            <w:pPr>
              <w:adjustRightInd w:val="0"/>
              <w:snapToGrid w:val="0"/>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标准</w:t>
            </w:r>
          </w:p>
        </w:tc>
        <w:tc>
          <w:tcPr>
            <w:tcW w:w="4676" w:type="pct"/>
            <w:noWrap w:val="0"/>
            <w:vAlign w:val="center"/>
          </w:tcPr>
          <w:p w14:paraId="47AC7296">
            <w:pPr>
              <w:keepNext w:val="0"/>
              <w:keepLines w:val="0"/>
              <w:pageBreakBefore w:val="0"/>
              <w:widowControl w:val="0"/>
              <w:numPr>
                <w:ilvl w:val="0"/>
                <w:numId w:val="9"/>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环境质量标准</w:t>
            </w:r>
          </w:p>
          <w:p w14:paraId="6EDEB1F4">
            <w:pPr>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《环境空气质量标准》（GB3095-20</w:t>
            </w:r>
            <w:r>
              <w:rPr>
                <w:rFonts w:hint="eastAsia" w:cs="Times New Roman"/>
                <w:color w:val="auto"/>
                <w:sz w:val="24"/>
                <w:lang w:val="en-US" w:eastAsia="zh-CN"/>
              </w:rPr>
              <w:t>26</w:t>
            </w:r>
            <w:r>
              <w:rPr>
                <w:rFonts w:hint="default" w:ascii="Times New Roman" w:hAnsi="Times New Roman" w:eastAsia="宋体" w:cs="Times New Roman"/>
                <w:color w:val="auto"/>
                <w:sz w:val="24"/>
              </w:rPr>
              <w:t>）</w:t>
            </w:r>
            <w:r>
              <w:rPr>
                <w:rFonts w:hint="default" w:ascii="Times New Roman" w:hAnsi="Times New Roman" w:eastAsia="宋体" w:cs="Times New Roman"/>
                <w:color w:val="auto"/>
                <w:sz w:val="24"/>
                <w:lang w:val="en-US" w:eastAsia="zh-CN"/>
              </w:rPr>
              <w:t>过渡阶段浓度限值（二级）</w:t>
            </w:r>
            <w:r>
              <w:rPr>
                <w:rFonts w:hint="default" w:ascii="Times New Roman" w:hAnsi="Times New Roman" w:eastAsia="宋体" w:cs="Times New Roman"/>
                <w:color w:val="auto"/>
                <w:sz w:val="24"/>
              </w:rPr>
              <w:t>；</w:t>
            </w:r>
          </w:p>
          <w:p w14:paraId="08FE7DEE">
            <w:pPr>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imes New Roman" w:hAnsi="Times New Roman" w:eastAsia="宋体" w:cs="Times New Roman"/>
                <w:color w:val="auto"/>
                <w:sz w:val="24"/>
                <w:lang w:eastAsia="zh-CN"/>
              </w:rPr>
            </w:pPr>
            <w:r>
              <w:rPr>
                <w:rFonts w:hint="default" w:ascii="Times New Roman" w:hAnsi="Times New Roman" w:eastAsia="宋体" w:cs="Times New Roman"/>
                <w:color w:val="auto"/>
                <w:sz w:val="24"/>
              </w:rPr>
              <w:t>《声环境质量标准》（GB3096-2008）中</w:t>
            </w:r>
            <w:r>
              <w:rPr>
                <w:rFonts w:hint="eastAsia" w:ascii="Times New Roman" w:hAnsi="Times New Roman" w:eastAsia="宋体" w:cs="Times New Roman"/>
                <w:color w:val="auto"/>
                <w:sz w:val="24"/>
                <w:lang w:val="en-US" w:eastAsia="zh-CN"/>
              </w:rPr>
              <w:t>1</w:t>
            </w:r>
            <w:r>
              <w:rPr>
                <w:rFonts w:hint="default" w:ascii="Times New Roman" w:hAnsi="Times New Roman" w:eastAsia="宋体" w:cs="Times New Roman"/>
                <w:color w:val="auto"/>
                <w:sz w:val="24"/>
              </w:rPr>
              <w:t>类标准</w:t>
            </w:r>
            <w:r>
              <w:rPr>
                <w:rFonts w:hint="eastAsia" w:ascii="Times New Roman" w:hAnsi="Times New Roman" w:eastAsia="宋体" w:cs="Times New Roman"/>
                <w:color w:val="auto"/>
                <w:sz w:val="24"/>
                <w:lang w:eastAsia="zh-CN"/>
              </w:rPr>
              <w:t>。</w:t>
            </w:r>
          </w:p>
          <w:p w14:paraId="43E6C892">
            <w:pPr>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imes New Roman" w:hAnsi="Times New Roman" w:eastAsia="宋体" w:cs="Times New Roman"/>
                <w:color w:val="auto"/>
                <w:sz w:val="24"/>
                <w:lang w:eastAsia="zh-CN"/>
              </w:rPr>
            </w:pPr>
            <w:r>
              <w:rPr>
                <w:rFonts w:hint="eastAsia" w:ascii="Times New Roman" w:hAnsi="Times New Roman" w:eastAsia="宋体" w:cs="Times New Roman"/>
                <w:color w:val="auto"/>
                <w:sz w:val="24"/>
              </w:rPr>
              <w:t>《地表水环境质量标准》（GB3838-2002）中的</w:t>
            </w:r>
            <w:r>
              <w:rPr>
                <w:rFonts w:hint="default" w:ascii="Times New Roman" w:hAnsi="Times New Roman" w:eastAsia="宋体" w:cs="Times New Roman"/>
                <w:color w:val="auto"/>
                <w:sz w:val="24"/>
              </w:rPr>
              <w:t>Ⅲ</w:t>
            </w:r>
            <w:r>
              <w:rPr>
                <w:rFonts w:hint="eastAsia" w:ascii="Times New Roman" w:hAnsi="Times New Roman" w:eastAsia="宋体" w:cs="Times New Roman"/>
                <w:color w:val="auto"/>
                <w:sz w:val="24"/>
              </w:rPr>
              <w:t>类标准</w:t>
            </w:r>
            <w:r>
              <w:rPr>
                <w:rFonts w:hint="eastAsia" w:ascii="Times New Roman" w:hAnsi="Times New Roman" w:eastAsia="宋体" w:cs="Times New Roman"/>
                <w:color w:val="auto"/>
                <w:sz w:val="24"/>
                <w:lang w:eastAsia="zh-CN"/>
              </w:rPr>
              <w:t>；</w:t>
            </w:r>
          </w:p>
          <w:p w14:paraId="467645A8">
            <w:pPr>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color w:val="auto"/>
                <w:lang w:eastAsia="zh-CN"/>
              </w:rPr>
            </w:pPr>
            <w:r>
              <w:rPr>
                <w:rFonts w:hint="eastAsia" w:ascii="Times New Roman" w:hAnsi="Times New Roman" w:eastAsia="宋体" w:cs="Times New Roman"/>
                <w:color w:val="auto"/>
                <w:sz w:val="24"/>
              </w:rPr>
              <w:t>《土壤环境质量农用地土壤污染风险管控标准（试行）》（GB15618—2018）筛选值</w:t>
            </w:r>
            <w:r>
              <w:rPr>
                <w:rFonts w:hint="eastAsia" w:ascii="Times New Roman" w:hAnsi="Times New Roman" w:eastAsia="宋体" w:cs="Times New Roman"/>
                <w:color w:val="auto"/>
                <w:sz w:val="24"/>
                <w:lang w:eastAsia="zh-CN"/>
              </w:rPr>
              <w:t>。</w:t>
            </w:r>
          </w:p>
          <w:p w14:paraId="62097F47">
            <w:pPr>
              <w:keepNext w:val="0"/>
              <w:keepLines w:val="0"/>
              <w:pageBreakBefore w:val="0"/>
              <w:widowControl w:val="0"/>
              <w:numPr>
                <w:ilvl w:val="0"/>
                <w:numId w:val="9"/>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污染物排放标准</w:t>
            </w:r>
          </w:p>
          <w:p w14:paraId="71E4BAC7">
            <w:pPr>
              <w:pStyle w:val="40"/>
              <w:keepNext w:val="0"/>
              <w:keepLines w:val="0"/>
              <w:pageBreakBefore w:val="0"/>
              <w:widowControl w:val="0"/>
              <w:kinsoku/>
              <w:wordWrap/>
              <w:overflowPunct/>
              <w:topLinePunct w:val="0"/>
              <w:autoSpaceDE/>
              <w:autoSpaceDN/>
              <w:bidi w:val="0"/>
              <w:adjustRightInd w:val="0"/>
              <w:snapToGrid w:val="0"/>
              <w:spacing w:before="0" w:line="360" w:lineRule="auto"/>
              <w:ind w:firstLine="480" w:firstLineChars="200"/>
              <w:textAlignment w:val="auto"/>
              <w:rPr>
                <w:rFonts w:hint="default" w:ascii="Times New Roman" w:hAnsi="Times New Roman" w:cs="Times New Roman"/>
                <w:color w:val="auto"/>
                <w:szCs w:val="24"/>
              </w:rPr>
            </w:pPr>
            <w:r>
              <w:rPr>
                <w:rFonts w:hint="default" w:ascii="Times New Roman" w:hAnsi="Times New Roman" w:cs="Times New Roman"/>
                <w:color w:val="auto"/>
                <w:szCs w:val="24"/>
              </w:rPr>
              <w:t>（1）施工期噪声执行《建筑施工噪声排放标准》（</w:t>
            </w:r>
            <w:r>
              <w:rPr>
                <w:rFonts w:hint="default" w:ascii="Times New Roman" w:hAnsi="Times New Roman" w:cs="Times New Roman"/>
                <w:color w:val="auto"/>
                <w:szCs w:val="24"/>
                <w:lang w:eastAsia="zh-CN"/>
              </w:rPr>
              <w:t>GB12523-2025</w:t>
            </w:r>
            <w:r>
              <w:rPr>
                <w:rFonts w:hint="default" w:ascii="Times New Roman" w:hAnsi="Times New Roman" w:cs="Times New Roman"/>
                <w:color w:val="auto"/>
                <w:szCs w:val="24"/>
              </w:rPr>
              <w:t>）标准昼间70dB(A</w:t>
            </w:r>
            <w:r>
              <w:rPr>
                <w:rFonts w:hint="eastAsia" w:ascii="Times New Roman" w:cs="Times New Roman"/>
                <w:color w:val="auto"/>
                <w:szCs w:val="24"/>
                <w:lang w:eastAsia="zh-CN"/>
              </w:rPr>
              <w:t>）</w:t>
            </w:r>
            <w:r>
              <w:rPr>
                <w:rFonts w:hint="default" w:ascii="Times New Roman" w:hAnsi="Times New Roman" w:cs="Times New Roman"/>
                <w:color w:val="auto"/>
                <w:szCs w:val="24"/>
              </w:rPr>
              <w:t>，夜间55dB(A</w:t>
            </w:r>
            <w:r>
              <w:rPr>
                <w:rFonts w:hint="eastAsia" w:ascii="Times New Roman" w:cs="Times New Roman"/>
                <w:color w:val="auto"/>
                <w:szCs w:val="24"/>
                <w:lang w:eastAsia="zh-CN"/>
              </w:rPr>
              <w:t>）</w:t>
            </w:r>
            <w:r>
              <w:rPr>
                <w:rFonts w:hint="default" w:ascii="Times New Roman" w:hAnsi="Times New Roman" w:cs="Times New Roman"/>
                <w:color w:val="auto"/>
                <w:szCs w:val="24"/>
              </w:rPr>
              <w:t>）；</w:t>
            </w:r>
          </w:p>
          <w:p w14:paraId="47C6135D">
            <w:pPr>
              <w:pStyle w:val="40"/>
              <w:keepNext w:val="0"/>
              <w:keepLines w:val="0"/>
              <w:pageBreakBefore w:val="0"/>
              <w:widowControl w:val="0"/>
              <w:kinsoku/>
              <w:wordWrap/>
              <w:overflowPunct/>
              <w:topLinePunct w:val="0"/>
              <w:autoSpaceDE/>
              <w:autoSpaceDN/>
              <w:bidi w:val="0"/>
              <w:adjustRightInd w:val="0"/>
              <w:snapToGrid w:val="0"/>
              <w:spacing w:before="0" w:line="360" w:lineRule="auto"/>
              <w:ind w:firstLine="480" w:firstLineChars="200"/>
              <w:textAlignment w:val="auto"/>
              <w:rPr>
                <w:rFonts w:hint="default" w:ascii="Times New Roman" w:hAnsi="Times New Roman" w:cs="Times New Roman"/>
                <w:color w:val="auto"/>
                <w:szCs w:val="24"/>
              </w:rPr>
            </w:pPr>
            <w:r>
              <w:rPr>
                <w:rFonts w:hint="default" w:ascii="Times New Roman" w:hAnsi="Times New Roman" w:cs="Times New Roman"/>
                <w:color w:val="auto"/>
                <w:szCs w:val="24"/>
              </w:rPr>
              <w:t>（2）施工期粉尘执行《大气污染物综合排放标准》（</w:t>
            </w:r>
            <w:r>
              <w:rPr>
                <w:rFonts w:hint="eastAsia" w:ascii="Times New Roman" w:cs="Times New Roman"/>
                <w:color w:val="auto"/>
                <w:szCs w:val="24"/>
                <w:lang w:eastAsia="zh-CN"/>
              </w:rPr>
              <w:t>GB16297</w:t>
            </w:r>
            <w:r>
              <w:rPr>
                <w:rFonts w:hint="default" w:ascii="Times New Roman" w:hAnsi="Times New Roman" w:cs="Times New Roman"/>
                <w:color w:val="auto"/>
                <w:szCs w:val="24"/>
              </w:rPr>
              <w:t>-1996）</w:t>
            </w:r>
            <w:r>
              <w:rPr>
                <w:rFonts w:hint="eastAsia" w:ascii="Times New Roman" w:cs="Times New Roman"/>
                <w:color w:val="auto"/>
                <w:szCs w:val="24"/>
                <w:lang w:val="en-US" w:eastAsia="zh-CN"/>
              </w:rPr>
              <w:t>相关</w:t>
            </w:r>
            <w:r>
              <w:rPr>
                <w:rFonts w:hint="default" w:ascii="Times New Roman" w:hAnsi="Times New Roman" w:cs="Times New Roman"/>
                <w:color w:val="auto"/>
                <w:szCs w:val="24"/>
              </w:rPr>
              <w:t>浓度限值；</w:t>
            </w:r>
          </w:p>
          <w:p w14:paraId="4C1F70DC">
            <w:pPr>
              <w:pStyle w:val="40"/>
              <w:keepNext w:val="0"/>
              <w:keepLines w:val="0"/>
              <w:pageBreakBefore w:val="0"/>
              <w:widowControl w:val="0"/>
              <w:kinsoku/>
              <w:wordWrap/>
              <w:overflowPunct/>
              <w:topLinePunct w:val="0"/>
              <w:autoSpaceDE/>
              <w:autoSpaceDN/>
              <w:bidi w:val="0"/>
              <w:adjustRightInd w:val="0"/>
              <w:snapToGrid w:val="0"/>
              <w:spacing w:before="0" w:line="360" w:lineRule="auto"/>
              <w:ind w:firstLine="480" w:firstLineChars="200"/>
              <w:textAlignment w:val="auto"/>
              <w:rPr>
                <w:rFonts w:hint="default" w:ascii="Times New Roman" w:hAnsi="Times New Roman" w:cs="Times New Roman"/>
                <w:color w:val="auto"/>
                <w:szCs w:val="24"/>
              </w:rPr>
            </w:pPr>
            <w:r>
              <w:rPr>
                <w:rFonts w:hint="default" w:ascii="Times New Roman" w:hAnsi="Times New Roman" w:cs="Times New Roman"/>
                <w:color w:val="auto"/>
                <w:szCs w:val="24"/>
                <w:lang w:eastAsia="zh-CN"/>
              </w:rPr>
              <w:t>（</w:t>
            </w:r>
            <w:r>
              <w:rPr>
                <w:rFonts w:hint="default" w:ascii="Times New Roman" w:hAnsi="Times New Roman" w:cs="Times New Roman"/>
                <w:color w:val="auto"/>
                <w:szCs w:val="24"/>
                <w:lang w:val="en-US" w:eastAsia="zh-CN"/>
              </w:rPr>
              <w:t>3</w:t>
            </w:r>
            <w:r>
              <w:rPr>
                <w:rFonts w:hint="default" w:ascii="Times New Roman" w:hAnsi="Times New Roman" w:cs="Times New Roman"/>
                <w:color w:val="auto"/>
                <w:szCs w:val="24"/>
                <w:lang w:eastAsia="zh-CN"/>
              </w:rPr>
              <w:t>）</w:t>
            </w:r>
            <w:r>
              <w:rPr>
                <w:rFonts w:hint="default" w:ascii="Times New Roman" w:hAnsi="Times New Roman" w:eastAsia="宋体" w:cs="Times New Roman"/>
                <w:color w:val="auto"/>
                <w:kern w:val="2"/>
                <w:szCs w:val="22"/>
                <w:lang w:val="en-US" w:eastAsia="zh-CN" w:bidi="ar-SA"/>
              </w:rPr>
              <w:t>生活污水执行《污水综合排放标准》（GB8978-1996）中三级标准</w:t>
            </w:r>
            <w:r>
              <w:rPr>
                <w:rFonts w:hint="default" w:ascii="Times New Roman" w:hAnsi="Times New Roman" w:cs="Times New Roman"/>
                <w:color w:val="auto"/>
                <w:kern w:val="2"/>
                <w:szCs w:val="22"/>
                <w:lang w:val="en-US" w:eastAsia="zh-CN" w:bidi="ar-SA"/>
              </w:rPr>
              <w:t>。</w:t>
            </w:r>
          </w:p>
          <w:p w14:paraId="035C0B8B">
            <w:pPr>
              <w:pStyle w:val="40"/>
              <w:keepNext w:val="0"/>
              <w:keepLines w:val="0"/>
              <w:pageBreakBefore w:val="0"/>
              <w:widowControl w:val="0"/>
              <w:kinsoku/>
              <w:wordWrap/>
              <w:overflowPunct/>
              <w:topLinePunct w:val="0"/>
              <w:autoSpaceDE/>
              <w:autoSpaceDN/>
              <w:bidi w:val="0"/>
              <w:adjustRightInd w:val="0"/>
              <w:snapToGrid w:val="0"/>
              <w:spacing w:before="0" w:line="360" w:lineRule="auto"/>
              <w:ind w:firstLine="480" w:firstLineChars="200"/>
              <w:textAlignment w:val="auto"/>
              <w:rPr>
                <w:rFonts w:hint="default" w:ascii="Times New Roman" w:hAnsi="Times New Roman" w:cs="Times New Roman"/>
                <w:color w:val="auto"/>
                <w:lang w:eastAsia="zh-CN"/>
              </w:rPr>
            </w:pPr>
            <w:r>
              <w:rPr>
                <w:rFonts w:hint="default" w:ascii="Times New Roman" w:hAnsi="Times New Roman" w:cs="Times New Roman"/>
                <w:color w:val="auto"/>
                <w:lang w:eastAsia="zh-CN"/>
              </w:rPr>
              <w:t>（</w:t>
            </w:r>
            <w:r>
              <w:rPr>
                <w:rFonts w:hint="eastAsia" w:ascii="Times New Roman" w:cs="Times New Roman"/>
                <w:color w:val="auto"/>
                <w:lang w:val="en-US" w:eastAsia="zh-CN"/>
              </w:rPr>
              <w:t>4</w:t>
            </w:r>
            <w:r>
              <w:rPr>
                <w:rFonts w:hint="default" w:ascii="Times New Roman" w:hAnsi="Times New Roman" w:cs="Times New Roman"/>
                <w:color w:val="auto"/>
                <w:lang w:eastAsia="zh-CN"/>
              </w:rPr>
              <w:t>）运营期噪声执行</w:t>
            </w:r>
            <w:r>
              <w:rPr>
                <w:rFonts w:hint="default" w:ascii="Times New Roman" w:hAnsi="Times New Roman" w:cs="Times New Roman"/>
                <w:color w:val="auto"/>
                <w:lang w:val="en-US" w:eastAsia="zh-CN"/>
              </w:rPr>
              <w:t>《工业企业厂界环境噪声排放标准》（GB12348-2008）1类声环境功能区对应的厂界噪声排放标准要求</w:t>
            </w:r>
            <w:r>
              <w:rPr>
                <w:rFonts w:hint="default" w:ascii="Times New Roman" w:hAnsi="Times New Roman" w:cs="Times New Roman"/>
                <w:color w:val="auto"/>
                <w:lang w:eastAsia="zh-CN"/>
              </w:rPr>
              <w:t>；</w:t>
            </w:r>
          </w:p>
          <w:p w14:paraId="3948C00C">
            <w:pPr>
              <w:pStyle w:val="40"/>
              <w:keepNext w:val="0"/>
              <w:keepLines w:val="0"/>
              <w:pageBreakBefore w:val="0"/>
              <w:widowControl w:val="0"/>
              <w:kinsoku/>
              <w:wordWrap/>
              <w:overflowPunct/>
              <w:topLinePunct w:val="0"/>
              <w:autoSpaceDE/>
              <w:autoSpaceDN/>
              <w:bidi w:val="0"/>
              <w:adjustRightInd w:val="0"/>
              <w:snapToGrid w:val="0"/>
              <w:spacing w:before="0" w:line="360" w:lineRule="auto"/>
              <w:ind w:firstLine="480" w:firstLineChars="200"/>
              <w:textAlignment w:val="auto"/>
              <w:rPr>
                <w:rFonts w:hint="default" w:ascii="Times New Roman" w:hAnsi="Times New Roman" w:cs="Times New Roman"/>
                <w:color w:val="auto"/>
                <w:szCs w:val="24"/>
              </w:rPr>
            </w:pPr>
            <w:r>
              <w:rPr>
                <w:rFonts w:hint="eastAsia" w:ascii="Times New Roman" w:cs="Times New Roman"/>
                <w:color w:val="auto"/>
                <w:lang w:eastAsia="zh-CN"/>
              </w:rPr>
              <w:t>（</w:t>
            </w:r>
            <w:r>
              <w:rPr>
                <w:rFonts w:hint="eastAsia" w:ascii="Times New Roman" w:cs="Times New Roman"/>
                <w:color w:val="auto"/>
                <w:lang w:val="en-US" w:eastAsia="zh-CN"/>
              </w:rPr>
              <w:t>5</w:t>
            </w:r>
            <w:r>
              <w:rPr>
                <w:rFonts w:hint="eastAsia" w:ascii="Times New Roman" w:cs="Times New Roman"/>
                <w:color w:val="auto"/>
                <w:lang w:eastAsia="zh-CN"/>
              </w:rPr>
              <w:t>）</w:t>
            </w:r>
            <w:r>
              <w:rPr>
                <w:rFonts w:hint="default" w:ascii="Times New Roman" w:hAnsi="Times New Roman" w:cs="Times New Roman"/>
                <w:color w:val="auto"/>
                <w:szCs w:val="24"/>
              </w:rPr>
              <w:t>《一般工业固体废物贮存和填埋污染控制标准》（GB18599-2020）；</w:t>
            </w:r>
          </w:p>
          <w:p w14:paraId="43A54D4D">
            <w:pPr>
              <w:pStyle w:val="40"/>
              <w:keepNext w:val="0"/>
              <w:keepLines w:val="0"/>
              <w:pageBreakBefore w:val="0"/>
              <w:widowControl w:val="0"/>
              <w:kinsoku/>
              <w:wordWrap/>
              <w:overflowPunct/>
              <w:topLinePunct w:val="0"/>
              <w:autoSpaceDE/>
              <w:autoSpaceDN/>
              <w:bidi w:val="0"/>
              <w:adjustRightInd w:val="0"/>
              <w:snapToGrid w:val="0"/>
              <w:spacing w:before="0" w:line="360" w:lineRule="auto"/>
              <w:ind w:firstLine="480" w:firstLineChars="200"/>
              <w:textAlignment w:val="auto"/>
              <w:rPr>
                <w:rFonts w:hint="default" w:ascii="Times New Roman" w:hAnsi="Times New Roman" w:cs="Times New Roman"/>
                <w:color w:val="auto"/>
                <w:szCs w:val="24"/>
              </w:rPr>
            </w:pPr>
            <w:r>
              <w:rPr>
                <w:rFonts w:hint="default" w:ascii="Times New Roman" w:hAnsi="Times New Roman" w:cs="Times New Roman"/>
                <w:color w:val="auto"/>
                <w:szCs w:val="24"/>
              </w:rPr>
              <w:t>（</w:t>
            </w:r>
            <w:r>
              <w:rPr>
                <w:rFonts w:hint="eastAsia" w:ascii="Times New Roman" w:cs="Times New Roman"/>
                <w:color w:val="auto"/>
                <w:szCs w:val="24"/>
                <w:lang w:val="en-US" w:eastAsia="zh-CN"/>
              </w:rPr>
              <w:t>6</w:t>
            </w:r>
            <w:r>
              <w:rPr>
                <w:rFonts w:hint="default" w:ascii="Times New Roman" w:hAnsi="Times New Roman" w:cs="Times New Roman"/>
                <w:color w:val="auto"/>
                <w:szCs w:val="24"/>
              </w:rPr>
              <w:t>）《危险废物贮存污染控制标准》（GB18597-20</w:t>
            </w:r>
            <w:r>
              <w:rPr>
                <w:rFonts w:hint="default" w:ascii="Times New Roman" w:hAnsi="Times New Roman" w:cs="Times New Roman"/>
                <w:color w:val="auto"/>
                <w:szCs w:val="24"/>
                <w:lang w:val="en-US" w:eastAsia="zh-CN"/>
              </w:rPr>
              <w:t>23</w:t>
            </w:r>
            <w:r>
              <w:rPr>
                <w:rFonts w:hint="default" w:ascii="Times New Roman" w:hAnsi="Times New Roman" w:cs="Times New Roman"/>
                <w:color w:val="auto"/>
                <w:szCs w:val="24"/>
              </w:rPr>
              <w:t>）；</w:t>
            </w:r>
          </w:p>
        </w:tc>
      </w:tr>
      <w:tr w14:paraId="6814BE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42" w:hRule="atLeast"/>
          <w:jc w:val="center"/>
        </w:trPr>
        <w:tc>
          <w:tcPr>
            <w:tcW w:w="323" w:type="pct"/>
            <w:noWrap w:val="0"/>
            <w:vAlign w:val="center"/>
          </w:tcPr>
          <w:p w14:paraId="04CA66B8">
            <w:pPr>
              <w:adjustRightInd w:val="0"/>
              <w:snapToGrid w:val="0"/>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其他</w:t>
            </w:r>
          </w:p>
        </w:tc>
        <w:tc>
          <w:tcPr>
            <w:tcW w:w="4676" w:type="pct"/>
            <w:noWrap w:val="0"/>
            <w:vAlign w:val="center"/>
          </w:tcPr>
          <w:p w14:paraId="7B68FD80">
            <w:pPr>
              <w:adjustRightInd w:val="0"/>
              <w:snapToGrid w:val="0"/>
              <w:spacing w:line="360" w:lineRule="auto"/>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sz w:val="24"/>
              </w:rPr>
              <w:t>根据国家总量控制指标结合本项目所在区域的环境特征及本项目排污情况，本项目不设总量控制指标。</w:t>
            </w:r>
          </w:p>
        </w:tc>
      </w:tr>
    </w:tbl>
    <w:p w14:paraId="0E971194">
      <w:pPr>
        <w:rPr>
          <w:rFonts w:hint="default" w:ascii="Times New Roman" w:hAnsi="Times New Roman" w:cs="Times New Roman"/>
          <w:color w:val="auto"/>
          <w:highlight w:val="none"/>
          <w:lang w:eastAsia="zh-CN"/>
        </w:rPr>
      </w:pPr>
      <w:bookmarkStart w:id="18" w:name="_Toc11500"/>
      <w:r>
        <w:rPr>
          <w:rFonts w:hint="default" w:ascii="Times New Roman" w:hAnsi="Times New Roman" w:cs="Times New Roman"/>
          <w:color w:val="auto"/>
          <w:highlight w:val="none"/>
          <w:lang w:eastAsia="zh-CN"/>
        </w:rPr>
        <w:br w:type="page"/>
      </w:r>
    </w:p>
    <w:p w14:paraId="5E3C51C9">
      <w:pPr>
        <w:pStyle w:val="2"/>
        <w:numPr>
          <w:ilvl w:val="0"/>
          <w:numId w:val="0"/>
        </w:numPr>
        <w:bidi w:val="0"/>
        <w:ind w:left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四、</w:t>
      </w:r>
      <w:r>
        <w:rPr>
          <w:rFonts w:hint="default" w:ascii="Times New Roman" w:hAnsi="Times New Roman" w:cs="Times New Roman"/>
          <w:color w:val="auto"/>
          <w:highlight w:val="none"/>
        </w:rPr>
        <w:t>生态环境影响分析</w:t>
      </w:r>
      <w:bookmarkEnd w:id="18"/>
    </w:p>
    <w:tbl>
      <w:tblPr>
        <w:tblStyle w:val="29"/>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89"/>
        <w:gridCol w:w="7851"/>
      </w:tblGrid>
      <w:tr w14:paraId="104608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393" w:hRule="atLeast"/>
          <w:jc w:val="center"/>
        </w:trPr>
        <w:tc>
          <w:tcPr>
            <w:tcW w:w="349" w:type="pct"/>
            <w:noWrap w:val="0"/>
            <w:tcMar>
              <w:left w:w="28" w:type="dxa"/>
              <w:right w:w="28" w:type="dxa"/>
            </w:tcMar>
            <w:vAlign w:val="center"/>
          </w:tcPr>
          <w:p w14:paraId="3D4991D2">
            <w:pPr>
              <w:pageBreakBefore w:val="0"/>
              <w:widowControl/>
              <w:kinsoku/>
              <w:wordWrap/>
              <w:overflowPunct/>
              <w:bidi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bCs/>
                <w:color w:val="auto"/>
                <w:kern w:val="2"/>
                <w:sz w:val="24"/>
                <w:szCs w:val="24"/>
                <w:lang w:val="en-US" w:eastAsia="zh-CN" w:bidi="ar-SA"/>
              </w:rPr>
            </w:pPr>
            <w:bookmarkStart w:id="19" w:name="_Hlk49796138"/>
            <w:r>
              <w:rPr>
                <w:rFonts w:hint="default" w:ascii="Times New Roman" w:hAnsi="Times New Roman" w:eastAsia="宋体" w:cs="Times New Roman"/>
                <w:bCs/>
                <w:color w:val="auto"/>
                <w:spacing w:val="10"/>
                <w:kern w:val="2"/>
                <w:sz w:val="24"/>
                <w:szCs w:val="24"/>
                <w:lang w:val="en-US" w:eastAsia="zh-CN" w:bidi="ar-SA"/>
              </w:rPr>
              <w:t>施工期生态环境影响分析</w:t>
            </w:r>
            <w:bookmarkEnd w:id="19"/>
          </w:p>
        </w:tc>
        <w:tc>
          <w:tcPr>
            <w:tcW w:w="4650" w:type="pct"/>
            <w:noWrap w:val="0"/>
            <w:vAlign w:val="top"/>
          </w:tcPr>
          <w:p w14:paraId="7CAD33E4">
            <w:pPr>
              <w:keepNext w:val="0"/>
              <w:keepLines w:val="0"/>
              <w:pageBreakBefore w:val="0"/>
              <w:widowControl w:val="0"/>
              <w:numPr>
                <w:ilvl w:val="0"/>
                <w:numId w:val="11"/>
              </w:numPr>
              <w:kinsoku/>
              <w:wordWrap/>
              <w:overflowPunct/>
              <w:topLinePunct w:val="0"/>
              <w:autoSpaceDE w:val="0"/>
              <w:autoSpaceDN w:val="0"/>
              <w:bidi w:val="0"/>
              <w:adjustRightInd w:val="0"/>
              <w:snapToGrid w:val="0"/>
              <w:spacing w:before="157" w:beforeLines="50"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施工期主要污染工序</w:t>
            </w:r>
          </w:p>
          <w:p w14:paraId="3676BCFC">
            <w:pPr>
              <w:pageBreakBefore w:val="0"/>
              <w:kinsoku/>
              <w:wordWrap/>
              <w:overflowPunct/>
              <w:bidi w:val="0"/>
              <w:spacing w:line="360" w:lineRule="auto"/>
              <w:ind w:left="0" w:leftChars="0" w:right="0" w:rightChars="0" w:firstLine="480" w:firstLineChars="200"/>
              <w:rPr>
                <w:rFonts w:hint="default" w:ascii="Times New Roman" w:hAnsi="Times New Roman" w:eastAsia="宋体" w:cs="Times New Roman"/>
                <w:bCs/>
                <w:color w:val="auto"/>
                <w:sz w:val="24"/>
                <w:lang w:val="en-US" w:eastAsia="zh-CN"/>
              </w:rPr>
            </w:pPr>
            <w:r>
              <w:rPr>
                <w:rFonts w:hint="default" w:ascii="Times New Roman" w:hAnsi="Times New Roman" w:eastAsia="宋体" w:cs="Times New Roman"/>
                <w:bCs/>
                <w:color w:val="auto"/>
                <w:sz w:val="24"/>
                <w:lang w:val="en-US" w:eastAsia="zh-CN"/>
              </w:rPr>
              <w:t>渠道工程的产排污环节主要集中在施工期，完工后的运营期基本不产生污染物。施工中的主要环境影响可归纳为废水、废气、噪声、固体废物和生态影响五大类。</w:t>
            </w:r>
          </w:p>
          <w:p w14:paraId="3FB5323A">
            <w:pPr>
              <w:pStyle w:val="47"/>
              <w:spacing w:line="440" w:lineRule="exact"/>
              <w:ind w:firstLine="0" w:firstLineChars="0"/>
              <w:jc w:val="center"/>
              <w:textAlignment w:val="baseline"/>
              <w:rPr>
                <w:rFonts w:hint="default" w:ascii="Times New Roman" w:hAnsi="Times New Roman" w:eastAsia="宋体" w:cs="Times New Roman"/>
                <w:b/>
                <w:bCs w:val="0"/>
                <w:snapToGrid w:val="0"/>
                <w:color w:val="auto"/>
                <w:sz w:val="24"/>
                <w:szCs w:val="24"/>
                <w:highlight w:val="none"/>
                <w:lang w:val="en-US" w:eastAsia="zh-CN"/>
              </w:rPr>
            </w:pPr>
            <w:r>
              <w:rPr>
                <w:rFonts w:hint="default" w:ascii="Times New Roman" w:hAnsi="Times New Roman" w:eastAsia="宋体" w:cs="Times New Roman"/>
                <w:b/>
                <w:bCs w:val="0"/>
                <w:snapToGrid w:val="0"/>
                <w:color w:val="auto"/>
                <w:sz w:val="24"/>
                <w:szCs w:val="24"/>
                <w:highlight w:val="none"/>
                <w:lang w:val="en-US" w:eastAsia="zh-CN"/>
              </w:rPr>
              <w:t>表4-1工程施工期产排污环节一览表</w:t>
            </w:r>
          </w:p>
          <w:tbl>
            <w:tblPr>
              <w:tblStyle w:val="29"/>
              <w:tblpPr w:leftFromText="180" w:rightFromText="180" w:vertAnchor="text" w:tblpXSpec="center" w:tblpY="1"/>
              <w:tblOverlap w:val="never"/>
              <w:tblW w:w="4998" w:type="pct"/>
              <w:tblInd w:w="5"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678"/>
              <w:gridCol w:w="1409"/>
              <w:gridCol w:w="1014"/>
              <w:gridCol w:w="639"/>
              <w:gridCol w:w="3892"/>
            </w:tblGrid>
            <w:tr w14:paraId="0BFED1C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7" w:hRule="atLeast"/>
              </w:trPr>
              <w:tc>
                <w:tcPr>
                  <w:tcW w:w="535" w:type="pct"/>
                  <w:tcBorders>
                    <w:tl2br w:val="nil"/>
                    <w:tr2bl w:val="nil"/>
                  </w:tcBorders>
                  <w:noWrap w:val="0"/>
                  <w:vAlign w:val="center"/>
                </w:tcPr>
                <w:p w14:paraId="3ACF47FB">
                  <w:pPr>
                    <w:adjustRightInd w:val="0"/>
                    <w:snapToGrid w:val="0"/>
                    <w:jc w:val="center"/>
                    <w:rPr>
                      <w:rFonts w:hint="default" w:ascii="Times New Roman" w:hAnsi="Times New Roman" w:eastAsia="宋体" w:cs="Times New Roman"/>
                      <w:b/>
                      <w:bCs/>
                      <w:color w:val="auto"/>
                      <w:spacing w:val="-1"/>
                      <w:sz w:val="21"/>
                      <w:szCs w:val="21"/>
                      <w:highlight w:val="none"/>
                      <w:vertAlign w:val="baseline"/>
                      <w:lang w:val="en-US" w:eastAsia="zh-CN"/>
                    </w:rPr>
                  </w:pPr>
                  <w:r>
                    <w:rPr>
                      <w:rFonts w:hint="default" w:ascii="Times New Roman" w:hAnsi="Times New Roman" w:eastAsia="宋体" w:cs="Times New Roman"/>
                      <w:b/>
                      <w:bCs/>
                      <w:color w:val="auto"/>
                      <w:spacing w:val="-1"/>
                      <w:sz w:val="21"/>
                      <w:szCs w:val="21"/>
                      <w:highlight w:val="none"/>
                      <w:vertAlign w:val="baseline"/>
                      <w:lang w:val="en-US" w:eastAsia="zh-CN"/>
                    </w:rPr>
                    <w:t>环境影响</w:t>
                  </w:r>
                </w:p>
              </w:tc>
              <w:tc>
                <w:tcPr>
                  <w:tcW w:w="1014" w:type="pct"/>
                  <w:tcBorders>
                    <w:tl2br w:val="nil"/>
                    <w:tr2bl w:val="nil"/>
                  </w:tcBorders>
                  <w:noWrap w:val="0"/>
                  <w:vAlign w:val="center"/>
                </w:tcPr>
                <w:p w14:paraId="7C576C83">
                  <w:pPr>
                    <w:adjustRightInd w:val="0"/>
                    <w:snapToGrid w:val="0"/>
                    <w:jc w:val="center"/>
                    <w:rPr>
                      <w:rFonts w:hint="default" w:ascii="Times New Roman" w:hAnsi="Times New Roman" w:eastAsia="宋体" w:cs="Times New Roman"/>
                      <w:b/>
                      <w:bCs/>
                      <w:color w:val="auto"/>
                      <w:spacing w:val="-1"/>
                      <w:sz w:val="21"/>
                      <w:szCs w:val="21"/>
                      <w:highlight w:val="none"/>
                      <w:vertAlign w:val="baseline"/>
                      <w:lang w:val="en-US" w:eastAsia="zh-CN"/>
                    </w:rPr>
                  </w:pPr>
                  <w:r>
                    <w:rPr>
                      <w:rFonts w:hint="default" w:ascii="Times New Roman" w:hAnsi="Times New Roman" w:eastAsia="宋体" w:cs="Times New Roman"/>
                      <w:b/>
                      <w:bCs/>
                      <w:color w:val="auto"/>
                      <w:spacing w:val="-1"/>
                      <w:sz w:val="21"/>
                      <w:szCs w:val="21"/>
                      <w:highlight w:val="none"/>
                      <w:vertAlign w:val="baseline"/>
                      <w:lang w:val="en-US" w:eastAsia="zh-CN"/>
                    </w:rPr>
                    <w:t>主要影响因素</w:t>
                  </w:r>
                </w:p>
              </w:tc>
              <w:tc>
                <w:tcPr>
                  <w:tcW w:w="755" w:type="pct"/>
                  <w:tcBorders>
                    <w:tl2br w:val="nil"/>
                    <w:tr2bl w:val="nil"/>
                  </w:tcBorders>
                  <w:noWrap w:val="0"/>
                  <w:vAlign w:val="center"/>
                </w:tcPr>
                <w:p w14:paraId="21BB8B8C">
                  <w:pPr>
                    <w:adjustRightInd w:val="0"/>
                    <w:snapToGrid w:val="0"/>
                    <w:jc w:val="center"/>
                    <w:rPr>
                      <w:rFonts w:hint="default" w:ascii="Times New Roman" w:hAnsi="Times New Roman" w:eastAsia="宋体" w:cs="Times New Roman"/>
                      <w:b/>
                      <w:bCs/>
                      <w:color w:val="auto"/>
                      <w:spacing w:val="-1"/>
                      <w:sz w:val="21"/>
                      <w:szCs w:val="21"/>
                      <w:highlight w:val="none"/>
                      <w:vertAlign w:val="baseline"/>
                      <w:lang w:val="en-US" w:eastAsia="zh-CN"/>
                    </w:rPr>
                  </w:pPr>
                  <w:r>
                    <w:rPr>
                      <w:rFonts w:hint="default" w:ascii="Times New Roman" w:hAnsi="Times New Roman" w:eastAsia="宋体" w:cs="Times New Roman"/>
                      <w:b/>
                      <w:bCs/>
                      <w:color w:val="auto"/>
                      <w:spacing w:val="-1"/>
                      <w:sz w:val="21"/>
                      <w:szCs w:val="21"/>
                      <w:highlight w:val="none"/>
                      <w:vertAlign w:val="baseline"/>
                      <w:lang w:val="en-US" w:eastAsia="zh-CN"/>
                    </w:rPr>
                    <w:t>主要染物因子</w:t>
                  </w:r>
                </w:p>
              </w:tc>
              <w:tc>
                <w:tcPr>
                  <w:tcW w:w="509" w:type="pct"/>
                  <w:tcBorders>
                    <w:tl2br w:val="nil"/>
                    <w:tr2bl w:val="nil"/>
                  </w:tcBorders>
                  <w:noWrap w:val="0"/>
                  <w:vAlign w:val="center"/>
                </w:tcPr>
                <w:p w14:paraId="6DBAD916">
                  <w:pPr>
                    <w:adjustRightInd w:val="0"/>
                    <w:snapToGrid w:val="0"/>
                    <w:jc w:val="center"/>
                    <w:rPr>
                      <w:rFonts w:hint="default" w:ascii="Times New Roman" w:hAnsi="Times New Roman" w:eastAsia="宋体" w:cs="Times New Roman"/>
                      <w:b/>
                      <w:bCs/>
                      <w:color w:val="auto"/>
                      <w:spacing w:val="-1"/>
                      <w:sz w:val="21"/>
                      <w:szCs w:val="21"/>
                      <w:highlight w:val="none"/>
                      <w:vertAlign w:val="baseline"/>
                      <w:lang w:val="en-US" w:eastAsia="zh-CN"/>
                    </w:rPr>
                  </w:pPr>
                  <w:r>
                    <w:rPr>
                      <w:rFonts w:hint="default" w:ascii="Times New Roman" w:hAnsi="Times New Roman" w:eastAsia="宋体" w:cs="Times New Roman"/>
                      <w:b/>
                      <w:bCs/>
                      <w:color w:val="auto"/>
                      <w:spacing w:val="-1"/>
                      <w:sz w:val="21"/>
                      <w:szCs w:val="21"/>
                      <w:highlight w:val="none"/>
                      <w:vertAlign w:val="baseline"/>
                      <w:lang w:val="en-US" w:eastAsia="zh-CN"/>
                    </w:rPr>
                    <w:t>影响性质</w:t>
                  </w:r>
                </w:p>
              </w:tc>
              <w:tc>
                <w:tcPr>
                  <w:tcW w:w="2185" w:type="pct"/>
                  <w:tcBorders>
                    <w:tl2br w:val="nil"/>
                    <w:tr2bl w:val="nil"/>
                  </w:tcBorders>
                  <w:noWrap w:val="0"/>
                  <w:vAlign w:val="center"/>
                </w:tcPr>
                <w:p w14:paraId="5396B008">
                  <w:pPr>
                    <w:adjustRightInd w:val="0"/>
                    <w:snapToGrid w:val="0"/>
                    <w:jc w:val="center"/>
                    <w:rPr>
                      <w:rFonts w:hint="default" w:ascii="Times New Roman" w:hAnsi="Times New Roman" w:eastAsia="宋体" w:cs="Times New Roman"/>
                      <w:b/>
                      <w:bCs/>
                      <w:color w:val="auto"/>
                      <w:spacing w:val="-1"/>
                      <w:sz w:val="21"/>
                      <w:szCs w:val="21"/>
                      <w:highlight w:val="none"/>
                      <w:vertAlign w:val="baseline"/>
                      <w:lang w:val="en-US" w:eastAsia="zh-CN"/>
                    </w:rPr>
                  </w:pPr>
                  <w:r>
                    <w:rPr>
                      <w:rFonts w:hint="default" w:ascii="Times New Roman" w:hAnsi="Times New Roman" w:eastAsia="宋体" w:cs="Times New Roman"/>
                      <w:b/>
                      <w:bCs/>
                      <w:color w:val="auto"/>
                      <w:spacing w:val="-1"/>
                      <w:sz w:val="21"/>
                      <w:szCs w:val="21"/>
                      <w:highlight w:val="none"/>
                      <w:vertAlign w:val="baseline"/>
                      <w:lang w:val="en-US" w:eastAsia="zh-CN"/>
                    </w:rPr>
                    <w:t>影响简析</w:t>
                  </w:r>
                </w:p>
              </w:tc>
            </w:tr>
            <w:tr w14:paraId="2BF2C62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13" w:hRule="atLeast"/>
              </w:trPr>
              <w:tc>
                <w:tcPr>
                  <w:tcW w:w="535" w:type="pct"/>
                  <w:vMerge w:val="restart"/>
                  <w:tcBorders>
                    <w:tl2br w:val="nil"/>
                    <w:tr2bl w:val="nil"/>
                  </w:tcBorders>
                  <w:noWrap w:val="0"/>
                  <w:vAlign w:val="center"/>
                </w:tcPr>
                <w:p w14:paraId="5A24ED23">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环境空气</w:t>
                  </w:r>
                </w:p>
              </w:tc>
              <w:tc>
                <w:tcPr>
                  <w:tcW w:w="1014" w:type="pct"/>
                  <w:tcBorders>
                    <w:bottom w:val="single" w:color="auto" w:sz="4" w:space="0"/>
                    <w:tl2br w:val="nil"/>
                    <w:tr2bl w:val="nil"/>
                  </w:tcBorders>
                  <w:noWrap w:val="0"/>
                  <w:vAlign w:val="center"/>
                </w:tcPr>
                <w:p w14:paraId="0DF30D77">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扬尘</w:t>
                  </w:r>
                </w:p>
              </w:tc>
              <w:tc>
                <w:tcPr>
                  <w:tcW w:w="755" w:type="pct"/>
                  <w:tcBorders>
                    <w:bottom w:val="single" w:color="auto" w:sz="4" w:space="0"/>
                    <w:tl2br w:val="nil"/>
                    <w:tr2bl w:val="nil"/>
                  </w:tcBorders>
                  <w:noWrap w:val="0"/>
                  <w:vAlign w:val="center"/>
                </w:tcPr>
                <w:p w14:paraId="66B38D73">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TSP</w:t>
                  </w:r>
                </w:p>
              </w:tc>
              <w:tc>
                <w:tcPr>
                  <w:tcW w:w="509" w:type="pct"/>
                  <w:vMerge w:val="restart"/>
                  <w:tcBorders>
                    <w:tl2br w:val="nil"/>
                    <w:tr2bl w:val="nil"/>
                  </w:tcBorders>
                  <w:noWrap w:val="0"/>
                  <w:vAlign w:val="center"/>
                </w:tcPr>
                <w:p w14:paraId="670CCF89">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短期不利影响</w:t>
                  </w:r>
                </w:p>
              </w:tc>
              <w:tc>
                <w:tcPr>
                  <w:tcW w:w="2185" w:type="pct"/>
                  <w:vMerge w:val="restart"/>
                  <w:tcBorders>
                    <w:tl2br w:val="nil"/>
                    <w:tr2bl w:val="nil"/>
                  </w:tcBorders>
                  <w:noWrap w:val="0"/>
                  <w:vAlign w:val="center"/>
                </w:tcPr>
                <w:p w14:paraId="20F0767D">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粒状物料的装卸、运输、堆放过程中有大量扬尘产生；施工运输车辆使用过</w:t>
                  </w:r>
                  <w:r>
                    <w:rPr>
                      <w:rFonts w:hint="eastAsia" w:cs="Times New Roman"/>
                      <w:color w:val="auto"/>
                      <w:szCs w:val="21"/>
                      <w:highlight w:val="none"/>
                      <w:lang w:val="en-US" w:eastAsia="zh-CN"/>
                    </w:rPr>
                    <w:t>程中</w:t>
                  </w:r>
                  <w:r>
                    <w:rPr>
                      <w:rFonts w:hint="default" w:ascii="Times New Roman" w:hAnsi="Times New Roman" w:eastAsia="宋体" w:cs="Times New Roman"/>
                      <w:color w:val="auto"/>
                      <w:szCs w:val="21"/>
                      <w:highlight w:val="none"/>
                      <w:lang w:val="en-US" w:eastAsia="zh-CN"/>
                    </w:rPr>
                    <w:t>产生的尾气；3）土方开挖过程产生的扬尘。</w:t>
                  </w:r>
                </w:p>
              </w:tc>
            </w:tr>
            <w:tr w14:paraId="76FA0E3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84" w:hRule="atLeast"/>
              </w:trPr>
              <w:tc>
                <w:tcPr>
                  <w:tcW w:w="535" w:type="pct"/>
                  <w:vMerge w:val="continue"/>
                  <w:tcBorders>
                    <w:tl2br w:val="nil"/>
                    <w:tr2bl w:val="nil"/>
                  </w:tcBorders>
                  <w:noWrap w:val="0"/>
                  <w:vAlign w:val="center"/>
                </w:tcPr>
                <w:p w14:paraId="1A1A0C54">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p>
              </w:tc>
              <w:tc>
                <w:tcPr>
                  <w:tcW w:w="1014" w:type="pct"/>
                  <w:tcBorders>
                    <w:top w:val="single" w:color="auto" w:sz="4" w:space="0"/>
                    <w:bottom w:val="single" w:color="auto" w:sz="4" w:space="0"/>
                    <w:tl2br w:val="nil"/>
                    <w:tr2bl w:val="nil"/>
                  </w:tcBorders>
                  <w:noWrap w:val="0"/>
                  <w:vAlign w:val="center"/>
                </w:tcPr>
                <w:p w14:paraId="451A87A2">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施工机械废气</w:t>
                  </w:r>
                </w:p>
              </w:tc>
              <w:tc>
                <w:tcPr>
                  <w:tcW w:w="755" w:type="pct"/>
                  <w:tcBorders>
                    <w:top w:val="single" w:color="auto" w:sz="4" w:space="0"/>
                    <w:bottom w:val="single" w:color="auto" w:sz="4" w:space="0"/>
                    <w:tl2br w:val="nil"/>
                    <w:tr2bl w:val="nil"/>
                  </w:tcBorders>
                  <w:noWrap w:val="0"/>
                  <w:vAlign w:val="center"/>
                </w:tcPr>
                <w:p w14:paraId="22DCB64A">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CO、NOx等</w:t>
                  </w:r>
                </w:p>
              </w:tc>
              <w:tc>
                <w:tcPr>
                  <w:tcW w:w="509" w:type="pct"/>
                  <w:vMerge w:val="continue"/>
                  <w:tcBorders>
                    <w:tl2br w:val="nil"/>
                    <w:tr2bl w:val="nil"/>
                  </w:tcBorders>
                  <w:noWrap w:val="0"/>
                  <w:vAlign w:val="center"/>
                </w:tcPr>
                <w:p w14:paraId="37C7CBDC">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p>
              </w:tc>
              <w:tc>
                <w:tcPr>
                  <w:tcW w:w="2185" w:type="pct"/>
                  <w:vMerge w:val="continue"/>
                  <w:tcBorders>
                    <w:bottom w:val="single" w:color="auto" w:sz="4" w:space="0"/>
                    <w:tl2br w:val="nil"/>
                    <w:tr2bl w:val="nil"/>
                  </w:tcBorders>
                  <w:noWrap w:val="0"/>
                  <w:vAlign w:val="center"/>
                </w:tcPr>
                <w:p w14:paraId="12C9047A">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p>
              </w:tc>
            </w:tr>
            <w:tr w14:paraId="42A6F5C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86" w:hRule="atLeast"/>
              </w:trPr>
              <w:tc>
                <w:tcPr>
                  <w:tcW w:w="535" w:type="pct"/>
                  <w:vMerge w:val="continue"/>
                  <w:tcBorders>
                    <w:tl2br w:val="nil"/>
                    <w:tr2bl w:val="nil"/>
                  </w:tcBorders>
                  <w:noWrap w:val="0"/>
                  <w:vAlign w:val="center"/>
                </w:tcPr>
                <w:p w14:paraId="1BEB569F">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p>
              </w:tc>
              <w:tc>
                <w:tcPr>
                  <w:tcW w:w="1014" w:type="pct"/>
                  <w:tcBorders>
                    <w:top w:val="single" w:color="auto" w:sz="4" w:space="0"/>
                    <w:tl2br w:val="nil"/>
                    <w:tr2bl w:val="nil"/>
                  </w:tcBorders>
                  <w:noWrap w:val="0"/>
                  <w:vAlign w:val="center"/>
                </w:tcPr>
                <w:p w14:paraId="4EE986F6">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焊接烟气</w:t>
                  </w:r>
                </w:p>
              </w:tc>
              <w:tc>
                <w:tcPr>
                  <w:tcW w:w="755" w:type="pct"/>
                  <w:tcBorders>
                    <w:top w:val="single" w:color="auto" w:sz="4" w:space="0"/>
                    <w:tl2br w:val="nil"/>
                    <w:tr2bl w:val="nil"/>
                  </w:tcBorders>
                  <w:noWrap w:val="0"/>
                  <w:vAlign w:val="center"/>
                </w:tcPr>
                <w:p w14:paraId="4A4A0395">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烟尘</w:t>
                  </w:r>
                </w:p>
              </w:tc>
              <w:tc>
                <w:tcPr>
                  <w:tcW w:w="509" w:type="pct"/>
                  <w:vMerge w:val="continue"/>
                  <w:tcBorders>
                    <w:tl2br w:val="nil"/>
                    <w:tr2bl w:val="nil"/>
                  </w:tcBorders>
                  <w:noWrap w:val="0"/>
                  <w:vAlign w:val="center"/>
                </w:tcPr>
                <w:p w14:paraId="38645323">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p>
              </w:tc>
              <w:tc>
                <w:tcPr>
                  <w:tcW w:w="2185" w:type="pct"/>
                  <w:tcBorders>
                    <w:top w:val="single" w:color="auto" w:sz="4" w:space="0"/>
                    <w:tl2br w:val="nil"/>
                    <w:tr2bl w:val="nil"/>
                  </w:tcBorders>
                  <w:noWrap w:val="0"/>
                  <w:vAlign w:val="center"/>
                </w:tcPr>
                <w:p w14:paraId="79CC2D1D">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金属结构安装施工过程中，部分金属结构需采用现场焊接</w:t>
                  </w:r>
                </w:p>
              </w:tc>
            </w:tr>
            <w:tr w14:paraId="646C1AB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84" w:hRule="atLeast"/>
              </w:trPr>
              <w:tc>
                <w:tcPr>
                  <w:tcW w:w="535" w:type="pct"/>
                  <w:vMerge w:val="restart"/>
                  <w:tcBorders>
                    <w:tl2br w:val="nil"/>
                    <w:tr2bl w:val="nil"/>
                  </w:tcBorders>
                  <w:noWrap w:val="0"/>
                  <w:vAlign w:val="center"/>
                </w:tcPr>
                <w:p w14:paraId="1B7B25E2">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声环境</w:t>
                  </w:r>
                </w:p>
              </w:tc>
              <w:tc>
                <w:tcPr>
                  <w:tcW w:w="1014" w:type="pct"/>
                  <w:tcBorders>
                    <w:bottom w:val="single" w:color="auto" w:sz="4" w:space="0"/>
                    <w:tl2br w:val="nil"/>
                    <w:tr2bl w:val="nil"/>
                  </w:tcBorders>
                  <w:noWrap w:val="0"/>
                  <w:vAlign w:val="center"/>
                </w:tcPr>
                <w:p w14:paraId="267F6068">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施工机械噪声</w:t>
                  </w:r>
                </w:p>
              </w:tc>
              <w:tc>
                <w:tcPr>
                  <w:tcW w:w="755" w:type="pct"/>
                  <w:tcBorders>
                    <w:bottom w:val="single" w:color="auto" w:sz="4" w:space="0"/>
                    <w:tl2br w:val="nil"/>
                    <w:tr2bl w:val="nil"/>
                  </w:tcBorders>
                  <w:noWrap w:val="0"/>
                  <w:vAlign w:val="center"/>
                </w:tcPr>
                <w:p w14:paraId="37F3B946">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机械噪声</w:t>
                  </w:r>
                </w:p>
              </w:tc>
              <w:tc>
                <w:tcPr>
                  <w:tcW w:w="509" w:type="pct"/>
                  <w:vMerge w:val="restart"/>
                  <w:tcBorders>
                    <w:tl2br w:val="nil"/>
                    <w:tr2bl w:val="nil"/>
                  </w:tcBorders>
                  <w:noWrap w:val="0"/>
                  <w:vAlign w:val="center"/>
                </w:tcPr>
                <w:p w14:paraId="55007327">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短期不利影响</w:t>
                  </w:r>
                </w:p>
              </w:tc>
              <w:tc>
                <w:tcPr>
                  <w:tcW w:w="2185" w:type="pct"/>
                  <w:vMerge w:val="restart"/>
                  <w:tcBorders>
                    <w:tl2br w:val="nil"/>
                    <w:tr2bl w:val="nil"/>
                  </w:tcBorders>
                  <w:noWrap w:val="0"/>
                  <w:vAlign w:val="center"/>
                </w:tcPr>
                <w:p w14:paraId="39653FBA">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工程施工过程施工机械产生的机械噪声；</w:t>
                  </w:r>
                </w:p>
                <w:p w14:paraId="3D145801">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运输车辆产生的交通噪声。</w:t>
                  </w:r>
                </w:p>
              </w:tc>
            </w:tr>
            <w:tr w14:paraId="43E990D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86" w:hRule="atLeast"/>
              </w:trPr>
              <w:tc>
                <w:tcPr>
                  <w:tcW w:w="535" w:type="pct"/>
                  <w:vMerge w:val="continue"/>
                  <w:tcBorders>
                    <w:tl2br w:val="nil"/>
                    <w:tr2bl w:val="nil"/>
                  </w:tcBorders>
                  <w:noWrap w:val="0"/>
                  <w:vAlign w:val="center"/>
                </w:tcPr>
                <w:p w14:paraId="192E8844">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p>
              </w:tc>
              <w:tc>
                <w:tcPr>
                  <w:tcW w:w="1014" w:type="pct"/>
                  <w:tcBorders>
                    <w:top w:val="single" w:color="auto" w:sz="4" w:space="0"/>
                    <w:tl2br w:val="nil"/>
                    <w:tr2bl w:val="nil"/>
                  </w:tcBorders>
                  <w:noWrap w:val="0"/>
                  <w:vAlign w:val="center"/>
                </w:tcPr>
                <w:p w14:paraId="557B6AF5">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施工运输车辆</w:t>
                  </w:r>
                </w:p>
              </w:tc>
              <w:tc>
                <w:tcPr>
                  <w:tcW w:w="755" w:type="pct"/>
                  <w:tcBorders>
                    <w:top w:val="single" w:color="auto" w:sz="4" w:space="0"/>
                    <w:tl2br w:val="nil"/>
                    <w:tr2bl w:val="nil"/>
                  </w:tcBorders>
                  <w:noWrap w:val="0"/>
                  <w:vAlign w:val="center"/>
                </w:tcPr>
                <w:p w14:paraId="39DA3068">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交通噪声</w:t>
                  </w:r>
                </w:p>
              </w:tc>
              <w:tc>
                <w:tcPr>
                  <w:tcW w:w="509" w:type="pct"/>
                  <w:vMerge w:val="continue"/>
                  <w:tcBorders>
                    <w:tl2br w:val="nil"/>
                    <w:tr2bl w:val="nil"/>
                  </w:tcBorders>
                  <w:noWrap w:val="0"/>
                  <w:vAlign w:val="center"/>
                </w:tcPr>
                <w:p w14:paraId="1A0FC493">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p>
              </w:tc>
              <w:tc>
                <w:tcPr>
                  <w:tcW w:w="2185" w:type="pct"/>
                  <w:vMerge w:val="continue"/>
                  <w:tcBorders>
                    <w:tl2br w:val="nil"/>
                    <w:tr2bl w:val="nil"/>
                  </w:tcBorders>
                  <w:noWrap w:val="0"/>
                  <w:vAlign w:val="center"/>
                </w:tcPr>
                <w:p w14:paraId="5554007F">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p>
              </w:tc>
            </w:tr>
            <w:tr w14:paraId="31FD796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04" w:hRule="atLeast"/>
              </w:trPr>
              <w:tc>
                <w:tcPr>
                  <w:tcW w:w="535" w:type="pct"/>
                  <w:vMerge w:val="restart"/>
                  <w:tcBorders>
                    <w:tl2br w:val="nil"/>
                    <w:tr2bl w:val="nil"/>
                  </w:tcBorders>
                  <w:noWrap w:val="0"/>
                  <w:vAlign w:val="center"/>
                </w:tcPr>
                <w:p w14:paraId="64D0BA1B">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水环境</w:t>
                  </w:r>
                </w:p>
              </w:tc>
              <w:tc>
                <w:tcPr>
                  <w:tcW w:w="1014" w:type="pct"/>
                  <w:tcBorders>
                    <w:bottom w:val="single" w:color="auto" w:sz="4" w:space="0"/>
                    <w:tl2br w:val="nil"/>
                    <w:tr2bl w:val="nil"/>
                  </w:tcBorders>
                  <w:noWrap w:val="0"/>
                  <w:vAlign w:val="center"/>
                </w:tcPr>
                <w:p w14:paraId="39CB3A27">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施工废水</w:t>
                  </w:r>
                </w:p>
              </w:tc>
              <w:tc>
                <w:tcPr>
                  <w:tcW w:w="755" w:type="pct"/>
                  <w:tcBorders>
                    <w:bottom w:val="single" w:color="auto" w:sz="4" w:space="0"/>
                    <w:tl2br w:val="nil"/>
                    <w:tr2bl w:val="nil"/>
                  </w:tcBorders>
                  <w:noWrap w:val="0"/>
                  <w:vAlign w:val="center"/>
                </w:tcPr>
                <w:p w14:paraId="11E3676F">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SS等</w:t>
                  </w:r>
                </w:p>
              </w:tc>
              <w:tc>
                <w:tcPr>
                  <w:tcW w:w="509" w:type="pct"/>
                  <w:vMerge w:val="restart"/>
                  <w:tcBorders>
                    <w:tl2br w:val="nil"/>
                    <w:tr2bl w:val="nil"/>
                  </w:tcBorders>
                  <w:noWrap w:val="0"/>
                  <w:vAlign w:val="center"/>
                </w:tcPr>
                <w:p w14:paraId="0FE39086">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短期不利影响</w:t>
                  </w:r>
                </w:p>
              </w:tc>
              <w:tc>
                <w:tcPr>
                  <w:tcW w:w="2185" w:type="pct"/>
                  <w:vMerge w:val="restart"/>
                  <w:tcBorders>
                    <w:tl2br w:val="nil"/>
                    <w:tr2bl w:val="nil"/>
                  </w:tcBorders>
                  <w:noWrap w:val="0"/>
                  <w:vAlign w:val="center"/>
                </w:tcPr>
                <w:p w14:paraId="74BB0096">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1）施工过</w:t>
                  </w:r>
                  <w:r>
                    <w:rPr>
                      <w:rFonts w:hint="eastAsia" w:cs="Times New Roman"/>
                      <w:color w:val="auto"/>
                      <w:szCs w:val="21"/>
                      <w:highlight w:val="none"/>
                      <w:lang w:val="en-US" w:eastAsia="zh-CN"/>
                    </w:rPr>
                    <w:t>程中</w:t>
                  </w:r>
                  <w:r>
                    <w:rPr>
                      <w:rFonts w:hint="default" w:ascii="Times New Roman" w:hAnsi="Times New Roman" w:eastAsia="宋体" w:cs="Times New Roman"/>
                      <w:color w:val="auto"/>
                      <w:szCs w:val="21"/>
                      <w:highlight w:val="none"/>
                      <w:lang w:val="en-US" w:eastAsia="zh-CN"/>
                    </w:rPr>
                    <w:t>产生的设备清洗废水等；</w:t>
                  </w:r>
                </w:p>
                <w:p w14:paraId="223EA90C">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2）施工人员产生的生活污水。</w:t>
                  </w:r>
                </w:p>
              </w:tc>
            </w:tr>
            <w:tr w14:paraId="7891338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66" w:hRule="atLeast"/>
              </w:trPr>
              <w:tc>
                <w:tcPr>
                  <w:tcW w:w="535" w:type="pct"/>
                  <w:vMerge w:val="continue"/>
                  <w:tcBorders>
                    <w:tl2br w:val="nil"/>
                    <w:tr2bl w:val="nil"/>
                  </w:tcBorders>
                  <w:noWrap w:val="0"/>
                  <w:vAlign w:val="center"/>
                </w:tcPr>
                <w:p w14:paraId="4E6BC1B9">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p>
              </w:tc>
              <w:tc>
                <w:tcPr>
                  <w:tcW w:w="1014" w:type="pct"/>
                  <w:tcBorders>
                    <w:top w:val="single" w:color="auto" w:sz="4" w:space="0"/>
                    <w:tl2br w:val="nil"/>
                    <w:tr2bl w:val="nil"/>
                  </w:tcBorders>
                  <w:noWrap w:val="0"/>
                  <w:vAlign w:val="center"/>
                </w:tcPr>
                <w:p w14:paraId="0FFA22F4">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生活废水</w:t>
                  </w:r>
                </w:p>
              </w:tc>
              <w:tc>
                <w:tcPr>
                  <w:tcW w:w="755" w:type="pct"/>
                  <w:tcBorders>
                    <w:top w:val="single" w:color="auto" w:sz="4" w:space="0"/>
                    <w:tl2br w:val="nil"/>
                    <w:tr2bl w:val="nil"/>
                  </w:tcBorders>
                  <w:noWrap w:val="0"/>
                  <w:vAlign w:val="center"/>
                </w:tcPr>
                <w:p w14:paraId="46F114FB">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SS、BOD5、COD等</w:t>
                  </w:r>
                </w:p>
              </w:tc>
              <w:tc>
                <w:tcPr>
                  <w:tcW w:w="509" w:type="pct"/>
                  <w:vMerge w:val="continue"/>
                  <w:tcBorders>
                    <w:tl2br w:val="nil"/>
                    <w:tr2bl w:val="nil"/>
                  </w:tcBorders>
                  <w:noWrap w:val="0"/>
                  <w:vAlign w:val="center"/>
                </w:tcPr>
                <w:p w14:paraId="4397F60E">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p>
              </w:tc>
              <w:tc>
                <w:tcPr>
                  <w:tcW w:w="2185" w:type="pct"/>
                  <w:vMerge w:val="continue"/>
                  <w:tcBorders>
                    <w:tl2br w:val="nil"/>
                    <w:tr2bl w:val="nil"/>
                  </w:tcBorders>
                  <w:noWrap w:val="0"/>
                  <w:vAlign w:val="center"/>
                </w:tcPr>
                <w:p w14:paraId="0480C86B">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p>
              </w:tc>
            </w:tr>
            <w:tr w14:paraId="7CBD059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7" w:hRule="atLeast"/>
              </w:trPr>
              <w:tc>
                <w:tcPr>
                  <w:tcW w:w="535" w:type="pct"/>
                  <w:tcBorders>
                    <w:tl2br w:val="nil"/>
                    <w:tr2bl w:val="nil"/>
                  </w:tcBorders>
                  <w:noWrap w:val="0"/>
                  <w:vAlign w:val="center"/>
                </w:tcPr>
                <w:p w14:paraId="12066C57">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生态环境</w:t>
                  </w:r>
                </w:p>
              </w:tc>
              <w:tc>
                <w:tcPr>
                  <w:tcW w:w="1014" w:type="pct"/>
                  <w:tcBorders>
                    <w:tl2br w:val="nil"/>
                    <w:tr2bl w:val="nil"/>
                  </w:tcBorders>
                  <w:noWrap w:val="0"/>
                  <w:vAlign w:val="center"/>
                </w:tcPr>
                <w:p w14:paraId="468DCE87">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施工占地水土流失，施工活动</w:t>
                  </w:r>
                </w:p>
              </w:tc>
              <w:tc>
                <w:tcPr>
                  <w:tcW w:w="755" w:type="pct"/>
                  <w:tcBorders>
                    <w:tl2br w:val="nil"/>
                    <w:tr2bl w:val="nil"/>
                  </w:tcBorders>
                  <w:noWrap w:val="0"/>
                  <w:vAlign w:val="center"/>
                </w:tcPr>
                <w:p w14:paraId="31C7470D">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施工临时占地等</w:t>
                  </w:r>
                </w:p>
              </w:tc>
              <w:tc>
                <w:tcPr>
                  <w:tcW w:w="509" w:type="pct"/>
                  <w:tcBorders>
                    <w:tl2br w:val="nil"/>
                    <w:tr2bl w:val="nil"/>
                  </w:tcBorders>
                  <w:noWrap w:val="0"/>
                  <w:vAlign w:val="center"/>
                </w:tcPr>
                <w:p w14:paraId="21F0D1F3">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短期不利影响</w:t>
                  </w:r>
                </w:p>
              </w:tc>
              <w:tc>
                <w:tcPr>
                  <w:tcW w:w="2185" w:type="pct"/>
                  <w:tcBorders>
                    <w:tl2br w:val="nil"/>
                    <w:tr2bl w:val="nil"/>
                  </w:tcBorders>
                  <w:noWrap w:val="0"/>
                  <w:vAlign w:val="center"/>
                </w:tcPr>
                <w:p w14:paraId="606AC9D6">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工程施工占地产生的水土流失，植被、水生生态破坏等，对生态环境产生影响。</w:t>
                  </w:r>
                </w:p>
              </w:tc>
            </w:tr>
            <w:tr w14:paraId="03D73FB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75" w:hRule="atLeast"/>
              </w:trPr>
              <w:tc>
                <w:tcPr>
                  <w:tcW w:w="535" w:type="pct"/>
                  <w:vMerge w:val="restart"/>
                  <w:tcBorders>
                    <w:tl2br w:val="nil"/>
                    <w:tr2bl w:val="nil"/>
                  </w:tcBorders>
                  <w:noWrap w:val="0"/>
                  <w:vAlign w:val="center"/>
                </w:tcPr>
                <w:p w14:paraId="2BAC377F">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固体废物</w:t>
                  </w:r>
                </w:p>
              </w:tc>
              <w:tc>
                <w:tcPr>
                  <w:tcW w:w="1014" w:type="pct"/>
                  <w:tcBorders>
                    <w:bottom w:val="single" w:color="auto" w:sz="4" w:space="0"/>
                    <w:tl2br w:val="nil"/>
                    <w:tr2bl w:val="nil"/>
                  </w:tcBorders>
                  <w:noWrap w:val="0"/>
                  <w:vAlign w:val="center"/>
                </w:tcPr>
                <w:p w14:paraId="7F78A573">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施工弃渣</w:t>
                  </w:r>
                </w:p>
              </w:tc>
              <w:tc>
                <w:tcPr>
                  <w:tcW w:w="755" w:type="pct"/>
                  <w:tcBorders>
                    <w:bottom w:val="single" w:color="auto" w:sz="4" w:space="0"/>
                    <w:tl2br w:val="nil"/>
                    <w:tr2bl w:val="nil"/>
                  </w:tcBorders>
                  <w:noWrap w:val="0"/>
                  <w:vAlign w:val="center"/>
                </w:tcPr>
                <w:p w14:paraId="5F2A2189">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弃渣等</w:t>
                  </w:r>
                </w:p>
              </w:tc>
              <w:tc>
                <w:tcPr>
                  <w:tcW w:w="509" w:type="pct"/>
                  <w:vMerge w:val="restart"/>
                  <w:tcBorders>
                    <w:tl2br w:val="nil"/>
                    <w:tr2bl w:val="nil"/>
                  </w:tcBorders>
                  <w:noWrap w:val="0"/>
                  <w:vAlign w:val="center"/>
                </w:tcPr>
                <w:p w14:paraId="5BC40155">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短期不利影响</w:t>
                  </w:r>
                </w:p>
              </w:tc>
              <w:tc>
                <w:tcPr>
                  <w:tcW w:w="2185" w:type="pct"/>
                  <w:vMerge w:val="restart"/>
                  <w:tcBorders>
                    <w:tl2br w:val="nil"/>
                    <w:tr2bl w:val="nil"/>
                  </w:tcBorders>
                  <w:noWrap/>
                  <w:vAlign w:val="center"/>
                </w:tcPr>
                <w:p w14:paraId="0CFAA150">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1）施工过</w:t>
                  </w:r>
                  <w:r>
                    <w:rPr>
                      <w:rFonts w:hint="eastAsia" w:cs="Times New Roman"/>
                      <w:color w:val="auto"/>
                      <w:szCs w:val="21"/>
                      <w:highlight w:val="none"/>
                      <w:lang w:val="en-US" w:eastAsia="zh-CN"/>
                    </w:rPr>
                    <w:t>程中</w:t>
                  </w:r>
                  <w:r>
                    <w:rPr>
                      <w:rFonts w:hint="default" w:ascii="Times New Roman" w:hAnsi="Times New Roman" w:eastAsia="宋体" w:cs="Times New Roman"/>
                      <w:color w:val="auto"/>
                      <w:szCs w:val="21"/>
                      <w:highlight w:val="none"/>
                      <w:lang w:val="en-US" w:eastAsia="zh-CN"/>
                    </w:rPr>
                    <w:t>产生的弃渣及建筑垃圾；</w:t>
                  </w:r>
                </w:p>
                <w:p w14:paraId="6A0C26E9">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2）施工人员产生的生活垃圾等。</w:t>
                  </w:r>
                </w:p>
              </w:tc>
            </w:tr>
            <w:tr w14:paraId="251A1BE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25" w:hRule="atLeast"/>
              </w:trPr>
              <w:tc>
                <w:tcPr>
                  <w:tcW w:w="535" w:type="pct"/>
                  <w:vMerge w:val="continue"/>
                  <w:tcBorders>
                    <w:tl2br w:val="nil"/>
                    <w:tr2bl w:val="nil"/>
                  </w:tcBorders>
                  <w:noWrap w:val="0"/>
                  <w:vAlign w:val="center"/>
                </w:tcPr>
                <w:p w14:paraId="043B6020">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157" w:beforeLines="50" w:line="360" w:lineRule="auto"/>
                    <w:ind w:leftChars="20" w:right="42" w:rightChars="20"/>
                    <w:textAlignment w:val="auto"/>
                    <w:rPr>
                      <w:rFonts w:hint="default" w:ascii="Times New Roman" w:hAnsi="Times New Roman" w:eastAsia="宋体" w:cs="Times New Roman"/>
                      <w:b/>
                      <w:bCs/>
                      <w:color w:val="auto"/>
                      <w:kern w:val="0"/>
                      <w:sz w:val="24"/>
                      <w:szCs w:val="24"/>
                      <w:highlight w:val="none"/>
                      <w:lang w:val="en-US" w:eastAsia="zh-CN"/>
                    </w:rPr>
                  </w:pPr>
                </w:p>
              </w:tc>
              <w:tc>
                <w:tcPr>
                  <w:tcW w:w="1014" w:type="pct"/>
                  <w:tcBorders>
                    <w:top w:val="single" w:color="auto" w:sz="4" w:space="0"/>
                    <w:tl2br w:val="nil"/>
                    <w:tr2bl w:val="nil"/>
                  </w:tcBorders>
                  <w:noWrap w:val="0"/>
                  <w:vAlign w:val="center"/>
                </w:tcPr>
                <w:p w14:paraId="2F9FAC11">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施工生活垃圾</w:t>
                  </w:r>
                </w:p>
              </w:tc>
              <w:tc>
                <w:tcPr>
                  <w:tcW w:w="755" w:type="pct"/>
                  <w:tcBorders>
                    <w:top w:val="single" w:color="auto" w:sz="4" w:space="0"/>
                    <w:tl2br w:val="nil"/>
                    <w:tr2bl w:val="nil"/>
                  </w:tcBorders>
                  <w:noWrap w:val="0"/>
                  <w:vAlign w:val="center"/>
                </w:tcPr>
                <w:p w14:paraId="43AF7BAA">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生活垃圾</w:t>
                  </w:r>
                </w:p>
              </w:tc>
              <w:tc>
                <w:tcPr>
                  <w:tcW w:w="509" w:type="pct"/>
                  <w:vMerge w:val="continue"/>
                  <w:tcBorders>
                    <w:tl2br w:val="nil"/>
                    <w:tr2bl w:val="nil"/>
                  </w:tcBorders>
                  <w:noWrap w:val="0"/>
                  <w:vAlign w:val="center"/>
                </w:tcPr>
                <w:p w14:paraId="1DBEC971">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157" w:beforeLines="50" w:line="360" w:lineRule="auto"/>
                    <w:ind w:leftChars="20" w:right="42" w:rightChars="20"/>
                    <w:textAlignment w:val="auto"/>
                    <w:rPr>
                      <w:rFonts w:hint="default" w:ascii="Times New Roman" w:hAnsi="Times New Roman" w:eastAsia="宋体" w:cs="Times New Roman"/>
                      <w:b/>
                      <w:bCs/>
                      <w:color w:val="auto"/>
                      <w:kern w:val="0"/>
                      <w:sz w:val="24"/>
                      <w:szCs w:val="24"/>
                      <w:highlight w:val="none"/>
                      <w:lang w:val="en-US" w:eastAsia="zh-CN"/>
                    </w:rPr>
                  </w:pPr>
                </w:p>
              </w:tc>
              <w:tc>
                <w:tcPr>
                  <w:tcW w:w="2185" w:type="pct"/>
                  <w:vMerge w:val="continue"/>
                  <w:tcBorders>
                    <w:tl2br w:val="nil"/>
                    <w:tr2bl w:val="nil"/>
                  </w:tcBorders>
                  <w:noWrap/>
                  <w:vAlign w:val="center"/>
                </w:tcPr>
                <w:p w14:paraId="2552E9C4">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157" w:beforeLines="50" w:line="360" w:lineRule="auto"/>
                    <w:ind w:leftChars="20" w:right="42" w:rightChars="20"/>
                    <w:textAlignment w:val="auto"/>
                    <w:rPr>
                      <w:rFonts w:hint="default" w:ascii="Times New Roman" w:hAnsi="Times New Roman" w:eastAsia="宋体" w:cs="Times New Roman"/>
                      <w:b/>
                      <w:bCs/>
                      <w:color w:val="auto"/>
                      <w:kern w:val="0"/>
                      <w:sz w:val="24"/>
                      <w:szCs w:val="24"/>
                      <w:highlight w:val="none"/>
                      <w:lang w:val="en-US" w:eastAsia="zh-CN"/>
                    </w:rPr>
                  </w:pPr>
                </w:p>
              </w:tc>
            </w:tr>
          </w:tbl>
          <w:p w14:paraId="04DC6857">
            <w:pPr>
              <w:keepNext w:val="0"/>
              <w:keepLines w:val="0"/>
              <w:pageBreakBefore w:val="0"/>
              <w:widowControl w:val="0"/>
              <w:numPr>
                <w:ilvl w:val="0"/>
                <w:numId w:val="11"/>
              </w:numPr>
              <w:kinsoku/>
              <w:wordWrap/>
              <w:overflowPunct/>
              <w:topLinePunct w:val="0"/>
              <w:autoSpaceDE w:val="0"/>
              <w:autoSpaceDN w:val="0"/>
              <w:bidi w:val="0"/>
              <w:adjustRightInd w:val="0"/>
              <w:snapToGrid w:val="0"/>
              <w:spacing w:before="157" w:beforeLines="50"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生态环境影响分析</w:t>
            </w:r>
          </w:p>
          <w:p w14:paraId="717C9316">
            <w:pPr>
              <w:pageBreakBefore w:val="0"/>
              <w:kinsoku/>
              <w:wordWrap/>
              <w:overflowPunct/>
              <w:bidi w:val="0"/>
              <w:spacing w:line="360" w:lineRule="auto"/>
              <w:ind w:left="0" w:leftChars="0" w:right="0" w:rightChars="0"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本项目施工期生态影响因素主要表现为：工程施工期间的挖方、土石方临时堆放等临时占地，对建设区生态环境产生的影响。</w:t>
            </w:r>
          </w:p>
          <w:p w14:paraId="1368CB5C">
            <w:pPr>
              <w:pageBreakBefore w:val="0"/>
              <w:kinsoku/>
              <w:wordWrap/>
              <w:overflowPunct/>
              <w:bidi w:val="0"/>
              <w:spacing w:line="360" w:lineRule="auto"/>
              <w:ind w:left="0" w:leftChars="0" w:right="0" w:rightChars="0" w:firstLine="482" w:firstLineChars="200"/>
              <w:rPr>
                <w:rFonts w:hint="default" w:ascii="Times New Roman" w:hAnsi="Times New Roman" w:eastAsia="宋体" w:cs="Times New Roman"/>
                <w:b/>
                <w:bCs w:val="0"/>
                <w:color w:val="auto"/>
                <w:sz w:val="24"/>
              </w:rPr>
            </w:pPr>
            <w:r>
              <w:rPr>
                <w:rFonts w:hint="default" w:ascii="Times New Roman" w:hAnsi="Times New Roman" w:eastAsia="宋体" w:cs="Times New Roman"/>
                <w:b/>
                <w:bCs w:val="0"/>
                <w:color w:val="auto"/>
                <w:sz w:val="24"/>
                <w:lang w:val="en-US" w:eastAsia="zh-CN"/>
              </w:rPr>
              <w:t>1.1</w:t>
            </w:r>
            <w:r>
              <w:rPr>
                <w:rFonts w:hint="default" w:ascii="Times New Roman" w:hAnsi="Times New Roman" w:eastAsia="宋体" w:cs="Times New Roman"/>
                <w:b/>
                <w:bCs w:val="0"/>
                <w:color w:val="auto"/>
                <w:sz w:val="24"/>
              </w:rPr>
              <w:t>占地生态影响</w:t>
            </w:r>
          </w:p>
          <w:p w14:paraId="04734D13">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rPr>
              <w:t>工程区占地类型为水利设施用地</w:t>
            </w:r>
            <w:r>
              <w:rPr>
                <w:rFonts w:hint="default" w:ascii="Times New Roman" w:hAnsi="Times New Roman" w:eastAsia="宋体" w:cs="Times New Roman"/>
                <w:color w:val="auto"/>
                <w:kern w:val="0"/>
                <w:sz w:val="24"/>
                <w:szCs w:val="24"/>
                <w:lang w:eastAsia="zh-CN"/>
              </w:rPr>
              <w:t>、</w:t>
            </w:r>
            <w:r>
              <w:rPr>
                <w:rFonts w:hint="eastAsia" w:cs="Times New Roman"/>
                <w:color w:val="auto"/>
                <w:kern w:val="0"/>
                <w:sz w:val="24"/>
                <w:szCs w:val="24"/>
                <w:lang w:val="en-US" w:eastAsia="zh-CN"/>
              </w:rPr>
              <w:t>裸土地</w:t>
            </w:r>
            <w:r>
              <w:rPr>
                <w:rFonts w:hint="default" w:ascii="Times New Roman" w:hAnsi="Times New Roman" w:eastAsia="宋体" w:cs="Times New Roman"/>
                <w:color w:val="auto"/>
                <w:kern w:val="0"/>
                <w:sz w:val="24"/>
                <w:szCs w:val="24"/>
              </w:rPr>
              <w:t>，未占用耕地</w:t>
            </w:r>
            <w:r>
              <w:rPr>
                <w:rFonts w:hint="eastAsia" w:cs="Times New Roman"/>
                <w:color w:val="auto"/>
                <w:kern w:val="0"/>
                <w:sz w:val="24"/>
                <w:szCs w:val="24"/>
                <w:lang w:eastAsia="zh-CN"/>
              </w:rPr>
              <w:t>、</w:t>
            </w:r>
            <w:r>
              <w:rPr>
                <w:rFonts w:hint="default" w:ascii="Times New Roman" w:hAnsi="Times New Roman" w:eastAsia="宋体" w:cs="Times New Roman"/>
                <w:color w:val="auto"/>
                <w:kern w:val="0"/>
                <w:sz w:val="24"/>
                <w:szCs w:val="24"/>
              </w:rPr>
              <w:t>林地</w:t>
            </w:r>
            <w:r>
              <w:rPr>
                <w:rFonts w:hint="eastAsia" w:cs="Times New Roman"/>
                <w:color w:val="auto"/>
                <w:kern w:val="0"/>
                <w:sz w:val="24"/>
                <w:szCs w:val="24"/>
                <w:lang w:val="en-US" w:eastAsia="zh-CN"/>
              </w:rPr>
              <w:t>及草地</w:t>
            </w:r>
            <w:r>
              <w:rPr>
                <w:rFonts w:hint="default" w:ascii="Times New Roman" w:hAnsi="Times New Roman" w:eastAsia="宋体" w:cs="Times New Roman"/>
                <w:color w:val="auto"/>
                <w:kern w:val="0"/>
                <w:sz w:val="24"/>
                <w:szCs w:val="24"/>
              </w:rPr>
              <w:t>。</w:t>
            </w:r>
            <w:r>
              <w:rPr>
                <w:rFonts w:hint="default" w:ascii="Times New Roman" w:hAnsi="Times New Roman" w:eastAsia="宋体" w:cs="Times New Roman"/>
                <w:color w:val="auto"/>
                <w:kern w:val="0"/>
                <w:sz w:val="24"/>
                <w:szCs w:val="24"/>
                <w:highlight w:val="none"/>
              </w:rPr>
              <w:t>本工程总占地面积</w:t>
            </w:r>
            <w:r>
              <w:rPr>
                <w:rFonts w:hint="eastAsia" w:cs="Times New Roman"/>
                <w:color w:val="auto"/>
                <w:kern w:val="0"/>
                <w:sz w:val="24"/>
                <w:szCs w:val="24"/>
                <w:highlight w:val="none"/>
                <w:lang w:val="en-US" w:eastAsia="zh-CN"/>
              </w:rPr>
              <w:t>19.2417</w:t>
            </w:r>
            <w:r>
              <w:rPr>
                <w:rFonts w:hint="default" w:ascii="Times New Roman" w:hAnsi="Times New Roman" w:eastAsia="宋体" w:cs="Times New Roman"/>
                <w:color w:val="auto"/>
                <w:kern w:val="0"/>
                <w:sz w:val="24"/>
                <w:szCs w:val="24"/>
                <w:highlight w:val="none"/>
              </w:rPr>
              <w:t>hm</w:t>
            </w:r>
            <w:r>
              <w:rPr>
                <w:rFonts w:hint="default" w:ascii="Times New Roman" w:hAnsi="Times New Roman" w:eastAsia="宋体" w:cs="Times New Roman"/>
                <w:color w:val="auto"/>
                <w:kern w:val="0"/>
                <w:sz w:val="24"/>
                <w:szCs w:val="24"/>
                <w:highlight w:val="none"/>
                <w:vertAlign w:val="superscript"/>
              </w:rPr>
              <w:t>2</w:t>
            </w:r>
            <w:r>
              <w:rPr>
                <w:rFonts w:hint="default" w:ascii="Times New Roman" w:hAnsi="Times New Roman" w:eastAsia="宋体" w:cs="Times New Roman"/>
                <w:color w:val="auto"/>
                <w:kern w:val="0"/>
                <w:sz w:val="24"/>
                <w:szCs w:val="24"/>
                <w:highlight w:val="none"/>
              </w:rPr>
              <w:t>，其中永久占地</w:t>
            </w:r>
            <w:r>
              <w:rPr>
                <w:rFonts w:hint="eastAsia" w:cs="Times New Roman"/>
                <w:color w:val="auto"/>
                <w:kern w:val="0"/>
                <w:sz w:val="24"/>
                <w:szCs w:val="24"/>
                <w:highlight w:val="none"/>
                <w:lang w:val="en-US" w:eastAsia="zh-CN"/>
              </w:rPr>
              <w:t>17.1947</w:t>
            </w:r>
            <w:r>
              <w:rPr>
                <w:rFonts w:hint="default" w:ascii="Times New Roman" w:hAnsi="Times New Roman" w:eastAsia="宋体" w:cs="Times New Roman"/>
                <w:color w:val="auto"/>
                <w:kern w:val="0"/>
                <w:sz w:val="24"/>
                <w:szCs w:val="24"/>
                <w:highlight w:val="none"/>
              </w:rPr>
              <w:t>hm</w:t>
            </w:r>
            <w:r>
              <w:rPr>
                <w:rFonts w:hint="default" w:ascii="Times New Roman" w:hAnsi="Times New Roman" w:eastAsia="宋体" w:cs="Times New Roman"/>
                <w:color w:val="auto"/>
                <w:kern w:val="0"/>
                <w:sz w:val="24"/>
                <w:szCs w:val="24"/>
                <w:highlight w:val="none"/>
                <w:vertAlign w:val="superscript"/>
              </w:rPr>
              <w:t>2</w:t>
            </w:r>
            <w:r>
              <w:rPr>
                <w:rFonts w:hint="default" w:ascii="Times New Roman" w:hAnsi="Times New Roman" w:eastAsia="宋体" w:cs="Times New Roman"/>
                <w:color w:val="auto"/>
                <w:kern w:val="0"/>
                <w:sz w:val="24"/>
                <w:szCs w:val="24"/>
                <w:highlight w:val="none"/>
              </w:rPr>
              <w:t>，包括渠道工程主体和渠系建筑物，临时占地</w:t>
            </w:r>
            <w:r>
              <w:rPr>
                <w:rFonts w:hint="eastAsia" w:cs="Times New Roman"/>
                <w:color w:val="auto"/>
                <w:kern w:val="0"/>
                <w:sz w:val="24"/>
                <w:szCs w:val="24"/>
                <w:highlight w:val="none"/>
                <w:lang w:val="en-US" w:eastAsia="zh-CN"/>
              </w:rPr>
              <w:t>2.047</w:t>
            </w:r>
            <w:r>
              <w:rPr>
                <w:rFonts w:hint="default" w:ascii="Times New Roman" w:hAnsi="Times New Roman" w:eastAsia="宋体" w:cs="Times New Roman"/>
                <w:color w:val="auto"/>
                <w:kern w:val="0"/>
                <w:sz w:val="24"/>
                <w:szCs w:val="24"/>
                <w:highlight w:val="none"/>
              </w:rPr>
              <w:t>hm</w:t>
            </w:r>
            <w:r>
              <w:rPr>
                <w:rFonts w:hint="default" w:ascii="Times New Roman" w:hAnsi="Times New Roman" w:eastAsia="宋体" w:cs="Times New Roman"/>
                <w:color w:val="auto"/>
                <w:kern w:val="0"/>
                <w:sz w:val="24"/>
                <w:szCs w:val="24"/>
                <w:highlight w:val="none"/>
                <w:vertAlign w:val="superscript"/>
              </w:rPr>
              <w:t>2</w:t>
            </w:r>
            <w:r>
              <w:rPr>
                <w:rFonts w:hint="default" w:ascii="Times New Roman" w:hAnsi="Times New Roman" w:eastAsia="宋体" w:cs="Times New Roman"/>
                <w:color w:val="auto"/>
                <w:kern w:val="0"/>
                <w:sz w:val="24"/>
                <w:szCs w:val="24"/>
                <w:highlight w:val="none"/>
              </w:rPr>
              <w:t>，</w:t>
            </w:r>
            <w:r>
              <w:rPr>
                <w:rFonts w:hint="default" w:ascii="Times New Roman" w:hAnsi="Times New Roman" w:eastAsia="宋体" w:cs="Times New Roman"/>
                <w:color w:val="auto"/>
                <w:kern w:val="0"/>
                <w:sz w:val="24"/>
                <w:szCs w:val="24"/>
                <w:lang w:val="en-US" w:eastAsia="zh-CN"/>
              </w:rPr>
              <w:t>从工程占地性质分析，本项目为旧渠道改建</w:t>
            </w:r>
            <w:r>
              <w:rPr>
                <w:rFonts w:hint="eastAsia" w:cs="Times New Roman"/>
                <w:color w:val="auto"/>
                <w:kern w:val="0"/>
                <w:sz w:val="24"/>
                <w:szCs w:val="24"/>
                <w:lang w:val="en-US" w:eastAsia="zh-CN"/>
              </w:rPr>
              <w:t>及新建</w:t>
            </w:r>
            <w:r>
              <w:rPr>
                <w:rFonts w:hint="default" w:ascii="Times New Roman" w:hAnsi="Times New Roman" w:eastAsia="宋体" w:cs="Times New Roman"/>
                <w:color w:val="auto"/>
                <w:kern w:val="0"/>
                <w:sz w:val="24"/>
                <w:szCs w:val="24"/>
                <w:lang w:val="en-US" w:eastAsia="zh-CN"/>
              </w:rPr>
              <w:t>项目，是在原有渠道的基础上进行，渠道仍采用原来的渠线，与原有渠道相比不新增永久占地，未新增永久占地面积。项目建成后其土地的利用状况不会发生改变，仍可以保持原有的使用功能。施工场地、施工生产区的设置破坏了地表植被，导致土壤侵蚀模数相应增大，临时堆场不仅会压埋地表植被，还会形成新的水土流失区，遇到雨季则会引起较大规模的水土流失。临时用地在施工结束后，将拆除临时建筑物，建筑垃圾统一清运，清理平整后，进行景观绿化建设，播撒草籽，因此这类占地对环境的影响是暂时的。建设单位和施工单位应重视临时施工用地在工程结束后的清理和植被恢复工作，减少临时占地对生态的影响。</w:t>
            </w:r>
          </w:p>
          <w:p w14:paraId="74D338C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工程永久占地、临时占地暂时改变了土壤植被的使用功能，改变土壤结构，生产力降低。工程永久占地为水利设施用地，对于临时占地，施工期间主要采取洒水、碾压等工程措施进行防护；施工结束后，对临时设施拆除清运到就近生活垃圾填埋场堆放，对占用的土地采取平整、绿化措施。施工结束后，进行土地平整。随着环保措施的实施，临时占地的影响将会降至最低。</w:t>
            </w:r>
          </w:p>
          <w:p w14:paraId="3DDA981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工程临时占地主要为施工临时工区等。经过现场调查，临时占地范围内未发现珍稀保护植物。施工期间将会使分布于占地范围内的植物群落降低，对个体造成一定的破坏，但不会影响到植物的种群繁衍。</w:t>
            </w:r>
          </w:p>
          <w:p w14:paraId="6C42CC3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项目区渠系周围主要以农田、道路、居民区为主，工程施工开挖、占压等活动将扰动地表，不可避免产生一定的水土流失等，但开挖、土石方施工以及工程施工道路占压范围相对于评价区域面积很小，并且施工结束后，按照生态保护措施做好生态恢复，受施工活动影响的植被会逐渐恢复。</w:t>
            </w:r>
          </w:p>
          <w:p w14:paraId="4A234AE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color w:val="auto"/>
                <w:kern w:val="0"/>
                <w:sz w:val="24"/>
                <w:szCs w:val="24"/>
                <w:lang w:eastAsia="zh-CN"/>
              </w:rPr>
            </w:pPr>
            <w:r>
              <w:rPr>
                <w:rFonts w:hint="default" w:ascii="Times New Roman" w:hAnsi="Times New Roman" w:eastAsia="宋体" w:cs="Times New Roman"/>
                <w:color w:val="auto"/>
                <w:kern w:val="0"/>
                <w:sz w:val="24"/>
                <w:szCs w:val="24"/>
                <w:lang w:val="en-US" w:eastAsia="zh-CN"/>
              </w:rPr>
              <w:t>综上所述，施工临时占地生态环境影响在做好生态恢复工作后，影响是可接受的。</w:t>
            </w:r>
          </w:p>
          <w:p w14:paraId="4EF203C2">
            <w:pPr>
              <w:pageBreakBefore w:val="0"/>
              <w:kinsoku/>
              <w:wordWrap/>
              <w:overflowPunct/>
              <w:bidi w:val="0"/>
              <w:spacing w:line="360" w:lineRule="auto"/>
              <w:ind w:left="0" w:leftChars="0" w:right="0" w:rightChars="0" w:firstLine="480"/>
              <w:rPr>
                <w:rFonts w:hint="default" w:ascii="Times New Roman" w:hAnsi="Times New Roman" w:eastAsia="宋体" w:cs="Times New Roman"/>
                <w:b/>
                <w:bCs w:val="0"/>
                <w:color w:val="auto"/>
                <w:sz w:val="24"/>
                <w:lang w:eastAsia="zh-CN"/>
              </w:rPr>
            </w:pPr>
            <w:r>
              <w:rPr>
                <w:rFonts w:hint="default" w:ascii="Times New Roman" w:hAnsi="Times New Roman" w:eastAsia="宋体" w:cs="Times New Roman"/>
                <w:b/>
                <w:bCs w:val="0"/>
                <w:color w:val="auto"/>
                <w:sz w:val="24"/>
                <w:lang w:val="en-US" w:eastAsia="zh-CN"/>
              </w:rPr>
              <w:t>1.</w:t>
            </w:r>
            <w:r>
              <w:rPr>
                <w:rFonts w:hint="eastAsia" w:cs="Times New Roman"/>
                <w:b/>
                <w:bCs w:val="0"/>
                <w:color w:val="auto"/>
                <w:sz w:val="24"/>
                <w:lang w:val="en-US" w:eastAsia="zh-CN"/>
              </w:rPr>
              <w:t>2</w:t>
            </w:r>
            <w:r>
              <w:rPr>
                <w:rFonts w:hint="default" w:ascii="Times New Roman" w:hAnsi="Times New Roman" w:eastAsia="宋体" w:cs="Times New Roman"/>
                <w:b/>
                <w:bCs w:val="0"/>
                <w:color w:val="auto"/>
                <w:sz w:val="24"/>
              </w:rPr>
              <w:t>植被影响分析</w:t>
            </w:r>
          </w:p>
          <w:p w14:paraId="0C5C7623">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施工期对植被的影响主要为占地范围内原有植物的剥离、清理及占压。在施工过程中，土方开挖扰动范围内植物的地上部分与根系均被清除，施工带两侧的植被由于挖掘土方的堆放、人员的践踏、施工车辆和机具的碾压而受到不同程度的破坏，会造成地上部分破坏甚至死亡。</w:t>
            </w:r>
          </w:p>
          <w:p w14:paraId="7583B23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本工程位于奇台县，工程区地表植被稀少，施工范围内未发现国家及地方珍稀濒危保护物种。但施工过程中仍要注意保护植被，将施工占地范围控制在设计范围之内，严禁外扩范围，减少植被破坏面积，在施工结束后伴随自然恢复，工程对植物的影响将大大减小。</w:t>
            </w:r>
          </w:p>
          <w:p w14:paraId="4F0D31B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综上所述，本工程的建设不会对项目区植物种类的生存和繁衍造成严重影响，不会使评价区植物群落发生变化，也不会造成某一植物物种的消失。施工结束后及时进行覆土回填，并及时清理施工建筑废弃物，恢复原有地貌，对植被的影响分析较小。</w:t>
            </w:r>
          </w:p>
          <w:p w14:paraId="54C5A7D3">
            <w:pPr>
              <w:pageBreakBefore w:val="0"/>
              <w:kinsoku/>
              <w:wordWrap/>
              <w:overflowPunct/>
              <w:bidi w:val="0"/>
              <w:spacing w:line="360" w:lineRule="auto"/>
              <w:ind w:left="0" w:leftChars="0" w:right="0" w:rightChars="0" w:firstLine="480"/>
              <w:rPr>
                <w:rFonts w:hint="default" w:ascii="Times New Roman" w:hAnsi="Times New Roman" w:eastAsia="宋体" w:cs="Times New Roman"/>
                <w:b/>
                <w:bCs w:val="0"/>
                <w:color w:val="auto"/>
                <w:sz w:val="24"/>
              </w:rPr>
            </w:pPr>
            <w:r>
              <w:rPr>
                <w:rFonts w:hint="default" w:ascii="Times New Roman" w:hAnsi="Times New Roman" w:eastAsia="宋体" w:cs="Times New Roman"/>
                <w:b/>
                <w:bCs w:val="0"/>
                <w:color w:val="auto"/>
                <w:sz w:val="24"/>
                <w:lang w:val="en-US" w:eastAsia="zh-CN"/>
              </w:rPr>
              <w:t>1.</w:t>
            </w:r>
            <w:r>
              <w:rPr>
                <w:rFonts w:hint="eastAsia" w:cs="Times New Roman"/>
                <w:b/>
                <w:bCs w:val="0"/>
                <w:color w:val="auto"/>
                <w:sz w:val="24"/>
                <w:lang w:val="en-US" w:eastAsia="zh-CN"/>
              </w:rPr>
              <w:t>4</w:t>
            </w:r>
            <w:r>
              <w:rPr>
                <w:rFonts w:hint="default" w:ascii="Times New Roman" w:hAnsi="Times New Roman" w:eastAsia="宋体" w:cs="Times New Roman"/>
                <w:b/>
                <w:bCs w:val="0"/>
                <w:color w:val="auto"/>
                <w:sz w:val="24"/>
              </w:rPr>
              <w:t>野生动物影响分析</w:t>
            </w:r>
          </w:p>
          <w:p w14:paraId="59B9F828">
            <w:pPr>
              <w:pageBreakBefore w:val="0"/>
              <w:kinsoku/>
              <w:wordWrap/>
              <w:overflowPunct/>
              <w:bidi w:val="0"/>
              <w:spacing w:line="360" w:lineRule="auto"/>
              <w:ind w:left="0" w:leftChars="0" w:right="0" w:rightChars="0" w:firstLine="48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施工机械噪声和人类活动噪声是影响野生动物的主要因素，各种施工机械如运输车辆、推土机、振捣棒等均可能产生较强的噪声。虽然这些施工机械属非连续性间歇排放，但由于噪声源相对集中，且多为裸露声源，故其有一定辐射范围。预计在施工期，本区的野生动物都将产生规避反应，迁往附近同类环境，动物迁徙能力强，且同类生境易于在附近找寻，故物种种群与数量不会受到明显影响。根据当地居民反映，本区无大型野生动物，哺乳动物主要是鼠、兔等小型动物；同时根据调查，该区没有珍贵动物，也不是候鸟的栖息地和迁徙通道。因此，施工期对野生动物的影响很小。</w:t>
            </w:r>
          </w:p>
          <w:p w14:paraId="50CEB7BE">
            <w:pPr>
              <w:pageBreakBefore w:val="0"/>
              <w:kinsoku/>
              <w:wordWrap/>
              <w:overflowPunct/>
              <w:bidi w:val="0"/>
              <w:spacing w:line="360" w:lineRule="auto"/>
              <w:ind w:left="0" w:leftChars="0" w:right="0" w:rightChars="0" w:firstLine="480"/>
              <w:rPr>
                <w:rFonts w:hint="default" w:ascii="Times New Roman" w:hAnsi="Times New Roman" w:eastAsia="宋体" w:cs="Times New Roman"/>
                <w:b/>
                <w:bCs w:val="0"/>
                <w:color w:val="auto"/>
                <w:sz w:val="24"/>
              </w:rPr>
            </w:pPr>
            <w:r>
              <w:rPr>
                <w:rFonts w:hint="default" w:ascii="Times New Roman" w:hAnsi="Times New Roman" w:eastAsia="宋体" w:cs="Times New Roman"/>
                <w:b/>
                <w:bCs w:val="0"/>
                <w:color w:val="auto"/>
                <w:sz w:val="24"/>
                <w:lang w:val="en-US" w:eastAsia="zh-CN"/>
              </w:rPr>
              <w:t>1.</w:t>
            </w:r>
            <w:r>
              <w:rPr>
                <w:rFonts w:hint="eastAsia" w:cs="Times New Roman"/>
                <w:b/>
                <w:bCs w:val="0"/>
                <w:color w:val="auto"/>
                <w:sz w:val="24"/>
                <w:lang w:val="en-US" w:eastAsia="zh-CN"/>
              </w:rPr>
              <w:t>5水生生态的影响</w:t>
            </w:r>
          </w:p>
          <w:p w14:paraId="69F272FD">
            <w:pPr>
              <w:pageBreakBefore w:val="0"/>
              <w:kinsoku/>
              <w:wordWrap/>
              <w:overflowPunct/>
              <w:bidi w:val="0"/>
              <w:spacing w:line="360" w:lineRule="auto"/>
              <w:ind w:left="0" w:leftChars="0" w:right="0" w:rightChars="0" w:firstLine="48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lang w:eastAsia="zh-CN"/>
              </w:rPr>
              <w:t>项目施工期均选择在非灌溉期，渠道内无水流通过，施工废水经沉淀处理后回用或用于场地洒水抑尘，不排入地表水体。项目施工不会对水生生态环境造成影响。</w:t>
            </w:r>
          </w:p>
          <w:p w14:paraId="26678EB4">
            <w:pPr>
              <w:pageBreakBefore w:val="0"/>
              <w:kinsoku/>
              <w:wordWrap/>
              <w:overflowPunct/>
              <w:bidi w:val="0"/>
              <w:spacing w:line="360" w:lineRule="auto"/>
              <w:ind w:left="0" w:leftChars="0" w:right="0" w:rightChars="0" w:firstLine="480"/>
              <w:rPr>
                <w:rFonts w:hint="default" w:ascii="Times New Roman" w:hAnsi="Times New Roman" w:eastAsia="宋体" w:cs="Times New Roman"/>
                <w:b/>
                <w:bCs w:val="0"/>
                <w:color w:val="auto"/>
                <w:sz w:val="24"/>
              </w:rPr>
            </w:pPr>
            <w:r>
              <w:rPr>
                <w:rFonts w:hint="default" w:ascii="Times New Roman" w:hAnsi="Times New Roman" w:eastAsia="宋体" w:cs="Times New Roman"/>
                <w:b/>
                <w:bCs w:val="0"/>
                <w:color w:val="auto"/>
                <w:sz w:val="24"/>
                <w:lang w:val="en-US" w:eastAsia="zh-CN"/>
              </w:rPr>
              <w:t>1.</w:t>
            </w:r>
            <w:r>
              <w:rPr>
                <w:rFonts w:hint="eastAsia" w:cs="Times New Roman"/>
                <w:b/>
                <w:bCs w:val="0"/>
                <w:color w:val="auto"/>
                <w:sz w:val="24"/>
                <w:lang w:val="en-US" w:eastAsia="zh-CN"/>
              </w:rPr>
              <w:t>6</w:t>
            </w:r>
            <w:r>
              <w:rPr>
                <w:rFonts w:hint="default" w:ascii="Times New Roman" w:hAnsi="Times New Roman" w:eastAsia="宋体" w:cs="Times New Roman"/>
                <w:b/>
                <w:bCs w:val="0"/>
                <w:color w:val="auto"/>
                <w:sz w:val="24"/>
              </w:rPr>
              <w:t>水土流失影响分析</w:t>
            </w:r>
          </w:p>
          <w:p w14:paraId="1CAA435B">
            <w:pPr>
              <w:pageBreakBefore w:val="0"/>
              <w:kinsoku/>
              <w:wordWrap/>
              <w:overflowPunct/>
              <w:bidi w:val="0"/>
              <w:spacing w:line="360" w:lineRule="auto"/>
              <w:ind w:left="0" w:leftChars="0" w:right="0" w:rightChars="0" w:firstLine="48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本工程建设过程中，由于施工人员践踏、机械作业等，对地表植被及土壤结构造成破坏，形成一定面积的裸地，遇到雨天将会造成水土流失，开挖的土石方将占用一定的土地，对占地范围产生扰动、植被破坏，开挖土石方堆存易发生水土流失。工程建设新增水土流失产生于以下方面：</w:t>
            </w:r>
          </w:p>
          <w:p w14:paraId="0B52C745">
            <w:pPr>
              <w:pageBreakBefore w:val="0"/>
              <w:kinsoku/>
              <w:wordWrap/>
              <w:overflowPunct/>
              <w:bidi w:val="0"/>
              <w:spacing w:line="360" w:lineRule="auto"/>
              <w:ind w:left="0" w:leftChars="0" w:right="0" w:rightChars="0" w:firstLine="48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①工程实施期间，由于场地开拓及平整地基土层的填挖、施工临时生产区、施工道路的布置等，均有可能造成原生地表植被的破坏，引发和加剧水土流失。</w:t>
            </w:r>
          </w:p>
          <w:p w14:paraId="7CA5C0C1">
            <w:pPr>
              <w:pageBreakBefore w:val="0"/>
              <w:kinsoku/>
              <w:wordWrap/>
              <w:overflowPunct/>
              <w:bidi w:val="0"/>
              <w:spacing w:line="360" w:lineRule="auto"/>
              <w:ind w:left="0" w:leftChars="0" w:right="0" w:rightChars="0" w:firstLine="48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②临时的土方堆放被风蚀的可能性较大，若堆放或保护措施不当，将会在大风作用下产生水土流失。</w:t>
            </w:r>
          </w:p>
          <w:p w14:paraId="1CC1F2A4">
            <w:pPr>
              <w:pageBreakBefore w:val="0"/>
              <w:kinsoku/>
              <w:wordWrap/>
              <w:overflowPunct/>
              <w:bidi w:val="0"/>
              <w:spacing w:line="360" w:lineRule="auto"/>
              <w:ind w:left="0" w:leftChars="0" w:right="0" w:rightChars="0" w:firstLine="48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从本工程建设性质来看，主体工程及其配套设施建设将扰动原地貌，改变地形地貌，破坏植被，工程建设对占地范围内的土地产生扰动，本次提出严格控制施工占地，对临时堆土采取防尘网苫盖措施，施工结束后恢复原有地貌，采取以上措施后，对项目区周边水土流失的影响不大。</w:t>
            </w:r>
          </w:p>
          <w:p w14:paraId="2110792A">
            <w:pPr>
              <w:pageBreakBefore w:val="0"/>
              <w:kinsoku/>
              <w:wordWrap/>
              <w:overflowPunct/>
              <w:bidi w:val="0"/>
              <w:spacing w:line="360" w:lineRule="auto"/>
              <w:ind w:left="0" w:leftChars="0" w:right="0" w:rightChars="0" w:firstLine="480"/>
              <w:rPr>
                <w:rFonts w:hint="eastAsia" w:ascii="Times New Roman" w:hAnsi="Times New Roman" w:eastAsia="宋体" w:cs="Times New Roman"/>
                <w:b/>
                <w:bCs w:val="0"/>
                <w:color w:val="auto"/>
                <w:sz w:val="24"/>
                <w:highlight w:val="none"/>
                <w:lang w:val="en-US" w:eastAsia="zh-CN"/>
              </w:rPr>
            </w:pPr>
            <w:r>
              <w:rPr>
                <w:rFonts w:hint="eastAsia" w:ascii="Times New Roman" w:hAnsi="Times New Roman" w:eastAsia="宋体" w:cs="Times New Roman"/>
                <w:b/>
                <w:bCs w:val="0"/>
                <w:color w:val="auto"/>
                <w:sz w:val="24"/>
                <w:lang w:val="en-US" w:eastAsia="zh-CN"/>
              </w:rPr>
              <w:t>1.7</w:t>
            </w:r>
            <w:r>
              <w:rPr>
                <w:rFonts w:hint="eastAsia" w:ascii="Times New Roman" w:hAnsi="Times New Roman" w:eastAsia="宋体" w:cs="Times New Roman"/>
                <w:b/>
                <w:bCs w:val="0"/>
                <w:color w:val="auto"/>
                <w:sz w:val="24"/>
                <w:highlight w:val="none"/>
                <w:lang w:val="en-US" w:eastAsia="zh-CN"/>
              </w:rPr>
              <w:t>对土地沙化影响分析</w:t>
            </w:r>
          </w:p>
          <w:p w14:paraId="1701547E">
            <w:pPr>
              <w:pageBreakBefore w:val="0"/>
              <w:kinsoku/>
              <w:wordWrap/>
              <w:overflowPunct/>
              <w:bidi w:val="0"/>
              <w:spacing w:line="360" w:lineRule="auto"/>
              <w:ind w:left="0" w:leftChars="0" w:right="0" w:rightChars="0" w:firstLine="480"/>
              <w:rPr>
                <w:rFonts w:hint="eastAsia" w:ascii="Times New Roman" w:hAnsi="Times New Roman" w:eastAsia="宋体" w:cs="Times New Roman"/>
                <w:bCs/>
                <w:color w:val="auto"/>
                <w:sz w:val="24"/>
                <w:highlight w:val="none"/>
                <w:lang w:val="en-US" w:eastAsia="zh-CN"/>
              </w:rPr>
            </w:pPr>
            <w:r>
              <w:rPr>
                <w:rFonts w:hint="eastAsia" w:ascii="Times New Roman" w:hAnsi="Times New Roman" w:eastAsia="宋体" w:cs="Times New Roman"/>
                <w:bCs/>
                <w:color w:val="auto"/>
                <w:sz w:val="24"/>
                <w:highlight w:val="none"/>
                <w:lang w:val="en-US" w:eastAsia="zh-CN"/>
              </w:rPr>
              <w:t>本项目建设过程中对原地貌的扰动将降低项目占地范围内的土壤抗侵蚀能力，加剧土地沙化；由于项目地处内陆地区，风沙较大，空气干燥，若项目土石方堆存过程中未采取防尘网苫盖、洒水抑尘等措施，地表沙化的土壤及废土等遇大风天气易产生严重的扬尘，形成沙尘天气。施工期间对环境产生的影响主要为土石方挖掘、土建施工、交通运输和机械设备的安装、调试等。施工过程中，对原有地表土壤造成扰动，造成地表原有结构的破坏，影响区域植被生长，造成土壤逐渐沙化。此外，在施工过程中，车辆行驶将使经过的土壤变紧实，严重的经过多次碾压后植物很难再生长，甚至退化。上述施工作业过程中，对原地貌的扰动大大降低了项目占地范围内的土壤抗侵蚀能力，若未采取相应的防护措施，遇大风天气，极易加重区域沙尘天气。</w:t>
            </w:r>
          </w:p>
          <w:p w14:paraId="26AEFA8E">
            <w:pPr>
              <w:pageBreakBefore w:val="0"/>
              <w:kinsoku/>
              <w:wordWrap/>
              <w:overflowPunct/>
              <w:bidi w:val="0"/>
              <w:spacing w:line="360" w:lineRule="auto"/>
              <w:ind w:left="0" w:leftChars="0" w:right="0" w:rightChars="0" w:firstLine="480"/>
              <w:rPr>
                <w:rFonts w:hint="eastAsia" w:ascii="Times New Roman" w:hAnsi="Times New Roman" w:eastAsia="宋体" w:cs="Times New Roman"/>
                <w:bCs/>
                <w:color w:val="auto"/>
                <w:sz w:val="24"/>
                <w:highlight w:val="none"/>
                <w:lang w:val="en-US" w:eastAsia="zh-CN"/>
              </w:rPr>
            </w:pPr>
            <w:r>
              <w:rPr>
                <w:rFonts w:hint="eastAsia" w:ascii="Times New Roman" w:hAnsi="Times New Roman" w:eastAsia="宋体" w:cs="Times New Roman"/>
                <w:bCs/>
                <w:color w:val="auto"/>
                <w:sz w:val="24"/>
                <w:highlight w:val="none"/>
                <w:lang w:val="en-US" w:eastAsia="zh-CN"/>
              </w:rPr>
              <w:t>因此施工过程中，应尽可能在有植被的地段采取人工开挖，局部降低作业带宽度，减少对植被的破坏。还需严格控制施工活动范围，严禁乱碾乱轧，避免对项目占地范围外的区域造成扰动，施工作业应分段作业，开挖的土方应分层开挖、分层堆放、分层回填，避免在大风天气作业，以免造成土壤风蚀影响。</w:t>
            </w:r>
          </w:p>
          <w:p w14:paraId="47203E5B">
            <w:pPr>
              <w:pageBreakBefore w:val="0"/>
              <w:kinsoku/>
              <w:wordWrap/>
              <w:overflowPunct/>
              <w:bidi w:val="0"/>
              <w:spacing w:line="360" w:lineRule="auto"/>
              <w:ind w:left="0" w:leftChars="0" w:right="0" w:rightChars="0" w:firstLine="480"/>
              <w:rPr>
                <w:rFonts w:hint="eastAsia" w:ascii="Times New Roman" w:hAnsi="Times New Roman" w:eastAsia="宋体" w:cs="Times New Roman"/>
                <w:bCs/>
                <w:color w:val="auto"/>
                <w:sz w:val="24"/>
                <w:highlight w:val="none"/>
                <w:lang w:val="en-US" w:eastAsia="zh-CN"/>
              </w:rPr>
            </w:pPr>
            <w:r>
              <w:rPr>
                <w:rFonts w:hint="eastAsia" w:ascii="Times New Roman" w:hAnsi="Times New Roman" w:eastAsia="宋体" w:cs="Times New Roman"/>
                <w:bCs/>
                <w:color w:val="auto"/>
                <w:sz w:val="24"/>
                <w:highlight w:val="none"/>
                <w:lang w:val="en-US" w:eastAsia="zh-CN"/>
              </w:rPr>
              <w:t>施工结束后对场地进行清理、平整并压实，场地实施场地硬化，避免水土流失影响，严禁破坏占地范围外的植被，严禁在大风天气进行土方作业。粉状材料及临时土方等在堆场应采取覆盖防尘布，逸散性材料运输采用篷布遮盖，减少施工扬尘产生量和起沙量。针对施工机械及运输车辆，提出如下措施：施工期间应划定施工活动范围，严格控制和管理运输车辆及重型机械的运行线路和范围，不得离开运输道路随意行驶，由专人负责，以防破坏土壤和植被，加剧土地荒漠化。</w:t>
            </w:r>
          </w:p>
          <w:p w14:paraId="0BE10A89">
            <w:pPr>
              <w:keepNext w:val="0"/>
              <w:keepLines w:val="0"/>
              <w:pageBreakBefore w:val="0"/>
              <w:widowControl w:val="0"/>
              <w:numPr>
                <w:ilvl w:val="0"/>
                <w:numId w:val="11"/>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大气环境影响分析</w:t>
            </w:r>
          </w:p>
          <w:p w14:paraId="77D90145">
            <w:pPr>
              <w:pageBreakBefore w:val="0"/>
              <w:kinsoku/>
              <w:wordWrap/>
              <w:overflowPunct/>
              <w:bidi w:val="0"/>
              <w:spacing w:line="360" w:lineRule="auto"/>
              <w:ind w:left="0" w:leftChars="0" w:right="0" w:rightChars="0"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（1）扬尘</w:t>
            </w:r>
          </w:p>
          <w:p w14:paraId="01136F2D">
            <w:pPr>
              <w:pageBreakBefore w:val="0"/>
              <w:kinsoku/>
              <w:wordWrap/>
              <w:overflowPunct/>
              <w:bidi w:val="0"/>
              <w:spacing w:line="360" w:lineRule="auto"/>
              <w:ind w:left="0" w:leftChars="0" w:right="0" w:rightChars="0"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在整个施工期间，产生扬尘的作业主要有土方的开挖、回填及建筑材料的装卸、施工垃圾的清理等；车辆经过裸露路面亦容易引起路面积尘飞扬。这类风力扬尘的主要特点是与风速等气象条件有关，也与尘粒本身的沉降速度有关，主要影响范围在扬尘点下风向近距离范围内。施工现场扬</w:t>
            </w:r>
            <w:r>
              <w:rPr>
                <w:rFonts w:hint="eastAsia" w:cs="Times New Roman"/>
                <w:color w:val="auto"/>
                <w:sz w:val="24"/>
                <w:highlight w:val="none"/>
                <w:lang w:eastAsia="zh-CN"/>
              </w:rPr>
              <w:t>尘</w:t>
            </w:r>
            <w:r>
              <w:rPr>
                <w:rFonts w:hint="default" w:ascii="Times New Roman" w:hAnsi="Times New Roman" w:eastAsia="宋体" w:cs="Times New Roman"/>
                <w:color w:val="auto"/>
                <w:sz w:val="24"/>
                <w:highlight w:val="none"/>
              </w:rPr>
              <w:t>对环境的影响状况见表4-</w:t>
            </w:r>
            <w:r>
              <w:rPr>
                <w:rFonts w:hint="eastAsia" w:cs="Times New Roman"/>
                <w:color w:val="auto"/>
                <w:sz w:val="24"/>
                <w:highlight w:val="none"/>
                <w:lang w:val="en-US" w:eastAsia="zh-CN"/>
              </w:rPr>
              <w:t>2</w:t>
            </w:r>
            <w:r>
              <w:rPr>
                <w:rFonts w:hint="default" w:ascii="Times New Roman" w:hAnsi="Times New Roman" w:eastAsia="宋体" w:cs="Times New Roman"/>
                <w:color w:val="auto"/>
                <w:sz w:val="24"/>
                <w:highlight w:val="none"/>
              </w:rPr>
              <w:t>。</w:t>
            </w:r>
          </w:p>
          <w:p w14:paraId="20791923">
            <w:pPr>
              <w:pStyle w:val="47"/>
              <w:spacing w:line="440" w:lineRule="exact"/>
              <w:ind w:firstLine="0" w:firstLineChars="0"/>
              <w:jc w:val="center"/>
              <w:textAlignment w:val="baseline"/>
              <w:rPr>
                <w:rFonts w:hint="default" w:ascii="Times New Roman" w:hAnsi="Times New Roman" w:eastAsia="宋体" w:cs="Times New Roman"/>
                <w:b/>
                <w:bCs w:val="0"/>
                <w:snapToGrid w:val="0"/>
                <w:color w:val="auto"/>
                <w:sz w:val="24"/>
                <w:szCs w:val="24"/>
                <w:highlight w:val="none"/>
              </w:rPr>
            </w:pPr>
            <w:r>
              <w:rPr>
                <w:rFonts w:hint="default" w:ascii="Times New Roman" w:hAnsi="Times New Roman" w:eastAsia="宋体" w:cs="Times New Roman"/>
                <w:b/>
                <w:bCs w:val="0"/>
                <w:snapToGrid w:val="0"/>
                <w:color w:val="auto"/>
                <w:sz w:val="24"/>
                <w:szCs w:val="24"/>
                <w:highlight w:val="none"/>
              </w:rPr>
              <w:t>表4-</w:t>
            </w:r>
            <w:r>
              <w:rPr>
                <w:rFonts w:hint="eastAsia" w:ascii="Times New Roman" w:hAnsi="Times New Roman" w:cs="Times New Roman"/>
                <w:b/>
                <w:bCs w:val="0"/>
                <w:snapToGrid w:val="0"/>
                <w:color w:val="auto"/>
                <w:sz w:val="24"/>
                <w:szCs w:val="24"/>
                <w:highlight w:val="none"/>
                <w:lang w:val="en-US" w:eastAsia="zh-CN"/>
              </w:rPr>
              <w:t>2</w:t>
            </w:r>
            <w:r>
              <w:rPr>
                <w:rFonts w:hint="default" w:ascii="Times New Roman" w:hAnsi="Times New Roman" w:eastAsia="宋体" w:cs="Times New Roman"/>
                <w:b/>
                <w:bCs w:val="0"/>
                <w:snapToGrid w:val="0"/>
                <w:color w:val="auto"/>
                <w:sz w:val="24"/>
                <w:szCs w:val="24"/>
                <w:highlight w:val="none"/>
              </w:rPr>
              <w:t>施工现场扬尘TSP对环境的污染状况单位：mg/m</w:t>
            </w:r>
            <w:r>
              <w:rPr>
                <w:rFonts w:hint="default" w:ascii="Times New Roman" w:hAnsi="Times New Roman" w:eastAsia="宋体" w:cs="Times New Roman"/>
                <w:b/>
                <w:bCs w:val="0"/>
                <w:snapToGrid w:val="0"/>
                <w:color w:val="auto"/>
                <w:sz w:val="24"/>
                <w:szCs w:val="24"/>
                <w:highlight w:val="none"/>
                <w:vertAlign w:val="superscript"/>
              </w:rPr>
              <w:t>3</w:t>
            </w:r>
          </w:p>
          <w:tbl>
            <w:tblPr>
              <w:tblStyle w:val="29"/>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Layout w:type="autofit"/>
              <w:tblCellMar>
                <w:top w:w="0" w:type="dxa"/>
                <w:left w:w="108" w:type="dxa"/>
                <w:bottom w:w="0" w:type="dxa"/>
                <w:right w:w="108" w:type="dxa"/>
              </w:tblCellMar>
            </w:tblPr>
            <w:tblGrid>
              <w:gridCol w:w="1968"/>
              <w:gridCol w:w="802"/>
              <w:gridCol w:w="979"/>
              <w:gridCol w:w="1013"/>
              <w:gridCol w:w="981"/>
              <w:gridCol w:w="997"/>
              <w:gridCol w:w="883"/>
            </w:tblGrid>
            <w:tr w14:paraId="5E9F5D83">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362" w:hRule="atLeast"/>
              </w:trPr>
              <w:tc>
                <w:tcPr>
                  <w:tcW w:w="1291" w:type="pct"/>
                  <w:vMerge w:val="restart"/>
                  <w:noWrap w:val="0"/>
                  <w:vAlign w:val="center"/>
                </w:tcPr>
                <w:p w14:paraId="2B984B9F">
                  <w:pPr>
                    <w:pageBreakBefore w:val="0"/>
                    <w:kinsoku/>
                    <w:wordWrap/>
                    <w:overflowPunct/>
                    <w:bidi w:val="0"/>
                    <w:ind w:left="0" w:leftChars="0" w:right="0" w:rightChars="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降尘措施</w:t>
                  </w:r>
                </w:p>
              </w:tc>
              <w:tc>
                <w:tcPr>
                  <w:tcW w:w="3708" w:type="pct"/>
                  <w:gridSpan w:val="6"/>
                  <w:noWrap w:val="0"/>
                  <w:vAlign w:val="center"/>
                </w:tcPr>
                <w:p w14:paraId="0BEE4E12">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b/>
                      <w:bCs/>
                      <w:color w:val="auto"/>
                      <w:szCs w:val="21"/>
                      <w:highlight w:val="none"/>
                    </w:rPr>
                    <w:t>工地下风向距离</w:t>
                  </w:r>
                </w:p>
              </w:tc>
            </w:tr>
            <w:tr w14:paraId="31D2D984">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397" w:hRule="atLeast"/>
              </w:trPr>
              <w:tc>
                <w:tcPr>
                  <w:tcW w:w="1291" w:type="pct"/>
                  <w:vMerge w:val="continue"/>
                  <w:noWrap w:val="0"/>
                  <w:vAlign w:val="center"/>
                </w:tcPr>
                <w:p w14:paraId="526D980C">
                  <w:pPr>
                    <w:pageBreakBefore w:val="0"/>
                    <w:widowControl/>
                    <w:kinsoku/>
                    <w:wordWrap/>
                    <w:overflowPunct/>
                    <w:bidi w:val="0"/>
                    <w:ind w:left="0" w:leftChars="0" w:right="0" w:rightChars="0"/>
                    <w:jc w:val="left"/>
                    <w:rPr>
                      <w:rFonts w:hint="default" w:ascii="Times New Roman" w:hAnsi="Times New Roman" w:eastAsia="宋体" w:cs="Times New Roman"/>
                      <w:b/>
                      <w:bCs/>
                      <w:color w:val="auto"/>
                      <w:szCs w:val="21"/>
                      <w:highlight w:val="none"/>
                    </w:rPr>
                  </w:pPr>
                </w:p>
              </w:tc>
              <w:tc>
                <w:tcPr>
                  <w:tcW w:w="526" w:type="pct"/>
                  <w:noWrap w:val="0"/>
                  <w:vAlign w:val="center"/>
                </w:tcPr>
                <w:p w14:paraId="2946C084">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20m</w:t>
                  </w:r>
                </w:p>
              </w:tc>
              <w:tc>
                <w:tcPr>
                  <w:tcW w:w="642" w:type="pct"/>
                  <w:noWrap w:val="0"/>
                  <w:vAlign w:val="center"/>
                </w:tcPr>
                <w:p w14:paraId="55A2E264">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50m</w:t>
                  </w:r>
                </w:p>
              </w:tc>
              <w:tc>
                <w:tcPr>
                  <w:tcW w:w="664" w:type="pct"/>
                  <w:noWrap w:val="0"/>
                  <w:vAlign w:val="center"/>
                </w:tcPr>
                <w:p w14:paraId="77AD0A28">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100m</w:t>
                  </w:r>
                </w:p>
              </w:tc>
              <w:tc>
                <w:tcPr>
                  <w:tcW w:w="643" w:type="pct"/>
                  <w:noWrap w:val="0"/>
                  <w:vAlign w:val="center"/>
                </w:tcPr>
                <w:p w14:paraId="7658C949">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150m</w:t>
                  </w:r>
                </w:p>
              </w:tc>
              <w:tc>
                <w:tcPr>
                  <w:tcW w:w="654" w:type="pct"/>
                  <w:noWrap w:val="0"/>
                  <w:vAlign w:val="center"/>
                </w:tcPr>
                <w:p w14:paraId="469632BF">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200m</w:t>
                  </w:r>
                </w:p>
              </w:tc>
              <w:tc>
                <w:tcPr>
                  <w:tcW w:w="576" w:type="pct"/>
                  <w:noWrap w:val="0"/>
                  <w:vAlign w:val="center"/>
                </w:tcPr>
                <w:p w14:paraId="49542693">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250m</w:t>
                  </w:r>
                </w:p>
              </w:tc>
            </w:tr>
            <w:tr w14:paraId="1FF5FAAE">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371" w:hRule="atLeast"/>
              </w:trPr>
              <w:tc>
                <w:tcPr>
                  <w:tcW w:w="1291" w:type="pct"/>
                  <w:noWrap w:val="0"/>
                  <w:vAlign w:val="center"/>
                </w:tcPr>
                <w:p w14:paraId="42DFB7F8">
                  <w:pPr>
                    <w:pageBreakBefore w:val="0"/>
                    <w:kinsoku/>
                    <w:wordWrap/>
                    <w:overflowPunct/>
                    <w:bidi w:val="0"/>
                    <w:ind w:left="0" w:leftChars="0" w:right="0" w:rightChars="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无</w:t>
                  </w:r>
                </w:p>
              </w:tc>
              <w:tc>
                <w:tcPr>
                  <w:tcW w:w="526" w:type="pct"/>
                  <w:noWrap w:val="0"/>
                  <w:vAlign w:val="center"/>
                </w:tcPr>
                <w:p w14:paraId="2E8E9C24">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rPr>
                    <w:t>1.</w:t>
                  </w:r>
                  <w:r>
                    <w:rPr>
                      <w:rFonts w:hint="default" w:ascii="Times New Roman" w:hAnsi="Times New Roman" w:cs="Times New Roman"/>
                      <w:color w:val="auto"/>
                      <w:szCs w:val="21"/>
                      <w:highlight w:val="none"/>
                      <w:lang w:eastAsia="zh-CN"/>
                    </w:rPr>
                    <w:t>30</w:t>
                  </w:r>
                </w:p>
              </w:tc>
              <w:tc>
                <w:tcPr>
                  <w:tcW w:w="642" w:type="pct"/>
                  <w:noWrap w:val="0"/>
                  <w:vAlign w:val="center"/>
                </w:tcPr>
                <w:p w14:paraId="20C88D9F">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0.722</w:t>
                  </w:r>
                </w:p>
              </w:tc>
              <w:tc>
                <w:tcPr>
                  <w:tcW w:w="664" w:type="pct"/>
                  <w:noWrap w:val="0"/>
                  <w:vAlign w:val="center"/>
                </w:tcPr>
                <w:p w14:paraId="2547AA6A">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0.402</w:t>
                  </w:r>
                </w:p>
              </w:tc>
              <w:tc>
                <w:tcPr>
                  <w:tcW w:w="643" w:type="pct"/>
                  <w:noWrap w:val="0"/>
                  <w:vAlign w:val="center"/>
                </w:tcPr>
                <w:p w14:paraId="39CA7E88">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0.311</w:t>
                  </w:r>
                </w:p>
              </w:tc>
              <w:tc>
                <w:tcPr>
                  <w:tcW w:w="654" w:type="pct"/>
                  <w:noWrap w:val="0"/>
                  <w:vAlign w:val="center"/>
                </w:tcPr>
                <w:p w14:paraId="503DE47A">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0.270</w:t>
                  </w:r>
                </w:p>
              </w:tc>
              <w:tc>
                <w:tcPr>
                  <w:tcW w:w="576" w:type="pct"/>
                  <w:noWrap w:val="0"/>
                  <w:vAlign w:val="center"/>
                </w:tcPr>
                <w:p w14:paraId="30E576B3">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0.210</w:t>
                  </w:r>
                </w:p>
              </w:tc>
            </w:tr>
            <w:tr w14:paraId="0B2169F7">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CellMar>
                  <w:top w:w="0" w:type="dxa"/>
                  <w:left w:w="108" w:type="dxa"/>
                  <w:bottom w:w="0" w:type="dxa"/>
                  <w:right w:w="108" w:type="dxa"/>
                </w:tblCellMar>
              </w:tblPrEx>
              <w:trPr>
                <w:trHeight w:val="389" w:hRule="atLeast"/>
              </w:trPr>
              <w:tc>
                <w:tcPr>
                  <w:tcW w:w="1291" w:type="pct"/>
                  <w:noWrap w:val="0"/>
                  <w:vAlign w:val="center"/>
                </w:tcPr>
                <w:p w14:paraId="1AA5651A">
                  <w:pPr>
                    <w:pageBreakBefore w:val="0"/>
                    <w:kinsoku/>
                    <w:wordWrap/>
                    <w:overflowPunct/>
                    <w:bidi w:val="0"/>
                    <w:ind w:left="0" w:leftChars="0" w:right="0" w:rightChars="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有（围金属板）</w:t>
                  </w:r>
                </w:p>
              </w:tc>
              <w:tc>
                <w:tcPr>
                  <w:tcW w:w="526" w:type="pct"/>
                  <w:noWrap w:val="0"/>
                  <w:vAlign w:val="center"/>
                </w:tcPr>
                <w:p w14:paraId="49EC4C2B">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0.824</w:t>
                  </w:r>
                </w:p>
              </w:tc>
              <w:tc>
                <w:tcPr>
                  <w:tcW w:w="642" w:type="pct"/>
                  <w:noWrap w:val="0"/>
                  <w:vAlign w:val="center"/>
                </w:tcPr>
                <w:p w14:paraId="2A89B334">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0.426</w:t>
                  </w:r>
                </w:p>
              </w:tc>
              <w:tc>
                <w:tcPr>
                  <w:tcW w:w="664" w:type="pct"/>
                  <w:noWrap w:val="0"/>
                  <w:vAlign w:val="center"/>
                </w:tcPr>
                <w:p w14:paraId="7C6B5E47">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0.235</w:t>
                  </w:r>
                </w:p>
              </w:tc>
              <w:tc>
                <w:tcPr>
                  <w:tcW w:w="643" w:type="pct"/>
                  <w:noWrap w:val="0"/>
                  <w:vAlign w:val="center"/>
                </w:tcPr>
                <w:p w14:paraId="15814A17">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0.221</w:t>
                  </w:r>
                </w:p>
              </w:tc>
              <w:tc>
                <w:tcPr>
                  <w:tcW w:w="654" w:type="pct"/>
                  <w:noWrap w:val="0"/>
                  <w:vAlign w:val="center"/>
                </w:tcPr>
                <w:p w14:paraId="09B60310">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0.215</w:t>
                  </w:r>
                </w:p>
              </w:tc>
              <w:tc>
                <w:tcPr>
                  <w:tcW w:w="576" w:type="pct"/>
                  <w:noWrap w:val="0"/>
                  <w:vAlign w:val="center"/>
                </w:tcPr>
                <w:p w14:paraId="69788670">
                  <w:pPr>
                    <w:pageBreakBefore w:val="0"/>
                    <w:kinsoku/>
                    <w:wordWrap/>
                    <w:overflowPunct/>
                    <w:bidi w:val="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0.206</w:t>
                  </w:r>
                </w:p>
              </w:tc>
            </w:tr>
          </w:tbl>
          <w:p w14:paraId="42F88DBA">
            <w:pPr>
              <w:keepNext w:val="0"/>
              <w:keepLines w:val="0"/>
              <w:pageBreakBefore w:val="0"/>
              <w:widowControl w:val="0"/>
              <w:kinsoku/>
              <w:wordWrap/>
              <w:overflowPunct/>
              <w:topLinePunct/>
              <w:autoSpaceDE/>
              <w:autoSpaceDN/>
              <w:bidi w:val="0"/>
              <w:adjustRightInd/>
              <w:snapToGrid/>
              <w:spacing w:before="157" w:beforeLines="50" w:line="360" w:lineRule="auto"/>
              <w:ind w:left="0" w:leftChars="0" w:right="0" w:rightChars="0"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highlight w:val="none"/>
              </w:rPr>
              <w:t>由表4-1可知，在无任何防尘措施的情况下，施工现场对周围环境的影响较严重，200m外TSP浓度才可达到《环境空气质量标准》（GB3095-20</w:t>
            </w:r>
            <w:r>
              <w:rPr>
                <w:rFonts w:hint="eastAsia" w:cs="Times New Roman"/>
                <w:color w:val="auto"/>
                <w:sz w:val="24"/>
                <w:highlight w:val="none"/>
                <w:lang w:val="en-US" w:eastAsia="zh-CN"/>
              </w:rPr>
              <w:t>26</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lang w:val="en-US" w:eastAsia="zh-CN"/>
              </w:rPr>
              <w:t>过渡阶段浓度限值（二级）</w:t>
            </w:r>
            <w:r>
              <w:rPr>
                <w:rFonts w:hint="default" w:ascii="Times New Roman" w:hAnsi="Times New Roman" w:eastAsia="宋体" w:cs="Times New Roman"/>
                <w:color w:val="auto"/>
                <w:sz w:val="24"/>
                <w:highlight w:val="none"/>
              </w:rPr>
              <w:t>；而在有防尘措施的情况下，影响范围降至100m范围内。抑制扬尘最简洁有效的措施是洒水。土方开挖、土方回填及建筑材料的装卸、施工垃圾的清</w:t>
            </w:r>
            <w:r>
              <w:rPr>
                <w:rFonts w:hint="default" w:ascii="Times New Roman" w:hAnsi="Times New Roman" w:eastAsia="宋体" w:cs="Times New Roman"/>
                <w:color w:val="auto"/>
                <w:sz w:val="24"/>
              </w:rPr>
              <w:t>理等产生扬尘较大的污染工序之前均采取洒水降尘后进行，施工期间对车辆行驶的路面每天洒水4</w:t>
            </w:r>
            <w:r>
              <w:rPr>
                <w:rFonts w:hint="eastAsia" w:cs="Times New Roman"/>
                <w:color w:val="auto"/>
                <w:sz w:val="24"/>
                <w:lang w:eastAsia="zh-CN"/>
              </w:rPr>
              <w:t>—</w:t>
            </w:r>
            <w:r>
              <w:rPr>
                <w:rFonts w:hint="default" w:ascii="Times New Roman" w:hAnsi="Times New Roman" w:eastAsia="宋体" w:cs="Times New Roman"/>
                <w:color w:val="auto"/>
                <w:sz w:val="24"/>
              </w:rPr>
              <w:t>5次，可使扬尘减少70%以上，并可将TSP污染距离缩小到50m的范围内。因此项目施工期间建设单位应重视施工扬尘治理，注意落实</w:t>
            </w:r>
            <w:r>
              <w:rPr>
                <w:rFonts w:hint="eastAsia" w:cs="Times New Roman"/>
                <w:color w:val="auto"/>
                <w:sz w:val="24"/>
                <w:lang w:eastAsia="zh-CN"/>
              </w:rPr>
              <w:t>加设</w:t>
            </w:r>
            <w:r>
              <w:rPr>
                <w:rFonts w:hint="default" w:ascii="Times New Roman" w:hAnsi="Times New Roman" w:eastAsia="宋体" w:cs="Times New Roman"/>
                <w:color w:val="auto"/>
                <w:sz w:val="24"/>
              </w:rPr>
              <w:t>围栏、洒水抑尘等相应的降尘措施</w:t>
            </w:r>
            <w:r>
              <w:rPr>
                <w:rFonts w:hint="default" w:ascii="Times New Roman" w:hAnsi="Times New Roman" w:cs="Times New Roman"/>
                <w:color w:val="auto"/>
                <w:kern w:val="0"/>
                <w:sz w:val="24"/>
                <w:lang w:bidi="ar"/>
              </w:rPr>
              <w:t>。</w:t>
            </w:r>
            <w:r>
              <w:rPr>
                <w:rFonts w:hint="default" w:ascii="Times New Roman" w:hAnsi="Times New Roman" w:eastAsia="宋体" w:cs="Times New Roman"/>
                <w:color w:val="auto"/>
                <w:sz w:val="24"/>
              </w:rPr>
              <w:t>尽可能将施工扬尘影响控制在施工场地范围内，以减小施工扬尘对周边的环境影响。</w:t>
            </w:r>
          </w:p>
          <w:p w14:paraId="09FADF5C">
            <w:pPr>
              <w:pageBreakBefore w:val="0"/>
              <w:kinsoku/>
              <w:wordWrap/>
              <w:overflowPunct/>
              <w:bidi w:val="0"/>
              <w:spacing w:line="360" w:lineRule="auto"/>
              <w:ind w:left="0" w:leftChars="0" w:right="0" w:rightChars="0"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w:t>
            </w:r>
            <w:r>
              <w:rPr>
                <w:rFonts w:hint="default" w:ascii="Times New Roman" w:hAnsi="Times New Roman" w:eastAsia="宋体" w:cs="Times New Roman"/>
                <w:b w:val="0"/>
                <w:bCs/>
                <w:color w:val="auto"/>
                <w:sz w:val="24"/>
                <w:szCs w:val="24"/>
                <w:lang w:val="en-US" w:eastAsia="zh-CN"/>
              </w:rPr>
              <w:t>临时堆土场扬尘</w:t>
            </w:r>
            <w:r>
              <w:rPr>
                <w:rFonts w:hint="default" w:ascii="Times New Roman" w:hAnsi="Times New Roman" w:eastAsia="宋体" w:cs="Times New Roman"/>
                <w:color w:val="auto"/>
                <w:sz w:val="24"/>
              </w:rPr>
              <w:t>环境影响分析</w:t>
            </w:r>
          </w:p>
          <w:p w14:paraId="47244B67">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color w:val="auto"/>
                <w:sz w:val="24"/>
                <w:szCs w:val="24"/>
                <w:u w:val="none"/>
                <w:lang w:val="zh-CN"/>
              </w:rPr>
            </w:pPr>
            <w:r>
              <w:rPr>
                <w:rFonts w:hint="default" w:ascii="Times New Roman" w:hAnsi="Times New Roman" w:eastAsia="宋体" w:cs="Times New Roman"/>
                <w:color w:val="auto"/>
                <w:sz w:val="24"/>
                <w:szCs w:val="24"/>
                <w:lang w:val="en-US" w:eastAsia="zh-CN"/>
              </w:rPr>
              <w:t>临时堆土场</w:t>
            </w:r>
            <w:r>
              <w:rPr>
                <w:rFonts w:hint="default" w:ascii="Times New Roman" w:hAnsi="Times New Roman" w:eastAsia="宋体" w:cs="Times New Roman"/>
                <w:color w:val="auto"/>
                <w:sz w:val="24"/>
                <w:szCs w:val="24"/>
              </w:rPr>
              <w:t>物料的种类、性质及风速与起尘量有很大关系，比重小的物料容易受扰动而起尘，物料中小颗粒比例大时起尘量相应也大。</w:t>
            </w:r>
            <w:r>
              <w:rPr>
                <w:rFonts w:hint="default" w:ascii="Times New Roman" w:hAnsi="Times New Roman" w:eastAsia="宋体" w:cs="Times New Roman"/>
                <w:color w:val="auto"/>
                <w:sz w:val="24"/>
                <w:szCs w:val="24"/>
                <w:lang w:val="en-US" w:eastAsia="zh-CN"/>
              </w:rPr>
              <w:t>临时堆土场</w:t>
            </w:r>
            <w:r>
              <w:rPr>
                <w:rFonts w:hint="default" w:ascii="Times New Roman" w:hAnsi="Times New Roman" w:eastAsia="宋体" w:cs="Times New Roman"/>
                <w:color w:val="auto"/>
                <w:sz w:val="24"/>
                <w:szCs w:val="24"/>
              </w:rPr>
              <w:t>的扬尘包括料堆的风吹扬尘、装卸扬尘和过往车辆引起路面积尘二次扬尘等，这将产生较大的扬尘污染，会对周围环境带来一定的影响。但通过洒水可有效地抑制扬尘量，可使扬尘量减少约70</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。此外，对一些粉状材料及砂石料等采取覆盖或进仓防风措施也将有效减少扬尘污染。</w:t>
            </w:r>
            <w:r>
              <w:rPr>
                <w:rFonts w:hint="default" w:ascii="Times New Roman" w:hAnsi="Times New Roman" w:eastAsia="宋体" w:cs="Times New Roman"/>
                <w:color w:val="auto"/>
                <w:sz w:val="24"/>
                <w:szCs w:val="24"/>
                <w:lang w:eastAsia="zh-CN"/>
              </w:rPr>
              <w:t>因此</w:t>
            </w:r>
            <w:r>
              <w:rPr>
                <w:rFonts w:hint="default" w:ascii="Times New Roman" w:hAnsi="Times New Roman" w:eastAsia="宋体" w:cs="Times New Roman"/>
                <w:color w:val="auto"/>
                <w:sz w:val="24"/>
                <w:szCs w:val="24"/>
                <w:u w:val="none"/>
                <w:lang w:val="zh-CN"/>
              </w:rPr>
              <w:t>施工单位必须使用废气排放符合国家标准的机械设备和运输车辆，并加强设备、车辆的维护保养，使其始终处于良好的工作状态，严禁使用报废车辆，以确保施工场地周围区域环境空气质量达到《环境空气质量标准》（GB3095-20</w:t>
            </w:r>
            <w:r>
              <w:rPr>
                <w:rFonts w:hint="eastAsia" w:cs="Times New Roman"/>
                <w:color w:val="auto"/>
                <w:sz w:val="24"/>
                <w:szCs w:val="24"/>
                <w:u w:val="none"/>
                <w:lang w:val="en-US" w:eastAsia="zh-CN"/>
              </w:rPr>
              <w:t>26</w:t>
            </w:r>
            <w:r>
              <w:rPr>
                <w:rFonts w:hint="default" w:ascii="Times New Roman" w:hAnsi="Times New Roman" w:eastAsia="宋体" w:cs="Times New Roman"/>
                <w:color w:val="auto"/>
                <w:sz w:val="24"/>
                <w:szCs w:val="24"/>
                <w:u w:val="none"/>
                <w:lang w:val="zh-CN"/>
              </w:rPr>
              <w:t>）</w:t>
            </w:r>
            <w:r>
              <w:rPr>
                <w:rFonts w:hint="default" w:ascii="Times New Roman" w:hAnsi="Times New Roman" w:eastAsia="宋体" w:cs="Times New Roman"/>
                <w:color w:val="auto"/>
                <w:sz w:val="24"/>
                <w:szCs w:val="24"/>
                <w:u w:val="none"/>
                <w:lang w:val="zh-CN" w:eastAsia="zh-CN"/>
              </w:rPr>
              <w:t>过渡阶段浓度限值（二级）</w:t>
            </w:r>
            <w:r>
              <w:rPr>
                <w:rFonts w:hint="default" w:ascii="Times New Roman" w:hAnsi="Times New Roman" w:eastAsia="宋体" w:cs="Times New Roman"/>
                <w:color w:val="auto"/>
                <w:sz w:val="24"/>
                <w:szCs w:val="24"/>
                <w:u w:val="none"/>
                <w:lang w:val="zh-CN"/>
              </w:rPr>
              <w:t>。</w:t>
            </w:r>
          </w:p>
          <w:p w14:paraId="484BB530">
            <w:pPr>
              <w:pageBreakBefore w:val="0"/>
              <w:kinsoku/>
              <w:wordWrap/>
              <w:overflowPunct/>
              <w:bidi w:val="0"/>
              <w:spacing w:line="360" w:lineRule="auto"/>
              <w:ind w:left="0" w:leftChars="0" w:right="0" w:rightChars="0"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w:t>
            </w:r>
            <w:r>
              <w:rPr>
                <w:rFonts w:hint="default" w:ascii="Times New Roman" w:hAnsi="Times New Roman" w:eastAsia="宋体" w:cs="Times New Roman"/>
                <w:color w:val="auto"/>
                <w:sz w:val="24"/>
                <w:lang w:val="en-US" w:eastAsia="zh-CN"/>
              </w:rPr>
              <w:t>3</w:t>
            </w:r>
            <w:r>
              <w:rPr>
                <w:rFonts w:hint="default" w:ascii="Times New Roman" w:hAnsi="Times New Roman" w:eastAsia="宋体" w:cs="Times New Roman"/>
                <w:color w:val="auto"/>
                <w:sz w:val="24"/>
              </w:rPr>
              <w:t>）施工车辆尾气环境影响分析</w:t>
            </w:r>
          </w:p>
          <w:p w14:paraId="3BCFC3A0">
            <w:pPr>
              <w:pageBreakBefore w:val="0"/>
              <w:kinsoku/>
              <w:wordWrap/>
              <w:overflowPunct/>
              <w:bidi w:val="0"/>
              <w:spacing w:line="360" w:lineRule="auto"/>
              <w:ind w:left="0" w:leftChars="0" w:right="0" w:rightChars="0"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汽车尾气中所含的有害物质主要有CO、THC、NO</w:t>
            </w:r>
            <w:r>
              <w:rPr>
                <w:rFonts w:hint="default" w:ascii="Times New Roman" w:hAnsi="Times New Roman" w:eastAsia="宋体" w:cs="Times New Roman"/>
                <w:color w:val="auto"/>
                <w:sz w:val="24"/>
                <w:vertAlign w:val="subscript"/>
              </w:rPr>
              <w:t>X</w:t>
            </w:r>
            <w:r>
              <w:rPr>
                <w:rFonts w:hint="default" w:ascii="Times New Roman" w:hAnsi="Times New Roman" w:eastAsia="宋体" w:cs="Times New Roman"/>
                <w:color w:val="auto"/>
                <w:sz w:val="24"/>
              </w:rPr>
              <w:t>等，但这些污染源较分散且为流动性，污染物排放量不大，表现为间歇性特征，影响是短期和局部的，施工结束影响也随之消失，这类废气对大气环境的影响比较小。要求施工单位必须使用污染物排放符合国家标准的运输车辆，加强车辆的保养，使车辆处于良好的工作状态，严禁使用报废车辆，以减少施工车辆尾气对周围环境的影响。</w:t>
            </w:r>
          </w:p>
          <w:p w14:paraId="2E019B87">
            <w:pPr>
              <w:pageBreakBefore w:val="0"/>
              <w:kinsoku/>
              <w:wordWrap/>
              <w:overflowPunct/>
              <w:bidi w:val="0"/>
              <w:spacing w:line="360" w:lineRule="auto"/>
              <w:ind w:left="0" w:leftChars="0" w:right="0" w:rightChars="0"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lang w:val="en-US" w:eastAsia="zh-CN"/>
              </w:rPr>
              <w:t>4</w:t>
            </w:r>
            <w:r>
              <w:rPr>
                <w:rFonts w:hint="default" w:ascii="Times New Roman" w:hAnsi="Times New Roman" w:eastAsia="宋体" w:cs="Times New Roman"/>
                <w:color w:val="auto"/>
                <w:sz w:val="24"/>
                <w:lang w:eastAsia="zh-CN"/>
              </w:rPr>
              <w:t>）施工机械废气</w:t>
            </w:r>
            <w:r>
              <w:rPr>
                <w:rFonts w:hint="default" w:ascii="Times New Roman" w:hAnsi="Times New Roman" w:eastAsia="宋体" w:cs="Times New Roman"/>
                <w:color w:val="auto"/>
                <w:sz w:val="24"/>
              </w:rPr>
              <w:t>环境影响分析</w:t>
            </w:r>
          </w:p>
          <w:p w14:paraId="1249A905">
            <w:pPr>
              <w:pageBreakBefore w:val="0"/>
              <w:kinsoku/>
              <w:wordWrap/>
              <w:overflowPunct/>
              <w:bidi w:val="0"/>
              <w:spacing w:line="360" w:lineRule="auto"/>
              <w:ind w:left="0" w:leftChars="0" w:right="0" w:rightChars="0" w:firstLine="480" w:firstLineChars="200"/>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lang w:eastAsia="zh-CN"/>
              </w:rPr>
              <w:t>本项目</w:t>
            </w:r>
            <w:r>
              <w:rPr>
                <w:rFonts w:hint="default" w:ascii="Times New Roman" w:hAnsi="Times New Roman" w:eastAsia="宋体" w:cs="Times New Roman"/>
                <w:color w:val="auto"/>
                <w:sz w:val="24"/>
                <w:lang w:val="en-US" w:eastAsia="zh-CN"/>
              </w:rPr>
              <w:t>临时电源采用柴油发电机。柴油发电机</w:t>
            </w:r>
            <w:r>
              <w:rPr>
                <w:rFonts w:hint="default" w:ascii="Times New Roman" w:hAnsi="Times New Roman" w:eastAsia="宋体" w:cs="Times New Roman"/>
                <w:color w:val="auto"/>
                <w:sz w:val="24"/>
                <w:lang w:eastAsia="zh-CN"/>
              </w:rPr>
              <w:t>燃烧</w:t>
            </w:r>
            <w:r>
              <w:rPr>
                <w:rFonts w:hint="default" w:ascii="Times New Roman" w:hAnsi="Times New Roman" w:eastAsia="宋体" w:cs="Times New Roman"/>
                <w:color w:val="auto"/>
                <w:sz w:val="24"/>
                <w:lang w:val="en-US" w:eastAsia="zh-CN"/>
              </w:rPr>
              <w:t>柴油</w:t>
            </w:r>
            <w:r>
              <w:rPr>
                <w:rFonts w:hint="default" w:ascii="Times New Roman" w:hAnsi="Times New Roman" w:eastAsia="宋体" w:cs="Times New Roman"/>
                <w:color w:val="auto"/>
                <w:sz w:val="24"/>
                <w:lang w:eastAsia="zh-CN"/>
              </w:rPr>
              <w:t>过程中将产生CO、NOx、SO</w:t>
            </w:r>
            <w:r>
              <w:rPr>
                <w:rFonts w:hint="default" w:ascii="Times New Roman" w:hAnsi="Times New Roman" w:eastAsia="宋体" w:cs="Times New Roman"/>
                <w:color w:val="auto"/>
                <w:sz w:val="24"/>
                <w:vertAlign w:val="subscript"/>
                <w:lang w:eastAsia="zh-CN"/>
              </w:rPr>
              <w:t>2</w:t>
            </w:r>
            <w:r>
              <w:rPr>
                <w:rFonts w:hint="default" w:ascii="Times New Roman" w:hAnsi="Times New Roman" w:eastAsia="宋体" w:cs="Times New Roman"/>
                <w:color w:val="auto"/>
                <w:sz w:val="24"/>
                <w:lang w:eastAsia="zh-CN"/>
              </w:rPr>
              <w:t>、碳氢化合物污染物。根据有关资料介绍，每吨柴油燃烧排放有害气体量详见下表。</w:t>
            </w:r>
          </w:p>
          <w:p w14:paraId="1B190DB1">
            <w:pPr>
              <w:pStyle w:val="47"/>
              <w:spacing w:line="440" w:lineRule="exact"/>
              <w:ind w:firstLine="0" w:firstLineChars="0"/>
              <w:jc w:val="center"/>
              <w:textAlignment w:val="baseline"/>
              <w:rPr>
                <w:rFonts w:hint="default" w:ascii="Times New Roman" w:hAnsi="Times New Roman" w:eastAsia="宋体" w:cs="Times New Roman"/>
                <w:b/>
                <w:bCs w:val="0"/>
                <w:snapToGrid w:val="0"/>
                <w:color w:val="auto"/>
                <w:sz w:val="24"/>
                <w:szCs w:val="24"/>
                <w:lang w:eastAsia="zh-CN"/>
              </w:rPr>
            </w:pPr>
            <w:r>
              <w:rPr>
                <w:rFonts w:hint="default" w:ascii="Times New Roman" w:hAnsi="Times New Roman" w:eastAsia="宋体" w:cs="Times New Roman"/>
                <w:b/>
                <w:bCs w:val="0"/>
                <w:snapToGrid w:val="0"/>
                <w:color w:val="auto"/>
                <w:sz w:val="24"/>
                <w:szCs w:val="24"/>
                <w:lang w:eastAsia="zh-CN"/>
              </w:rPr>
              <w:t>表4-</w:t>
            </w:r>
            <w:r>
              <w:rPr>
                <w:rFonts w:hint="eastAsia" w:ascii="Times New Roman" w:hAnsi="Times New Roman" w:cs="Times New Roman"/>
                <w:b/>
                <w:bCs w:val="0"/>
                <w:snapToGrid w:val="0"/>
                <w:color w:val="auto"/>
                <w:sz w:val="24"/>
                <w:szCs w:val="24"/>
                <w:lang w:val="en-US" w:eastAsia="zh-CN"/>
              </w:rPr>
              <w:t>3</w:t>
            </w:r>
            <w:r>
              <w:rPr>
                <w:rFonts w:hint="default" w:ascii="Times New Roman" w:hAnsi="Times New Roman" w:eastAsia="宋体" w:cs="Times New Roman"/>
                <w:b/>
                <w:bCs w:val="0"/>
                <w:snapToGrid w:val="0"/>
                <w:color w:val="auto"/>
                <w:sz w:val="24"/>
                <w:szCs w:val="24"/>
                <w:lang w:eastAsia="zh-CN"/>
              </w:rPr>
              <w:t>燃烧lt柴油排放的有害物质表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4"/>
              <w:gridCol w:w="1525"/>
              <w:gridCol w:w="1525"/>
              <w:gridCol w:w="1525"/>
              <w:gridCol w:w="1526"/>
            </w:tblGrid>
            <w:tr w14:paraId="0D346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999" w:type="pct"/>
                  <w:noWrap w:val="0"/>
                  <w:vAlign w:val="center"/>
                </w:tcPr>
                <w:p w14:paraId="1163A11F">
                  <w:pPr>
                    <w:pStyle w:val="15"/>
                    <w:keepNext w:val="0"/>
                    <w:keepLines w:val="0"/>
                    <w:pageBreakBefore w:val="0"/>
                    <w:widowControl w:val="0"/>
                    <w:kinsoku/>
                    <w:wordWrap/>
                    <w:overflowPunct w:val="0"/>
                    <w:topLinePunct w:val="0"/>
                    <w:autoSpaceDE/>
                    <w:autoSpaceDN/>
                    <w:bidi w:val="0"/>
                    <w:adjustRightInd/>
                    <w:snapToGrid/>
                    <w:spacing w:after="0" w:line="240" w:lineRule="auto"/>
                    <w:jc w:val="center"/>
                    <w:textAlignment w:val="auto"/>
                    <w:rPr>
                      <w:rFonts w:hint="default" w:ascii="Times New Roman" w:hAnsi="Times New Roman" w:cs="Times New Roman"/>
                      <w:b/>
                      <w:bCs/>
                      <w:color w:val="auto"/>
                      <w:vertAlign w:val="baseline"/>
                      <w:lang w:eastAsia="zh-CN"/>
                    </w:rPr>
                  </w:pPr>
                  <w:r>
                    <w:rPr>
                      <w:rFonts w:hint="default" w:ascii="Times New Roman" w:hAnsi="Times New Roman" w:cs="Times New Roman"/>
                      <w:b/>
                      <w:bCs/>
                      <w:color w:val="auto"/>
                      <w:vertAlign w:val="baseline"/>
                      <w:lang w:eastAsia="zh-CN"/>
                    </w:rPr>
                    <w:t>有害物质</w:t>
                  </w:r>
                </w:p>
              </w:tc>
              <w:tc>
                <w:tcPr>
                  <w:tcW w:w="1000" w:type="pct"/>
                  <w:noWrap w:val="0"/>
                  <w:vAlign w:val="center"/>
                </w:tcPr>
                <w:p w14:paraId="11E0FC14">
                  <w:pPr>
                    <w:pStyle w:val="15"/>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SO</w:t>
                  </w:r>
                  <w:r>
                    <w:rPr>
                      <w:rFonts w:hint="default" w:ascii="Times New Roman" w:hAnsi="Times New Roman" w:cs="Times New Roman"/>
                      <w:color w:val="auto"/>
                      <w:vertAlign w:val="subscript"/>
                      <w:lang w:val="en-US" w:eastAsia="zh-CN"/>
                    </w:rPr>
                    <w:t>2</w:t>
                  </w:r>
                </w:p>
              </w:tc>
              <w:tc>
                <w:tcPr>
                  <w:tcW w:w="1000" w:type="pct"/>
                  <w:noWrap w:val="0"/>
                  <w:vAlign w:val="center"/>
                </w:tcPr>
                <w:p w14:paraId="20F00972">
                  <w:pPr>
                    <w:pStyle w:val="15"/>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CO</w:t>
                  </w:r>
                </w:p>
              </w:tc>
              <w:tc>
                <w:tcPr>
                  <w:tcW w:w="1000" w:type="pct"/>
                  <w:noWrap w:val="0"/>
                  <w:vAlign w:val="center"/>
                </w:tcPr>
                <w:p w14:paraId="760F6250">
                  <w:pPr>
                    <w:pStyle w:val="15"/>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NOx</w:t>
                  </w:r>
                </w:p>
              </w:tc>
              <w:tc>
                <w:tcPr>
                  <w:tcW w:w="1000" w:type="pct"/>
                  <w:noWrap w:val="0"/>
                  <w:vAlign w:val="center"/>
                </w:tcPr>
                <w:p w14:paraId="3EED7D02">
                  <w:pPr>
                    <w:pStyle w:val="15"/>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cs="Times New Roman"/>
                      <w:color w:val="auto"/>
                      <w:vertAlign w:val="baseline"/>
                      <w:lang w:eastAsia="zh-CN"/>
                    </w:rPr>
                  </w:pPr>
                  <w:r>
                    <w:rPr>
                      <w:rFonts w:hint="default" w:ascii="Times New Roman" w:hAnsi="Times New Roman" w:cs="Times New Roman"/>
                      <w:color w:val="auto"/>
                      <w:vertAlign w:val="baseline"/>
                      <w:lang w:eastAsia="zh-CN"/>
                    </w:rPr>
                    <w:t>碳氢化合物</w:t>
                  </w:r>
                </w:p>
              </w:tc>
            </w:tr>
            <w:tr w14:paraId="02FED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999" w:type="pct"/>
                  <w:noWrap w:val="0"/>
                  <w:vAlign w:val="center"/>
                </w:tcPr>
                <w:p w14:paraId="62977C70">
                  <w:pPr>
                    <w:pStyle w:val="15"/>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cs="Times New Roman"/>
                      <w:b/>
                      <w:bCs/>
                      <w:color w:val="auto"/>
                      <w:vertAlign w:val="baseline"/>
                      <w:lang w:eastAsia="zh-CN"/>
                    </w:rPr>
                  </w:pPr>
                  <w:r>
                    <w:rPr>
                      <w:rFonts w:hint="default" w:ascii="Times New Roman" w:hAnsi="Times New Roman" w:cs="Times New Roman"/>
                      <w:b/>
                      <w:bCs/>
                      <w:color w:val="auto"/>
                      <w:vertAlign w:val="baseline"/>
                      <w:lang w:eastAsia="zh-CN"/>
                    </w:rPr>
                    <w:t>排放量（kg）</w:t>
                  </w:r>
                </w:p>
              </w:tc>
              <w:tc>
                <w:tcPr>
                  <w:tcW w:w="1000" w:type="pct"/>
                  <w:noWrap w:val="0"/>
                  <w:vAlign w:val="center"/>
                </w:tcPr>
                <w:p w14:paraId="009D6199">
                  <w:pPr>
                    <w:pStyle w:val="15"/>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cs="Times New Roman"/>
                      <w:color w:val="auto"/>
                      <w:vertAlign w:val="baseline"/>
                      <w:lang w:eastAsia="zh-CN"/>
                    </w:rPr>
                  </w:pPr>
                  <w:r>
                    <w:rPr>
                      <w:rFonts w:hint="default" w:ascii="Times New Roman" w:hAnsi="Times New Roman" w:cs="Times New Roman"/>
                      <w:color w:val="auto"/>
                      <w:vertAlign w:val="baseline"/>
                      <w:lang w:eastAsia="zh-CN"/>
                    </w:rPr>
                    <w:t>3.522</w:t>
                  </w:r>
                </w:p>
              </w:tc>
              <w:tc>
                <w:tcPr>
                  <w:tcW w:w="1000" w:type="pct"/>
                  <w:noWrap w:val="0"/>
                  <w:vAlign w:val="center"/>
                </w:tcPr>
                <w:p w14:paraId="19E01794">
                  <w:pPr>
                    <w:pStyle w:val="15"/>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cs="Times New Roman"/>
                      <w:color w:val="auto"/>
                      <w:vertAlign w:val="baseline"/>
                      <w:lang w:eastAsia="zh-CN"/>
                    </w:rPr>
                  </w:pPr>
                  <w:r>
                    <w:rPr>
                      <w:rFonts w:hint="default" w:ascii="Times New Roman" w:hAnsi="Times New Roman" w:cs="Times New Roman"/>
                      <w:color w:val="auto"/>
                      <w:vertAlign w:val="baseline"/>
                      <w:lang w:eastAsia="zh-CN"/>
                    </w:rPr>
                    <w:t>29.349</w:t>
                  </w:r>
                </w:p>
              </w:tc>
              <w:tc>
                <w:tcPr>
                  <w:tcW w:w="1000" w:type="pct"/>
                  <w:noWrap w:val="0"/>
                  <w:vAlign w:val="center"/>
                </w:tcPr>
                <w:p w14:paraId="7F3D663A">
                  <w:pPr>
                    <w:pStyle w:val="15"/>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cs="Times New Roman"/>
                      <w:color w:val="auto"/>
                      <w:vertAlign w:val="baseline"/>
                      <w:lang w:eastAsia="zh-CN"/>
                    </w:rPr>
                  </w:pPr>
                  <w:r>
                    <w:rPr>
                      <w:rFonts w:hint="default" w:ascii="Times New Roman" w:hAnsi="Times New Roman" w:cs="Times New Roman"/>
                      <w:color w:val="auto"/>
                      <w:vertAlign w:val="baseline"/>
                      <w:lang w:eastAsia="zh-CN"/>
                    </w:rPr>
                    <w:t>48.263</w:t>
                  </w:r>
                </w:p>
              </w:tc>
              <w:tc>
                <w:tcPr>
                  <w:tcW w:w="1000" w:type="pct"/>
                  <w:noWrap w:val="0"/>
                  <w:vAlign w:val="center"/>
                </w:tcPr>
                <w:p w14:paraId="550812BC">
                  <w:pPr>
                    <w:pStyle w:val="15"/>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cs="Times New Roman"/>
                      <w:color w:val="auto"/>
                      <w:vertAlign w:val="baseline"/>
                      <w:lang w:eastAsia="zh-CN"/>
                    </w:rPr>
                  </w:pPr>
                  <w:r>
                    <w:rPr>
                      <w:rFonts w:hint="default" w:ascii="Times New Roman" w:hAnsi="Times New Roman" w:cs="Times New Roman"/>
                      <w:color w:val="auto"/>
                      <w:vertAlign w:val="baseline"/>
                      <w:lang w:eastAsia="zh-CN"/>
                    </w:rPr>
                    <w:t>4.826</w:t>
                  </w:r>
                </w:p>
              </w:tc>
            </w:tr>
          </w:tbl>
          <w:p w14:paraId="1BE93DFC">
            <w:pPr>
              <w:pStyle w:val="15"/>
              <w:keepNext w:val="0"/>
              <w:keepLines w:val="0"/>
              <w:pageBreakBefore w:val="0"/>
              <w:widowControl w:val="0"/>
              <w:kinsoku/>
              <w:wordWrap/>
              <w:overflowPunct/>
              <w:topLinePunct w:val="0"/>
              <w:autoSpaceDE/>
              <w:autoSpaceDN/>
              <w:bidi w:val="0"/>
              <w:adjustRightInd/>
              <w:snapToGrid/>
              <w:spacing w:before="157" w:beforeLines="50" w:after="0" w:line="360" w:lineRule="auto"/>
              <w:ind w:firstLine="480" w:firstLineChars="200"/>
              <w:textAlignment w:val="auto"/>
              <w:rPr>
                <w:rFonts w:hint="default" w:ascii="Times New Roman" w:hAnsi="Times New Roman" w:cs="Times New Roman"/>
                <w:color w:val="auto"/>
                <w:sz w:val="24"/>
                <w:szCs w:val="32"/>
                <w:lang w:eastAsia="zh-CN"/>
              </w:rPr>
            </w:pPr>
            <w:r>
              <w:rPr>
                <w:rFonts w:hint="default" w:ascii="Times New Roman" w:hAnsi="Times New Roman" w:cs="Times New Roman"/>
                <w:color w:val="auto"/>
                <w:sz w:val="24"/>
                <w:szCs w:val="32"/>
                <w:lang w:eastAsia="zh-CN"/>
              </w:rPr>
              <w:t>由于此类污染源多为</w:t>
            </w:r>
            <w:bookmarkStart w:id="40" w:name="_GoBack"/>
            <w:bookmarkEnd w:id="40"/>
            <w:r>
              <w:rPr>
                <w:rFonts w:hint="default" w:ascii="Times New Roman" w:hAnsi="Times New Roman" w:cs="Times New Roman"/>
                <w:color w:val="auto"/>
                <w:sz w:val="24"/>
                <w:szCs w:val="32"/>
                <w:lang w:eastAsia="zh-CN"/>
              </w:rPr>
              <w:t>无组织排放，较为分散，受自然条件的影响容易扩散，空气环境本底现状优良，具有较大的环境容量，不存在短时间集中排放的情况，废气排放量较小，对周边环境影响较小。</w:t>
            </w:r>
          </w:p>
          <w:p w14:paraId="2DCEE4CC">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（5）</w:t>
            </w:r>
            <w:r>
              <w:rPr>
                <w:rFonts w:hint="eastAsia" w:cs="Times New Roman"/>
                <w:color w:val="auto"/>
                <w:kern w:val="2"/>
                <w:sz w:val="24"/>
                <w:szCs w:val="24"/>
                <w:lang w:val="en-US" w:eastAsia="zh-CN" w:bidi="ar-SA"/>
              </w:rPr>
              <w:t>拌和机</w:t>
            </w:r>
            <w:r>
              <w:rPr>
                <w:rFonts w:hint="default" w:ascii="Times New Roman" w:hAnsi="Times New Roman" w:eastAsia="宋体" w:cs="Times New Roman"/>
                <w:color w:val="auto"/>
                <w:kern w:val="2"/>
                <w:sz w:val="24"/>
                <w:szCs w:val="24"/>
                <w:lang w:val="en-US" w:eastAsia="zh-CN" w:bidi="ar-SA"/>
              </w:rPr>
              <w:t>废气环境影响分析</w:t>
            </w:r>
          </w:p>
          <w:p w14:paraId="19B7E8F7">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sz w:val="24"/>
                <w:szCs w:val="32"/>
                <w:lang w:val="en-US" w:eastAsia="zh-CN"/>
              </w:rPr>
              <w:t>临时生产区的砼拌合系统中的移动式拌合机上料会有少量颗粒物产生，要求移动式混凝土拌合机所用骨料仓封闭，砂石骨料定期洒水润湿，封闭水泥筒仓上料过程产生的粉尘采用仓顶自带袋式除尘器除尘后</w:t>
            </w:r>
            <w:r>
              <w:rPr>
                <w:rFonts w:hint="eastAsia" w:cs="Times New Roman"/>
                <w:color w:val="auto"/>
                <w:sz w:val="24"/>
                <w:szCs w:val="32"/>
                <w:lang w:val="en-US" w:eastAsia="zh-CN"/>
              </w:rPr>
              <w:t>有</w:t>
            </w:r>
            <w:r>
              <w:rPr>
                <w:rFonts w:hint="eastAsia" w:ascii="Times New Roman" w:hAnsi="Times New Roman" w:eastAsia="宋体" w:cs="Times New Roman"/>
                <w:color w:val="auto"/>
                <w:sz w:val="24"/>
                <w:szCs w:val="32"/>
                <w:lang w:val="en-US" w:eastAsia="zh-CN"/>
              </w:rPr>
              <w:t>组织排放，粉尘排放浓度相对较低，能达到《大气污染物综合排放标准》（GB16297-1996）中最高允许排放浓度（120mg/m</w:t>
            </w:r>
            <w:r>
              <w:rPr>
                <w:rFonts w:hint="eastAsia" w:ascii="Times New Roman" w:hAnsi="Times New Roman" w:eastAsia="宋体" w:cs="Times New Roman"/>
                <w:color w:val="auto"/>
                <w:sz w:val="24"/>
                <w:szCs w:val="32"/>
                <w:vertAlign w:val="superscript"/>
                <w:lang w:val="en-US" w:eastAsia="zh-CN"/>
              </w:rPr>
              <w:t>3</w:t>
            </w:r>
            <w:r>
              <w:rPr>
                <w:rFonts w:hint="eastAsia" w:ascii="Times New Roman" w:hAnsi="Times New Roman" w:eastAsia="宋体" w:cs="Times New Roman"/>
                <w:color w:val="auto"/>
                <w:sz w:val="24"/>
                <w:szCs w:val="32"/>
                <w:lang w:val="en-US" w:eastAsia="zh-CN"/>
              </w:rPr>
              <w:t>）要求，搅拌机区域</w:t>
            </w:r>
            <w:r>
              <w:rPr>
                <w:rFonts w:hint="eastAsia" w:cs="Times New Roman"/>
                <w:color w:val="auto"/>
                <w:sz w:val="24"/>
                <w:szCs w:val="32"/>
                <w:lang w:val="en-US" w:eastAsia="zh-CN"/>
              </w:rPr>
              <w:t>同时进行</w:t>
            </w:r>
            <w:r>
              <w:rPr>
                <w:rFonts w:hint="eastAsia" w:ascii="Times New Roman" w:hAnsi="Times New Roman" w:eastAsia="宋体" w:cs="Times New Roman"/>
                <w:color w:val="auto"/>
                <w:sz w:val="24"/>
                <w:szCs w:val="32"/>
                <w:lang w:val="en-US" w:eastAsia="zh-CN"/>
              </w:rPr>
              <w:t>洒水降尘，不会对区域环境空气质量产生大的影响。</w:t>
            </w:r>
          </w:p>
          <w:p w14:paraId="4E7C56B9">
            <w:pPr>
              <w:keepNext w:val="0"/>
              <w:keepLines w:val="0"/>
              <w:pageBreakBefore w:val="0"/>
              <w:widowControl w:val="0"/>
              <w:numPr>
                <w:ilvl w:val="0"/>
                <w:numId w:val="11"/>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废水影响分析</w:t>
            </w:r>
          </w:p>
          <w:p w14:paraId="4828023F">
            <w:pPr>
              <w:keepNext w:val="0"/>
              <w:keepLines w:val="0"/>
              <w:pageBreakBefore w:val="0"/>
              <w:widowControl w:val="0"/>
              <w:kinsoku/>
              <w:wordWrap/>
              <w:overflowPunct/>
              <w:topLinePunct w:val="0"/>
              <w:bidi w:val="0"/>
              <w:adjustRightInd/>
              <w:snapToGrid/>
              <w:spacing w:line="360" w:lineRule="auto"/>
              <w:ind w:left="0" w:leftChars="0" w:right="0" w:rightChars="0"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（1）施工废水</w:t>
            </w:r>
          </w:p>
          <w:p w14:paraId="02D54CCE">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0" w:firstLineChars="200"/>
              <w:textAlignment w:val="baseline"/>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本项目建筑废水主要来自施工过程中的清洁废水和混凝土</w:t>
            </w:r>
            <w:r>
              <w:rPr>
                <w:rFonts w:hint="eastAsia" w:cs="Times New Roman"/>
                <w:color w:val="auto"/>
                <w:sz w:val="24"/>
                <w:lang w:val="en-US" w:eastAsia="zh-CN"/>
              </w:rPr>
              <w:t>拌合</w:t>
            </w:r>
            <w:r>
              <w:rPr>
                <w:rFonts w:hint="default" w:ascii="Times New Roman" w:hAnsi="Times New Roman" w:eastAsia="宋体" w:cs="Times New Roman"/>
                <w:color w:val="auto"/>
                <w:sz w:val="24"/>
              </w:rPr>
              <w:t>废水，废水量不大。施工废水主要污染物为泥沙、水泥等悬浮物，浓度一般800～2000mg/L。施工废水</w:t>
            </w:r>
            <w:r>
              <w:rPr>
                <w:rFonts w:hint="default" w:ascii="Times New Roman" w:hAnsi="Times New Roman" w:eastAsia="宋体" w:cs="Times New Roman"/>
                <w:color w:val="auto"/>
                <w:sz w:val="24"/>
                <w:lang w:val="en-US" w:eastAsia="zh-CN"/>
              </w:rPr>
              <w:t>经沉淀池</w:t>
            </w:r>
            <w:r>
              <w:rPr>
                <w:rFonts w:hint="eastAsia" w:cs="Times New Roman"/>
                <w:color w:val="auto"/>
                <w:sz w:val="24"/>
                <w:lang w:val="en-US" w:eastAsia="zh-CN"/>
              </w:rPr>
              <w:t>（长2m×宽2m×高1.3m）</w:t>
            </w:r>
            <w:r>
              <w:rPr>
                <w:rFonts w:hint="default" w:ascii="Times New Roman" w:hAnsi="Times New Roman" w:eastAsia="宋体" w:cs="Times New Roman"/>
                <w:color w:val="auto"/>
                <w:sz w:val="24"/>
                <w:lang w:val="en-US" w:eastAsia="zh-CN"/>
              </w:rPr>
              <w:t>处理后排入蓄水池</w:t>
            </w:r>
            <w:r>
              <w:rPr>
                <w:rFonts w:hint="eastAsia" w:cs="Times New Roman"/>
                <w:color w:val="auto"/>
                <w:sz w:val="24"/>
                <w:lang w:val="en-US" w:eastAsia="zh-CN"/>
              </w:rPr>
              <w:t>（2m×2m×1.5m）</w:t>
            </w:r>
            <w:r>
              <w:rPr>
                <w:rFonts w:hint="default" w:ascii="Times New Roman" w:hAnsi="Times New Roman" w:eastAsia="宋体" w:cs="Times New Roman"/>
                <w:color w:val="auto"/>
                <w:sz w:val="24"/>
                <w:lang w:val="en-US" w:eastAsia="zh-CN"/>
              </w:rPr>
              <w:t>内</w:t>
            </w:r>
            <w:r>
              <w:rPr>
                <w:rFonts w:hint="default" w:ascii="Times New Roman" w:hAnsi="Times New Roman" w:eastAsia="宋体" w:cs="Times New Roman"/>
                <w:color w:val="auto"/>
                <w:sz w:val="24"/>
              </w:rPr>
              <w:t>，全部回用于场地洒水降尘、建筑材料冲洗等施工环节，不外排。施工废水采用沉淀池收集、澄清回用，产生的施工废水全部收集于</w:t>
            </w:r>
            <w:r>
              <w:rPr>
                <w:rFonts w:hint="default" w:ascii="Times New Roman" w:hAnsi="Times New Roman" w:eastAsia="宋体" w:cs="Times New Roman"/>
                <w:color w:val="auto"/>
                <w:sz w:val="24"/>
                <w:lang w:val="en-US" w:eastAsia="zh-CN"/>
              </w:rPr>
              <w:t>蓄水池内</w:t>
            </w:r>
            <w:r>
              <w:rPr>
                <w:rFonts w:hint="default" w:ascii="Times New Roman" w:hAnsi="Times New Roman" w:eastAsia="宋体" w:cs="Times New Roman"/>
                <w:color w:val="auto"/>
                <w:sz w:val="24"/>
              </w:rPr>
              <w:t>，收集后回用于其他施工工序或者洒水降尘，产生的废水均全部回用，废水能做到零排放，对周围地表水体水质影响较小。</w:t>
            </w:r>
          </w:p>
          <w:p w14:paraId="110C32CC">
            <w:pPr>
              <w:pageBreakBefore w:val="0"/>
              <w:kinsoku/>
              <w:wordWrap/>
              <w:overflowPunct/>
              <w:bidi w:val="0"/>
              <w:spacing w:line="360" w:lineRule="auto"/>
              <w:ind w:left="0" w:leftChars="0" w:right="0" w:rightChars="0"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（2）生活污水</w:t>
            </w:r>
          </w:p>
          <w:p w14:paraId="4FB902C8">
            <w:pPr>
              <w:pStyle w:val="39"/>
              <w:pageBreakBefore w:val="0"/>
              <w:kinsoku/>
              <w:wordWrap/>
              <w:overflowPunct/>
              <w:bidi w:val="0"/>
              <w:spacing w:line="360" w:lineRule="auto"/>
              <w:ind w:left="0" w:leftChars="0" w:right="0" w:rightChars="0" w:firstLine="480" w:firstLineChars="200"/>
              <w:outlineLvl w:val="9"/>
              <w:rPr>
                <w:rFonts w:hint="default" w:ascii="Times New Roman" w:hAnsi="Times New Roman" w:eastAsia="宋体" w:cs="Times New Roman"/>
                <w:b w:val="0"/>
                <w:bCs w:val="0"/>
                <w:color w:val="auto"/>
                <w:sz w:val="24"/>
              </w:rPr>
            </w:pPr>
            <w:bookmarkStart w:id="20" w:name="_Hlk534899848"/>
            <w:r>
              <w:rPr>
                <w:rFonts w:hint="default" w:ascii="Times New Roman" w:hAnsi="Times New Roman" w:eastAsia="宋体" w:cs="Times New Roman"/>
                <w:b w:val="0"/>
                <w:bCs w:val="0"/>
                <w:color w:val="auto"/>
                <w:sz w:val="24"/>
              </w:rPr>
              <w:t>本项目施工期劳动定员</w:t>
            </w:r>
            <w:r>
              <w:rPr>
                <w:rFonts w:hint="eastAsia" w:cs="Times New Roman"/>
                <w:b w:val="0"/>
                <w:bCs w:val="0"/>
                <w:color w:val="auto"/>
                <w:sz w:val="24"/>
                <w:lang w:eastAsia="zh-CN"/>
              </w:rPr>
              <w:t>按</w:t>
            </w:r>
            <w:r>
              <w:rPr>
                <w:rFonts w:hint="eastAsia" w:cs="Times New Roman"/>
                <w:b w:val="0"/>
                <w:bCs w:val="0"/>
                <w:color w:val="auto"/>
                <w:sz w:val="24"/>
                <w:lang w:val="en-US" w:eastAsia="zh-CN"/>
              </w:rPr>
              <w:t>3</w:t>
            </w:r>
            <w:r>
              <w:rPr>
                <w:rFonts w:hint="default" w:ascii="Times New Roman" w:hAnsi="Times New Roman" w:cs="Times New Roman"/>
                <w:b w:val="0"/>
                <w:bCs w:val="0"/>
                <w:color w:val="auto"/>
                <w:sz w:val="24"/>
                <w:lang w:val="en-US" w:eastAsia="zh-CN"/>
              </w:rPr>
              <w:t>0</w:t>
            </w:r>
            <w:r>
              <w:rPr>
                <w:rFonts w:hint="default" w:ascii="Times New Roman" w:hAnsi="Times New Roman" w:eastAsia="宋体" w:cs="Times New Roman"/>
                <w:b w:val="0"/>
                <w:bCs w:val="0"/>
                <w:color w:val="auto"/>
                <w:sz w:val="24"/>
              </w:rPr>
              <w:t>人计，用水量按60L/人·日（根据《给排水设计手册》2002年1月1日出版）测算，施工期生活用水量为</w:t>
            </w:r>
            <w:r>
              <w:rPr>
                <w:rFonts w:hint="eastAsia" w:cs="Times New Roman"/>
                <w:b w:val="0"/>
                <w:bCs w:val="0"/>
                <w:color w:val="auto"/>
                <w:sz w:val="24"/>
                <w:lang w:val="en-US" w:eastAsia="zh-CN"/>
              </w:rPr>
              <w:t>1.8</w:t>
            </w:r>
            <w:r>
              <w:rPr>
                <w:rFonts w:hint="default" w:ascii="Times New Roman" w:hAnsi="Times New Roman" w:eastAsia="宋体" w:cs="Times New Roman"/>
                <w:b w:val="0"/>
                <w:bCs w:val="0"/>
                <w:color w:val="auto"/>
                <w:sz w:val="24"/>
              </w:rPr>
              <w:t>m</w:t>
            </w:r>
            <w:r>
              <w:rPr>
                <w:rFonts w:hint="default" w:ascii="Times New Roman" w:hAnsi="Times New Roman" w:eastAsia="宋体" w:cs="Times New Roman"/>
                <w:b w:val="0"/>
                <w:bCs w:val="0"/>
                <w:color w:val="auto"/>
                <w:sz w:val="24"/>
                <w:vertAlign w:val="superscript"/>
              </w:rPr>
              <w:t>3</w:t>
            </w:r>
            <w:r>
              <w:rPr>
                <w:rFonts w:hint="default" w:ascii="Times New Roman" w:hAnsi="Times New Roman" w:eastAsia="宋体" w:cs="Times New Roman"/>
                <w:b w:val="0"/>
                <w:bCs w:val="0"/>
                <w:color w:val="auto"/>
                <w:sz w:val="24"/>
              </w:rPr>
              <w:t>/d。生活污水产生量按日用水量的80%计，则生活污水最大排放量为</w:t>
            </w:r>
            <w:r>
              <w:rPr>
                <w:rFonts w:hint="eastAsia" w:cs="Times New Roman"/>
                <w:b w:val="0"/>
                <w:bCs w:val="0"/>
                <w:color w:val="auto"/>
                <w:sz w:val="24"/>
                <w:lang w:val="en-US" w:eastAsia="zh-CN"/>
              </w:rPr>
              <w:t>1.44</w:t>
            </w:r>
            <w:r>
              <w:rPr>
                <w:rFonts w:hint="default" w:ascii="Times New Roman" w:hAnsi="Times New Roman" w:eastAsia="宋体" w:cs="Times New Roman"/>
                <w:b w:val="0"/>
                <w:bCs w:val="0"/>
                <w:color w:val="auto"/>
                <w:sz w:val="24"/>
              </w:rPr>
              <w:t>m</w:t>
            </w:r>
            <w:r>
              <w:rPr>
                <w:rFonts w:hint="default" w:ascii="Times New Roman" w:hAnsi="Times New Roman" w:eastAsia="宋体" w:cs="Times New Roman"/>
                <w:b w:val="0"/>
                <w:bCs w:val="0"/>
                <w:color w:val="auto"/>
                <w:sz w:val="24"/>
                <w:vertAlign w:val="superscript"/>
              </w:rPr>
              <w:t>3</w:t>
            </w:r>
            <w:r>
              <w:rPr>
                <w:rFonts w:hint="default" w:ascii="Times New Roman" w:hAnsi="Times New Roman" w:eastAsia="宋体" w:cs="Times New Roman"/>
                <w:b w:val="0"/>
                <w:bCs w:val="0"/>
                <w:color w:val="auto"/>
                <w:sz w:val="24"/>
              </w:rPr>
              <w:t>/d。施工工期计划为</w:t>
            </w:r>
            <w:r>
              <w:rPr>
                <w:rFonts w:hint="eastAsia" w:cs="Times New Roman"/>
                <w:b w:val="0"/>
                <w:bCs w:val="0"/>
                <w:color w:val="auto"/>
                <w:sz w:val="24"/>
                <w:lang w:val="en-US" w:eastAsia="zh-CN"/>
              </w:rPr>
              <w:t>6</w:t>
            </w:r>
            <w:r>
              <w:rPr>
                <w:rFonts w:hint="default" w:ascii="Times New Roman" w:hAnsi="Times New Roman" w:eastAsia="宋体" w:cs="Times New Roman"/>
                <w:b w:val="0"/>
                <w:bCs w:val="0"/>
                <w:color w:val="auto"/>
                <w:sz w:val="24"/>
              </w:rPr>
              <w:t>个月，施工期生活污水总排量为</w:t>
            </w:r>
            <w:r>
              <w:rPr>
                <w:rFonts w:hint="eastAsia" w:cs="Times New Roman"/>
                <w:b w:val="0"/>
                <w:bCs w:val="0"/>
                <w:color w:val="auto"/>
                <w:sz w:val="24"/>
                <w:lang w:val="en-US" w:eastAsia="zh-CN"/>
              </w:rPr>
              <w:t>259.2</w:t>
            </w:r>
            <w:r>
              <w:rPr>
                <w:rFonts w:hint="default" w:ascii="Times New Roman" w:hAnsi="Times New Roman" w:eastAsia="宋体" w:cs="Times New Roman"/>
                <w:b w:val="0"/>
                <w:bCs w:val="0"/>
                <w:color w:val="auto"/>
                <w:sz w:val="24"/>
              </w:rPr>
              <w:t>m</w:t>
            </w:r>
            <w:r>
              <w:rPr>
                <w:rFonts w:hint="default" w:ascii="Times New Roman" w:hAnsi="Times New Roman" w:eastAsia="宋体" w:cs="Times New Roman"/>
                <w:b w:val="0"/>
                <w:bCs w:val="0"/>
                <w:color w:val="auto"/>
                <w:sz w:val="24"/>
                <w:vertAlign w:val="superscript"/>
              </w:rPr>
              <w:t>3</w:t>
            </w:r>
            <w:r>
              <w:rPr>
                <w:rFonts w:hint="default" w:ascii="Times New Roman" w:hAnsi="Times New Roman" w:eastAsia="宋体" w:cs="Times New Roman"/>
                <w:b w:val="0"/>
                <w:bCs w:val="0"/>
                <w:color w:val="auto"/>
                <w:sz w:val="24"/>
              </w:rPr>
              <w:t>。生活污水中主要污染物是COD、BOD</w:t>
            </w:r>
            <w:r>
              <w:rPr>
                <w:rFonts w:hint="default" w:ascii="Times New Roman" w:hAnsi="Times New Roman" w:eastAsia="宋体" w:cs="Times New Roman"/>
                <w:b w:val="0"/>
                <w:bCs w:val="0"/>
                <w:color w:val="auto"/>
                <w:sz w:val="24"/>
                <w:vertAlign w:val="subscript"/>
              </w:rPr>
              <w:t>5</w:t>
            </w:r>
            <w:r>
              <w:rPr>
                <w:rFonts w:hint="default" w:ascii="Times New Roman" w:hAnsi="Times New Roman" w:eastAsia="宋体" w:cs="Times New Roman"/>
                <w:b w:val="0"/>
                <w:bCs w:val="0"/>
                <w:color w:val="auto"/>
                <w:sz w:val="24"/>
              </w:rPr>
              <w:t>、SS，其浓度较低，</w:t>
            </w:r>
            <w:r>
              <w:rPr>
                <w:rFonts w:hint="default" w:ascii="Times New Roman" w:hAnsi="Times New Roman" w:eastAsia="宋体" w:cs="Times New Roman"/>
                <w:b w:val="0"/>
                <w:bCs w:val="0"/>
                <w:color w:val="auto"/>
                <w:sz w:val="24"/>
                <w:lang w:val="en-US" w:eastAsia="zh-CN"/>
              </w:rPr>
              <w:t>本项目生活污水依托临时环保厕所，定期委托相关环卫部门处置，不外排。</w:t>
            </w:r>
            <w:r>
              <w:rPr>
                <w:rFonts w:hint="default" w:ascii="Times New Roman" w:hAnsi="Times New Roman" w:eastAsia="宋体" w:cs="Times New Roman"/>
                <w:b w:val="0"/>
                <w:bCs w:val="0"/>
                <w:color w:val="auto"/>
                <w:sz w:val="24"/>
              </w:rPr>
              <w:t>项目施工期对水环境影响小。</w:t>
            </w:r>
          </w:p>
          <w:p w14:paraId="714E5E68">
            <w:pPr>
              <w:keepNext w:val="0"/>
              <w:keepLines w:val="0"/>
              <w:pageBreakBefore w:val="0"/>
              <w:widowControl w:val="0"/>
              <w:numPr>
                <w:ilvl w:val="0"/>
                <w:numId w:val="11"/>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噪声影响分析</w:t>
            </w:r>
          </w:p>
          <w:p w14:paraId="4118C904">
            <w:pPr>
              <w:pageBreakBefore w:val="0"/>
              <w:kinsoku/>
              <w:wordWrap/>
              <w:overflowPunct/>
              <w:bidi w:val="0"/>
              <w:spacing w:line="360" w:lineRule="auto"/>
              <w:ind w:left="0" w:leftChars="0" w:right="0" w:rightChars="0" w:firstLine="537" w:firstLineChars="224"/>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工程施工</w:t>
            </w:r>
            <w:r>
              <w:rPr>
                <w:rFonts w:hint="eastAsia" w:cs="Times New Roman"/>
                <w:color w:val="auto"/>
                <w:sz w:val="24"/>
                <w:lang w:eastAsia="zh-CN"/>
              </w:rPr>
              <w:t>期间</w:t>
            </w:r>
            <w:r>
              <w:rPr>
                <w:rFonts w:hint="default" w:ascii="Times New Roman" w:hAnsi="Times New Roman" w:eastAsia="宋体" w:cs="Times New Roman"/>
                <w:color w:val="auto"/>
                <w:sz w:val="24"/>
              </w:rPr>
              <w:t>的土石方作业、汽车运输、自备柴油发电机工作产生的噪声</w:t>
            </w:r>
            <w:r>
              <w:rPr>
                <w:rFonts w:hint="eastAsia" w:cs="Times New Roman"/>
                <w:color w:val="auto"/>
                <w:sz w:val="24"/>
                <w:lang w:eastAsia="zh-CN"/>
              </w:rPr>
              <w:t>。</w:t>
            </w:r>
            <w:r>
              <w:rPr>
                <w:rFonts w:hint="default" w:ascii="Times New Roman" w:hAnsi="Times New Roman" w:eastAsia="宋体" w:cs="Times New Roman"/>
                <w:color w:val="auto"/>
                <w:sz w:val="24"/>
              </w:rPr>
              <w:t>施工期机械设备有：推土机、挖掘机、</w:t>
            </w:r>
            <w:r>
              <w:rPr>
                <w:rFonts w:hint="default" w:ascii="Times New Roman" w:hAnsi="Times New Roman" w:eastAsia="宋体" w:cs="Times New Roman"/>
                <w:color w:val="auto"/>
                <w:sz w:val="24"/>
                <w:lang w:eastAsia="zh-CN"/>
              </w:rPr>
              <w:t>振动碾</w:t>
            </w:r>
            <w:r>
              <w:rPr>
                <w:rFonts w:hint="default" w:ascii="Times New Roman" w:hAnsi="Times New Roman" w:eastAsia="宋体" w:cs="Times New Roman"/>
                <w:color w:val="auto"/>
                <w:sz w:val="24"/>
              </w:rPr>
              <w:t>、自卸汽车等，均系强噪声源，主要施工机械产噪情况见表4-</w:t>
            </w:r>
            <w:r>
              <w:rPr>
                <w:rFonts w:hint="eastAsia" w:cs="Times New Roman"/>
                <w:color w:val="auto"/>
                <w:sz w:val="24"/>
                <w:lang w:val="en-US" w:eastAsia="zh-CN"/>
              </w:rPr>
              <w:t>4</w:t>
            </w:r>
            <w:r>
              <w:rPr>
                <w:rFonts w:hint="default" w:ascii="Times New Roman" w:hAnsi="Times New Roman" w:eastAsia="宋体" w:cs="Times New Roman"/>
                <w:color w:val="auto"/>
                <w:sz w:val="24"/>
              </w:rPr>
              <w:t>。</w:t>
            </w:r>
          </w:p>
          <w:p w14:paraId="4F8012B2">
            <w:pPr>
              <w:pStyle w:val="47"/>
              <w:spacing w:line="440" w:lineRule="exact"/>
              <w:ind w:firstLine="0" w:firstLineChars="0"/>
              <w:jc w:val="center"/>
              <w:textAlignment w:val="baseline"/>
              <w:rPr>
                <w:rFonts w:hint="default" w:ascii="Times New Roman" w:hAnsi="Times New Roman" w:eastAsia="宋体" w:cs="Times New Roman"/>
                <w:b/>
                <w:bCs w:val="0"/>
                <w:snapToGrid w:val="0"/>
                <w:color w:val="auto"/>
                <w:sz w:val="24"/>
                <w:szCs w:val="24"/>
                <w:lang w:eastAsia="zh-CN"/>
              </w:rPr>
            </w:pPr>
            <w:r>
              <w:rPr>
                <w:rFonts w:hint="default" w:ascii="Times New Roman" w:hAnsi="Times New Roman" w:eastAsia="宋体" w:cs="Times New Roman"/>
                <w:b/>
                <w:bCs w:val="0"/>
                <w:snapToGrid w:val="0"/>
                <w:color w:val="auto"/>
                <w:sz w:val="24"/>
                <w:szCs w:val="24"/>
                <w:lang w:eastAsia="zh-CN"/>
              </w:rPr>
              <w:t>表4-</w:t>
            </w:r>
            <w:r>
              <w:rPr>
                <w:rFonts w:hint="eastAsia" w:ascii="Times New Roman" w:hAnsi="Times New Roman" w:cs="Times New Roman"/>
                <w:b/>
                <w:bCs w:val="0"/>
                <w:snapToGrid w:val="0"/>
                <w:color w:val="auto"/>
                <w:sz w:val="24"/>
                <w:szCs w:val="24"/>
                <w:lang w:val="en-US" w:eastAsia="zh-CN"/>
              </w:rPr>
              <w:t>4</w:t>
            </w:r>
            <w:r>
              <w:rPr>
                <w:rFonts w:hint="default" w:ascii="Times New Roman" w:hAnsi="Times New Roman" w:eastAsia="宋体" w:cs="Times New Roman"/>
                <w:b/>
                <w:bCs w:val="0"/>
                <w:snapToGrid w:val="0"/>
                <w:color w:val="auto"/>
                <w:sz w:val="24"/>
                <w:szCs w:val="24"/>
                <w:lang w:eastAsia="zh-CN"/>
              </w:rPr>
              <w:t>主要施工机械产噪情况</w:t>
            </w:r>
          </w:p>
          <w:tbl>
            <w:tblPr>
              <w:tblStyle w:val="29"/>
              <w:tblW w:w="4998" w:type="pct"/>
              <w:jc w:val="center"/>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Layout w:type="autofit"/>
              <w:tblCellMar>
                <w:top w:w="0" w:type="dxa"/>
                <w:left w:w="108" w:type="dxa"/>
                <w:bottom w:w="0" w:type="dxa"/>
                <w:right w:w="108" w:type="dxa"/>
              </w:tblCellMar>
            </w:tblPr>
            <w:tblGrid>
              <w:gridCol w:w="2540"/>
              <w:gridCol w:w="2541"/>
              <w:gridCol w:w="2541"/>
            </w:tblGrid>
            <w:tr w14:paraId="08CAAF21">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341" w:hRule="exact"/>
                <w:jc w:val="center"/>
              </w:trPr>
              <w:tc>
                <w:tcPr>
                  <w:tcW w:w="1666" w:type="pct"/>
                  <w:noWrap w:val="0"/>
                  <w:vAlign w:val="center"/>
                </w:tcPr>
                <w:p w14:paraId="0EE97446">
                  <w:pPr>
                    <w:pageBreakBefore w:val="0"/>
                    <w:kinsoku/>
                    <w:wordWrap/>
                    <w:overflowPunct/>
                    <w:bidi w:val="0"/>
                    <w:ind w:left="0" w:leftChars="0" w:right="0" w:rightChars="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设备名称</w:t>
                  </w:r>
                </w:p>
              </w:tc>
              <w:tc>
                <w:tcPr>
                  <w:tcW w:w="1666" w:type="pct"/>
                  <w:noWrap w:val="0"/>
                  <w:vAlign w:val="center"/>
                </w:tcPr>
                <w:p w14:paraId="3DA2935B">
                  <w:pPr>
                    <w:pageBreakBefore w:val="0"/>
                    <w:kinsoku/>
                    <w:wordWrap/>
                    <w:overflowPunct/>
                    <w:bidi w:val="0"/>
                    <w:ind w:left="0" w:leftChars="0" w:right="0" w:rightChars="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噪声测距（m）</w:t>
                  </w:r>
                </w:p>
              </w:tc>
              <w:tc>
                <w:tcPr>
                  <w:tcW w:w="1666" w:type="pct"/>
                  <w:noWrap w:val="0"/>
                  <w:vAlign w:val="center"/>
                </w:tcPr>
                <w:p w14:paraId="6096FF3B">
                  <w:pPr>
                    <w:pageBreakBefore w:val="0"/>
                    <w:kinsoku/>
                    <w:wordWrap/>
                    <w:overflowPunct/>
                    <w:bidi w:val="0"/>
                    <w:ind w:left="0" w:leftChars="0" w:right="0" w:rightChars="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源强（dB）</w:t>
                  </w:r>
                </w:p>
              </w:tc>
            </w:tr>
            <w:tr w14:paraId="02B8EEFC">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341" w:hRule="exact"/>
                <w:jc w:val="center"/>
              </w:trPr>
              <w:tc>
                <w:tcPr>
                  <w:tcW w:w="1666" w:type="pct"/>
                  <w:noWrap w:val="0"/>
                  <w:vAlign w:val="center"/>
                </w:tcPr>
                <w:p w14:paraId="2C7E6612">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挖掘机</w:t>
                  </w:r>
                </w:p>
              </w:tc>
              <w:tc>
                <w:tcPr>
                  <w:tcW w:w="1666" w:type="pct"/>
                  <w:noWrap w:val="0"/>
                  <w:vAlign w:val="center"/>
                </w:tcPr>
                <w:p w14:paraId="1D9A6D0C">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w:t>
                  </w:r>
                </w:p>
              </w:tc>
              <w:tc>
                <w:tcPr>
                  <w:tcW w:w="1666" w:type="pct"/>
                  <w:noWrap w:val="0"/>
                  <w:vAlign w:val="center"/>
                </w:tcPr>
                <w:p w14:paraId="1BCED0EC">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81</w:t>
                  </w:r>
                </w:p>
              </w:tc>
            </w:tr>
            <w:tr w14:paraId="455A844A">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341" w:hRule="exact"/>
                <w:jc w:val="center"/>
              </w:trPr>
              <w:tc>
                <w:tcPr>
                  <w:tcW w:w="1666" w:type="pct"/>
                  <w:noWrap w:val="0"/>
                  <w:vAlign w:val="center"/>
                </w:tcPr>
                <w:p w14:paraId="1B951AD1">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推土机</w:t>
                  </w:r>
                </w:p>
              </w:tc>
              <w:tc>
                <w:tcPr>
                  <w:tcW w:w="1666" w:type="pct"/>
                  <w:noWrap w:val="0"/>
                  <w:vAlign w:val="center"/>
                </w:tcPr>
                <w:p w14:paraId="7E2B8904">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w:t>
                  </w:r>
                </w:p>
              </w:tc>
              <w:tc>
                <w:tcPr>
                  <w:tcW w:w="1666" w:type="pct"/>
                  <w:noWrap w:val="0"/>
                  <w:vAlign w:val="center"/>
                </w:tcPr>
                <w:p w14:paraId="5826F645">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86</w:t>
                  </w:r>
                </w:p>
              </w:tc>
            </w:tr>
            <w:tr w14:paraId="47184172">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341" w:hRule="exact"/>
                <w:jc w:val="center"/>
              </w:trPr>
              <w:tc>
                <w:tcPr>
                  <w:tcW w:w="1666" w:type="pct"/>
                  <w:noWrap w:val="0"/>
                  <w:vAlign w:val="center"/>
                </w:tcPr>
                <w:p w14:paraId="4556E788">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eastAsia="zh-CN"/>
                    </w:rPr>
                    <w:t>振动碾</w:t>
                  </w:r>
                </w:p>
              </w:tc>
              <w:tc>
                <w:tcPr>
                  <w:tcW w:w="1666" w:type="pct"/>
                  <w:noWrap w:val="0"/>
                  <w:vAlign w:val="center"/>
                </w:tcPr>
                <w:p w14:paraId="372A7944">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w:t>
                  </w:r>
                </w:p>
              </w:tc>
              <w:tc>
                <w:tcPr>
                  <w:tcW w:w="1666" w:type="pct"/>
                  <w:noWrap w:val="0"/>
                  <w:vAlign w:val="center"/>
                </w:tcPr>
                <w:p w14:paraId="091C820B">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90</w:t>
                  </w:r>
                </w:p>
              </w:tc>
            </w:tr>
            <w:tr w14:paraId="2964CCFA">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PrEx>
              <w:trPr>
                <w:trHeight w:val="341" w:hRule="exact"/>
                <w:jc w:val="center"/>
              </w:trPr>
              <w:tc>
                <w:tcPr>
                  <w:tcW w:w="1666" w:type="pct"/>
                  <w:noWrap w:val="0"/>
                  <w:vAlign w:val="center"/>
                </w:tcPr>
                <w:p w14:paraId="199E6B05">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自卸汽车</w:t>
                  </w:r>
                </w:p>
              </w:tc>
              <w:tc>
                <w:tcPr>
                  <w:tcW w:w="1666" w:type="pct"/>
                  <w:noWrap w:val="0"/>
                  <w:vAlign w:val="center"/>
                </w:tcPr>
                <w:p w14:paraId="024EB624">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w:t>
                  </w:r>
                </w:p>
              </w:tc>
              <w:tc>
                <w:tcPr>
                  <w:tcW w:w="1666" w:type="pct"/>
                  <w:noWrap w:val="0"/>
                  <w:vAlign w:val="center"/>
                </w:tcPr>
                <w:p w14:paraId="0C801837">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81</w:t>
                  </w:r>
                </w:p>
              </w:tc>
            </w:tr>
            <w:tr w14:paraId="1AE762C3">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341" w:hRule="exact"/>
                <w:jc w:val="center"/>
              </w:trPr>
              <w:tc>
                <w:tcPr>
                  <w:tcW w:w="1666" w:type="pct"/>
                  <w:noWrap w:val="0"/>
                  <w:vAlign w:val="center"/>
                </w:tcPr>
                <w:p w14:paraId="751B5971">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插入振捣器</w:t>
                  </w:r>
                </w:p>
              </w:tc>
              <w:tc>
                <w:tcPr>
                  <w:tcW w:w="1666" w:type="pct"/>
                  <w:noWrap w:val="0"/>
                  <w:vAlign w:val="center"/>
                </w:tcPr>
                <w:p w14:paraId="41FB649A">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w:t>
                  </w:r>
                </w:p>
              </w:tc>
              <w:tc>
                <w:tcPr>
                  <w:tcW w:w="1666" w:type="pct"/>
                  <w:noWrap w:val="0"/>
                  <w:vAlign w:val="center"/>
                </w:tcPr>
                <w:p w14:paraId="158149F6">
                  <w:pPr>
                    <w:pStyle w:val="54"/>
                    <w:pageBreakBefore w:val="0"/>
                    <w:kinsoku/>
                    <w:wordWrap/>
                    <w:overflowPunct/>
                    <w:bidi w:val="0"/>
                    <w:spacing w:after="0" w:line="240" w:lineRule="auto"/>
                    <w:ind w:left="0" w:leftChars="0" w:right="0" w:rightChars="0" w:firstLine="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86</w:t>
                  </w:r>
                </w:p>
              </w:tc>
            </w:tr>
            <w:tr w14:paraId="43AF4717">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341" w:hRule="exact"/>
                <w:jc w:val="center"/>
              </w:trPr>
              <w:tc>
                <w:tcPr>
                  <w:tcW w:w="1666" w:type="pct"/>
                  <w:noWrap w:val="0"/>
                  <w:vAlign w:val="center"/>
                </w:tcPr>
                <w:p w14:paraId="631497D3">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平板振捣器</w:t>
                  </w:r>
                </w:p>
              </w:tc>
              <w:tc>
                <w:tcPr>
                  <w:tcW w:w="1666" w:type="pct"/>
                  <w:noWrap w:val="0"/>
                  <w:vAlign w:val="center"/>
                </w:tcPr>
                <w:p w14:paraId="642B9A88">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w:t>
                  </w:r>
                </w:p>
              </w:tc>
              <w:tc>
                <w:tcPr>
                  <w:tcW w:w="1666" w:type="pct"/>
                  <w:noWrap w:val="0"/>
                  <w:vAlign w:val="center"/>
                </w:tcPr>
                <w:p w14:paraId="075A9AE7">
                  <w:pPr>
                    <w:pStyle w:val="54"/>
                    <w:pageBreakBefore w:val="0"/>
                    <w:kinsoku/>
                    <w:wordWrap/>
                    <w:overflowPunct/>
                    <w:bidi w:val="0"/>
                    <w:spacing w:after="0" w:line="240" w:lineRule="auto"/>
                    <w:ind w:left="0" w:leftChars="0" w:right="0" w:rightChars="0" w:firstLine="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86</w:t>
                  </w:r>
                </w:p>
              </w:tc>
            </w:tr>
          </w:tbl>
          <w:p w14:paraId="2D48AFFE">
            <w:pPr>
              <w:pageBreakBefore w:val="0"/>
              <w:kinsoku/>
              <w:wordWrap/>
              <w:overflowPunct/>
              <w:bidi w:val="0"/>
              <w:spacing w:line="360" w:lineRule="auto"/>
              <w:ind w:left="0" w:leftChars="0" w:right="0" w:rightChars="0" w:firstLine="48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rPr>
              <w:t>由上表可知，施工场地噪声源主要为各类高噪声施工机械，这些机械的噪声源强在81~90dB（A）之间。</w:t>
            </w:r>
            <w:r>
              <w:rPr>
                <w:rFonts w:hint="default" w:ascii="Times New Roman" w:hAnsi="Times New Roman" w:eastAsia="宋体" w:cs="Times New Roman"/>
                <w:color w:val="auto"/>
                <w:sz w:val="24"/>
                <w:szCs w:val="24"/>
              </w:rPr>
              <w:t>施工期声环境影响预测计算公式如下：</w:t>
            </w:r>
          </w:p>
          <w:bookmarkEnd w:id="20"/>
          <w:p w14:paraId="0F8B4203">
            <w:pPr>
              <w:pageBreakBefore w:val="0"/>
              <w:kinsoku/>
              <w:wordWrap/>
              <w:overflowPunct/>
              <w:bidi w:val="0"/>
              <w:spacing w:line="360" w:lineRule="auto"/>
              <w:ind w:left="0" w:leftChars="0" w:right="0" w:rightChars="0" w:firstLine="480"/>
              <w:jc w:val="center"/>
              <w:rPr>
                <w:rFonts w:hint="default" w:ascii="Times New Roman" w:hAnsi="Times New Roman" w:eastAsia="宋体" w:cs="Times New Roman"/>
                <w:snapToGrid w:val="0"/>
                <w:color w:val="auto"/>
                <w:kern w:val="0"/>
                <w:sz w:val="24"/>
              </w:rPr>
            </w:pPr>
            <w:r>
              <w:rPr>
                <w:rFonts w:hint="default" w:ascii="Times New Roman" w:hAnsi="Times New Roman" w:eastAsia="宋体" w:cs="Times New Roman"/>
                <w:color w:val="auto"/>
                <w:sz w:val="24"/>
              </w:rPr>
              <w:drawing>
                <wp:inline distT="0" distB="0" distL="114300" distR="114300">
                  <wp:extent cx="1790700" cy="428625"/>
                  <wp:effectExtent l="0" t="0" r="0" b="7620"/>
                  <wp:docPr id="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9"/>
                          <pic:cNvPicPr>
                            <a:picLocks noChangeAspect="1"/>
                          </pic:cNvPicPr>
                        </pic:nvPicPr>
                        <pic:blipFill>
                          <a:blip r:embed="rId24"/>
                          <a:stretch>
                            <a:fillRect/>
                          </a:stretch>
                        </pic:blipFill>
                        <pic:spPr>
                          <a:xfrm>
                            <a:off x="0" y="0"/>
                            <a:ext cx="1790700" cy="428625"/>
                          </a:xfrm>
                          <a:prstGeom prst="rect">
                            <a:avLst/>
                          </a:prstGeom>
                          <a:noFill/>
                          <a:ln>
                            <a:noFill/>
                          </a:ln>
                        </pic:spPr>
                      </pic:pic>
                    </a:graphicData>
                  </a:graphic>
                </wp:inline>
              </w:drawing>
            </w:r>
          </w:p>
          <w:p w14:paraId="7AC549AE">
            <w:pPr>
              <w:pageBreakBefore w:val="0"/>
              <w:kinsoku/>
              <w:wordWrap/>
              <w:overflowPunct/>
              <w:bidi w:val="0"/>
              <w:spacing w:line="360" w:lineRule="auto"/>
              <w:ind w:left="0" w:leftChars="0" w:right="0" w:rightChars="0" w:firstLine="48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式中：</w:t>
            </w:r>
            <w:r>
              <w:rPr>
                <w:rFonts w:hint="default" w:ascii="Times New Roman" w:hAnsi="Times New Roman" w:eastAsia="宋体" w:cs="Times New Roman"/>
                <w:i/>
                <w:color w:val="auto"/>
                <w:sz w:val="24"/>
              </w:rPr>
              <w:t>L</w:t>
            </w:r>
            <w:r>
              <w:rPr>
                <w:rFonts w:hint="default" w:ascii="Times New Roman" w:hAnsi="Times New Roman" w:eastAsia="宋体" w:cs="Times New Roman"/>
                <w:i/>
                <w:color w:val="auto"/>
                <w:sz w:val="24"/>
                <w:vertAlign w:val="subscript"/>
              </w:rPr>
              <w:t>p</w:t>
            </w:r>
            <w:r>
              <w:rPr>
                <w:rFonts w:hint="default" w:ascii="Times New Roman" w:hAnsi="Times New Roman" w:eastAsia="宋体" w:cs="Times New Roman"/>
                <w:color w:val="auto"/>
                <w:sz w:val="24"/>
              </w:rPr>
              <w:t>（</w:t>
            </w:r>
            <w:r>
              <w:rPr>
                <w:rFonts w:hint="default" w:ascii="Times New Roman" w:hAnsi="Times New Roman" w:eastAsia="宋体" w:cs="Times New Roman"/>
                <w:i/>
                <w:color w:val="auto"/>
                <w:sz w:val="24"/>
              </w:rPr>
              <w:t>r</w:t>
            </w:r>
            <w:r>
              <w:rPr>
                <w:rFonts w:hint="default" w:ascii="Times New Roman" w:hAnsi="Times New Roman" w:eastAsia="宋体" w:cs="Times New Roman"/>
                <w:color w:val="auto"/>
                <w:sz w:val="24"/>
              </w:rPr>
              <w:t>）—声源在预测点的声压级，dB（A）；</w:t>
            </w:r>
          </w:p>
          <w:p w14:paraId="52AB42D4">
            <w:pPr>
              <w:pageBreakBefore w:val="0"/>
              <w:kinsoku/>
              <w:wordWrap/>
              <w:overflowPunct/>
              <w:bidi w:val="0"/>
              <w:spacing w:line="360" w:lineRule="auto"/>
              <w:ind w:left="0" w:leftChars="0" w:right="0" w:rightChars="0" w:firstLine="480"/>
              <w:rPr>
                <w:rFonts w:hint="default" w:ascii="Times New Roman" w:hAnsi="Times New Roman" w:eastAsia="宋体" w:cs="Times New Roman"/>
                <w:color w:val="auto"/>
                <w:sz w:val="24"/>
              </w:rPr>
            </w:pPr>
            <w:r>
              <w:rPr>
                <w:rFonts w:hint="default" w:ascii="Times New Roman" w:hAnsi="Times New Roman" w:eastAsia="宋体" w:cs="Times New Roman"/>
                <w:i/>
                <w:color w:val="auto"/>
                <w:sz w:val="24"/>
              </w:rPr>
              <w:t>L</w:t>
            </w:r>
            <w:r>
              <w:rPr>
                <w:rFonts w:hint="default" w:ascii="Times New Roman" w:hAnsi="Times New Roman" w:eastAsia="宋体" w:cs="Times New Roman"/>
                <w:i/>
                <w:color w:val="auto"/>
                <w:sz w:val="24"/>
                <w:vertAlign w:val="subscript"/>
              </w:rPr>
              <w:t>p</w:t>
            </w:r>
            <w:r>
              <w:rPr>
                <w:rFonts w:hint="default" w:ascii="Times New Roman" w:hAnsi="Times New Roman" w:eastAsia="宋体" w:cs="Times New Roman"/>
                <w:color w:val="auto"/>
                <w:sz w:val="24"/>
              </w:rPr>
              <w:t>（</w:t>
            </w:r>
            <w:r>
              <w:rPr>
                <w:rFonts w:hint="default" w:ascii="Times New Roman" w:hAnsi="Times New Roman" w:eastAsia="宋体" w:cs="Times New Roman"/>
                <w:i/>
                <w:color w:val="auto"/>
                <w:sz w:val="24"/>
              </w:rPr>
              <w:t>r</w:t>
            </w:r>
            <w:r>
              <w:rPr>
                <w:rFonts w:hint="default" w:ascii="Times New Roman" w:hAnsi="Times New Roman" w:eastAsia="宋体" w:cs="Times New Roman"/>
                <w:color w:val="auto"/>
                <w:sz w:val="24"/>
                <w:vertAlign w:val="subscript"/>
              </w:rPr>
              <w:t>0</w:t>
            </w:r>
            <w:r>
              <w:rPr>
                <w:rFonts w:hint="default" w:ascii="Times New Roman" w:hAnsi="Times New Roman" w:eastAsia="宋体" w:cs="Times New Roman"/>
                <w:color w:val="auto"/>
                <w:sz w:val="24"/>
              </w:rPr>
              <w:t>）—参考位置的声压级，dB（A）；</w:t>
            </w:r>
          </w:p>
          <w:p w14:paraId="57228AAF">
            <w:pPr>
              <w:pageBreakBefore w:val="0"/>
              <w:kinsoku/>
              <w:wordWrap/>
              <w:overflowPunct/>
              <w:bidi w:val="0"/>
              <w:spacing w:line="360" w:lineRule="auto"/>
              <w:ind w:left="0" w:leftChars="0" w:right="0" w:rightChars="0" w:firstLine="436" w:firstLineChars="182"/>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sym w:font="Symbol" w:char="F044"/>
            </w:r>
            <w:r>
              <w:rPr>
                <w:rFonts w:hint="default" w:ascii="Times New Roman" w:hAnsi="Times New Roman" w:eastAsia="宋体" w:cs="Times New Roman"/>
                <w:color w:val="auto"/>
                <w:sz w:val="24"/>
              </w:rPr>
              <w:t>L—为各种因素引起的声衰减量，dB（A）；</w:t>
            </w:r>
          </w:p>
          <w:p w14:paraId="75FC541A">
            <w:pPr>
              <w:pageBreakBefore w:val="0"/>
              <w:kinsoku/>
              <w:wordWrap/>
              <w:overflowPunct/>
              <w:bidi w:val="0"/>
              <w:spacing w:line="360" w:lineRule="auto"/>
              <w:ind w:left="0" w:leftChars="0" w:right="0" w:rightChars="0" w:firstLine="439" w:firstLineChars="183"/>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r—声源“声源中心”距预测点间的距离，m。</w:t>
            </w:r>
          </w:p>
          <w:p w14:paraId="35A1DAC7">
            <w:pPr>
              <w:pageBreakBefore w:val="0"/>
              <w:kinsoku/>
              <w:wordWrap/>
              <w:overflowPunct/>
              <w:bidi w:val="0"/>
              <w:spacing w:line="360" w:lineRule="auto"/>
              <w:ind w:left="0" w:leftChars="0" w:right="0" w:rightChars="0" w:firstLine="48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不同距离衰减后的噪声预测结果详见表4-</w:t>
            </w:r>
            <w:r>
              <w:rPr>
                <w:rFonts w:hint="eastAsia" w:cs="Times New Roman"/>
                <w:color w:val="auto"/>
                <w:sz w:val="24"/>
                <w:lang w:val="en-US" w:eastAsia="zh-CN"/>
              </w:rPr>
              <w:t>5</w:t>
            </w:r>
            <w:r>
              <w:rPr>
                <w:rFonts w:hint="default" w:ascii="Times New Roman" w:hAnsi="Times New Roman" w:eastAsia="宋体" w:cs="Times New Roman"/>
                <w:color w:val="auto"/>
                <w:sz w:val="24"/>
              </w:rPr>
              <w:t>。</w:t>
            </w:r>
          </w:p>
          <w:p w14:paraId="181D47BF">
            <w:pPr>
              <w:pStyle w:val="47"/>
              <w:spacing w:line="440" w:lineRule="exact"/>
              <w:ind w:firstLine="0" w:firstLineChars="0"/>
              <w:jc w:val="center"/>
              <w:textAlignment w:val="baseline"/>
              <w:rPr>
                <w:rFonts w:hint="default" w:ascii="Times New Roman" w:hAnsi="Times New Roman" w:eastAsia="宋体" w:cs="Times New Roman"/>
                <w:b/>
                <w:bCs w:val="0"/>
                <w:snapToGrid w:val="0"/>
                <w:color w:val="auto"/>
                <w:sz w:val="24"/>
                <w:szCs w:val="24"/>
                <w:lang w:eastAsia="zh-CN"/>
              </w:rPr>
            </w:pPr>
            <w:r>
              <w:rPr>
                <w:rFonts w:hint="default" w:ascii="Times New Roman" w:hAnsi="Times New Roman" w:eastAsia="宋体" w:cs="Times New Roman"/>
                <w:b/>
                <w:bCs w:val="0"/>
                <w:snapToGrid w:val="0"/>
                <w:color w:val="auto"/>
                <w:sz w:val="24"/>
                <w:szCs w:val="24"/>
                <w:lang w:eastAsia="zh-CN"/>
              </w:rPr>
              <w:t>表4-</w:t>
            </w:r>
            <w:r>
              <w:rPr>
                <w:rFonts w:hint="eastAsia" w:ascii="Times New Roman" w:hAnsi="Times New Roman" w:cs="Times New Roman"/>
                <w:b/>
                <w:bCs w:val="0"/>
                <w:snapToGrid w:val="0"/>
                <w:color w:val="auto"/>
                <w:sz w:val="24"/>
                <w:szCs w:val="24"/>
                <w:lang w:val="en-US" w:eastAsia="zh-CN"/>
              </w:rPr>
              <w:t>5</w:t>
            </w:r>
            <w:r>
              <w:rPr>
                <w:rFonts w:hint="default" w:ascii="Times New Roman" w:hAnsi="Times New Roman" w:eastAsia="宋体" w:cs="Times New Roman"/>
                <w:b/>
                <w:bCs w:val="0"/>
                <w:snapToGrid w:val="0"/>
                <w:color w:val="auto"/>
                <w:sz w:val="24"/>
                <w:szCs w:val="24"/>
                <w:lang w:eastAsia="zh-CN"/>
              </w:rPr>
              <w:t>施工机械噪声影响范围</w:t>
            </w:r>
          </w:p>
          <w:tbl>
            <w:tblPr>
              <w:tblStyle w:val="2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3"/>
              <w:gridCol w:w="689"/>
              <w:gridCol w:w="689"/>
              <w:gridCol w:w="691"/>
              <w:gridCol w:w="691"/>
              <w:gridCol w:w="691"/>
              <w:gridCol w:w="691"/>
              <w:gridCol w:w="706"/>
              <w:gridCol w:w="706"/>
              <w:gridCol w:w="715"/>
            </w:tblGrid>
            <w:tr w14:paraId="3AFF6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tblHeader/>
                <w:jc w:val="center"/>
              </w:trPr>
              <w:tc>
                <w:tcPr>
                  <w:tcW w:w="888" w:type="pct"/>
                  <w:vMerge w:val="restart"/>
                  <w:tcBorders>
                    <w:tl2br w:val="nil"/>
                    <w:tr2bl w:val="nil"/>
                  </w:tcBorders>
                  <w:noWrap w:val="0"/>
                  <w:vAlign w:val="center"/>
                </w:tcPr>
                <w:p w14:paraId="195C0F0F">
                  <w:pPr>
                    <w:pageBreakBefore w:val="0"/>
                    <w:kinsoku/>
                    <w:wordWrap/>
                    <w:overflowPunct/>
                    <w:bidi w:val="0"/>
                    <w:ind w:left="0" w:leftChars="0" w:right="0" w:rightChars="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设备名称</w:t>
                  </w:r>
                </w:p>
              </w:tc>
              <w:tc>
                <w:tcPr>
                  <w:tcW w:w="4111" w:type="pct"/>
                  <w:gridSpan w:val="9"/>
                  <w:tcBorders>
                    <w:tl2br w:val="nil"/>
                    <w:tr2bl w:val="nil"/>
                  </w:tcBorders>
                  <w:noWrap w:val="0"/>
                  <w:vAlign w:val="center"/>
                </w:tcPr>
                <w:p w14:paraId="74D69E5B">
                  <w:pPr>
                    <w:pageBreakBefore w:val="0"/>
                    <w:kinsoku/>
                    <w:wordWrap/>
                    <w:overflowPunct/>
                    <w:bidi w:val="0"/>
                    <w:ind w:left="0" w:leftChars="0" w:right="0" w:rightChars="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不同距离处的噪声值</w:t>
                  </w:r>
                </w:p>
              </w:tc>
            </w:tr>
            <w:tr w14:paraId="7AF2D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blHeader/>
                <w:jc w:val="center"/>
              </w:trPr>
              <w:tc>
                <w:tcPr>
                  <w:tcW w:w="888" w:type="pct"/>
                  <w:vMerge w:val="continue"/>
                  <w:tcBorders>
                    <w:tl2br w:val="nil"/>
                    <w:tr2bl w:val="nil"/>
                  </w:tcBorders>
                  <w:noWrap w:val="0"/>
                  <w:vAlign w:val="center"/>
                </w:tcPr>
                <w:p w14:paraId="76E35290">
                  <w:pPr>
                    <w:pageBreakBefore w:val="0"/>
                    <w:kinsoku/>
                    <w:wordWrap/>
                    <w:overflowPunct/>
                    <w:bidi w:val="0"/>
                    <w:ind w:left="0" w:leftChars="0" w:right="0" w:rightChars="0"/>
                    <w:jc w:val="center"/>
                    <w:rPr>
                      <w:rFonts w:hint="default" w:ascii="Times New Roman" w:hAnsi="Times New Roman" w:eastAsia="宋体" w:cs="Times New Roman"/>
                      <w:b/>
                      <w:bCs/>
                      <w:color w:val="auto"/>
                      <w:szCs w:val="21"/>
                    </w:rPr>
                  </w:pPr>
                </w:p>
              </w:tc>
              <w:tc>
                <w:tcPr>
                  <w:tcW w:w="452" w:type="pct"/>
                  <w:tcBorders>
                    <w:tl2br w:val="nil"/>
                    <w:tr2bl w:val="nil"/>
                  </w:tcBorders>
                  <w:noWrap w:val="0"/>
                  <w:vAlign w:val="center"/>
                </w:tcPr>
                <w:p w14:paraId="7A647CF1">
                  <w:pPr>
                    <w:pageBreakBefore w:val="0"/>
                    <w:kinsoku/>
                    <w:wordWrap/>
                    <w:overflowPunct/>
                    <w:bidi w:val="0"/>
                    <w:ind w:left="0" w:leftChars="0" w:right="0" w:rightChars="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5m</w:t>
                  </w:r>
                </w:p>
              </w:tc>
              <w:tc>
                <w:tcPr>
                  <w:tcW w:w="452" w:type="pct"/>
                  <w:tcBorders>
                    <w:tl2br w:val="nil"/>
                    <w:tr2bl w:val="nil"/>
                  </w:tcBorders>
                  <w:noWrap w:val="0"/>
                  <w:vAlign w:val="center"/>
                </w:tcPr>
                <w:p w14:paraId="6A7B28A1">
                  <w:pPr>
                    <w:pageBreakBefore w:val="0"/>
                    <w:kinsoku/>
                    <w:wordWrap/>
                    <w:overflowPunct/>
                    <w:bidi w:val="0"/>
                    <w:ind w:left="0" w:leftChars="0" w:right="0" w:rightChars="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10m</w:t>
                  </w:r>
                </w:p>
              </w:tc>
              <w:tc>
                <w:tcPr>
                  <w:tcW w:w="453" w:type="pct"/>
                  <w:tcBorders>
                    <w:tl2br w:val="nil"/>
                    <w:tr2bl w:val="nil"/>
                  </w:tcBorders>
                  <w:noWrap w:val="0"/>
                  <w:vAlign w:val="center"/>
                </w:tcPr>
                <w:p w14:paraId="6970E391">
                  <w:pPr>
                    <w:pageBreakBefore w:val="0"/>
                    <w:kinsoku/>
                    <w:wordWrap/>
                    <w:overflowPunct/>
                    <w:bidi w:val="0"/>
                    <w:ind w:left="0" w:leftChars="0" w:right="0" w:rightChars="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20m</w:t>
                  </w:r>
                </w:p>
              </w:tc>
              <w:tc>
                <w:tcPr>
                  <w:tcW w:w="453" w:type="pct"/>
                  <w:tcBorders>
                    <w:tl2br w:val="nil"/>
                    <w:tr2bl w:val="nil"/>
                  </w:tcBorders>
                  <w:noWrap w:val="0"/>
                  <w:vAlign w:val="center"/>
                </w:tcPr>
                <w:p w14:paraId="0312D3A4">
                  <w:pPr>
                    <w:pageBreakBefore w:val="0"/>
                    <w:kinsoku/>
                    <w:wordWrap/>
                    <w:overflowPunct/>
                    <w:bidi w:val="0"/>
                    <w:ind w:left="0" w:leftChars="0" w:right="0" w:rightChars="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30m</w:t>
                  </w:r>
                </w:p>
              </w:tc>
              <w:tc>
                <w:tcPr>
                  <w:tcW w:w="453" w:type="pct"/>
                  <w:tcBorders>
                    <w:tl2br w:val="nil"/>
                    <w:tr2bl w:val="nil"/>
                  </w:tcBorders>
                  <w:noWrap w:val="0"/>
                  <w:vAlign w:val="center"/>
                </w:tcPr>
                <w:p w14:paraId="3CCDEA52">
                  <w:pPr>
                    <w:pageBreakBefore w:val="0"/>
                    <w:kinsoku/>
                    <w:wordWrap/>
                    <w:overflowPunct/>
                    <w:bidi w:val="0"/>
                    <w:ind w:left="0" w:leftChars="0" w:right="0" w:rightChars="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50m</w:t>
                  </w:r>
                </w:p>
              </w:tc>
              <w:tc>
                <w:tcPr>
                  <w:tcW w:w="453" w:type="pct"/>
                  <w:tcBorders>
                    <w:tl2br w:val="nil"/>
                    <w:tr2bl w:val="nil"/>
                  </w:tcBorders>
                  <w:noWrap w:val="0"/>
                  <w:vAlign w:val="center"/>
                </w:tcPr>
                <w:p w14:paraId="2DCDCBFA">
                  <w:pPr>
                    <w:pageBreakBefore w:val="0"/>
                    <w:kinsoku/>
                    <w:wordWrap/>
                    <w:overflowPunct/>
                    <w:bidi w:val="0"/>
                    <w:ind w:left="0" w:leftChars="0" w:right="0" w:rightChars="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80m</w:t>
                  </w:r>
                </w:p>
              </w:tc>
              <w:tc>
                <w:tcPr>
                  <w:tcW w:w="463" w:type="pct"/>
                  <w:tcBorders>
                    <w:tl2br w:val="nil"/>
                    <w:tr2bl w:val="nil"/>
                  </w:tcBorders>
                  <w:noWrap w:val="0"/>
                  <w:vAlign w:val="center"/>
                </w:tcPr>
                <w:p w14:paraId="156950BB">
                  <w:pPr>
                    <w:pageBreakBefore w:val="0"/>
                    <w:kinsoku/>
                    <w:wordWrap/>
                    <w:overflowPunct/>
                    <w:bidi w:val="0"/>
                    <w:ind w:left="0" w:leftChars="0" w:right="0" w:rightChars="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100m</w:t>
                  </w:r>
                </w:p>
              </w:tc>
              <w:tc>
                <w:tcPr>
                  <w:tcW w:w="463" w:type="pct"/>
                  <w:tcBorders>
                    <w:tl2br w:val="nil"/>
                    <w:tr2bl w:val="nil"/>
                  </w:tcBorders>
                  <w:noWrap w:val="0"/>
                  <w:vAlign w:val="center"/>
                </w:tcPr>
                <w:p w14:paraId="189E2002">
                  <w:pPr>
                    <w:pageBreakBefore w:val="0"/>
                    <w:kinsoku/>
                    <w:wordWrap/>
                    <w:overflowPunct/>
                    <w:bidi w:val="0"/>
                    <w:ind w:left="0" w:leftChars="0" w:right="0" w:rightChars="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150m</w:t>
                  </w:r>
                </w:p>
              </w:tc>
              <w:tc>
                <w:tcPr>
                  <w:tcW w:w="466" w:type="pct"/>
                  <w:tcBorders>
                    <w:tl2br w:val="nil"/>
                    <w:tr2bl w:val="nil"/>
                  </w:tcBorders>
                  <w:noWrap w:val="0"/>
                  <w:vAlign w:val="center"/>
                </w:tcPr>
                <w:p w14:paraId="68F95521">
                  <w:pPr>
                    <w:pageBreakBefore w:val="0"/>
                    <w:kinsoku/>
                    <w:wordWrap/>
                    <w:overflowPunct/>
                    <w:bidi w:val="0"/>
                    <w:ind w:left="0" w:leftChars="0" w:right="0" w:rightChars="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200m</w:t>
                  </w:r>
                </w:p>
              </w:tc>
            </w:tr>
            <w:tr w14:paraId="4ED81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88" w:type="pct"/>
                  <w:tcBorders>
                    <w:tl2br w:val="nil"/>
                    <w:tr2bl w:val="nil"/>
                  </w:tcBorders>
                  <w:noWrap w:val="0"/>
                  <w:vAlign w:val="center"/>
                </w:tcPr>
                <w:p w14:paraId="4A73C608">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挖掘机</w:t>
                  </w:r>
                </w:p>
              </w:tc>
              <w:tc>
                <w:tcPr>
                  <w:tcW w:w="452" w:type="pct"/>
                  <w:tcBorders>
                    <w:tl2br w:val="nil"/>
                    <w:tr2bl w:val="nil"/>
                  </w:tcBorders>
                  <w:noWrap w:val="0"/>
                  <w:vAlign w:val="center"/>
                </w:tcPr>
                <w:p w14:paraId="4A353C56">
                  <w:pPr>
                    <w:pStyle w:val="28"/>
                    <w:pageBreakBefore w:val="0"/>
                    <w:kinsoku/>
                    <w:wordWrap/>
                    <w:overflowPunct/>
                    <w:bidi w:val="0"/>
                    <w:spacing w:after="0"/>
                    <w:ind w:left="0" w:leftChars="0" w:right="0" w:rightChars="0" w:firstLine="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81.0</w:t>
                  </w:r>
                </w:p>
              </w:tc>
              <w:tc>
                <w:tcPr>
                  <w:tcW w:w="452" w:type="pct"/>
                  <w:tcBorders>
                    <w:tl2br w:val="nil"/>
                    <w:tr2bl w:val="nil"/>
                  </w:tcBorders>
                  <w:noWrap w:val="0"/>
                  <w:vAlign w:val="center"/>
                </w:tcPr>
                <w:p w14:paraId="1218B0DE">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75.0</w:t>
                  </w:r>
                </w:p>
              </w:tc>
              <w:tc>
                <w:tcPr>
                  <w:tcW w:w="453" w:type="pct"/>
                  <w:tcBorders>
                    <w:tl2br w:val="nil"/>
                    <w:tr2bl w:val="nil"/>
                  </w:tcBorders>
                  <w:noWrap w:val="0"/>
                  <w:vAlign w:val="center"/>
                </w:tcPr>
                <w:p w14:paraId="3C8EFB89">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69.0</w:t>
                  </w:r>
                </w:p>
              </w:tc>
              <w:tc>
                <w:tcPr>
                  <w:tcW w:w="453" w:type="pct"/>
                  <w:tcBorders>
                    <w:tl2br w:val="nil"/>
                    <w:tr2bl w:val="nil"/>
                  </w:tcBorders>
                  <w:noWrap w:val="0"/>
                  <w:vAlign w:val="center"/>
                </w:tcPr>
                <w:p w14:paraId="489F95C2">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65.5</w:t>
                  </w:r>
                </w:p>
              </w:tc>
              <w:tc>
                <w:tcPr>
                  <w:tcW w:w="453" w:type="pct"/>
                  <w:tcBorders>
                    <w:tl2br w:val="nil"/>
                    <w:tr2bl w:val="nil"/>
                  </w:tcBorders>
                  <w:noWrap w:val="0"/>
                  <w:vAlign w:val="center"/>
                </w:tcPr>
                <w:p w14:paraId="472CFD2D">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61.0</w:t>
                  </w:r>
                </w:p>
              </w:tc>
              <w:tc>
                <w:tcPr>
                  <w:tcW w:w="453" w:type="pct"/>
                  <w:tcBorders>
                    <w:tl2br w:val="nil"/>
                    <w:tr2bl w:val="nil"/>
                  </w:tcBorders>
                  <w:noWrap w:val="0"/>
                  <w:vAlign w:val="center"/>
                </w:tcPr>
                <w:p w14:paraId="25AFA5B5">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56.9</w:t>
                  </w:r>
                </w:p>
              </w:tc>
              <w:tc>
                <w:tcPr>
                  <w:tcW w:w="463" w:type="pct"/>
                  <w:tcBorders>
                    <w:tl2br w:val="nil"/>
                    <w:tr2bl w:val="nil"/>
                  </w:tcBorders>
                  <w:noWrap w:val="0"/>
                  <w:vAlign w:val="center"/>
                </w:tcPr>
                <w:p w14:paraId="4AD33E62">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55.0</w:t>
                  </w:r>
                </w:p>
              </w:tc>
              <w:tc>
                <w:tcPr>
                  <w:tcW w:w="463" w:type="pct"/>
                  <w:tcBorders>
                    <w:tl2br w:val="nil"/>
                    <w:tr2bl w:val="nil"/>
                  </w:tcBorders>
                  <w:noWrap w:val="0"/>
                  <w:vAlign w:val="center"/>
                </w:tcPr>
                <w:p w14:paraId="67A905A0">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51.5</w:t>
                  </w:r>
                </w:p>
              </w:tc>
              <w:tc>
                <w:tcPr>
                  <w:tcW w:w="466" w:type="pct"/>
                  <w:tcBorders>
                    <w:tl2br w:val="nil"/>
                    <w:tr2bl w:val="nil"/>
                  </w:tcBorders>
                  <w:noWrap w:val="0"/>
                  <w:vAlign w:val="center"/>
                </w:tcPr>
                <w:p w14:paraId="6780012F">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49.0</w:t>
                  </w:r>
                </w:p>
              </w:tc>
            </w:tr>
            <w:tr w14:paraId="4EC75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88" w:type="pct"/>
                  <w:tcBorders>
                    <w:tl2br w:val="nil"/>
                    <w:tr2bl w:val="nil"/>
                  </w:tcBorders>
                  <w:noWrap w:val="0"/>
                  <w:vAlign w:val="center"/>
                </w:tcPr>
                <w:p w14:paraId="4C028F1B">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推土机</w:t>
                  </w:r>
                </w:p>
              </w:tc>
              <w:tc>
                <w:tcPr>
                  <w:tcW w:w="452" w:type="pct"/>
                  <w:tcBorders>
                    <w:tl2br w:val="nil"/>
                    <w:tr2bl w:val="nil"/>
                  </w:tcBorders>
                  <w:noWrap w:val="0"/>
                  <w:vAlign w:val="center"/>
                </w:tcPr>
                <w:p w14:paraId="5BFD2576">
                  <w:pPr>
                    <w:pStyle w:val="28"/>
                    <w:pageBreakBefore w:val="0"/>
                    <w:kinsoku/>
                    <w:wordWrap/>
                    <w:overflowPunct/>
                    <w:bidi w:val="0"/>
                    <w:spacing w:after="0"/>
                    <w:ind w:left="0" w:leftChars="0" w:right="0" w:rightChars="0" w:firstLine="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86.0</w:t>
                  </w:r>
                </w:p>
              </w:tc>
              <w:tc>
                <w:tcPr>
                  <w:tcW w:w="452" w:type="pct"/>
                  <w:tcBorders>
                    <w:tl2br w:val="nil"/>
                    <w:tr2bl w:val="nil"/>
                  </w:tcBorders>
                  <w:noWrap w:val="0"/>
                  <w:vAlign w:val="center"/>
                </w:tcPr>
                <w:p w14:paraId="4D9B7BAC">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80.0</w:t>
                  </w:r>
                </w:p>
              </w:tc>
              <w:tc>
                <w:tcPr>
                  <w:tcW w:w="453" w:type="pct"/>
                  <w:tcBorders>
                    <w:tl2br w:val="nil"/>
                    <w:tr2bl w:val="nil"/>
                  </w:tcBorders>
                  <w:noWrap w:val="0"/>
                  <w:vAlign w:val="center"/>
                </w:tcPr>
                <w:p w14:paraId="78140401">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74.0</w:t>
                  </w:r>
                </w:p>
              </w:tc>
              <w:tc>
                <w:tcPr>
                  <w:tcW w:w="453" w:type="pct"/>
                  <w:tcBorders>
                    <w:tl2br w:val="nil"/>
                    <w:tr2bl w:val="nil"/>
                  </w:tcBorders>
                  <w:noWrap w:val="0"/>
                  <w:vAlign w:val="center"/>
                </w:tcPr>
                <w:p w14:paraId="23443DBB">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70.5</w:t>
                  </w:r>
                </w:p>
              </w:tc>
              <w:tc>
                <w:tcPr>
                  <w:tcW w:w="453" w:type="pct"/>
                  <w:tcBorders>
                    <w:tl2br w:val="nil"/>
                    <w:tr2bl w:val="nil"/>
                  </w:tcBorders>
                  <w:noWrap w:val="0"/>
                  <w:vAlign w:val="center"/>
                </w:tcPr>
                <w:p w14:paraId="7ABB267C">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66.0</w:t>
                  </w:r>
                </w:p>
              </w:tc>
              <w:tc>
                <w:tcPr>
                  <w:tcW w:w="453" w:type="pct"/>
                  <w:tcBorders>
                    <w:tl2br w:val="nil"/>
                    <w:tr2bl w:val="nil"/>
                  </w:tcBorders>
                  <w:noWrap w:val="0"/>
                  <w:vAlign w:val="center"/>
                </w:tcPr>
                <w:p w14:paraId="54D94815">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61.9</w:t>
                  </w:r>
                </w:p>
              </w:tc>
              <w:tc>
                <w:tcPr>
                  <w:tcW w:w="463" w:type="pct"/>
                  <w:tcBorders>
                    <w:tl2br w:val="nil"/>
                    <w:tr2bl w:val="nil"/>
                  </w:tcBorders>
                  <w:noWrap w:val="0"/>
                  <w:vAlign w:val="center"/>
                </w:tcPr>
                <w:p w14:paraId="7A0DA2D0">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60.0</w:t>
                  </w:r>
                </w:p>
              </w:tc>
              <w:tc>
                <w:tcPr>
                  <w:tcW w:w="463" w:type="pct"/>
                  <w:tcBorders>
                    <w:tl2br w:val="nil"/>
                    <w:tr2bl w:val="nil"/>
                  </w:tcBorders>
                  <w:noWrap w:val="0"/>
                  <w:vAlign w:val="center"/>
                </w:tcPr>
                <w:p w14:paraId="6647B4E8">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56.5</w:t>
                  </w:r>
                </w:p>
              </w:tc>
              <w:tc>
                <w:tcPr>
                  <w:tcW w:w="466" w:type="pct"/>
                  <w:tcBorders>
                    <w:tl2br w:val="nil"/>
                    <w:tr2bl w:val="nil"/>
                  </w:tcBorders>
                  <w:noWrap w:val="0"/>
                  <w:vAlign w:val="center"/>
                </w:tcPr>
                <w:p w14:paraId="4DE76A16">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54.0</w:t>
                  </w:r>
                </w:p>
              </w:tc>
            </w:tr>
            <w:tr w14:paraId="114E3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88" w:type="pct"/>
                  <w:tcBorders>
                    <w:tl2br w:val="nil"/>
                    <w:tr2bl w:val="nil"/>
                  </w:tcBorders>
                  <w:noWrap w:val="0"/>
                  <w:vAlign w:val="center"/>
                </w:tcPr>
                <w:p w14:paraId="56EFE332">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eastAsia="zh-CN"/>
                    </w:rPr>
                    <w:t>振动碾</w:t>
                  </w:r>
                </w:p>
              </w:tc>
              <w:tc>
                <w:tcPr>
                  <w:tcW w:w="452" w:type="pct"/>
                  <w:tcBorders>
                    <w:tl2br w:val="nil"/>
                    <w:tr2bl w:val="nil"/>
                  </w:tcBorders>
                  <w:noWrap w:val="0"/>
                  <w:vAlign w:val="center"/>
                </w:tcPr>
                <w:p w14:paraId="5E5CD199">
                  <w:pPr>
                    <w:pStyle w:val="28"/>
                    <w:pageBreakBefore w:val="0"/>
                    <w:kinsoku/>
                    <w:wordWrap/>
                    <w:overflowPunct/>
                    <w:bidi w:val="0"/>
                    <w:spacing w:after="0"/>
                    <w:ind w:left="0" w:leftChars="0" w:right="0" w:rightChars="0" w:firstLine="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90.0</w:t>
                  </w:r>
                </w:p>
              </w:tc>
              <w:tc>
                <w:tcPr>
                  <w:tcW w:w="452" w:type="pct"/>
                  <w:tcBorders>
                    <w:tl2br w:val="nil"/>
                    <w:tr2bl w:val="nil"/>
                  </w:tcBorders>
                  <w:noWrap w:val="0"/>
                  <w:vAlign w:val="center"/>
                </w:tcPr>
                <w:p w14:paraId="5FE66D84">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84.0</w:t>
                  </w:r>
                </w:p>
              </w:tc>
              <w:tc>
                <w:tcPr>
                  <w:tcW w:w="453" w:type="pct"/>
                  <w:tcBorders>
                    <w:tl2br w:val="nil"/>
                    <w:tr2bl w:val="nil"/>
                  </w:tcBorders>
                  <w:noWrap w:val="0"/>
                  <w:vAlign w:val="center"/>
                </w:tcPr>
                <w:p w14:paraId="4BBE216D">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78.0</w:t>
                  </w:r>
                </w:p>
              </w:tc>
              <w:tc>
                <w:tcPr>
                  <w:tcW w:w="453" w:type="pct"/>
                  <w:tcBorders>
                    <w:tl2br w:val="nil"/>
                    <w:tr2bl w:val="nil"/>
                  </w:tcBorders>
                  <w:noWrap w:val="0"/>
                  <w:vAlign w:val="center"/>
                </w:tcPr>
                <w:p w14:paraId="5357E3C8">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74.5</w:t>
                  </w:r>
                </w:p>
              </w:tc>
              <w:tc>
                <w:tcPr>
                  <w:tcW w:w="453" w:type="pct"/>
                  <w:tcBorders>
                    <w:tl2br w:val="nil"/>
                    <w:tr2bl w:val="nil"/>
                  </w:tcBorders>
                  <w:noWrap w:val="0"/>
                  <w:vAlign w:val="center"/>
                </w:tcPr>
                <w:p w14:paraId="2C72BA99">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70.0</w:t>
                  </w:r>
                </w:p>
              </w:tc>
              <w:tc>
                <w:tcPr>
                  <w:tcW w:w="453" w:type="pct"/>
                  <w:tcBorders>
                    <w:tl2br w:val="nil"/>
                    <w:tr2bl w:val="nil"/>
                  </w:tcBorders>
                  <w:noWrap w:val="0"/>
                  <w:vAlign w:val="center"/>
                </w:tcPr>
                <w:p w14:paraId="55A8FD0D">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65.9</w:t>
                  </w:r>
                </w:p>
              </w:tc>
              <w:tc>
                <w:tcPr>
                  <w:tcW w:w="463" w:type="pct"/>
                  <w:tcBorders>
                    <w:tl2br w:val="nil"/>
                    <w:tr2bl w:val="nil"/>
                  </w:tcBorders>
                  <w:noWrap w:val="0"/>
                  <w:vAlign w:val="center"/>
                </w:tcPr>
                <w:p w14:paraId="6F507882">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64.0</w:t>
                  </w:r>
                </w:p>
              </w:tc>
              <w:tc>
                <w:tcPr>
                  <w:tcW w:w="463" w:type="pct"/>
                  <w:tcBorders>
                    <w:tl2br w:val="nil"/>
                    <w:tr2bl w:val="nil"/>
                  </w:tcBorders>
                  <w:noWrap w:val="0"/>
                  <w:vAlign w:val="center"/>
                </w:tcPr>
                <w:p w14:paraId="2F9A5742">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60.5</w:t>
                  </w:r>
                </w:p>
              </w:tc>
              <w:tc>
                <w:tcPr>
                  <w:tcW w:w="466" w:type="pct"/>
                  <w:tcBorders>
                    <w:tl2br w:val="nil"/>
                    <w:tr2bl w:val="nil"/>
                  </w:tcBorders>
                  <w:noWrap w:val="0"/>
                  <w:vAlign w:val="center"/>
                </w:tcPr>
                <w:p w14:paraId="70718517">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58.0</w:t>
                  </w:r>
                </w:p>
              </w:tc>
            </w:tr>
            <w:tr w14:paraId="3FE29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88" w:type="pct"/>
                  <w:tcBorders>
                    <w:tl2br w:val="nil"/>
                    <w:tr2bl w:val="nil"/>
                  </w:tcBorders>
                  <w:noWrap w:val="0"/>
                  <w:vAlign w:val="center"/>
                </w:tcPr>
                <w:p w14:paraId="44940FF0">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自卸汽车</w:t>
                  </w:r>
                </w:p>
              </w:tc>
              <w:tc>
                <w:tcPr>
                  <w:tcW w:w="452" w:type="pct"/>
                  <w:tcBorders>
                    <w:tl2br w:val="nil"/>
                    <w:tr2bl w:val="nil"/>
                  </w:tcBorders>
                  <w:noWrap w:val="0"/>
                  <w:vAlign w:val="center"/>
                </w:tcPr>
                <w:p w14:paraId="13E34AB0">
                  <w:pPr>
                    <w:pStyle w:val="28"/>
                    <w:pageBreakBefore w:val="0"/>
                    <w:kinsoku/>
                    <w:wordWrap/>
                    <w:overflowPunct/>
                    <w:bidi w:val="0"/>
                    <w:spacing w:after="0"/>
                    <w:ind w:left="0" w:leftChars="0" w:right="0" w:rightChars="0" w:firstLine="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81.0</w:t>
                  </w:r>
                </w:p>
              </w:tc>
              <w:tc>
                <w:tcPr>
                  <w:tcW w:w="452" w:type="pct"/>
                  <w:tcBorders>
                    <w:tl2br w:val="nil"/>
                    <w:tr2bl w:val="nil"/>
                  </w:tcBorders>
                  <w:noWrap w:val="0"/>
                  <w:vAlign w:val="center"/>
                </w:tcPr>
                <w:p w14:paraId="14721001">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75.0</w:t>
                  </w:r>
                </w:p>
              </w:tc>
              <w:tc>
                <w:tcPr>
                  <w:tcW w:w="453" w:type="pct"/>
                  <w:tcBorders>
                    <w:tl2br w:val="nil"/>
                    <w:tr2bl w:val="nil"/>
                  </w:tcBorders>
                  <w:noWrap w:val="0"/>
                  <w:vAlign w:val="center"/>
                </w:tcPr>
                <w:p w14:paraId="62AB6735">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69.0</w:t>
                  </w:r>
                </w:p>
              </w:tc>
              <w:tc>
                <w:tcPr>
                  <w:tcW w:w="453" w:type="pct"/>
                  <w:tcBorders>
                    <w:tl2br w:val="nil"/>
                    <w:tr2bl w:val="nil"/>
                  </w:tcBorders>
                  <w:noWrap w:val="0"/>
                  <w:vAlign w:val="center"/>
                </w:tcPr>
                <w:p w14:paraId="5E698734">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65.5</w:t>
                  </w:r>
                </w:p>
              </w:tc>
              <w:tc>
                <w:tcPr>
                  <w:tcW w:w="453" w:type="pct"/>
                  <w:tcBorders>
                    <w:tl2br w:val="nil"/>
                    <w:tr2bl w:val="nil"/>
                  </w:tcBorders>
                  <w:noWrap w:val="0"/>
                  <w:vAlign w:val="center"/>
                </w:tcPr>
                <w:p w14:paraId="64D0EB4C">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61.0</w:t>
                  </w:r>
                </w:p>
              </w:tc>
              <w:tc>
                <w:tcPr>
                  <w:tcW w:w="453" w:type="pct"/>
                  <w:tcBorders>
                    <w:tl2br w:val="nil"/>
                    <w:tr2bl w:val="nil"/>
                  </w:tcBorders>
                  <w:noWrap w:val="0"/>
                  <w:vAlign w:val="center"/>
                </w:tcPr>
                <w:p w14:paraId="5A35BE27">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56.9</w:t>
                  </w:r>
                </w:p>
              </w:tc>
              <w:tc>
                <w:tcPr>
                  <w:tcW w:w="463" w:type="pct"/>
                  <w:tcBorders>
                    <w:tl2br w:val="nil"/>
                    <w:tr2bl w:val="nil"/>
                  </w:tcBorders>
                  <w:noWrap w:val="0"/>
                  <w:vAlign w:val="center"/>
                </w:tcPr>
                <w:p w14:paraId="437E2B59">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55.0</w:t>
                  </w:r>
                </w:p>
              </w:tc>
              <w:tc>
                <w:tcPr>
                  <w:tcW w:w="463" w:type="pct"/>
                  <w:tcBorders>
                    <w:tl2br w:val="nil"/>
                    <w:tr2bl w:val="nil"/>
                  </w:tcBorders>
                  <w:noWrap w:val="0"/>
                  <w:vAlign w:val="center"/>
                </w:tcPr>
                <w:p w14:paraId="3E6F4257">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51.5</w:t>
                  </w:r>
                </w:p>
              </w:tc>
              <w:tc>
                <w:tcPr>
                  <w:tcW w:w="466" w:type="pct"/>
                  <w:tcBorders>
                    <w:tl2br w:val="nil"/>
                    <w:tr2bl w:val="nil"/>
                  </w:tcBorders>
                  <w:noWrap w:val="0"/>
                  <w:vAlign w:val="center"/>
                </w:tcPr>
                <w:p w14:paraId="4D0B9070">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49.0</w:t>
                  </w:r>
                </w:p>
              </w:tc>
            </w:tr>
            <w:tr w14:paraId="2864C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88" w:type="pct"/>
                  <w:tcBorders>
                    <w:tl2br w:val="nil"/>
                    <w:tr2bl w:val="nil"/>
                  </w:tcBorders>
                  <w:noWrap w:val="0"/>
                  <w:vAlign w:val="center"/>
                </w:tcPr>
                <w:p w14:paraId="74924588">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插入振捣器</w:t>
                  </w:r>
                </w:p>
              </w:tc>
              <w:tc>
                <w:tcPr>
                  <w:tcW w:w="452" w:type="pct"/>
                  <w:tcBorders>
                    <w:tl2br w:val="nil"/>
                    <w:tr2bl w:val="nil"/>
                  </w:tcBorders>
                  <w:noWrap w:val="0"/>
                  <w:vAlign w:val="center"/>
                </w:tcPr>
                <w:p w14:paraId="0982EEC9">
                  <w:pPr>
                    <w:pStyle w:val="28"/>
                    <w:pageBreakBefore w:val="0"/>
                    <w:kinsoku/>
                    <w:wordWrap/>
                    <w:overflowPunct/>
                    <w:bidi w:val="0"/>
                    <w:spacing w:after="0"/>
                    <w:ind w:left="0" w:leftChars="0" w:right="0" w:rightChars="0" w:firstLine="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86.0</w:t>
                  </w:r>
                </w:p>
              </w:tc>
              <w:tc>
                <w:tcPr>
                  <w:tcW w:w="452" w:type="pct"/>
                  <w:tcBorders>
                    <w:tl2br w:val="nil"/>
                    <w:tr2bl w:val="nil"/>
                  </w:tcBorders>
                  <w:noWrap w:val="0"/>
                  <w:vAlign w:val="center"/>
                </w:tcPr>
                <w:p w14:paraId="1F63938A">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75.0</w:t>
                  </w:r>
                </w:p>
              </w:tc>
              <w:tc>
                <w:tcPr>
                  <w:tcW w:w="453" w:type="pct"/>
                  <w:tcBorders>
                    <w:tl2br w:val="nil"/>
                    <w:tr2bl w:val="nil"/>
                  </w:tcBorders>
                  <w:noWrap w:val="0"/>
                  <w:vAlign w:val="center"/>
                </w:tcPr>
                <w:p w14:paraId="02A4239C">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69.0</w:t>
                  </w:r>
                </w:p>
              </w:tc>
              <w:tc>
                <w:tcPr>
                  <w:tcW w:w="453" w:type="pct"/>
                  <w:tcBorders>
                    <w:tl2br w:val="nil"/>
                    <w:tr2bl w:val="nil"/>
                  </w:tcBorders>
                  <w:noWrap w:val="0"/>
                  <w:vAlign w:val="center"/>
                </w:tcPr>
                <w:p w14:paraId="2744999B">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65.5</w:t>
                  </w:r>
                </w:p>
              </w:tc>
              <w:tc>
                <w:tcPr>
                  <w:tcW w:w="453" w:type="pct"/>
                  <w:tcBorders>
                    <w:tl2br w:val="nil"/>
                    <w:tr2bl w:val="nil"/>
                  </w:tcBorders>
                  <w:noWrap w:val="0"/>
                  <w:vAlign w:val="center"/>
                </w:tcPr>
                <w:p w14:paraId="12A37448">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61.0</w:t>
                  </w:r>
                </w:p>
              </w:tc>
              <w:tc>
                <w:tcPr>
                  <w:tcW w:w="453" w:type="pct"/>
                  <w:tcBorders>
                    <w:tl2br w:val="nil"/>
                    <w:tr2bl w:val="nil"/>
                  </w:tcBorders>
                  <w:noWrap w:val="0"/>
                  <w:vAlign w:val="center"/>
                </w:tcPr>
                <w:p w14:paraId="323C854C">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56.9</w:t>
                  </w:r>
                </w:p>
              </w:tc>
              <w:tc>
                <w:tcPr>
                  <w:tcW w:w="463" w:type="pct"/>
                  <w:tcBorders>
                    <w:tl2br w:val="nil"/>
                    <w:tr2bl w:val="nil"/>
                  </w:tcBorders>
                  <w:noWrap w:val="0"/>
                  <w:vAlign w:val="center"/>
                </w:tcPr>
                <w:p w14:paraId="1B564080">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55.0</w:t>
                  </w:r>
                </w:p>
              </w:tc>
              <w:tc>
                <w:tcPr>
                  <w:tcW w:w="463" w:type="pct"/>
                  <w:tcBorders>
                    <w:tl2br w:val="nil"/>
                    <w:tr2bl w:val="nil"/>
                  </w:tcBorders>
                  <w:noWrap w:val="0"/>
                  <w:vAlign w:val="center"/>
                </w:tcPr>
                <w:p w14:paraId="2C1AD0AF">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51.5</w:t>
                  </w:r>
                </w:p>
              </w:tc>
              <w:tc>
                <w:tcPr>
                  <w:tcW w:w="466" w:type="pct"/>
                  <w:tcBorders>
                    <w:tl2br w:val="nil"/>
                    <w:tr2bl w:val="nil"/>
                  </w:tcBorders>
                  <w:noWrap w:val="0"/>
                  <w:vAlign w:val="center"/>
                </w:tcPr>
                <w:p w14:paraId="75C7AC90">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49.0</w:t>
                  </w:r>
                </w:p>
              </w:tc>
            </w:tr>
            <w:tr w14:paraId="59617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88" w:type="pct"/>
                  <w:tcBorders>
                    <w:tl2br w:val="nil"/>
                    <w:tr2bl w:val="nil"/>
                  </w:tcBorders>
                  <w:noWrap w:val="0"/>
                  <w:vAlign w:val="center"/>
                </w:tcPr>
                <w:p w14:paraId="65D1940F">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平板振捣器</w:t>
                  </w:r>
                </w:p>
              </w:tc>
              <w:tc>
                <w:tcPr>
                  <w:tcW w:w="452" w:type="pct"/>
                  <w:tcBorders>
                    <w:tl2br w:val="nil"/>
                    <w:tr2bl w:val="nil"/>
                  </w:tcBorders>
                  <w:noWrap w:val="0"/>
                  <w:vAlign w:val="center"/>
                </w:tcPr>
                <w:p w14:paraId="3327CBCC">
                  <w:pPr>
                    <w:pStyle w:val="28"/>
                    <w:pageBreakBefore w:val="0"/>
                    <w:kinsoku/>
                    <w:wordWrap/>
                    <w:overflowPunct/>
                    <w:bidi w:val="0"/>
                    <w:spacing w:after="0"/>
                    <w:ind w:left="0" w:leftChars="0" w:right="0" w:rightChars="0" w:firstLine="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86.0</w:t>
                  </w:r>
                </w:p>
              </w:tc>
              <w:tc>
                <w:tcPr>
                  <w:tcW w:w="452" w:type="pct"/>
                  <w:tcBorders>
                    <w:tl2br w:val="nil"/>
                    <w:tr2bl w:val="nil"/>
                  </w:tcBorders>
                  <w:noWrap w:val="0"/>
                  <w:vAlign w:val="center"/>
                </w:tcPr>
                <w:p w14:paraId="78E4A192">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80.0</w:t>
                  </w:r>
                </w:p>
              </w:tc>
              <w:tc>
                <w:tcPr>
                  <w:tcW w:w="453" w:type="pct"/>
                  <w:tcBorders>
                    <w:tl2br w:val="nil"/>
                    <w:tr2bl w:val="nil"/>
                  </w:tcBorders>
                  <w:noWrap w:val="0"/>
                  <w:vAlign w:val="center"/>
                </w:tcPr>
                <w:p w14:paraId="2E3483D5">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74.0</w:t>
                  </w:r>
                </w:p>
              </w:tc>
              <w:tc>
                <w:tcPr>
                  <w:tcW w:w="453" w:type="pct"/>
                  <w:tcBorders>
                    <w:tl2br w:val="nil"/>
                    <w:tr2bl w:val="nil"/>
                  </w:tcBorders>
                  <w:noWrap w:val="0"/>
                  <w:vAlign w:val="center"/>
                </w:tcPr>
                <w:p w14:paraId="1D99D419">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70.5</w:t>
                  </w:r>
                </w:p>
              </w:tc>
              <w:tc>
                <w:tcPr>
                  <w:tcW w:w="453" w:type="pct"/>
                  <w:tcBorders>
                    <w:tl2br w:val="nil"/>
                    <w:tr2bl w:val="nil"/>
                  </w:tcBorders>
                  <w:noWrap w:val="0"/>
                  <w:vAlign w:val="center"/>
                </w:tcPr>
                <w:p w14:paraId="3D4CE421">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66.0</w:t>
                  </w:r>
                </w:p>
              </w:tc>
              <w:tc>
                <w:tcPr>
                  <w:tcW w:w="453" w:type="pct"/>
                  <w:tcBorders>
                    <w:tl2br w:val="nil"/>
                    <w:tr2bl w:val="nil"/>
                  </w:tcBorders>
                  <w:noWrap w:val="0"/>
                  <w:vAlign w:val="center"/>
                </w:tcPr>
                <w:p w14:paraId="6A00184C">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61.9</w:t>
                  </w:r>
                </w:p>
              </w:tc>
              <w:tc>
                <w:tcPr>
                  <w:tcW w:w="463" w:type="pct"/>
                  <w:tcBorders>
                    <w:tl2br w:val="nil"/>
                    <w:tr2bl w:val="nil"/>
                  </w:tcBorders>
                  <w:noWrap w:val="0"/>
                  <w:vAlign w:val="center"/>
                </w:tcPr>
                <w:p w14:paraId="0E5E13CE">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60.0</w:t>
                  </w:r>
                </w:p>
              </w:tc>
              <w:tc>
                <w:tcPr>
                  <w:tcW w:w="463" w:type="pct"/>
                  <w:tcBorders>
                    <w:tl2br w:val="nil"/>
                    <w:tr2bl w:val="nil"/>
                  </w:tcBorders>
                  <w:noWrap w:val="0"/>
                  <w:vAlign w:val="center"/>
                </w:tcPr>
                <w:p w14:paraId="74A6B4BE">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56.5</w:t>
                  </w:r>
                </w:p>
              </w:tc>
              <w:tc>
                <w:tcPr>
                  <w:tcW w:w="466" w:type="pct"/>
                  <w:tcBorders>
                    <w:tl2br w:val="nil"/>
                    <w:tr2bl w:val="nil"/>
                  </w:tcBorders>
                  <w:noWrap w:val="0"/>
                  <w:vAlign w:val="center"/>
                </w:tcPr>
                <w:p w14:paraId="54EFB6FC">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54.0</w:t>
                  </w:r>
                </w:p>
              </w:tc>
            </w:tr>
          </w:tbl>
          <w:p w14:paraId="74428D44">
            <w:pPr>
              <w:pageBreakBefore w:val="0"/>
              <w:kinsoku/>
              <w:wordWrap/>
              <w:overflowPunct/>
              <w:bidi w:val="0"/>
              <w:spacing w:line="360" w:lineRule="auto"/>
              <w:ind w:left="0" w:leftChars="0" w:right="0" w:rightChars="0" w:firstLine="48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由上表可见，在仅考虑距离衰减的情况下，至各噪声源10m处，各施工阶段主要噪声源噪声影响值方能达到《建筑施工噪声排放标准》（GB12523-20</w:t>
            </w:r>
            <w:r>
              <w:rPr>
                <w:rFonts w:hint="eastAsia" w:cs="Times New Roman"/>
                <w:b w:val="0"/>
                <w:bCs w:val="0"/>
                <w:color w:val="auto"/>
                <w:sz w:val="24"/>
                <w:lang w:val="en-US" w:eastAsia="zh-CN"/>
              </w:rPr>
              <w:t>25</w:t>
            </w:r>
            <w:r>
              <w:rPr>
                <w:rFonts w:hint="default" w:ascii="Times New Roman" w:hAnsi="Times New Roman" w:eastAsia="宋体" w:cs="Times New Roman"/>
                <w:b w:val="0"/>
                <w:bCs w:val="0"/>
                <w:color w:val="auto"/>
                <w:sz w:val="24"/>
                <w:lang w:val="en-US" w:eastAsia="zh-CN"/>
              </w:rPr>
              <w:t>）昼间标准，施工阶段应合理安排施工时间，尽可能降低施工噪声，在敏感点附近和施工运输便道敏感点附近设置警示标志和限速标志，做好施工围挡，设备选型上尽量采用低噪声设备，对于高噪声设备做好减振降噪措施，文明施工。</w:t>
            </w:r>
          </w:p>
          <w:p w14:paraId="5A7DEC0E">
            <w:pPr>
              <w:keepNext w:val="0"/>
              <w:keepLines w:val="0"/>
              <w:pageBreakBefore w:val="0"/>
              <w:widowControl w:val="0"/>
              <w:numPr>
                <w:ilvl w:val="0"/>
                <w:numId w:val="11"/>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固体废弃物影响分析</w:t>
            </w:r>
          </w:p>
          <w:p w14:paraId="3EB8516A">
            <w:pPr>
              <w:pageBreakBefore w:val="0"/>
              <w:kinsoku/>
              <w:wordWrap/>
              <w:overflowPunct/>
              <w:bidi w:val="0"/>
              <w:spacing w:line="360" w:lineRule="auto"/>
              <w:ind w:left="0" w:leftChars="0" w:right="0" w:rightChars="0" w:firstLine="48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施工期产生的固体废弃物来源为</w:t>
            </w:r>
            <w:r>
              <w:rPr>
                <w:rFonts w:hint="default" w:ascii="Times New Roman" w:hAnsi="Times New Roman" w:eastAsia="宋体" w:cs="Times New Roman"/>
                <w:color w:val="auto"/>
                <w:sz w:val="24"/>
                <w:highlight w:val="none"/>
                <w:lang w:val="en-US" w:eastAsia="zh-CN"/>
              </w:rPr>
              <w:t>工程</w:t>
            </w:r>
            <w:r>
              <w:rPr>
                <w:rFonts w:hint="default" w:ascii="Times New Roman" w:hAnsi="Times New Roman" w:eastAsia="宋体" w:cs="Times New Roman"/>
                <w:color w:val="auto"/>
                <w:sz w:val="24"/>
                <w:highlight w:val="none"/>
              </w:rPr>
              <w:t>垃圾、渠道建筑物拆除</w:t>
            </w:r>
            <w:r>
              <w:rPr>
                <w:rFonts w:hint="default" w:ascii="Times New Roman" w:hAnsi="Times New Roman" w:eastAsia="宋体" w:cs="Times New Roman"/>
                <w:color w:val="auto"/>
                <w:sz w:val="24"/>
                <w:highlight w:val="none"/>
                <w:lang w:val="en-US" w:eastAsia="zh-CN"/>
              </w:rPr>
              <w:t>垃圾</w:t>
            </w:r>
            <w:r>
              <w:rPr>
                <w:rFonts w:hint="default" w:ascii="Times New Roman" w:hAnsi="Times New Roman" w:eastAsia="宋体" w:cs="Times New Roman"/>
                <w:color w:val="auto"/>
                <w:sz w:val="24"/>
                <w:highlight w:val="none"/>
              </w:rPr>
              <w:t>、施工人员产生的生活垃圾。</w:t>
            </w:r>
          </w:p>
          <w:p w14:paraId="3ACFB61F">
            <w:pPr>
              <w:pageBreakBefore w:val="0"/>
              <w:kinsoku/>
              <w:wordWrap/>
              <w:overflowPunct/>
              <w:bidi w:val="0"/>
              <w:spacing w:line="360" w:lineRule="auto"/>
              <w:ind w:left="0" w:leftChars="0" w:right="0" w:rightChars="0" w:firstLine="48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施工过程中产生的</w:t>
            </w:r>
            <w:r>
              <w:rPr>
                <w:rFonts w:hint="default" w:ascii="Times New Roman" w:hAnsi="Times New Roman" w:eastAsia="宋体" w:cs="Times New Roman"/>
                <w:color w:val="auto"/>
                <w:sz w:val="24"/>
                <w:highlight w:val="none"/>
                <w:lang w:val="en-US" w:eastAsia="zh-CN"/>
              </w:rPr>
              <w:t>工程</w:t>
            </w:r>
            <w:r>
              <w:rPr>
                <w:rFonts w:hint="default" w:ascii="Times New Roman" w:hAnsi="Times New Roman" w:eastAsia="宋体" w:cs="Times New Roman"/>
                <w:color w:val="auto"/>
                <w:sz w:val="24"/>
                <w:highlight w:val="none"/>
              </w:rPr>
              <w:t>垃圾、渠道建筑物拆除</w:t>
            </w:r>
            <w:r>
              <w:rPr>
                <w:rFonts w:hint="default" w:ascii="Times New Roman" w:hAnsi="Times New Roman" w:eastAsia="宋体" w:cs="Times New Roman"/>
                <w:color w:val="auto"/>
                <w:sz w:val="24"/>
                <w:highlight w:val="none"/>
                <w:lang w:val="en-US" w:eastAsia="zh-CN"/>
              </w:rPr>
              <w:t>垃圾</w:t>
            </w:r>
            <w:r>
              <w:rPr>
                <w:rFonts w:hint="default" w:ascii="Times New Roman" w:hAnsi="Times New Roman" w:eastAsia="宋体" w:cs="Times New Roman"/>
                <w:color w:val="auto"/>
                <w:sz w:val="24"/>
                <w:highlight w:val="none"/>
              </w:rPr>
              <w:t>能回收利用的尽可能回收利用，不能回收利用的建筑垃圾和沉淀池的泥沙运往</w:t>
            </w:r>
            <w:r>
              <w:rPr>
                <w:rFonts w:hint="default" w:ascii="Times New Roman" w:hAnsi="Times New Roman" w:eastAsia="宋体" w:cs="Times New Roman"/>
                <w:color w:val="auto"/>
                <w:sz w:val="24"/>
                <w:highlight w:val="none"/>
                <w:lang w:val="en-US" w:eastAsia="zh-CN"/>
              </w:rPr>
              <w:t>奇台县</w:t>
            </w:r>
            <w:r>
              <w:rPr>
                <w:rFonts w:hint="default" w:ascii="Times New Roman" w:hAnsi="Times New Roman" w:eastAsia="宋体" w:cs="Times New Roman"/>
                <w:color w:val="auto"/>
                <w:sz w:val="24"/>
                <w:highlight w:val="none"/>
              </w:rPr>
              <w:t>建筑垃圾填埋场处置；</w:t>
            </w:r>
            <w:r>
              <w:rPr>
                <w:rFonts w:hint="default" w:ascii="Times New Roman" w:hAnsi="Times New Roman" w:eastAsia="宋体" w:cs="Times New Roman"/>
                <w:color w:val="auto"/>
                <w:sz w:val="24"/>
                <w:highlight w:val="none"/>
                <w:lang w:val="en-US" w:eastAsia="zh-CN"/>
              </w:rPr>
              <w:t>施工过程中各环节产生的建筑垃圾遵循分类收集、分区存放、密闭运输、规范处置的原则，在存放过程中进行防尘网苫盖等措施减少对周边环境的影响，在运输过程中采用环保土方车密闭运输，严格遵守《建筑垃圾污染控制技术规范》相关要求。</w:t>
            </w:r>
            <w:r>
              <w:rPr>
                <w:rFonts w:hint="default" w:ascii="Times New Roman" w:hAnsi="Times New Roman" w:eastAsia="宋体" w:cs="Times New Roman"/>
                <w:color w:val="auto"/>
                <w:sz w:val="24"/>
                <w:highlight w:val="none"/>
              </w:rPr>
              <w:t>剩余土方就近堆放在渠道两侧，施工完毕后用于项目区附近低洼处填平或者机耕道垫</w:t>
            </w:r>
            <w:r>
              <w:rPr>
                <w:rFonts w:hint="default" w:ascii="Times New Roman" w:hAnsi="Times New Roman" w:eastAsia="宋体" w:cs="Times New Roman"/>
                <w:color w:val="auto"/>
                <w:sz w:val="24"/>
                <w:highlight w:val="none"/>
                <w:lang w:val="en-US" w:eastAsia="zh-CN"/>
              </w:rPr>
              <w:t>土</w:t>
            </w:r>
            <w:r>
              <w:rPr>
                <w:rFonts w:hint="default" w:ascii="Times New Roman" w:hAnsi="Times New Roman" w:eastAsia="宋体" w:cs="Times New Roman"/>
                <w:color w:val="auto"/>
                <w:sz w:val="24"/>
                <w:highlight w:val="none"/>
              </w:rPr>
              <w:t>；生活垃圾主要为施工人员日常生活产生，工程施工期人数为</w:t>
            </w:r>
            <w:r>
              <w:rPr>
                <w:rFonts w:hint="eastAsia" w:cs="Times New Roman"/>
                <w:color w:val="auto"/>
                <w:sz w:val="24"/>
                <w:highlight w:val="none"/>
                <w:lang w:val="en-US" w:eastAsia="zh-CN"/>
              </w:rPr>
              <w:t>3</w:t>
            </w:r>
            <w:r>
              <w:rPr>
                <w:rFonts w:hint="default" w:ascii="Times New Roman" w:hAnsi="Times New Roman" w:eastAsia="宋体" w:cs="Times New Roman"/>
                <w:color w:val="auto"/>
                <w:sz w:val="24"/>
                <w:highlight w:val="none"/>
                <w:lang w:val="en-US" w:eastAsia="zh-CN"/>
              </w:rPr>
              <w:t>0</w:t>
            </w:r>
            <w:r>
              <w:rPr>
                <w:rFonts w:hint="default" w:ascii="Times New Roman" w:hAnsi="Times New Roman" w:eastAsia="宋体" w:cs="Times New Roman"/>
                <w:color w:val="auto"/>
                <w:sz w:val="24"/>
                <w:highlight w:val="none"/>
              </w:rPr>
              <w:t>人/日，按照每人每天产生0.5kg考虑，则整个施工期</w:t>
            </w:r>
            <w:r>
              <w:rPr>
                <w:rFonts w:hint="default" w:ascii="Times New Roman" w:hAnsi="Times New Roman" w:eastAsia="宋体" w:cs="Times New Roman"/>
                <w:color w:val="auto"/>
                <w:sz w:val="24"/>
                <w:highlight w:val="none"/>
                <w:lang w:val="en-US" w:eastAsia="zh-CN"/>
              </w:rPr>
              <w:t>为</w:t>
            </w:r>
            <w:r>
              <w:rPr>
                <w:rFonts w:hint="eastAsia" w:cs="Times New Roman"/>
                <w:color w:val="auto"/>
                <w:sz w:val="24"/>
                <w:highlight w:val="none"/>
                <w:lang w:val="en-US" w:eastAsia="zh-CN"/>
              </w:rPr>
              <w:t>6</w:t>
            </w:r>
            <w:r>
              <w:rPr>
                <w:rFonts w:hint="default" w:ascii="Times New Roman" w:hAnsi="Times New Roman" w:eastAsia="宋体" w:cs="Times New Roman"/>
                <w:color w:val="auto"/>
                <w:sz w:val="24"/>
                <w:highlight w:val="none"/>
                <w:lang w:val="en-US" w:eastAsia="zh-CN"/>
              </w:rPr>
              <w:t>个月，</w:t>
            </w:r>
            <w:r>
              <w:rPr>
                <w:rFonts w:hint="default" w:ascii="Times New Roman" w:hAnsi="Times New Roman" w:eastAsia="宋体" w:cs="Times New Roman"/>
                <w:color w:val="auto"/>
                <w:sz w:val="24"/>
                <w:highlight w:val="none"/>
              </w:rPr>
              <w:t>生活垃圾产生量为</w:t>
            </w:r>
            <w:r>
              <w:rPr>
                <w:rFonts w:hint="eastAsia" w:cs="Times New Roman"/>
                <w:color w:val="auto"/>
                <w:sz w:val="24"/>
                <w:highlight w:val="none"/>
                <w:lang w:val="en-US" w:eastAsia="zh-CN"/>
              </w:rPr>
              <w:t>2.7</w:t>
            </w:r>
            <w:r>
              <w:rPr>
                <w:rFonts w:hint="default" w:ascii="Times New Roman" w:hAnsi="Times New Roman" w:eastAsia="宋体" w:cs="Times New Roman"/>
                <w:color w:val="auto"/>
                <w:sz w:val="24"/>
                <w:highlight w:val="none"/>
              </w:rPr>
              <w:t>t，由各施工单位集中袋装收集后交由环卫部门清运至奇台县生活垃圾填埋场处理。</w:t>
            </w:r>
          </w:p>
          <w:p w14:paraId="24C08031">
            <w:pPr>
              <w:pStyle w:val="47"/>
              <w:spacing w:line="440" w:lineRule="exact"/>
              <w:ind w:firstLine="0" w:firstLineChars="0"/>
              <w:jc w:val="center"/>
              <w:textAlignment w:val="baseline"/>
              <w:rPr>
                <w:rFonts w:hint="default" w:ascii="Times New Roman" w:hAnsi="Times New Roman" w:eastAsia="宋体" w:cs="Times New Roman"/>
                <w:b/>
                <w:bCs w:val="0"/>
                <w:snapToGrid w:val="0"/>
                <w:color w:val="auto"/>
                <w:sz w:val="24"/>
                <w:szCs w:val="24"/>
                <w:lang w:eastAsia="zh-CN"/>
              </w:rPr>
            </w:pPr>
            <w:r>
              <w:rPr>
                <w:rFonts w:hint="eastAsia" w:ascii="Times New Roman" w:hAnsi="Times New Roman" w:eastAsia="宋体" w:cs="Times New Roman"/>
                <w:b/>
                <w:bCs w:val="0"/>
                <w:snapToGrid w:val="0"/>
                <w:color w:val="auto"/>
                <w:sz w:val="24"/>
                <w:szCs w:val="24"/>
                <w:lang w:val="en-US" w:eastAsia="zh-CN"/>
              </w:rPr>
              <w:t>表4-</w:t>
            </w:r>
            <w:r>
              <w:rPr>
                <w:rFonts w:hint="eastAsia" w:ascii="Times New Roman" w:hAnsi="Times New Roman" w:cs="Times New Roman"/>
                <w:b/>
                <w:bCs w:val="0"/>
                <w:snapToGrid w:val="0"/>
                <w:color w:val="auto"/>
                <w:sz w:val="24"/>
                <w:szCs w:val="24"/>
                <w:lang w:val="en-US" w:eastAsia="zh-CN"/>
              </w:rPr>
              <w:t>6</w:t>
            </w:r>
            <w:r>
              <w:rPr>
                <w:rFonts w:hint="default" w:ascii="Times New Roman" w:hAnsi="Times New Roman" w:eastAsia="宋体" w:cs="Times New Roman"/>
                <w:b/>
                <w:bCs w:val="0"/>
                <w:snapToGrid w:val="0"/>
                <w:color w:val="auto"/>
                <w:sz w:val="24"/>
                <w:szCs w:val="24"/>
                <w:lang w:val="en-US" w:eastAsia="zh-CN"/>
              </w:rPr>
              <w:t>与《建筑垃圾污染控制技术规范》（HJ1462-2026）</w:t>
            </w:r>
            <w:r>
              <w:rPr>
                <w:rFonts w:hint="default" w:ascii="Times New Roman" w:hAnsi="Times New Roman" w:eastAsia="宋体" w:cs="Times New Roman"/>
                <w:b/>
                <w:bCs w:val="0"/>
                <w:snapToGrid w:val="0"/>
                <w:color w:val="auto"/>
                <w:sz w:val="24"/>
                <w:szCs w:val="24"/>
                <w:lang w:eastAsia="zh-CN"/>
              </w:rPr>
              <w:t>符合性分析表</w:t>
            </w:r>
          </w:p>
          <w:tbl>
            <w:tblPr>
              <w:tblStyle w:val="30"/>
              <w:tblW w:w="4999"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28"/>
              <w:gridCol w:w="3003"/>
              <w:gridCol w:w="1092"/>
            </w:tblGrid>
            <w:tr w14:paraId="28398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313" w:type="pct"/>
                  <w:tcBorders>
                    <w:tl2br w:val="nil"/>
                    <w:tr2bl w:val="nil"/>
                  </w:tcBorders>
                  <w:vAlign w:val="center"/>
                </w:tcPr>
                <w:p w14:paraId="61C0C654">
                  <w:pPr>
                    <w:pageBreakBefore w:val="0"/>
                    <w:kinsoku/>
                    <w:wordWrap/>
                    <w:overflowPunct/>
                    <w:bidi w:val="0"/>
                    <w:ind w:left="0" w:leftChars="0" w:right="0" w:rightChars="0"/>
                    <w:jc w:val="center"/>
                    <w:rPr>
                      <w:rFonts w:hint="default" w:ascii="Times New Roman" w:hAnsi="Times New Roman" w:eastAsia="宋体" w:cs="Times New Roman"/>
                      <w:b/>
                      <w:bCs/>
                      <w:color w:val="auto"/>
                      <w:szCs w:val="21"/>
                      <w:lang w:val="en-US" w:eastAsia="zh-CN"/>
                    </w:rPr>
                  </w:pPr>
                  <w:r>
                    <w:rPr>
                      <w:rFonts w:hint="default" w:ascii="Times New Roman" w:hAnsi="Times New Roman" w:eastAsia="宋体" w:cs="Times New Roman"/>
                      <w:b/>
                      <w:bCs/>
                      <w:color w:val="auto"/>
                      <w:szCs w:val="21"/>
                      <w:lang w:val="en-US" w:eastAsia="zh-CN"/>
                    </w:rPr>
                    <w:t>规范要求</w:t>
                  </w:r>
                </w:p>
              </w:tc>
              <w:tc>
                <w:tcPr>
                  <w:tcW w:w="1969" w:type="pct"/>
                  <w:tcBorders>
                    <w:tl2br w:val="nil"/>
                    <w:tr2bl w:val="nil"/>
                  </w:tcBorders>
                  <w:vAlign w:val="center"/>
                </w:tcPr>
                <w:p w14:paraId="3F43FFBC">
                  <w:pPr>
                    <w:pageBreakBefore w:val="0"/>
                    <w:kinsoku/>
                    <w:wordWrap/>
                    <w:overflowPunct/>
                    <w:bidi w:val="0"/>
                    <w:ind w:left="0" w:leftChars="0" w:right="0" w:rightChars="0"/>
                    <w:jc w:val="center"/>
                    <w:rPr>
                      <w:rFonts w:hint="default" w:ascii="Times New Roman" w:hAnsi="Times New Roman" w:eastAsia="宋体" w:cs="Times New Roman"/>
                      <w:b/>
                      <w:bCs/>
                      <w:color w:val="auto"/>
                      <w:szCs w:val="21"/>
                      <w:lang w:val="en-US" w:eastAsia="zh-CN"/>
                    </w:rPr>
                  </w:pPr>
                  <w:r>
                    <w:rPr>
                      <w:rFonts w:hint="default" w:ascii="Times New Roman" w:hAnsi="Times New Roman" w:eastAsia="宋体" w:cs="Times New Roman"/>
                      <w:b/>
                      <w:bCs/>
                      <w:color w:val="auto"/>
                      <w:szCs w:val="21"/>
                    </w:rPr>
                    <w:t>本项目情况</w:t>
                  </w:r>
                </w:p>
              </w:tc>
              <w:tc>
                <w:tcPr>
                  <w:tcW w:w="716" w:type="pct"/>
                  <w:tcBorders>
                    <w:tl2br w:val="nil"/>
                    <w:tr2bl w:val="nil"/>
                  </w:tcBorders>
                  <w:vAlign w:val="center"/>
                </w:tcPr>
                <w:p w14:paraId="0ABF0EC0">
                  <w:pPr>
                    <w:pageBreakBefore w:val="0"/>
                    <w:kinsoku/>
                    <w:wordWrap/>
                    <w:overflowPunct/>
                    <w:bidi w:val="0"/>
                    <w:ind w:left="0" w:leftChars="0" w:right="0" w:rightChars="0"/>
                    <w:jc w:val="center"/>
                    <w:rPr>
                      <w:rFonts w:hint="default" w:ascii="Times New Roman" w:hAnsi="Times New Roman" w:eastAsia="宋体" w:cs="Times New Roman"/>
                      <w:b/>
                      <w:bCs/>
                      <w:color w:val="auto"/>
                      <w:szCs w:val="21"/>
                      <w:lang w:val="en-US" w:eastAsia="zh-CN"/>
                    </w:rPr>
                  </w:pPr>
                  <w:r>
                    <w:rPr>
                      <w:rFonts w:hint="default" w:ascii="Times New Roman" w:hAnsi="Times New Roman" w:eastAsia="宋体" w:cs="Times New Roman"/>
                      <w:b/>
                      <w:bCs/>
                      <w:color w:val="auto"/>
                      <w:szCs w:val="21"/>
                    </w:rPr>
                    <w:t>符合性</w:t>
                  </w:r>
                </w:p>
              </w:tc>
            </w:tr>
            <w:tr w14:paraId="43E02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2" w:hRule="atLeast"/>
              </w:trPr>
              <w:tc>
                <w:tcPr>
                  <w:tcW w:w="2313" w:type="pct"/>
                  <w:tcBorders>
                    <w:tl2br w:val="nil"/>
                    <w:tr2bl w:val="nil"/>
                  </w:tcBorders>
                  <w:vAlign w:val="center"/>
                </w:tcPr>
                <w:p w14:paraId="2B5FA3D6">
                  <w:pPr>
                    <w:pageBreakBefore w:val="0"/>
                    <w:kinsoku/>
                    <w:wordWrap/>
                    <w:overflowPunct/>
                    <w:bidi w:val="0"/>
                    <w:ind w:left="0" w:leftChars="0" w:right="0" w:rightChars="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1.建筑垃圾产生单位应减少产生量，并进行源头分类，宜进行原位利用，工程施工过</w:t>
                  </w:r>
                  <w:r>
                    <w:rPr>
                      <w:rFonts w:hint="eastAsia" w:cs="Times New Roman"/>
                      <w:color w:val="auto"/>
                      <w:szCs w:val="21"/>
                      <w:lang w:val="en-US" w:eastAsia="zh-CN"/>
                    </w:rPr>
                    <w:t>程中</w:t>
                  </w:r>
                  <w:r>
                    <w:rPr>
                      <w:rFonts w:hint="default" w:ascii="Times New Roman" w:hAnsi="Times New Roman" w:eastAsia="宋体" w:cs="Times New Roman"/>
                      <w:color w:val="auto"/>
                      <w:szCs w:val="21"/>
                      <w:lang w:val="en-US" w:eastAsia="zh-CN"/>
                    </w:rPr>
                    <w:t>采用清洁生产技术等措施减少污染物含量，提高资源化利用率。</w:t>
                  </w:r>
                </w:p>
              </w:tc>
              <w:tc>
                <w:tcPr>
                  <w:tcW w:w="1969" w:type="pct"/>
                  <w:tcBorders>
                    <w:tl2br w:val="nil"/>
                    <w:tr2bl w:val="nil"/>
                  </w:tcBorders>
                  <w:vAlign w:val="center"/>
                </w:tcPr>
                <w:p w14:paraId="2D7A94FB">
                  <w:pPr>
                    <w:pageBreakBefore w:val="0"/>
                    <w:kinsoku/>
                    <w:wordWrap/>
                    <w:overflowPunct/>
                    <w:bidi w:val="0"/>
                    <w:ind w:left="0" w:leftChars="0" w:right="0" w:rightChars="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本项目建筑垃圾优先现场回填，提高资源化利用率。并采取先进施工工艺，减少建筑垃圾产生量。</w:t>
                  </w:r>
                </w:p>
              </w:tc>
              <w:tc>
                <w:tcPr>
                  <w:tcW w:w="716" w:type="pct"/>
                  <w:tcBorders>
                    <w:tl2br w:val="nil"/>
                    <w:tr2bl w:val="nil"/>
                  </w:tcBorders>
                  <w:vAlign w:val="center"/>
                </w:tcPr>
                <w:p w14:paraId="5E5FF044">
                  <w:pPr>
                    <w:pageBreakBefore w:val="0"/>
                    <w:kinsoku/>
                    <w:wordWrap/>
                    <w:overflowPunct/>
                    <w:bidi w:val="0"/>
                    <w:ind w:left="0" w:leftChars="0" w:right="0" w:rightChars="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符合</w:t>
                  </w:r>
                </w:p>
              </w:tc>
            </w:tr>
            <w:tr w14:paraId="41046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2313" w:type="pct"/>
                  <w:tcBorders>
                    <w:tl2br w:val="nil"/>
                    <w:tr2bl w:val="nil"/>
                  </w:tcBorders>
                  <w:vAlign w:val="center"/>
                </w:tcPr>
                <w:p w14:paraId="3C90E83D">
                  <w:pPr>
                    <w:pageBreakBefore w:val="0"/>
                    <w:kinsoku/>
                    <w:wordWrap/>
                    <w:overflowPunct/>
                    <w:bidi w:val="0"/>
                    <w:ind w:left="0" w:leftChars="0" w:right="0" w:rightChars="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2.工程施工现场设置的建筑垃圾存放点应符合JGJ/T498要求，并根据建筑垃圾类别或成分进行分区分类存放，采取防尘、防雨等措施，减少对周边环境的影响</w:t>
                  </w:r>
                </w:p>
              </w:tc>
              <w:tc>
                <w:tcPr>
                  <w:tcW w:w="1969" w:type="pct"/>
                  <w:tcBorders>
                    <w:tl2br w:val="nil"/>
                    <w:tr2bl w:val="nil"/>
                  </w:tcBorders>
                  <w:vAlign w:val="center"/>
                </w:tcPr>
                <w:p w14:paraId="6D96C9A2">
                  <w:pPr>
                    <w:pageBreakBefore w:val="0"/>
                    <w:kinsoku/>
                    <w:wordWrap/>
                    <w:overflowPunct/>
                    <w:bidi w:val="0"/>
                    <w:ind w:left="0" w:leftChars="0" w:right="0" w:rightChars="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本项目建筑垃圾进行分区分类存放，采取防尘网苫盖等措施，减少对周边环境的影响</w:t>
                  </w:r>
                </w:p>
              </w:tc>
              <w:tc>
                <w:tcPr>
                  <w:tcW w:w="716" w:type="pct"/>
                  <w:tcBorders>
                    <w:tl2br w:val="nil"/>
                    <w:tr2bl w:val="nil"/>
                  </w:tcBorders>
                  <w:vAlign w:val="center"/>
                </w:tcPr>
                <w:p w14:paraId="42C3ACAB">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符合</w:t>
                  </w:r>
                </w:p>
              </w:tc>
            </w:tr>
            <w:tr w14:paraId="334BC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trPr>
              <w:tc>
                <w:tcPr>
                  <w:tcW w:w="2313" w:type="pct"/>
                  <w:tcBorders>
                    <w:tl2br w:val="nil"/>
                    <w:tr2bl w:val="nil"/>
                  </w:tcBorders>
                  <w:vAlign w:val="center"/>
                </w:tcPr>
                <w:p w14:paraId="4B226A3E">
                  <w:pPr>
                    <w:pageBreakBefore w:val="0"/>
                    <w:kinsoku/>
                    <w:wordWrap/>
                    <w:overflowPunct/>
                    <w:bidi w:val="0"/>
                    <w:ind w:left="0" w:leftChars="0" w:right="0" w:rightChars="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3.建筑垃圾在装运过程中应避免混合，运输过程中应采取必要的防扬散、防遗撒、防渗漏、防噪声措施。</w:t>
                  </w:r>
                </w:p>
              </w:tc>
              <w:tc>
                <w:tcPr>
                  <w:tcW w:w="1969" w:type="pct"/>
                  <w:tcBorders>
                    <w:tl2br w:val="nil"/>
                    <w:tr2bl w:val="nil"/>
                  </w:tcBorders>
                  <w:vAlign w:val="center"/>
                </w:tcPr>
                <w:p w14:paraId="28D43526">
                  <w:pPr>
                    <w:pageBreakBefore w:val="0"/>
                    <w:kinsoku/>
                    <w:wordWrap/>
                    <w:overflowPunct/>
                    <w:bidi w:val="0"/>
                    <w:ind w:left="0" w:leftChars="0" w:right="0" w:rightChars="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建筑垃圾在装运过程中分类装运，运输过程中采取苫盖等必要的防扬散、防遗撒、防渗漏、防噪声措施。</w:t>
                  </w:r>
                </w:p>
              </w:tc>
              <w:tc>
                <w:tcPr>
                  <w:tcW w:w="716" w:type="pct"/>
                  <w:tcBorders>
                    <w:tl2br w:val="nil"/>
                    <w:tr2bl w:val="nil"/>
                  </w:tcBorders>
                  <w:vAlign w:val="center"/>
                </w:tcPr>
                <w:p w14:paraId="0E2BAB00">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符合</w:t>
                  </w:r>
                </w:p>
              </w:tc>
            </w:tr>
            <w:tr w14:paraId="5A7FD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0" w:hRule="atLeast"/>
              </w:trPr>
              <w:tc>
                <w:tcPr>
                  <w:tcW w:w="2313" w:type="pct"/>
                  <w:tcBorders>
                    <w:tl2br w:val="nil"/>
                    <w:tr2bl w:val="nil"/>
                  </w:tcBorders>
                  <w:vAlign w:val="center"/>
                </w:tcPr>
                <w:p w14:paraId="4C64DB27">
                  <w:pPr>
                    <w:pageBreakBefore w:val="0"/>
                    <w:kinsoku/>
                    <w:wordWrap/>
                    <w:overflowPunct/>
                    <w:bidi w:val="0"/>
                    <w:ind w:left="0" w:leftChars="0" w:right="0" w:rightChars="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4.应根据建筑垃圾的成分和当地需求因地制宜选择资源化利用技术。</w:t>
                  </w:r>
                </w:p>
              </w:tc>
              <w:tc>
                <w:tcPr>
                  <w:tcW w:w="1969" w:type="pct"/>
                  <w:tcBorders>
                    <w:tl2br w:val="nil"/>
                    <w:tr2bl w:val="nil"/>
                  </w:tcBorders>
                  <w:vAlign w:val="center"/>
                </w:tcPr>
                <w:p w14:paraId="14E577EF">
                  <w:pPr>
                    <w:pageBreakBefore w:val="0"/>
                    <w:kinsoku/>
                    <w:wordWrap/>
                    <w:overflowPunct/>
                    <w:bidi w:val="0"/>
                    <w:ind w:left="0" w:leftChars="0" w:right="0" w:rightChars="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本项目建筑垃圾主要产生途径为老旧渠道及渠系建筑物拆除，本环评提出拉至奇台县建筑垃圾填埋场，由填埋场进行统一处置。</w:t>
                  </w:r>
                </w:p>
              </w:tc>
              <w:tc>
                <w:tcPr>
                  <w:tcW w:w="716" w:type="pct"/>
                  <w:tcBorders>
                    <w:tl2br w:val="nil"/>
                    <w:tr2bl w:val="nil"/>
                  </w:tcBorders>
                  <w:vAlign w:val="center"/>
                </w:tcPr>
                <w:p w14:paraId="0DB963FD">
                  <w:pPr>
                    <w:pageBreakBefore w:val="0"/>
                    <w:kinsoku/>
                    <w:wordWrap/>
                    <w:overflowPunct/>
                    <w:bidi w:val="0"/>
                    <w:ind w:left="0" w:leftChars="0" w:right="0" w:rightChars="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符合</w:t>
                  </w:r>
                </w:p>
              </w:tc>
            </w:tr>
          </w:tbl>
          <w:p w14:paraId="1DA0BE2E">
            <w:pPr>
              <w:pageBreakBefore w:val="0"/>
              <w:kinsoku/>
              <w:wordWrap/>
              <w:overflowPunct/>
              <w:bidi w:val="0"/>
              <w:spacing w:line="360" w:lineRule="auto"/>
              <w:ind w:left="0" w:leftChars="0" w:right="0" w:rightChars="0" w:firstLine="48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综上所述，本项目</w:t>
            </w:r>
            <w:r>
              <w:rPr>
                <w:rFonts w:hint="default" w:ascii="Times New Roman" w:hAnsi="Times New Roman" w:eastAsia="宋体" w:cs="Times New Roman"/>
                <w:color w:val="auto"/>
                <w:sz w:val="24"/>
                <w:highlight w:val="none"/>
                <w:lang w:eastAsia="zh-CN"/>
              </w:rPr>
              <w:t>固体废弃物</w:t>
            </w:r>
            <w:r>
              <w:rPr>
                <w:rFonts w:hint="default" w:ascii="Times New Roman" w:hAnsi="Times New Roman" w:eastAsia="宋体" w:cs="Times New Roman"/>
                <w:color w:val="auto"/>
                <w:sz w:val="24"/>
                <w:highlight w:val="none"/>
              </w:rPr>
              <w:t>得到</w:t>
            </w:r>
            <w:r>
              <w:rPr>
                <w:rFonts w:hint="eastAsia" w:cs="Times New Roman"/>
                <w:color w:val="auto"/>
                <w:sz w:val="24"/>
                <w:highlight w:val="none"/>
                <w:lang w:eastAsia="zh-CN"/>
              </w:rPr>
              <w:t>合理</w:t>
            </w:r>
            <w:r>
              <w:rPr>
                <w:rFonts w:hint="default" w:ascii="Times New Roman" w:hAnsi="Times New Roman" w:eastAsia="宋体" w:cs="Times New Roman"/>
                <w:color w:val="auto"/>
                <w:sz w:val="24"/>
                <w:highlight w:val="none"/>
              </w:rPr>
              <w:t>处置，</w:t>
            </w:r>
            <w:r>
              <w:rPr>
                <w:rFonts w:hint="default" w:ascii="Times New Roman" w:hAnsi="Times New Roman" w:eastAsia="宋体" w:cs="Times New Roman"/>
                <w:color w:val="auto"/>
                <w:sz w:val="24"/>
                <w:highlight w:val="none"/>
                <w:lang w:val="en-US" w:eastAsia="zh-CN"/>
              </w:rPr>
              <w:t>建筑垃圾的处置符合《建筑垃圾污染控制技术规范》（HJ1462-2026）相关要求，</w:t>
            </w:r>
            <w:r>
              <w:rPr>
                <w:rFonts w:hint="default" w:ascii="Times New Roman" w:hAnsi="Times New Roman" w:eastAsia="宋体" w:cs="Times New Roman"/>
                <w:color w:val="auto"/>
                <w:sz w:val="24"/>
                <w:highlight w:val="none"/>
              </w:rPr>
              <w:t>不会对周围环境产生太大的影响。</w:t>
            </w:r>
          </w:p>
          <w:p w14:paraId="00393C7B">
            <w:pPr>
              <w:keepNext w:val="0"/>
              <w:keepLines w:val="0"/>
              <w:pageBreakBefore w:val="0"/>
              <w:widowControl w:val="0"/>
              <w:numPr>
                <w:ilvl w:val="0"/>
                <w:numId w:val="11"/>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eastAsia" w:ascii="Times New Roman" w:hAnsi="Times New Roman" w:eastAsia="宋体" w:cs="Times New Roman"/>
                <w:b/>
                <w:bCs/>
                <w:color w:val="auto"/>
                <w:kern w:val="0"/>
                <w:sz w:val="24"/>
                <w:szCs w:val="24"/>
                <w:highlight w:val="none"/>
                <w:lang w:val="en-US" w:eastAsia="zh-CN"/>
              </w:rPr>
              <w:t>土壤</w:t>
            </w:r>
            <w:r>
              <w:rPr>
                <w:rFonts w:hint="default" w:ascii="Times New Roman" w:hAnsi="Times New Roman" w:eastAsia="宋体" w:cs="Times New Roman"/>
                <w:b/>
                <w:bCs/>
                <w:color w:val="auto"/>
                <w:kern w:val="0"/>
                <w:sz w:val="24"/>
                <w:szCs w:val="24"/>
                <w:highlight w:val="none"/>
                <w:lang w:val="en-US" w:eastAsia="zh-CN"/>
              </w:rPr>
              <w:t>影响分析</w:t>
            </w:r>
          </w:p>
          <w:p w14:paraId="0626FF15">
            <w:pPr>
              <w:pageBreakBefore w:val="0"/>
              <w:kinsoku/>
              <w:wordWrap/>
              <w:overflowPunct/>
              <w:bidi w:val="0"/>
              <w:spacing w:line="360" w:lineRule="auto"/>
              <w:ind w:left="0" w:leftChars="0" w:right="0" w:rightChars="0" w:firstLine="48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本项目施工期主要对项目区评价范围内土壤进行临时占用，可能造成土壤结构破坏与压实，渠道开挖、清基、机械碾压等造成土壤扰动、孔隙度降低、板结、有机质下降、表层植被破坏、表土流失与肥力下降，同时开挖扰动可能造成底层含盐土层，盐分上移、表层盐渍化加重。</w:t>
            </w:r>
          </w:p>
          <w:p w14:paraId="651B6885">
            <w:pPr>
              <w:pageBreakBefore w:val="0"/>
              <w:kinsoku/>
              <w:wordWrap/>
              <w:overflowPunct/>
              <w:bidi w:val="0"/>
              <w:spacing w:line="360" w:lineRule="auto"/>
              <w:ind w:left="0" w:leftChars="0" w:right="0" w:rightChars="0" w:firstLine="48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项目区地处干旱区，降雨少但短时暴雨强，裸露表土易风蚀、水蚀，致使养分流失、土层变薄。</w:t>
            </w:r>
          </w:p>
          <w:p w14:paraId="3ACA2743">
            <w:pPr>
              <w:pageBreakBefore w:val="0"/>
              <w:kinsoku/>
              <w:wordWrap/>
              <w:overflowPunct/>
              <w:bidi w:val="0"/>
              <w:spacing w:line="360" w:lineRule="auto"/>
              <w:ind w:left="0" w:leftChars="0" w:right="0" w:rightChars="0" w:firstLine="48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施工物料混凝土、砂浆、外加剂（减水剂、引气剂）散落、废弃建材、生活垃圾若随意堆放，会</w:t>
            </w:r>
            <w:r>
              <w:rPr>
                <w:rFonts w:hint="eastAsia" w:cs="Times New Roman"/>
                <w:color w:val="auto"/>
                <w:sz w:val="24"/>
                <w:highlight w:val="none"/>
                <w:lang w:val="en-US" w:eastAsia="zh-CN"/>
              </w:rPr>
              <w:t>局部</w:t>
            </w:r>
            <w:r>
              <w:rPr>
                <w:rFonts w:hint="default" w:ascii="Times New Roman" w:hAnsi="Times New Roman" w:eastAsia="宋体" w:cs="Times New Roman"/>
                <w:color w:val="auto"/>
                <w:sz w:val="24"/>
                <w:highlight w:val="none"/>
                <w:lang w:val="en-US" w:eastAsia="zh-CN"/>
              </w:rPr>
              <w:t>污染土壤、致使pH异常，局部区域有盐化风险；</w:t>
            </w:r>
          </w:p>
          <w:p w14:paraId="0552C0DA">
            <w:pPr>
              <w:pageBreakBefore w:val="0"/>
              <w:kinsoku/>
              <w:wordWrap/>
              <w:overflowPunct/>
              <w:bidi w:val="0"/>
              <w:spacing w:line="360" w:lineRule="auto"/>
              <w:ind w:left="0" w:leftChars="0" w:right="0" w:rightChars="0" w:firstLine="48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eastAsia="zh-CN"/>
              </w:rPr>
              <w:t>本项目施工期对土壤环境的影响主要在工程占地范围内，主要为土壤生态扰动，影响范围局限、时效短暂且可逆。项目区域土壤干旱较敏感，有原生轻度盐化特征。施工期不良影响集中在渠道轴线两侧及临时施工占地范围内，无大范围扩散等问题。各项环保措施后，可抵消施工不利影响，施工结束后土壤环境可逐步恢复，不会对区域土壤环境质量及农用地土壤功能造成持续不利影响。</w:t>
            </w:r>
          </w:p>
        </w:tc>
      </w:tr>
      <w:tr w14:paraId="1728AD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9" w:type="pct"/>
            <w:noWrap w:val="0"/>
            <w:tcMar>
              <w:left w:w="28" w:type="dxa"/>
              <w:right w:w="28" w:type="dxa"/>
            </w:tcMar>
            <w:vAlign w:val="center"/>
          </w:tcPr>
          <w:p w14:paraId="462FB30F">
            <w:pPr>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sz w:val="24"/>
                <w:szCs w:val="32"/>
                <w:lang w:val="en-US" w:eastAsia="zh-CN"/>
              </w:rPr>
              <w:t>运营期生态环境影响分析</w:t>
            </w:r>
          </w:p>
        </w:tc>
        <w:tc>
          <w:tcPr>
            <w:tcW w:w="4650" w:type="pct"/>
            <w:noWrap w:val="0"/>
            <w:vAlign w:val="top"/>
          </w:tcPr>
          <w:p w14:paraId="1B299B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lang w:val="en-US" w:eastAsia="zh-CN"/>
              </w:rPr>
              <w:t>本项目建设内容为渠道防渗、配套建筑物建设，属生态影响型项目，运营期无废气、废水、固废排放，营运期环境影响主要为正效应。</w:t>
            </w:r>
          </w:p>
          <w:p w14:paraId="3B8ADE7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lang w:val="en-US" w:eastAsia="zh-CN"/>
              </w:rPr>
              <w:t>本项目施工混凝土为抗渗混凝土，项目建设完成后，渠道顺畅，水资源浪费的问题得到解决，不会引起该地区水文情势和水质的变化，因此本项目对渠道地下水的影响较小。</w:t>
            </w:r>
          </w:p>
          <w:p w14:paraId="692CBA16">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default" w:ascii="Times New Roman" w:hAnsi="Times New Roman" w:cs="Times New Roman"/>
                <w:color w:val="auto"/>
                <w:lang w:val="zh-CN" w:eastAsia="zh-CN"/>
              </w:rPr>
            </w:pPr>
            <w:r>
              <w:rPr>
                <w:rFonts w:hint="default" w:ascii="Times New Roman" w:hAnsi="Times New Roman" w:eastAsia="宋体" w:cs="Times New Roman"/>
                <w:color w:val="auto"/>
                <w:sz w:val="24"/>
                <w:lang w:val="en-US" w:eastAsia="zh-CN"/>
              </w:rPr>
              <w:t>工程实施运行后，可改善项目区环境，减少沿渠水土流失，减少淤积灾害，有利于提高灌区的引水条件，提高输水效率；过水能力和抗冲能力有效提高，保障沿渠农田、道路和公共设施的安全运行；有效控制地下水位，减少下渗水量，降低土壤盐碱化程度；沿渠绿化带的建设能美化周围环境，改善当地景观。</w:t>
            </w:r>
          </w:p>
        </w:tc>
      </w:tr>
      <w:tr w14:paraId="7C1627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08" w:hRule="atLeast"/>
          <w:jc w:val="center"/>
        </w:trPr>
        <w:tc>
          <w:tcPr>
            <w:tcW w:w="349" w:type="pct"/>
            <w:noWrap w:val="0"/>
            <w:vAlign w:val="center"/>
          </w:tcPr>
          <w:p w14:paraId="4EEA7B27">
            <w:pPr>
              <w:pageBreakBefore w:val="0"/>
              <w:widowControl/>
              <w:kinsoku/>
              <w:wordWrap/>
              <w:overflowPunct/>
              <w:bidi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bCs/>
                <w:color w:val="auto"/>
                <w:kern w:val="2"/>
                <w:sz w:val="24"/>
                <w:szCs w:val="24"/>
                <w:lang w:val="en-US" w:eastAsia="zh-CN" w:bidi="ar-SA"/>
              </w:rPr>
            </w:pPr>
            <w:r>
              <w:rPr>
                <w:rFonts w:hint="default" w:ascii="Times New Roman" w:hAnsi="Times New Roman" w:eastAsia="宋体" w:cs="Times New Roman"/>
                <w:bCs/>
                <w:color w:val="auto"/>
                <w:kern w:val="2"/>
                <w:sz w:val="24"/>
                <w:szCs w:val="24"/>
                <w:lang w:val="en-US" w:eastAsia="zh-CN" w:bidi="ar-SA"/>
              </w:rPr>
              <w:t>选址选线环境合理性分析</w:t>
            </w:r>
          </w:p>
        </w:tc>
        <w:tc>
          <w:tcPr>
            <w:tcW w:w="4650" w:type="pct"/>
            <w:noWrap w:val="0"/>
            <w:vAlign w:val="center"/>
          </w:tcPr>
          <w:p w14:paraId="34EC9529">
            <w:pPr>
              <w:pageBreakBefore w:val="0"/>
              <w:kinsoku/>
              <w:wordWrap/>
              <w:overflowPunct/>
              <w:bidi w:val="0"/>
              <w:spacing w:line="360" w:lineRule="auto"/>
              <w:ind w:left="0" w:leftChars="0" w:right="0" w:rightChars="0"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1、防渗渠线选址的环境合理性分析</w:t>
            </w:r>
          </w:p>
          <w:p w14:paraId="4E4B3BBF">
            <w:pPr>
              <w:pageBreakBefore w:val="0"/>
              <w:kinsoku/>
              <w:wordWrap/>
              <w:overflowPunct/>
              <w:bidi w:val="0"/>
              <w:spacing w:line="360" w:lineRule="auto"/>
              <w:ind w:left="0" w:leftChars="0" w:right="0" w:rightChars="0"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整体来看，老干渠虽已停用多年，但渠线走向清晰、原有工程骨架尚存，局部衬砌段结构稳定，具备通过局部维修与新建改造恢复输水能力的基础条件，无需完全重新选址，可有效控制工程投资与施工周期。项目本身属于生态影响类项目，项目实施对环境的主要问题集中在项目施工阶段，不利影响持续时间短暂，并且随着施工期的结束而结束。项目选址不涉及自然保护区、风景名胜区，项目沿线无明显的环境制约因素，外环境关系简单。</w:t>
            </w:r>
          </w:p>
          <w:p w14:paraId="12AA3D3B">
            <w:pPr>
              <w:pageBreakBefore w:val="0"/>
              <w:kinsoku/>
              <w:wordWrap/>
              <w:overflowPunct/>
              <w:bidi w:val="0"/>
              <w:spacing w:line="360" w:lineRule="auto"/>
              <w:ind w:left="0" w:leftChars="0" w:right="0" w:rightChars="0"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因此防渗渠线路选址从工程占地、环境影响、成本控制、施工条件等方面综合考虑，是较为合理的。</w:t>
            </w:r>
          </w:p>
          <w:p w14:paraId="2E6CEC41">
            <w:pPr>
              <w:pageBreakBefore w:val="0"/>
              <w:kinsoku/>
              <w:wordWrap/>
              <w:overflowPunct/>
              <w:bidi w:val="0"/>
              <w:spacing w:line="360" w:lineRule="auto"/>
              <w:ind w:left="0" w:leftChars="0" w:right="0" w:rightChars="0"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2、施工布置方案环境合理性分析</w:t>
            </w:r>
          </w:p>
          <w:p w14:paraId="50071481">
            <w:pPr>
              <w:pageBreakBefore w:val="0"/>
              <w:kinsoku/>
              <w:wordWrap/>
              <w:overflowPunct/>
              <w:bidi w:val="0"/>
              <w:spacing w:line="360" w:lineRule="auto"/>
              <w:ind w:left="0" w:leftChars="0" w:right="0" w:rightChars="0"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highlight w:val="none"/>
                <w:lang w:val="en-US" w:eastAsia="zh-CN"/>
              </w:rPr>
              <w:t>本工程总占地面积</w:t>
            </w:r>
            <w:r>
              <w:rPr>
                <w:rFonts w:hint="eastAsia" w:cs="Times New Roman"/>
                <w:color w:val="auto"/>
                <w:sz w:val="24"/>
                <w:highlight w:val="none"/>
                <w:lang w:val="en-US" w:eastAsia="zh-CN"/>
              </w:rPr>
              <w:t>19.2417</w:t>
            </w:r>
            <w:r>
              <w:rPr>
                <w:rFonts w:hint="default" w:ascii="Times New Roman" w:hAnsi="Times New Roman" w:eastAsia="宋体" w:cs="Times New Roman"/>
                <w:color w:val="auto"/>
                <w:sz w:val="24"/>
                <w:highlight w:val="none"/>
                <w:lang w:val="en-US" w:eastAsia="zh-CN"/>
              </w:rPr>
              <w:t>hm</w:t>
            </w:r>
            <w:r>
              <w:rPr>
                <w:rFonts w:hint="default" w:ascii="Times New Roman" w:hAnsi="Times New Roman" w:eastAsia="宋体" w:cs="Times New Roman"/>
                <w:color w:val="auto"/>
                <w:sz w:val="24"/>
                <w:highlight w:val="none"/>
                <w:vertAlign w:val="superscript"/>
                <w:lang w:val="en-US" w:eastAsia="zh-CN"/>
              </w:rPr>
              <w:t>2</w:t>
            </w:r>
            <w:r>
              <w:rPr>
                <w:rFonts w:hint="default" w:ascii="Times New Roman" w:hAnsi="Times New Roman" w:eastAsia="宋体" w:cs="Times New Roman"/>
                <w:color w:val="auto"/>
                <w:sz w:val="24"/>
                <w:highlight w:val="none"/>
                <w:lang w:val="en-US" w:eastAsia="zh-CN"/>
              </w:rPr>
              <w:t>，其中永久占地</w:t>
            </w:r>
            <w:r>
              <w:rPr>
                <w:rFonts w:hint="eastAsia" w:cs="Times New Roman"/>
                <w:color w:val="auto"/>
                <w:sz w:val="24"/>
                <w:highlight w:val="none"/>
                <w:lang w:val="en-US" w:eastAsia="zh-CN"/>
              </w:rPr>
              <w:t>17.1947</w:t>
            </w:r>
            <w:r>
              <w:rPr>
                <w:rFonts w:hint="default" w:ascii="Times New Roman" w:hAnsi="Times New Roman" w:eastAsia="宋体" w:cs="Times New Roman"/>
                <w:color w:val="auto"/>
                <w:sz w:val="24"/>
                <w:highlight w:val="none"/>
                <w:lang w:val="en-US" w:eastAsia="zh-CN"/>
              </w:rPr>
              <w:t>hm</w:t>
            </w:r>
            <w:r>
              <w:rPr>
                <w:rFonts w:hint="default" w:ascii="Times New Roman" w:hAnsi="Times New Roman" w:eastAsia="宋体" w:cs="Times New Roman"/>
                <w:color w:val="auto"/>
                <w:sz w:val="24"/>
                <w:highlight w:val="none"/>
                <w:vertAlign w:val="superscript"/>
                <w:lang w:val="en-US" w:eastAsia="zh-CN"/>
              </w:rPr>
              <w:t>2</w:t>
            </w:r>
            <w:r>
              <w:rPr>
                <w:rFonts w:hint="default" w:ascii="Times New Roman" w:hAnsi="Times New Roman" w:eastAsia="宋体" w:cs="Times New Roman"/>
                <w:color w:val="auto"/>
                <w:sz w:val="24"/>
                <w:highlight w:val="none"/>
                <w:lang w:val="en-US" w:eastAsia="zh-CN"/>
              </w:rPr>
              <w:t>，包括渠道工程主体和渠选系建筑物，临时占地</w:t>
            </w:r>
            <w:r>
              <w:rPr>
                <w:rFonts w:hint="eastAsia" w:cs="Times New Roman"/>
                <w:color w:val="auto"/>
                <w:sz w:val="24"/>
                <w:highlight w:val="none"/>
                <w:lang w:val="en-US" w:eastAsia="zh-CN"/>
              </w:rPr>
              <w:t>2.047</w:t>
            </w:r>
            <w:r>
              <w:rPr>
                <w:rFonts w:hint="default" w:ascii="Times New Roman" w:hAnsi="Times New Roman" w:eastAsia="宋体" w:cs="Times New Roman"/>
                <w:color w:val="auto"/>
                <w:sz w:val="24"/>
                <w:highlight w:val="none"/>
                <w:lang w:val="en-US" w:eastAsia="zh-CN"/>
              </w:rPr>
              <w:t>hm</w:t>
            </w:r>
            <w:r>
              <w:rPr>
                <w:rFonts w:hint="default" w:ascii="Times New Roman" w:hAnsi="Times New Roman" w:eastAsia="宋体" w:cs="Times New Roman"/>
                <w:color w:val="auto"/>
                <w:sz w:val="24"/>
                <w:highlight w:val="none"/>
                <w:vertAlign w:val="superscript"/>
                <w:lang w:val="en-US" w:eastAsia="zh-CN"/>
              </w:rPr>
              <w:t>2</w:t>
            </w:r>
            <w:r>
              <w:rPr>
                <w:rFonts w:hint="default" w:ascii="Times New Roman" w:hAnsi="Times New Roman" w:eastAsia="宋体" w:cs="Times New Roman"/>
                <w:color w:val="auto"/>
                <w:sz w:val="24"/>
                <w:highlight w:val="none"/>
                <w:lang w:val="en-US" w:eastAsia="zh-CN"/>
              </w:rPr>
              <w:t>，主要</w:t>
            </w:r>
            <w:r>
              <w:rPr>
                <w:rFonts w:hint="default" w:ascii="Times New Roman" w:hAnsi="Times New Roman" w:eastAsia="宋体" w:cs="Times New Roman"/>
                <w:color w:val="auto"/>
                <w:sz w:val="24"/>
                <w:lang w:val="en-US" w:eastAsia="zh-CN"/>
              </w:rPr>
              <w:t>包括渠道工程区、渠系建筑物区施工临时占地、施工道路区占地和临时生产区占地。工程区占地类型为</w:t>
            </w:r>
            <w:r>
              <w:rPr>
                <w:rFonts w:hint="eastAsia" w:cs="Times New Roman"/>
                <w:color w:val="auto"/>
                <w:sz w:val="24"/>
                <w:lang w:val="en-US" w:eastAsia="zh-CN"/>
              </w:rPr>
              <w:t>裸土地</w:t>
            </w:r>
            <w:r>
              <w:rPr>
                <w:rFonts w:hint="default" w:ascii="Times New Roman" w:hAnsi="Times New Roman" w:eastAsia="宋体" w:cs="Times New Roman"/>
                <w:color w:val="auto"/>
                <w:sz w:val="24"/>
                <w:lang w:val="en-US" w:eastAsia="zh-CN"/>
              </w:rPr>
              <w:t>和水利设施用地，未占用耕地</w:t>
            </w:r>
            <w:r>
              <w:rPr>
                <w:rFonts w:hint="eastAsia" w:cs="Times New Roman"/>
                <w:color w:val="auto"/>
                <w:sz w:val="24"/>
                <w:lang w:val="en-US" w:eastAsia="zh-CN"/>
              </w:rPr>
              <w:t>、</w:t>
            </w:r>
            <w:r>
              <w:rPr>
                <w:rFonts w:hint="default" w:ascii="Times New Roman" w:hAnsi="Times New Roman" w:eastAsia="宋体" w:cs="Times New Roman"/>
                <w:color w:val="auto"/>
                <w:sz w:val="24"/>
                <w:lang w:val="en-US" w:eastAsia="zh-CN"/>
              </w:rPr>
              <w:t>林地</w:t>
            </w:r>
            <w:r>
              <w:rPr>
                <w:rFonts w:hint="eastAsia" w:cs="Times New Roman"/>
                <w:color w:val="auto"/>
                <w:sz w:val="24"/>
                <w:lang w:val="en-US" w:eastAsia="zh-CN"/>
              </w:rPr>
              <w:t>及草地</w:t>
            </w:r>
            <w:r>
              <w:rPr>
                <w:rFonts w:hint="default" w:ascii="Times New Roman" w:hAnsi="Times New Roman" w:eastAsia="宋体" w:cs="Times New Roman"/>
                <w:color w:val="auto"/>
                <w:sz w:val="24"/>
                <w:lang w:val="en-US" w:eastAsia="zh-CN"/>
              </w:rPr>
              <w:t>。项目区相对平坦开阔，周围有用于搭建临时设施、施工机械设备环境停放和材料及废弃物堆放的空地。根据项目区渠道的分布、地形、地物情况，结合环境保护要求、施工组织等因素，考虑在本项目计划布置临时生产区</w:t>
            </w:r>
            <w:r>
              <w:rPr>
                <w:rFonts w:hint="eastAsia" w:cs="Times New Roman"/>
                <w:color w:val="auto"/>
                <w:sz w:val="24"/>
                <w:lang w:val="en-US" w:eastAsia="zh-CN"/>
              </w:rPr>
              <w:t>2</w:t>
            </w:r>
            <w:r>
              <w:rPr>
                <w:rFonts w:hint="default" w:ascii="Times New Roman" w:hAnsi="Times New Roman" w:eastAsia="宋体" w:cs="Times New Roman"/>
                <w:color w:val="auto"/>
                <w:sz w:val="24"/>
                <w:lang w:val="en-US" w:eastAsia="zh-CN"/>
              </w:rPr>
              <w:t>处</w:t>
            </w:r>
            <w:r>
              <w:rPr>
                <w:rFonts w:hint="eastAsia" w:cs="Times New Roman"/>
                <w:color w:val="auto"/>
                <w:sz w:val="24"/>
                <w:lang w:val="en-US" w:eastAsia="zh-CN"/>
              </w:rPr>
              <w:t>，</w:t>
            </w:r>
            <w:r>
              <w:rPr>
                <w:rFonts w:hint="default" w:ascii="Times New Roman" w:hAnsi="Times New Roman" w:eastAsia="宋体" w:cs="Times New Roman"/>
                <w:color w:val="auto"/>
                <w:sz w:val="24"/>
                <w:lang w:val="en-US" w:eastAsia="zh-CN"/>
              </w:rPr>
              <w:t>包括</w:t>
            </w:r>
            <w:r>
              <w:rPr>
                <w:rFonts w:hint="eastAsia" w:cs="Times New Roman"/>
                <w:color w:val="auto"/>
                <w:sz w:val="24"/>
                <w:lang w:val="en-US" w:eastAsia="zh-CN"/>
              </w:rPr>
              <w:t>临时</w:t>
            </w:r>
            <w:r>
              <w:rPr>
                <w:rFonts w:hint="default" w:ascii="Times New Roman" w:hAnsi="Times New Roman" w:eastAsia="宋体" w:cs="Times New Roman"/>
                <w:color w:val="auto"/>
                <w:sz w:val="24"/>
                <w:lang w:val="en-US" w:eastAsia="zh-CN"/>
              </w:rPr>
              <w:t>砼拌合系统、加工系统、施工仓库等，总占地面积0.</w:t>
            </w:r>
            <w:r>
              <w:rPr>
                <w:rFonts w:hint="eastAsia" w:cs="Times New Roman"/>
                <w:color w:val="auto"/>
                <w:sz w:val="24"/>
                <w:lang w:val="en-US" w:eastAsia="zh-CN"/>
              </w:rPr>
              <w:t>04</w:t>
            </w:r>
            <w:r>
              <w:rPr>
                <w:rFonts w:hint="default" w:ascii="Times New Roman" w:hAnsi="Times New Roman" w:eastAsia="宋体" w:cs="Times New Roman"/>
                <w:color w:val="auto"/>
                <w:sz w:val="24"/>
                <w:lang w:val="en-US" w:eastAsia="zh-CN"/>
              </w:rPr>
              <w:t>hm</w:t>
            </w:r>
            <w:r>
              <w:rPr>
                <w:rFonts w:hint="default" w:ascii="Times New Roman" w:hAnsi="Times New Roman" w:eastAsia="宋体" w:cs="Times New Roman"/>
                <w:color w:val="auto"/>
                <w:sz w:val="24"/>
                <w:vertAlign w:val="superscript"/>
                <w:lang w:val="en-US" w:eastAsia="zh-CN"/>
              </w:rPr>
              <w:t>2</w:t>
            </w:r>
            <w:r>
              <w:rPr>
                <w:rFonts w:hint="default" w:ascii="Times New Roman" w:hAnsi="Times New Roman" w:eastAsia="宋体" w:cs="Times New Roman"/>
                <w:color w:val="auto"/>
                <w:sz w:val="24"/>
                <w:lang w:val="en-US" w:eastAsia="zh-CN"/>
              </w:rPr>
              <w:t>。施工单位租用附近的民房居住不设置施工临时生活区。</w:t>
            </w:r>
          </w:p>
          <w:p w14:paraId="4060B7D2">
            <w:pPr>
              <w:pageBreakBefore w:val="0"/>
              <w:kinsoku/>
              <w:wordWrap/>
              <w:overflowPunct/>
              <w:bidi w:val="0"/>
              <w:spacing w:line="360" w:lineRule="auto"/>
              <w:ind w:left="0" w:leftChars="0" w:right="0" w:rightChars="0"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施工过程中临时产生的固废和污废水严禁进入河床，污染水环境。施工区内布设的临时房屋建筑、堆放场等严格按批准的施工红线图布设。施工期采取相应的废水、废气、固废、噪声等治理措施后，对周边环境的影响程度较小。</w:t>
            </w:r>
          </w:p>
          <w:p w14:paraId="1EF1B8D5">
            <w:pPr>
              <w:pageBreakBefore w:val="0"/>
              <w:kinsoku/>
              <w:wordWrap/>
              <w:overflowPunct/>
              <w:bidi w:val="0"/>
              <w:spacing w:line="360" w:lineRule="auto"/>
              <w:ind w:left="0" w:leftChars="0" w:right="0" w:rightChars="0"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从工程占地、环境影响、施工条件等方面综合考虑，施工场地布置是较为合理的。</w:t>
            </w:r>
          </w:p>
          <w:p w14:paraId="581A38C6">
            <w:pPr>
              <w:pageBreakBefore w:val="0"/>
              <w:kinsoku/>
              <w:wordWrap/>
              <w:overflowPunct/>
              <w:bidi w:val="0"/>
              <w:spacing w:line="360" w:lineRule="auto"/>
              <w:ind w:left="0" w:leftChars="0" w:right="0" w:rightChars="0"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3、临时施工道路环境合理性分析</w:t>
            </w:r>
          </w:p>
          <w:p w14:paraId="2685DE3A">
            <w:pPr>
              <w:pageBreakBefore w:val="0"/>
              <w:kinsoku/>
              <w:wordWrap/>
              <w:overflowPunct/>
              <w:bidi w:val="0"/>
              <w:spacing w:line="360" w:lineRule="auto"/>
              <w:ind w:left="0" w:leftChars="0" w:right="0" w:rightChars="0"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根据现场施工条件和工程需要，沿渠部分地段有简易乡村道路伴行，部分地段需专门修建施工临时道路，方能满足各类机械施工。本工程需要修筑临时施工道路5km，宽度为</w:t>
            </w:r>
            <w:r>
              <w:rPr>
                <w:rFonts w:hint="eastAsia" w:cs="Times New Roman"/>
                <w:color w:val="auto"/>
                <w:sz w:val="24"/>
                <w:lang w:val="en-US" w:eastAsia="zh-CN"/>
              </w:rPr>
              <w:t>4</w:t>
            </w:r>
            <w:r>
              <w:rPr>
                <w:rFonts w:hint="default" w:ascii="Times New Roman" w:hAnsi="Times New Roman" w:eastAsia="宋体" w:cs="Times New Roman"/>
                <w:color w:val="auto"/>
                <w:sz w:val="24"/>
                <w:lang w:val="en-US" w:eastAsia="zh-CN"/>
              </w:rPr>
              <w:t>m，简易修整，占地面积2hm</w:t>
            </w:r>
            <w:r>
              <w:rPr>
                <w:rFonts w:hint="default" w:ascii="Times New Roman" w:hAnsi="Times New Roman" w:eastAsia="宋体" w:cs="Times New Roman"/>
                <w:color w:val="auto"/>
                <w:sz w:val="24"/>
                <w:vertAlign w:val="superscript"/>
                <w:lang w:val="en-US" w:eastAsia="zh-CN"/>
              </w:rPr>
              <w:t>2</w:t>
            </w:r>
            <w:r>
              <w:rPr>
                <w:rFonts w:hint="default" w:ascii="Times New Roman" w:hAnsi="Times New Roman" w:eastAsia="宋体" w:cs="Times New Roman"/>
                <w:color w:val="auto"/>
                <w:sz w:val="24"/>
                <w:lang w:val="en-US" w:eastAsia="zh-CN"/>
              </w:rPr>
              <w:t>。施工完毕后对临时施工道路进行平整恢复。</w:t>
            </w:r>
          </w:p>
          <w:p w14:paraId="1AE6BF72">
            <w:pPr>
              <w:pageBreakBefore w:val="0"/>
              <w:kinsoku/>
              <w:wordWrap/>
              <w:overflowPunct/>
              <w:bidi w:val="0"/>
              <w:spacing w:line="360" w:lineRule="auto"/>
              <w:ind w:left="0" w:leftChars="0" w:right="0" w:rightChars="0"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lang w:val="en-US" w:eastAsia="zh-CN"/>
              </w:rPr>
              <w:t>因此，综合分析，施工道路布置对周围环境影响小。施工道路布置具有环境合理性。</w:t>
            </w:r>
          </w:p>
        </w:tc>
      </w:tr>
    </w:tbl>
    <w:p w14:paraId="0C1C9BBA">
      <w:pPr>
        <w:pStyle w:val="26"/>
        <w:jc w:val="center"/>
        <w:rPr>
          <w:rFonts w:hint="default" w:ascii="Times New Roman" w:hAnsi="Times New Roman" w:cs="Times New Roman"/>
          <w:snapToGrid w:val="0"/>
          <w:color w:val="auto"/>
        </w:rPr>
        <w:sectPr>
          <w:pgSz w:w="11906" w:h="16838"/>
          <w:pgMar w:top="1440" w:right="1800" w:bottom="1440" w:left="1800" w:header="851" w:footer="1077" w:gutter="0"/>
          <w:pgBorders>
            <w:top w:val="none" w:sz="0" w:space="0"/>
            <w:left w:val="none" w:sz="0" w:space="0"/>
            <w:bottom w:val="none" w:sz="0" w:space="0"/>
            <w:right w:val="none" w:sz="0" w:space="0"/>
          </w:pgBorders>
          <w:pgNumType w:fmt="decimal"/>
          <w:cols w:space="720" w:num="1"/>
          <w:docGrid w:linePitch="312" w:charSpace="0"/>
        </w:sectPr>
      </w:pPr>
    </w:p>
    <w:p w14:paraId="73D254ED">
      <w:pPr>
        <w:pStyle w:val="26"/>
        <w:adjustRightInd w:val="0"/>
        <w:snapToGrid w:val="0"/>
        <w:spacing w:before="0" w:beforeAutospacing="0" w:after="0" w:afterAutospacing="0" w:line="14" w:lineRule="auto"/>
        <w:jc w:val="center"/>
        <w:outlineLvl w:val="9"/>
        <w:rPr>
          <w:rFonts w:hint="default" w:ascii="Times New Roman" w:hAnsi="Times New Roman" w:cs="Times New Roman"/>
          <w:snapToGrid w:val="0"/>
          <w:color w:val="auto"/>
        </w:rPr>
      </w:pPr>
    </w:p>
    <w:p w14:paraId="5F92E80F">
      <w:pPr>
        <w:pStyle w:val="26"/>
        <w:keepNext w:val="0"/>
        <w:keepLines w:val="0"/>
        <w:pageBreakBefore w:val="0"/>
        <w:widowControl/>
        <w:kinsoku/>
        <w:wordWrap/>
        <w:overflowPunct/>
        <w:topLinePunct w:val="0"/>
        <w:autoSpaceDE/>
        <w:autoSpaceDN/>
        <w:bidi w:val="0"/>
        <w:adjustRightInd/>
        <w:snapToGrid/>
        <w:spacing w:before="0" w:beforeAutospacing="0" w:after="0" w:afterAutospacing="0"/>
        <w:jc w:val="center"/>
        <w:textAlignment w:val="auto"/>
        <w:outlineLvl w:val="0"/>
        <w:rPr>
          <w:rFonts w:hint="default" w:ascii="Times New Roman" w:hAnsi="Times New Roman" w:eastAsia="黑体" w:cs="Times New Roman"/>
          <w:snapToGrid w:val="0"/>
          <w:color w:val="auto"/>
          <w:sz w:val="30"/>
          <w:szCs w:val="30"/>
        </w:rPr>
      </w:pPr>
      <w:bookmarkStart w:id="21" w:name="_Toc17962"/>
      <w:bookmarkStart w:id="22" w:name="_Toc2685"/>
      <w:r>
        <w:rPr>
          <w:rFonts w:hint="default" w:ascii="Times New Roman" w:hAnsi="Times New Roman" w:eastAsia="黑体" w:cs="Times New Roman"/>
          <w:snapToGrid w:val="0"/>
          <w:color w:val="auto"/>
          <w:sz w:val="30"/>
          <w:szCs w:val="30"/>
        </w:rPr>
        <w:t>五、主要生态环境保护措施</w:t>
      </w:r>
      <w:bookmarkEnd w:id="21"/>
      <w:bookmarkEnd w:id="22"/>
    </w:p>
    <w:tbl>
      <w:tblPr>
        <w:tblStyle w:val="29"/>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95"/>
        <w:gridCol w:w="7746"/>
      </w:tblGrid>
      <w:tr w14:paraId="041A12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72" w:hRule="atLeast"/>
          <w:jc w:val="center"/>
        </w:trPr>
        <w:tc>
          <w:tcPr>
            <w:tcW w:w="412" w:type="pct"/>
            <w:noWrap w:val="0"/>
            <w:tcMar>
              <w:left w:w="28" w:type="dxa"/>
              <w:right w:w="28" w:type="dxa"/>
            </w:tcMar>
            <w:vAlign w:val="center"/>
          </w:tcPr>
          <w:p w14:paraId="770ED31D">
            <w:pPr>
              <w:adjustRightInd w:val="0"/>
              <w:snapToGrid w:val="0"/>
              <w:jc w:val="center"/>
              <w:rPr>
                <w:rFonts w:hint="default" w:ascii="Times New Roman" w:hAnsi="Times New Roman" w:cs="Times New Roman"/>
                <w:bCs/>
                <w:color w:val="auto"/>
                <w:sz w:val="24"/>
              </w:rPr>
            </w:pPr>
            <w:r>
              <w:rPr>
                <w:rFonts w:hint="default" w:ascii="Times New Roman" w:hAnsi="Times New Roman" w:cs="Times New Roman"/>
                <w:bCs/>
                <w:color w:val="auto"/>
                <w:spacing w:val="10"/>
                <w:sz w:val="24"/>
              </w:rPr>
              <w:t>施工期生态环境保护措施</w:t>
            </w:r>
          </w:p>
        </w:tc>
        <w:tc>
          <w:tcPr>
            <w:tcW w:w="4587" w:type="pct"/>
            <w:noWrap w:val="0"/>
            <w:vAlign w:val="top"/>
          </w:tcPr>
          <w:p w14:paraId="1FA00B74">
            <w:pPr>
              <w:keepNext w:val="0"/>
              <w:keepLines w:val="0"/>
              <w:pageBreakBefore w:val="0"/>
              <w:widowControl w:val="0"/>
              <w:numPr>
                <w:ilvl w:val="0"/>
                <w:numId w:val="12"/>
              </w:numPr>
              <w:kinsoku/>
              <w:wordWrap/>
              <w:overflowPunct/>
              <w:topLinePunct w:val="0"/>
              <w:autoSpaceDE w:val="0"/>
              <w:autoSpaceDN w:val="0"/>
              <w:bidi w:val="0"/>
              <w:adjustRightInd w:val="0"/>
              <w:snapToGrid w:val="0"/>
              <w:spacing w:before="157" w:beforeLines="50"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生态保护措施</w:t>
            </w:r>
          </w:p>
          <w:p w14:paraId="65B6E1AC">
            <w:pPr>
              <w:pStyle w:val="11"/>
              <w:spacing w:line="360" w:lineRule="auto"/>
              <w:ind w:firstLine="480"/>
              <w:rPr>
                <w:rFonts w:hint="default" w:ascii="Times New Roman" w:hAnsi="Times New Roman" w:eastAsia="宋体" w:cs="Times New Roman"/>
                <w:snapToGrid w:val="0"/>
                <w:color w:val="auto"/>
                <w:kern w:val="0"/>
                <w:sz w:val="24"/>
                <w:lang w:val="en-US" w:eastAsia="zh-CN"/>
              </w:rPr>
            </w:pPr>
            <w:r>
              <w:rPr>
                <w:rFonts w:hint="default" w:ascii="Times New Roman" w:hAnsi="Times New Roman" w:eastAsia="宋体" w:cs="Times New Roman"/>
                <w:snapToGrid w:val="0"/>
                <w:color w:val="auto"/>
                <w:kern w:val="0"/>
                <w:sz w:val="24"/>
                <w:lang w:val="en-US" w:eastAsia="zh-CN"/>
              </w:rPr>
              <w:t>项目从避让、减缓、修复、补偿、管理方面减少施工期间对区域生态环境影响。</w:t>
            </w:r>
          </w:p>
          <w:p w14:paraId="024419F4">
            <w:pPr>
              <w:keepNext w:val="0"/>
              <w:keepLines w:val="0"/>
              <w:pageBreakBefore w:val="0"/>
              <w:widowControl w:val="0"/>
              <w:numPr>
                <w:ilvl w:val="2"/>
                <w:numId w:val="12"/>
              </w:numPr>
              <w:kinsoku/>
              <w:wordWrap/>
              <w:overflowPunct/>
              <w:topLinePunct w:val="0"/>
              <w:autoSpaceDE w:val="0"/>
              <w:autoSpaceDN w:val="0"/>
              <w:bidi w:val="0"/>
              <w:adjustRightInd w:val="0"/>
              <w:snapToGrid w:val="0"/>
              <w:spacing w:line="360" w:lineRule="auto"/>
              <w:ind w:left="0" w:leftChars="0" w:right="42" w:rightChars="20" w:firstLine="402" w:firstLineChars="0"/>
              <w:textAlignment w:val="auto"/>
              <w:rPr>
                <w:rFonts w:hint="default" w:ascii="Times New Roman" w:hAnsi="Times New Roman" w:eastAsia="宋体" w:cs="Times New Roman"/>
                <w:b w:val="0"/>
                <w:bCs w:val="0"/>
                <w:color w:val="auto"/>
                <w:kern w:val="0"/>
                <w:sz w:val="24"/>
                <w:szCs w:val="24"/>
                <w:highlight w:val="none"/>
                <w:lang w:val="en-US" w:eastAsia="zh-CN"/>
              </w:rPr>
            </w:pPr>
            <w:r>
              <w:rPr>
                <w:rFonts w:hint="default" w:ascii="Times New Roman" w:hAnsi="Times New Roman" w:eastAsia="宋体" w:cs="Times New Roman"/>
                <w:b w:val="0"/>
                <w:bCs w:val="0"/>
                <w:color w:val="auto"/>
                <w:kern w:val="0"/>
                <w:sz w:val="24"/>
                <w:szCs w:val="24"/>
                <w:highlight w:val="none"/>
                <w:lang w:val="en-US" w:eastAsia="zh-CN"/>
              </w:rPr>
              <w:t>设计阶段</w:t>
            </w:r>
          </w:p>
          <w:p w14:paraId="68C94ADA">
            <w:pPr>
              <w:pStyle w:val="11"/>
              <w:spacing w:line="360" w:lineRule="auto"/>
              <w:ind w:firstLine="480"/>
              <w:rPr>
                <w:rFonts w:hint="default" w:ascii="Times New Roman" w:hAnsi="Times New Roman" w:eastAsia="宋体" w:cs="Times New Roman"/>
                <w:snapToGrid w:val="0"/>
                <w:color w:val="auto"/>
                <w:kern w:val="0"/>
                <w:sz w:val="24"/>
                <w:lang w:val="en-US" w:eastAsia="zh-CN"/>
              </w:rPr>
            </w:pPr>
            <w:r>
              <w:rPr>
                <w:rFonts w:hint="default" w:ascii="Times New Roman" w:hAnsi="Times New Roman" w:eastAsia="宋体" w:cs="Times New Roman"/>
                <w:snapToGrid w:val="0"/>
                <w:color w:val="auto"/>
                <w:kern w:val="0"/>
                <w:sz w:val="24"/>
                <w:lang w:val="en-US" w:eastAsia="zh-CN"/>
              </w:rPr>
              <w:t>项目位于</w:t>
            </w:r>
            <w:r>
              <w:rPr>
                <w:rFonts w:hint="eastAsia" w:ascii="Times New Roman" w:hAnsi="Times New Roman" w:eastAsia="宋体" w:cs="Times New Roman"/>
                <w:snapToGrid w:val="0"/>
                <w:color w:val="auto"/>
                <w:kern w:val="0"/>
                <w:sz w:val="24"/>
                <w:lang w:val="en-US" w:eastAsia="zh-CN"/>
              </w:rPr>
              <w:t>奇台县</w:t>
            </w:r>
            <w:r>
              <w:rPr>
                <w:rFonts w:hint="default" w:ascii="Times New Roman" w:hAnsi="Times New Roman" w:eastAsia="宋体" w:cs="Times New Roman"/>
                <w:snapToGrid w:val="0"/>
                <w:color w:val="auto"/>
                <w:kern w:val="0"/>
                <w:sz w:val="24"/>
                <w:lang w:val="en-US" w:eastAsia="zh-CN"/>
              </w:rPr>
              <w:t>老奇台镇，在设计阶段优化了方案设计，对工程占地进行了调查、分析、比较，在满足工程技术标准的条件下，充分考虑了避让及减缓等减少生态影响措施，优先选择占地少、对土地扰动少的设计方案。</w:t>
            </w:r>
          </w:p>
          <w:p w14:paraId="3C333812">
            <w:pPr>
              <w:keepNext w:val="0"/>
              <w:keepLines w:val="0"/>
              <w:pageBreakBefore w:val="0"/>
              <w:widowControl w:val="0"/>
              <w:numPr>
                <w:ilvl w:val="2"/>
                <w:numId w:val="12"/>
              </w:numPr>
              <w:kinsoku/>
              <w:wordWrap/>
              <w:overflowPunct/>
              <w:topLinePunct w:val="0"/>
              <w:autoSpaceDE w:val="0"/>
              <w:autoSpaceDN w:val="0"/>
              <w:bidi w:val="0"/>
              <w:adjustRightInd w:val="0"/>
              <w:snapToGrid w:val="0"/>
              <w:spacing w:line="360" w:lineRule="auto"/>
              <w:ind w:left="0" w:leftChars="0" w:right="0" w:rightChars="0" w:firstLine="402" w:firstLineChars="0"/>
              <w:textAlignment w:val="auto"/>
              <w:rPr>
                <w:rFonts w:hint="default" w:ascii="Times New Roman" w:hAnsi="Times New Roman" w:eastAsia="宋体" w:cs="Times New Roman"/>
                <w:b w:val="0"/>
                <w:bCs w:val="0"/>
                <w:color w:val="auto"/>
                <w:kern w:val="0"/>
                <w:sz w:val="24"/>
                <w:szCs w:val="24"/>
                <w:highlight w:val="none"/>
                <w:lang w:val="en-US" w:eastAsia="zh-CN"/>
              </w:rPr>
            </w:pPr>
            <w:r>
              <w:rPr>
                <w:rFonts w:hint="default" w:ascii="Times New Roman" w:hAnsi="Times New Roman" w:eastAsia="宋体" w:cs="Times New Roman"/>
                <w:b w:val="0"/>
                <w:bCs w:val="0"/>
                <w:color w:val="auto"/>
                <w:kern w:val="0"/>
                <w:sz w:val="24"/>
                <w:szCs w:val="24"/>
                <w:highlight w:val="none"/>
                <w:lang w:val="en-US" w:eastAsia="zh-CN"/>
              </w:rPr>
              <w:t>施工阶段</w:t>
            </w:r>
          </w:p>
          <w:p w14:paraId="7466396F">
            <w:pPr>
              <w:pStyle w:val="11"/>
              <w:spacing w:line="360" w:lineRule="auto"/>
              <w:ind w:firstLine="480"/>
              <w:rPr>
                <w:rFonts w:hint="default" w:ascii="Times New Roman" w:hAnsi="Times New Roman" w:eastAsia="宋体" w:cs="Times New Roman"/>
                <w:snapToGrid w:val="0"/>
                <w:color w:val="auto"/>
                <w:kern w:val="0"/>
                <w:sz w:val="24"/>
                <w:lang w:val="en-US" w:eastAsia="zh-CN"/>
              </w:rPr>
            </w:pPr>
            <w:r>
              <w:rPr>
                <w:rFonts w:hint="default" w:ascii="Times New Roman" w:hAnsi="Times New Roman" w:eastAsia="宋体" w:cs="Times New Roman"/>
                <w:snapToGrid w:val="0"/>
                <w:color w:val="auto"/>
                <w:kern w:val="0"/>
                <w:sz w:val="24"/>
                <w:lang w:val="en-US" w:eastAsia="zh-CN"/>
              </w:rPr>
              <w:t>针对施工期间对施工范围内产生的生态影响，采取的具体措施如下：</w:t>
            </w:r>
          </w:p>
          <w:p w14:paraId="56119CF8">
            <w:pPr>
              <w:keepNext w:val="0"/>
              <w:keepLines w:val="0"/>
              <w:pageBreakBefore w:val="0"/>
              <w:widowControl w:val="0"/>
              <w:numPr>
                <w:ilvl w:val="3"/>
                <w:numId w:val="12"/>
              </w:numPr>
              <w:kinsoku/>
              <w:wordWrap/>
              <w:overflowPunct/>
              <w:topLinePunct w:val="0"/>
              <w:autoSpaceDE w:val="0"/>
              <w:autoSpaceDN w:val="0"/>
              <w:bidi w:val="0"/>
              <w:adjustRightInd w:val="0"/>
              <w:snapToGrid w:val="0"/>
              <w:spacing w:line="360" w:lineRule="auto"/>
              <w:ind w:left="0" w:leftChars="0" w:right="0" w:rightChars="0" w:firstLine="402" w:firstLineChars="0"/>
              <w:textAlignment w:val="auto"/>
              <w:rPr>
                <w:rFonts w:hint="default" w:ascii="Times New Roman" w:hAnsi="Times New Roman" w:eastAsia="宋体" w:cs="Times New Roman"/>
                <w:snapToGrid w:val="0"/>
                <w:color w:val="auto"/>
                <w:kern w:val="0"/>
                <w:sz w:val="24"/>
                <w:lang w:val="en-US" w:eastAsia="zh-CN"/>
              </w:rPr>
            </w:pPr>
            <w:r>
              <w:rPr>
                <w:rFonts w:hint="default" w:ascii="Times New Roman" w:hAnsi="Times New Roman" w:eastAsia="宋体" w:cs="Times New Roman"/>
                <w:b w:val="0"/>
                <w:bCs w:val="0"/>
                <w:color w:val="auto"/>
                <w:kern w:val="0"/>
                <w:sz w:val="24"/>
                <w:szCs w:val="24"/>
                <w:highlight w:val="none"/>
                <w:lang w:val="en-US" w:eastAsia="zh-CN"/>
              </w:rPr>
              <w:t>临时道路利用现有道路，施工车辆严格按规划的道路行驶，避免随意碾压，造成原生土壤的破坏而产生水土流失。加强施工人员环保意识的宣传工作。禁止施工人员破坏设计用地以外的植被，尤其注意保护周边耕地，严格控制临时用地。施工时采用洒水抑制扬尘，洒水方式为采用洒水车洒水，洒水数量按2次/天、每次2L/m²控制，保证路面不起尘土。</w:t>
            </w:r>
          </w:p>
          <w:p w14:paraId="38573D64">
            <w:pPr>
              <w:keepNext w:val="0"/>
              <w:keepLines w:val="0"/>
              <w:pageBreakBefore w:val="0"/>
              <w:widowControl w:val="0"/>
              <w:numPr>
                <w:ilvl w:val="3"/>
                <w:numId w:val="12"/>
              </w:numPr>
              <w:kinsoku/>
              <w:wordWrap/>
              <w:overflowPunct/>
              <w:topLinePunct w:val="0"/>
              <w:autoSpaceDE w:val="0"/>
              <w:autoSpaceDN w:val="0"/>
              <w:bidi w:val="0"/>
              <w:adjustRightInd w:val="0"/>
              <w:snapToGrid w:val="0"/>
              <w:spacing w:line="360" w:lineRule="auto"/>
              <w:ind w:left="0" w:leftChars="0" w:right="0" w:rightChars="0" w:firstLine="402" w:firstLineChars="0"/>
              <w:textAlignment w:val="auto"/>
              <w:rPr>
                <w:rFonts w:hint="default" w:ascii="Times New Roman" w:hAnsi="Times New Roman" w:eastAsia="宋体" w:cs="Times New Roman"/>
                <w:snapToGrid w:val="0"/>
                <w:color w:val="auto"/>
                <w:kern w:val="0"/>
                <w:sz w:val="24"/>
                <w:lang w:val="en-US" w:eastAsia="zh-CN"/>
              </w:rPr>
            </w:pPr>
            <w:r>
              <w:rPr>
                <w:rFonts w:hint="default" w:ascii="Times New Roman" w:hAnsi="Times New Roman" w:eastAsia="宋体" w:cs="Times New Roman"/>
                <w:snapToGrid w:val="0"/>
                <w:color w:val="auto"/>
                <w:kern w:val="0"/>
                <w:sz w:val="24"/>
                <w:lang w:val="en-US" w:eastAsia="zh-CN"/>
              </w:rPr>
              <w:t>临时堆土采取洒水、防尘网苫盖措施，待土方回填结束后，对临时堆土场进行场地平整，在平整后的土地上进行整地并恢复植被。</w:t>
            </w:r>
          </w:p>
          <w:p w14:paraId="01F39FCC">
            <w:pPr>
              <w:keepNext w:val="0"/>
              <w:keepLines w:val="0"/>
              <w:pageBreakBefore w:val="0"/>
              <w:widowControl w:val="0"/>
              <w:numPr>
                <w:ilvl w:val="3"/>
                <w:numId w:val="12"/>
              </w:numPr>
              <w:kinsoku/>
              <w:wordWrap/>
              <w:overflowPunct/>
              <w:topLinePunct w:val="0"/>
              <w:autoSpaceDE w:val="0"/>
              <w:autoSpaceDN w:val="0"/>
              <w:bidi w:val="0"/>
              <w:adjustRightInd w:val="0"/>
              <w:snapToGrid w:val="0"/>
              <w:spacing w:line="360" w:lineRule="auto"/>
              <w:ind w:left="0" w:leftChars="0" w:right="0" w:rightChars="0" w:firstLine="402" w:firstLineChars="0"/>
              <w:textAlignment w:val="auto"/>
              <w:rPr>
                <w:rFonts w:hint="default" w:ascii="Times New Roman" w:hAnsi="Times New Roman" w:eastAsia="宋体" w:cs="Times New Roman"/>
                <w:snapToGrid w:val="0"/>
                <w:color w:val="auto"/>
                <w:kern w:val="0"/>
                <w:sz w:val="24"/>
                <w:lang w:val="en-US" w:eastAsia="zh-CN"/>
              </w:rPr>
            </w:pPr>
            <w:r>
              <w:rPr>
                <w:rFonts w:hint="default" w:ascii="Times New Roman" w:hAnsi="Times New Roman" w:eastAsia="宋体" w:cs="Times New Roman"/>
                <w:snapToGrid w:val="0"/>
                <w:color w:val="auto"/>
                <w:kern w:val="0"/>
                <w:sz w:val="24"/>
                <w:lang w:val="en-US" w:eastAsia="zh-CN"/>
              </w:rPr>
              <w:t>施工生产区在施工完成后，应予以拆除，对施工过程中产生的建筑垃圾，应进行分类收集、分类管理，能够回收利用的尽量回收综合利用，以节约资源；对于不能回收利用的要进行收集并在固定地点集中暂存，施工完成后及时处理，拉运至建筑垃圾填埋场填埋处置。施工生产区在施工期间主要采取洒水、碾压等工程措施进行防护。施工结束后，进行场地平整，促进表层密实，最后将表土自然覆盖于地表，播撒草籽，完成临时占地恢复。</w:t>
            </w:r>
          </w:p>
          <w:p w14:paraId="03C18A2F">
            <w:pPr>
              <w:keepNext w:val="0"/>
              <w:keepLines w:val="0"/>
              <w:pageBreakBefore w:val="0"/>
              <w:widowControl w:val="0"/>
              <w:numPr>
                <w:ilvl w:val="3"/>
                <w:numId w:val="12"/>
              </w:numPr>
              <w:kinsoku/>
              <w:wordWrap/>
              <w:overflowPunct/>
              <w:topLinePunct w:val="0"/>
              <w:autoSpaceDE w:val="0"/>
              <w:autoSpaceDN w:val="0"/>
              <w:bidi w:val="0"/>
              <w:adjustRightInd w:val="0"/>
              <w:snapToGrid w:val="0"/>
              <w:spacing w:line="360" w:lineRule="auto"/>
              <w:ind w:left="0" w:leftChars="0" w:right="0" w:rightChars="0" w:firstLine="402" w:firstLineChars="0"/>
              <w:textAlignment w:val="auto"/>
              <w:rPr>
                <w:rFonts w:hint="default" w:ascii="Times New Roman" w:hAnsi="Times New Roman" w:eastAsia="宋体" w:cs="Times New Roman"/>
                <w:snapToGrid w:val="0"/>
                <w:color w:val="auto"/>
                <w:kern w:val="0"/>
                <w:sz w:val="24"/>
                <w:lang w:val="en-US" w:eastAsia="zh-CN"/>
              </w:rPr>
            </w:pPr>
            <w:r>
              <w:rPr>
                <w:rFonts w:hint="default" w:ascii="Times New Roman" w:hAnsi="Times New Roman" w:eastAsia="宋体" w:cs="Times New Roman"/>
                <w:snapToGrid w:val="0"/>
                <w:color w:val="auto"/>
                <w:kern w:val="0"/>
                <w:sz w:val="24"/>
                <w:lang w:val="en-US" w:eastAsia="zh-CN"/>
              </w:rPr>
              <w:t>施工过程中产生大量的土方动迁，水土保持工作重点主要在合理进行土方平衡以减少对原地貌的扰动和控制施工过程中水土流失方面。经水工、施工、水保专业对土方挖填方案进行协商比选，挖方料均利用作填方料。施工前应精细做好施工组织方案，施工过程中严格按施工组织方案安排施工工序及施工分区，尽可能避免临时堆渣和土方的二次倒运，将可能造成的水土流失量减到最小。</w:t>
            </w:r>
          </w:p>
          <w:p w14:paraId="3BBE5897">
            <w:pPr>
              <w:keepNext w:val="0"/>
              <w:keepLines w:val="0"/>
              <w:pageBreakBefore w:val="0"/>
              <w:widowControl w:val="0"/>
              <w:numPr>
                <w:ilvl w:val="3"/>
                <w:numId w:val="12"/>
              </w:numPr>
              <w:kinsoku/>
              <w:wordWrap/>
              <w:overflowPunct/>
              <w:topLinePunct w:val="0"/>
              <w:autoSpaceDE w:val="0"/>
              <w:autoSpaceDN w:val="0"/>
              <w:bidi w:val="0"/>
              <w:adjustRightInd w:val="0"/>
              <w:snapToGrid w:val="0"/>
              <w:spacing w:line="360" w:lineRule="auto"/>
              <w:ind w:left="0" w:leftChars="0" w:right="0" w:rightChars="0" w:firstLine="402" w:firstLineChars="0"/>
              <w:textAlignment w:val="auto"/>
              <w:rPr>
                <w:rFonts w:hint="default" w:ascii="Times New Roman" w:hAnsi="Times New Roman" w:eastAsia="宋体" w:cs="Times New Roman"/>
                <w:snapToGrid w:val="0"/>
                <w:color w:val="auto"/>
                <w:kern w:val="0"/>
                <w:sz w:val="24"/>
                <w:lang w:val="en-US" w:eastAsia="zh-CN"/>
              </w:rPr>
            </w:pPr>
            <w:r>
              <w:rPr>
                <w:rFonts w:hint="default" w:ascii="Times New Roman" w:hAnsi="Times New Roman" w:eastAsia="宋体" w:cs="Times New Roman"/>
                <w:snapToGrid w:val="0"/>
                <w:color w:val="auto"/>
                <w:kern w:val="0"/>
                <w:sz w:val="24"/>
                <w:lang w:val="en-US" w:eastAsia="zh-CN"/>
              </w:rPr>
              <w:t>采取优质施工机械，合理规划施工作业时间，减缓施工噪声对野生动物的惊扰。</w:t>
            </w:r>
          </w:p>
          <w:p w14:paraId="0E880A54">
            <w:pPr>
              <w:keepNext w:val="0"/>
              <w:keepLines w:val="0"/>
              <w:pageBreakBefore w:val="0"/>
              <w:widowControl w:val="0"/>
              <w:numPr>
                <w:ilvl w:val="3"/>
                <w:numId w:val="12"/>
              </w:numPr>
              <w:kinsoku/>
              <w:wordWrap/>
              <w:overflowPunct/>
              <w:topLinePunct w:val="0"/>
              <w:autoSpaceDE w:val="0"/>
              <w:autoSpaceDN w:val="0"/>
              <w:bidi w:val="0"/>
              <w:adjustRightInd w:val="0"/>
              <w:snapToGrid w:val="0"/>
              <w:spacing w:line="360" w:lineRule="auto"/>
              <w:ind w:left="0" w:leftChars="0" w:right="0" w:rightChars="0" w:firstLine="402" w:firstLineChars="0"/>
              <w:textAlignment w:val="auto"/>
              <w:rPr>
                <w:rFonts w:hint="default" w:ascii="Times New Roman" w:hAnsi="Times New Roman" w:eastAsia="宋体" w:cs="Times New Roman"/>
                <w:snapToGrid w:val="0"/>
                <w:color w:val="auto"/>
                <w:kern w:val="0"/>
                <w:sz w:val="24"/>
                <w:lang w:val="en-US" w:eastAsia="zh-CN"/>
              </w:rPr>
            </w:pPr>
            <w:r>
              <w:rPr>
                <w:rFonts w:hint="default" w:ascii="Times New Roman" w:hAnsi="Times New Roman" w:eastAsia="宋体" w:cs="Times New Roman"/>
                <w:snapToGrid w:val="0"/>
                <w:color w:val="auto"/>
                <w:kern w:val="0"/>
                <w:sz w:val="24"/>
                <w:lang w:val="en-US" w:eastAsia="zh-CN"/>
              </w:rPr>
              <w:t>为减缓施工期水土流失，施工单位通过采取优化施工方案、避开大风天气、雨季施工，在施工过程中应将土石方分层开挖，分层堆放，分层回填，以保持水土的稳定。</w:t>
            </w:r>
          </w:p>
          <w:p w14:paraId="29EAEE04">
            <w:pPr>
              <w:keepNext w:val="0"/>
              <w:keepLines w:val="0"/>
              <w:pageBreakBefore w:val="0"/>
              <w:widowControl w:val="0"/>
              <w:numPr>
                <w:ilvl w:val="3"/>
                <w:numId w:val="12"/>
              </w:numPr>
              <w:kinsoku/>
              <w:wordWrap/>
              <w:overflowPunct/>
              <w:topLinePunct w:val="0"/>
              <w:autoSpaceDE w:val="0"/>
              <w:autoSpaceDN w:val="0"/>
              <w:bidi w:val="0"/>
              <w:adjustRightInd w:val="0"/>
              <w:snapToGrid w:val="0"/>
              <w:spacing w:line="360" w:lineRule="auto"/>
              <w:ind w:left="0" w:leftChars="0" w:right="0" w:rightChars="0" w:firstLine="402" w:firstLineChars="0"/>
              <w:textAlignment w:val="auto"/>
              <w:rPr>
                <w:rFonts w:hint="default" w:ascii="Times New Roman" w:hAnsi="Times New Roman" w:eastAsia="宋体" w:cs="Times New Roman"/>
                <w:snapToGrid w:val="0"/>
                <w:color w:val="auto"/>
                <w:kern w:val="0"/>
                <w:sz w:val="24"/>
                <w:lang w:val="en-US" w:eastAsia="zh-CN"/>
              </w:rPr>
            </w:pPr>
            <w:r>
              <w:rPr>
                <w:rFonts w:hint="default" w:ascii="Times New Roman" w:hAnsi="Times New Roman" w:eastAsia="宋体" w:cs="Times New Roman"/>
                <w:snapToGrid w:val="0"/>
                <w:color w:val="auto"/>
                <w:kern w:val="0"/>
                <w:sz w:val="24"/>
                <w:lang w:val="en-US" w:eastAsia="zh-CN"/>
              </w:rPr>
              <w:t>土方临时堆存时用防尘网苫盖，生活垃圾要定点堆放及时清运，严格控制施工过程中扬尘污染，施工结束后，做到完工，料尽、场地清</w:t>
            </w:r>
          </w:p>
          <w:p w14:paraId="7428A3AC">
            <w:pPr>
              <w:keepNext w:val="0"/>
              <w:keepLines w:val="0"/>
              <w:pageBreakBefore w:val="0"/>
              <w:widowControl w:val="0"/>
              <w:numPr>
                <w:ilvl w:val="3"/>
                <w:numId w:val="12"/>
              </w:numPr>
              <w:kinsoku/>
              <w:wordWrap/>
              <w:overflowPunct/>
              <w:topLinePunct w:val="0"/>
              <w:autoSpaceDE w:val="0"/>
              <w:autoSpaceDN w:val="0"/>
              <w:bidi w:val="0"/>
              <w:adjustRightInd w:val="0"/>
              <w:snapToGrid w:val="0"/>
              <w:spacing w:line="360" w:lineRule="auto"/>
              <w:ind w:left="0" w:leftChars="0" w:right="0" w:rightChars="0" w:firstLine="402" w:firstLineChars="0"/>
              <w:textAlignment w:val="auto"/>
              <w:rPr>
                <w:rFonts w:hint="default" w:ascii="Times New Roman" w:hAnsi="Times New Roman" w:eastAsia="宋体" w:cs="Times New Roman"/>
                <w:snapToGrid w:val="0"/>
                <w:color w:val="auto"/>
                <w:kern w:val="0"/>
                <w:sz w:val="24"/>
                <w:lang w:val="en-US" w:eastAsia="zh-CN"/>
              </w:rPr>
            </w:pPr>
            <w:r>
              <w:rPr>
                <w:rFonts w:hint="default" w:ascii="Times New Roman" w:hAnsi="Times New Roman" w:eastAsia="宋体" w:cs="Times New Roman"/>
                <w:snapToGrid w:val="0"/>
                <w:color w:val="auto"/>
                <w:kern w:val="0"/>
                <w:sz w:val="24"/>
                <w:lang w:val="en-US" w:eastAsia="zh-CN"/>
              </w:rPr>
              <w:t>禁止设置污染水体的一切活动。</w:t>
            </w:r>
          </w:p>
          <w:p w14:paraId="5D8262A2">
            <w:pPr>
              <w:keepNext w:val="0"/>
              <w:keepLines w:val="0"/>
              <w:pageBreakBefore w:val="0"/>
              <w:widowControl w:val="0"/>
              <w:numPr>
                <w:ilvl w:val="3"/>
                <w:numId w:val="12"/>
              </w:numPr>
              <w:kinsoku/>
              <w:wordWrap/>
              <w:overflowPunct/>
              <w:topLinePunct w:val="0"/>
              <w:autoSpaceDE w:val="0"/>
              <w:autoSpaceDN w:val="0"/>
              <w:bidi w:val="0"/>
              <w:adjustRightInd w:val="0"/>
              <w:snapToGrid w:val="0"/>
              <w:spacing w:line="360" w:lineRule="auto"/>
              <w:ind w:left="0" w:leftChars="0" w:right="0" w:rightChars="0" w:firstLine="402" w:firstLineChars="0"/>
              <w:textAlignment w:val="auto"/>
              <w:rPr>
                <w:rFonts w:hint="default" w:ascii="Times New Roman" w:hAnsi="Times New Roman" w:eastAsia="宋体" w:cs="Times New Roman"/>
                <w:snapToGrid w:val="0"/>
                <w:color w:val="auto"/>
                <w:kern w:val="0"/>
                <w:sz w:val="24"/>
                <w:lang w:val="en-US" w:eastAsia="zh-CN"/>
              </w:rPr>
            </w:pPr>
            <w:r>
              <w:rPr>
                <w:rFonts w:hint="default" w:ascii="Times New Roman" w:hAnsi="Times New Roman" w:eastAsia="宋体" w:cs="Times New Roman"/>
                <w:snapToGrid w:val="0"/>
                <w:color w:val="auto"/>
                <w:kern w:val="0"/>
                <w:sz w:val="24"/>
                <w:lang w:val="en-US" w:eastAsia="zh-CN"/>
              </w:rPr>
              <w:t>严禁向渠道内乱倾倒施工中产生的废物，做到定点存放，及时外运处置，避免污染。</w:t>
            </w:r>
          </w:p>
          <w:p w14:paraId="3B442750">
            <w:pPr>
              <w:keepNext w:val="0"/>
              <w:keepLines w:val="0"/>
              <w:pageBreakBefore w:val="0"/>
              <w:widowControl w:val="0"/>
              <w:numPr>
                <w:ilvl w:val="3"/>
                <w:numId w:val="12"/>
              </w:numPr>
              <w:kinsoku/>
              <w:wordWrap/>
              <w:overflowPunct/>
              <w:topLinePunct w:val="0"/>
              <w:autoSpaceDE w:val="0"/>
              <w:autoSpaceDN w:val="0"/>
              <w:bidi w:val="0"/>
              <w:adjustRightInd w:val="0"/>
              <w:snapToGrid w:val="0"/>
              <w:spacing w:line="360" w:lineRule="auto"/>
              <w:ind w:left="0" w:leftChars="0" w:right="0" w:rightChars="0" w:firstLine="402" w:firstLineChars="0"/>
              <w:textAlignment w:val="auto"/>
              <w:rPr>
                <w:rFonts w:hint="default" w:ascii="Times New Roman" w:hAnsi="Times New Roman" w:eastAsia="宋体" w:cs="Times New Roman"/>
                <w:snapToGrid w:val="0"/>
                <w:color w:val="auto"/>
                <w:kern w:val="0"/>
                <w:sz w:val="24"/>
                <w:lang w:val="en-US" w:eastAsia="zh-CN"/>
              </w:rPr>
            </w:pPr>
            <w:r>
              <w:rPr>
                <w:rFonts w:hint="default" w:ascii="Times New Roman" w:hAnsi="Times New Roman" w:eastAsia="宋体" w:cs="Times New Roman"/>
                <w:snapToGrid w:val="0"/>
                <w:color w:val="auto"/>
                <w:kern w:val="0"/>
                <w:sz w:val="24"/>
                <w:lang w:val="en-US" w:eastAsia="zh-CN"/>
              </w:rPr>
              <w:t>加强对施工人员环保意识教育，杜绝一切破坏植被、水质行为。</w:t>
            </w:r>
          </w:p>
          <w:p w14:paraId="21A682B4">
            <w:pPr>
              <w:keepNext w:val="0"/>
              <w:keepLines w:val="0"/>
              <w:pageBreakBefore w:val="0"/>
              <w:widowControl w:val="0"/>
              <w:numPr>
                <w:ilvl w:val="3"/>
                <w:numId w:val="12"/>
              </w:numPr>
              <w:kinsoku/>
              <w:wordWrap/>
              <w:overflowPunct/>
              <w:topLinePunct w:val="0"/>
              <w:autoSpaceDE w:val="0"/>
              <w:autoSpaceDN w:val="0"/>
              <w:bidi w:val="0"/>
              <w:adjustRightInd w:val="0"/>
              <w:snapToGrid w:val="0"/>
              <w:spacing w:line="360" w:lineRule="auto"/>
              <w:ind w:left="0" w:leftChars="0" w:right="0" w:rightChars="0" w:firstLine="402" w:firstLineChars="0"/>
              <w:textAlignment w:val="auto"/>
              <w:rPr>
                <w:rFonts w:hint="default" w:ascii="Times New Roman" w:hAnsi="Times New Roman" w:eastAsia="宋体" w:cs="Times New Roman"/>
                <w:snapToGrid w:val="0"/>
                <w:color w:val="auto"/>
                <w:kern w:val="0"/>
                <w:sz w:val="24"/>
                <w:lang w:val="en-US" w:eastAsia="zh-CN"/>
              </w:rPr>
            </w:pPr>
            <w:r>
              <w:rPr>
                <w:rFonts w:hint="default" w:ascii="Times New Roman" w:hAnsi="Times New Roman" w:eastAsia="宋体" w:cs="Times New Roman"/>
                <w:snapToGrid w:val="0"/>
                <w:color w:val="auto"/>
                <w:kern w:val="0"/>
                <w:sz w:val="24"/>
                <w:lang w:val="en-US" w:eastAsia="zh-CN"/>
              </w:rPr>
              <w:t>施工完毕后及时进行土地平整，进行迹地恢复。对土壤、植被的恢复，遵循破坏多少，恢复多少，优先采用原生表土及乡土物种进行恢复。</w:t>
            </w:r>
          </w:p>
          <w:p w14:paraId="3EC3EB3C">
            <w:pPr>
              <w:pStyle w:val="11"/>
              <w:spacing w:line="360" w:lineRule="auto"/>
              <w:ind w:firstLine="480"/>
              <w:rPr>
                <w:rFonts w:hint="default"/>
                <w:color w:val="auto"/>
                <w:lang w:val="en-US" w:eastAsia="zh-CN"/>
              </w:rPr>
            </w:pPr>
            <w:r>
              <w:rPr>
                <w:rFonts w:hint="default" w:ascii="Times New Roman" w:hAnsi="Times New Roman" w:eastAsia="宋体" w:cs="Times New Roman"/>
                <w:snapToGrid w:val="0"/>
                <w:color w:val="auto"/>
                <w:kern w:val="0"/>
                <w:sz w:val="24"/>
                <w:lang w:val="en-US" w:eastAsia="zh-CN"/>
              </w:rPr>
              <w:t>通过采取上述生态保护措施，可以最大程度地降低本项目建设对生态环境的影响和破坏，恢复项目区域的生态环境。</w:t>
            </w:r>
          </w:p>
          <w:p w14:paraId="712A234F">
            <w:pPr>
              <w:keepNext w:val="0"/>
              <w:keepLines w:val="0"/>
              <w:pageBreakBefore w:val="0"/>
              <w:widowControl w:val="0"/>
              <w:numPr>
                <w:ilvl w:val="2"/>
                <w:numId w:val="12"/>
              </w:numPr>
              <w:kinsoku/>
              <w:wordWrap/>
              <w:overflowPunct/>
              <w:topLinePunct w:val="0"/>
              <w:autoSpaceDE w:val="0"/>
              <w:autoSpaceDN w:val="0"/>
              <w:bidi w:val="0"/>
              <w:adjustRightInd w:val="0"/>
              <w:snapToGrid w:val="0"/>
              <w:spacing w:line="360" w:lineRule="auto"/>
              <w:ind w:left="0" w:leftChars="0" w:right="0" w:rightChars="0" w:firstLine="402" w:firstLineChars="0"/>
              <w:textAlignment w:val="auto"/>
              <w:rPr>
                <w:rFonts w:hint="default" w:ascii="Times New Roman" w:hAnsi="Times New Roman" w:eastAsia="宋体" w:cs="Times New Roman"/>
                <w:b w:val="0"/>
                <w:bCs w:val="0"/>
                <w:color w:val="auto"/>
                <w:kern w:val="0"/>
                <w:sz w:val="24"/>
                <w:szCs w:val="24"/>
                <w:highlight w:val="none"/>
                <w:lang w:val="en-US" w:eastAsia="zh-CN"/>
              </w:rPr>
            </w:pPr>
            <w:r>
              <w:rPr>
                <w:rFonts w:hint="default" w:ascii="Times New Roman" w:hAnsi="Times New Roman" w:eastAsia="宋体" w:cs="Times New Roman"/>
                <w:b w:val="0"/>
                <w:bCs w:val="0"/>
                <w:color w:val="auto"/>
                <w:kern w:val="0"/>
                <w:sz w:val="24"/>
                <w:szCs w:val="24"/>
                <w:highlight w:val="none"/>
                <w:lang w:val="en-US" w:eastAsia="zh-CN"/>
              </w:rPr>
              <w:t>生态影响避让措施</w:t>
            </w:r>
          </w:p>
          <w:p w14:paraId="78EFCE70">
            <w:pPr>
              <w:pStyle w:val="11"/>
              <w:spacing w:line="360" w:lineRule="auto"/>
              <w:ind w:firstLine="480"/>
              <w:rPr>
                <w:rFonts w:hint="default" w:ascii="Times New Roman" w:hAnsi="Times New Roman" w:cs="Times New Roman"/>
                <w:snapToGrid w:val="0"/>
                <w:color w:val="auto"/>
                <w:kern w:val="0"/>
                <w:sz w:val="24"/>
                <w:lang w:eastAsia="zh-CN"/>
              </w:rPr>
            </w:pPr>
            <w:r>
              <w:rPr>
                <w:rFonts w:hint="default" w:ascii="Times New Roman" w:hAnsi="Times New Roman" w:cs="Times New Roman"/>
                <w:snapToGrid w:val="0"/>
                <w:color w:val="auto"/>
                <w:kern w:val="0"/>
                <w:sz w:val="24"/>
                <w:lang w:eastAsia="zh-CN"/>
              </w:rPr>
              <w:t>工程施工段河道内无国家级和地方级保护鱼种和大型鱼类，施工区域及下游无鱼类三场分布。施工期扰动水体对河段</w:t>
            </w:r>
            <w:r>
              <w:rPr>
                <w:rFonts w:hint="default" w:ascii="Times New Roman" w:hAnsi="Times New Roman" w:cs="Times New Roman"/>
                <w:snapToGrid w:val="0"/>
                <w:color w:val="auto"/>
                <w:kern w:val="0"/>
                <w:sz w:val="24"/>
                <w:lang w:val="en-US" w:eastAsia="zh-CN"/>
              </w:rPr>
              <w:t>内的水生生态</w:t>
            </w:r>
            <w:r>
              <w:rPr>
                <w:rFonts w:hint="default" w:ascii="Times New Roman" w:hAnsi="Times New Roman" w:cs="Times New Roman"/>
                <w:snapToGrid w:val="0"/>
                <w:color w:val="auto"/>
                <w:kern w:val="0"/>
                <w:sz w:val="24"/>
                <w:lang w:eastAsia="zh-CN"/>
              </w:rPr>
              <w:t>形成惊扰，会迫使原栖息在此的</w:t>
            </w:r>
            <w:r>
              <w:rPr>
                <w:rFonts w:hint="default" w:ascii="Times New Roman" w:hAnsi="Times New Roman" w:cs="Times New Roman"/>
                <w:snapToGrid w:val="0"/>
                <w:color w:val="auto"/>
                <w:kern w:val="0"/>
                <w:sz w:val="24"/>
                <w:lang w:val="en-US" w:eastAsia="zh-CN"/>
              </w:rPr>
              <w:t>动物</w:t>
            </w:r>
            <w:r>
              <w:rPr>
                <w:rFonts w:hint="default" w:ascii="Times New Roman" w:hAnsi="Times New Roman" w:cs="Times New Roman"/>
                <w:snapToGrid w:val="0"/>
                <w:color w:val="auto"/>
                <w:kern w:val="0"/>
                <w:sz w:val="24"/>
                <w:lang w:eastAsia="zh-CN"/>
              </w:rPr>
              <w:t>离开工程区河段，进入其他河段栖息。但上述影响仅局限于施工期和工程区范围内，随着施工的结束，这种影响随之消失。项目施工期间无洪水下泄，由于项目施工时间较短，随着施工结束，产生的暂时性影响也随之消失。为进一步降低项目施工对水生态影响，提出以下措施：</w:t>
            </w:r>
          </w:p>
          <w:p w14:paraId="42DC7526">
            <w:pPr>
              <w:pStyle w:val="11"/>
              <w:spacing w:line="360" w:lineRule="auto"/>
              <w:ind w:firstLine="480"/>
              <w:rPr>
                <w:rFonts w:hint="default" w:ascii="Times New Roman" w:hAnsi="Times New Roman" w:cs="Times New Roman"/>
                <w:snapToGrid w:val="0"/>
                <w:color w:val="auto"/>
                <w:kern w:val="0"/>
                <w:sz w:val="24"/>
              </w:rPr>
            </w:pPr>
            <w:r>
              <w:rPr>
                <w:rFonts w:hint="default" w:ascii="Times New Roman" w:hAnsi="Times New Roman" w:cs="Times New Roman"/>
                <w:snapToGrid w:val="0"/>
                <w:color w:val="auto"/>
                <w:kern w:val="0"/>
                <w:sz w:val="24"/>
                <w:lang w:eastAsia="zh-CN"/>
              </w:rPr>
              <w:t>①</w:t>
            </w:r>
            <w:r>
              <w:rPr>
                <w:rFonts w:hint="default" w:ascii="Times New Roman" w:hAnsi="Times New Roman" w:cs="Times New Roman"/>
                <w:snapToGrid w:val="0"/>
                <w:color w:val="auto"/>
                <w:kern w:val="0"/>
                <w:sz w:val="24"/>
              </w:rPr>
              <w:t>施工期间不得利用非施工侧河道布置施工机械、设备，禁止采挖施工范围以外河床，减少项目施工对现状河道扰动。</w:t>
            </w:r>
          </w:p>
          <w:p w14:paraId="2E309B96">
            <w:pPr>
              <w:pStyle w:val="11"/>
              <w:spacing w:line="360" w:lineRule="auto"/>
              <w:ind w:firstLine="480"/>
              <w:rPr>
                <w:rFonts w:hint="default" w:ascii="Times New Roman" w:hAnsi="Times New Roman" w:cs="Times New Roman"/>
                <w:snapToGrid w:val="0"/>
                <w:color w:val="auto"/>
                <w:kern w:val="0"/>
                <w:sz w:val="24"/>
              </w:rPr>
            </w:pPr>
            <w:r>
              <w:rPr>
                <w:rFonts w:hint="default" w:ascii="Times New Roman" w:hAnsi="Times New Roman" w:cs="Times New Roman"/>
                <w:snapToGrid w:val="0"/>
                <w:color w:val="auto"/>
                <w:kern w:val="0"/>
                <w:sz w:val="24"/>
                <w:lang w:eastAsia="zh-CN"/>
              </w:rPr>
              <w:t>②</w:t>
            </w:r>
            <w:r>
              <w:rPr>
                <w:rFonts w:hint="default" w:ascii="Times New Roman" w:hAnsi="Times New Roman" w:cs="Times New Roman"/>
                <w:snapToGrid w:val="0"/>
                <w:color w:val="auto"/>
                <w:kern w:val="0"/>
                <w:sz w:val="24"/>
              </w:rPr>
              <w:t>及时恢复河床原貌，不得在河道内临时、永久堆置土方、砂石料，破坏河道，影响河道行洪。</w:t>
            </w:r>
          </w:p>
          <w:p w14:paraId="1166DF40">
            <w:pPr>
              <w:pStyle w:val="11"/>
              <w:spacing w:line="360" w:lineRule="auto"/>
              <w:ind w:firstLine="480"/>
              <w:rPr>
                <w:rFonts w:hint="default" w:ascii="Times New Roman" w:hAnsi="Times New Roman" w:cs="Times New Roman"/>
                <w:snapToGrid w:val="0"/>
                <w:color w:val="auto"/>
                <w:kern w:val="0"/>
                <w:sz w:val="24"/>
              </w:rPr>
            </w:pPr>
            <w:r>
              <w:rPr>
                <w:rFonts w:hint="default" w:ascii="Times New Roman" w:hAnsi="Times New Roman" w:cs="Times New Roman"/>
                <w:snapToGrid w:val="0"/>
                <w:color w:val="auto"/>
                <w:kern w:val="0"/>
                <w:sz w:val="24"/>
                <w:lang w:eastAsia="zh-CN"/>
              </w:rPr>
              <w:t>③</w:t>
            </w:r>
            <w:r>
              <w:rPr>
                <w:rFonts w:hint="default" w:ascii="Times New Roman" w:hAnsi="Times New Roman" w:cs="Times New Roman"/>
                <w:snapToGrid w:val="0"/>
                <w:color w:val="auto"/>
                <w:kern w:val="0"/>
                <w:sz w:val="24"/>
              </w:rPr>
              <w:t>施工期间加强施工人员教育、管理，禁止</w:t>
            </w:r>
            <w:r>
              <w:rPr>
                <w:rFonts w:hint="default" w:ascii="Times New Roman" w:hAnsi="Times New Roman" w:cs="Times New Roman"/>
                <w:snapToGrid w:val="0"/>
                <w:color w:val="auto"/>
                <w:kern w:val="0"/>
                <w:sz w:val="24"/>
                <w:lang w:val="en-US" w:eastAsia="zh-CN"/>
              </w:rPr>
              <w:t>破坏生态环境</w:t>
            </w:r>
            <w:r>
              <w:rPr>
                <w:rFonts w:hint="default" w:ascii="Times New Roman" w:hAnsi="Times New Roman" w:cs="Times New Roman"/>
                <w:snapToGrid w:val="0"/>
                <w:color w:val="auto"/>
                <w:kern w:val="0"/>
                <w:sz w:val="24"/>
              </w:rPr>
              <w:t>。</w:t>
            </w:r>
          </w:p>
          <w:p w14:paraId="27FE16FB">
            <w:pPr>
              <w:pStyle w:val="11"/>
              <w:spacing w:line="360" w:lineRule="auto"/>
              <w:ind w:firstLine="480"/>
              <w:rPr>
                <w:rFonts w:hint="default" w:ascii="Times New Roman" w:hAnsi="Times New Roman" w:cs="Times New Roman"/>
                <w:snapToGrid w:val="0"/>
                <w:color w:val="auto"/>
                <w:kern w:val="0"/>
                <w:sz w:val="24"/>
              </w:rPr>
            </w:pPr>
            <w:r>
              <w:rPr>
                <w:rFonts w:hint="default" w:ascii="Times New Roman" w:hAnsi="Times New Roman" w:cs="Times New Roman"/>
                <w:snapToGrid w:val="0"/>
                <w:color w:val="auto"/>
                <w:kern w:val="0"/>
                <w:sz w:val="24"/>
                <w:lang w:eastAsia="zh-CN"/>
              </w:rPr>
              <w:t>④</w:t>
            </w:r>
            <w:r>
              <w:rPr>
                <w:rFonts w:hint="default" w:ascii="Times New Roman" w:hAnsi="Times New Roman" w:cs="Times New Roman"/>
                <w:snapToGrid w:val="0"/>
                <w:color w:val="auto"/>
                <w:kern w:val="0"/>
                <w:sz w:val="24"/>
              </w:rPr>
              <w:t>在施工过程中禁止向河内排放污染物，常年禁止一切渔业活动。</w:t>
            </w:r>
          </w:p>
          <w:p w14:paraId="151E01CF">
            <w:pPr>
              <w:pStyle w:val="11"/>
              <w:spacing w:line="360" w:lineRule="auto"/>
              <w:ind w:firstLine="480"/>
              <w:rPr>
                <w:rFonts w:hint="default" w:ascii="Times New Roman" w:hAnsi="Times New Roman" w:cs="Times New Roman"/>
                <w:snapToGrid w:val="0"/>
                <w:color w:val="auto"/>
                <w:kern w:val="0"/>
                <w:sz w:val="24"/>
              </w:rPr>
            </w:pPr>
            <w:r>
              <w:rPr>
                <w:rFonts w:hint="default" w:ascii="Times New Roman" w:hAnsi="Times New Roman" w:cs="Times New Roman"/>
                <w:snapToGrid w:val="0"/>
                <w:color w:val="auto"/>
                <w:kern w:val="0"/>
                <w:sz w:val="24"/>
                <w:lang w:eastAsia="zh-CN"/>
              </w:rPr>
              <w:t>⑤</w:t>
            </w:r>
            <w:r>
              <w:rPr>
                <w:rFonts w:hint="default" w:ascii="Times New Roman" w:hAnsi="Times New Roman" w:cs="Times New Roman"/>
                <w:snapToGrid w:val="0"/>
                <w:color w:val="auto"/>
                <w:kern w:val="0"/>
                <w:sz w:val="24"/>
              </w:rPr>
              <w:t>加强施工管理，强调合理有序施工，优化施工组织，同一施工段实行同向逐步推进施工，相邻施工段错开施工高峰期。</w:t>
            </w:r>
          </w:p>
          <w:p w14:paraId="51403069">
            <w:pPr>
              <w:pStyle w:val="11"/>
              <w:spacing w:line="360" w:lineRule="auto"/>
              <w:ind w:firstLine="480"/>
              <w:rPr>
                <w:rFonts w:hint="default" w:ascii="Times New Roman" w:hAnsi="Times New Roman" w:cs="Times New Roman"/>
                <w:snapToGrid w:val="0"/>
                <w:color w:val="auto"/>
                <w:kern w:val="0"/>
                <w:sz w:val="24"/>
              </w:rPr>
            </w:pPr>
            <w:r>
              <w:rPr>
                <w:rFonts w:hint="default" w:ascii="Times New Roman" w:hAnsi="Times New Roman" w:cs="Times New Roman"/>
                <w:snapToGrid w:val="0"/>
                <w:color w:val="auto"/>
                <w:kern w:val="0"/>
                <w:sz w:val="24"/>
                <w:lang w:val="en-US" w:eastAsia="zh-CN"/>
              </w:rPr>
              <w:t>⑥本项目施工期间为枯水期，施工仅涉及渠道。</w:t>
            </w:r>
          </w:p>
          <w:p w14:paraId="58D3D0DC">
            <w:pPr>
              <w:keepNext w:val="0"/>
              <w:keepLines w:val="0"/>
              <w:pageBreakBefore w:val="0"/>
              <w:widowControl w:val="0"/>
              <w:numPr>
                <w:ilvl w:val="2"/>
                <w:numId w:val="12"/>
              </w:numPr>
              <w:kinsoku/>
              <w:wordWrap/>
              <w:overflowPunct/>
              <w:topLinePunct w:val="0"/>
              <w:autoSpaceDE w:val="0"/>
              <w:autoSpaceDN w:val="0"/>
              <w:bidi w:val="0"/>
              <w:adjustRightInd w:val="0"/>
              <w:snapToGrid w:val="0"/>
              <w:spacing w:line="360" w:lineRule="auto"/>
              <w:ind w:left="0" w:leftChars="0" w:right="0" w:rightChars="0" w:firstLine="402" w:firstLineChars="0"/>
              <w:textAlignment w:val="auto"/>
              <w:rPr>
                <w:rFonts w:hint="eastAsia" w:ascii="Times New Roman" w:hAnsi="Times New Roman" w:eastAsia="宋体" w:cs="Times New Roman"/>
                <w:b w:val="0"/>
                <w:bCs w:val="0"/>
                <w:color w:val="auto"/>
                <w:kern w:val="0"/>
                <w:sz w:val="24"/>
                <w:szCs w:val="24"/>
                <w:highlight w:val="none"/>
                <w:lang w:val="en-US" w:eastAsia="zh-CN"/>
              </w:rPr>
            </w:pPr>
            <w:r>
              <w:rPr>
                <w:rFonts w:hint="eastAsia" w:ascii="Times New Roman" w:hAnsi="Times New Roman" w:eastAsia="宋体" w:cs="Times New Roman"/>
                <w:b w:val="0"/>
                <w:bCs w:val="0"/>
                <w:color w:val="auto"/>
                <w:kern w:val="0"/>
                <w:sz w:val="24"/>
                <w:szCs w:val="24"/>
                <w:highlight w:val="none"/>
                <w:lang w:val="en-US" w:eastAsia="zh-CN"/>
              </w:rPr>
              <w:t>对水质的保护措施</w:t>
            </w:r>
          </w:p>
          <w:p w14:paraId="0C6089B2">
            <w:pPr>
              <w:pStyle w:val="11"/>
              <w:spacing w:line="360" w:lineRule="auto"/>
              <w:ind w:firstLine="480"/>
              <w:rPr>
                <w:rFonts w:hint="default" w:ascii="Times New Roman" w:hAnsi="Times New Roman" w:cs="Times New Roman"/>
                <w:snapToGrid w:val="0"/>
                <w:color w:val="auto"/>
                <w:kern w:val="0"/>
                <w:sz w:val="24"/>
              </w:rPr>
            </w:pPr>
            <w:r>
              <w:rPr>
                <w:rFonts w:hint="default" w:ascii="Times New Roman" w:hAnsi="Times New Roman" w:cs="Times New Roman"/>
                <w:snapToGrid w:val="0"/>
                <w:color w:val="auto"/>
                <w:kern w:val="0"/>
                <w:sz w:val="24"/>
                <w:lang w:eastAsia="zh-CN"/>
              </w:rPr>
              <w:t>在工程施工过程中应严格控制施工范围，尽量减少对河道的扰动，做好水土保持工作。施工生产废水严禁排入河道，避免对地表水污染。</w:t>
            </w:r>
          </w:p>
          <w:p w14:paraId="4476FA06">
            <w:pPr>
              <w:keepNext w:val="0"/>
              <w:keepLines w:val="0"/>
              <w:pageBreakBefore w:val="0"/>
              <w:widowControl w:val="0"/>
              <w:numPr>
                <w:ilvl w:val="2"/>
                <w:numId w:val="12"/>
              </w:numPr>
              <w:kinsoku/>
              <w:wordWrap/>
              <w:overflowPunct/>
              <w:topLinePunct w:val="0"/>
              <w:autoSpaceDE w:val="0"/>
              <w:autoSpaceDN w:val="0"/>
              <w:bidi w:val="0"/>
              <w:adjustRightInd w:val="0"/>
              <w:snapToGrid w:val="0"/>
              <w:spacing w:line="360" w:lineRule="auto"/>
              <w:ind w:left="0" w:leftChars="0" w:right="0" w:rightChars="0" w:firstLine="402" w:firstLineChars="0"/>
              <w:textAlignment w:val="auto"/>
              <w:rPr>
                <w:rFonts w:hint="eastAsia" w:ascii="Times New Roman" w:hAnsi="Times New Roman" w:eastAsia="宋体" w:cs="Times New Roman"/>
                <w:b w:val="0"/>
                <w:bCs w:val="0"/>
                <w:color w:val="auto"/>
                <w:kern w:val="0"/>
                <w:sz w:val="24"/>
                <w:szCs w:val="24"/>
                <w:highlight w:val="none"/>
                <w:lang w:val="en-US" w:eastAsia="zh-CN"/>
              </w:rPr>
            </w:pPr>
            <w:r>
              <w:rPr>
                <w:rFonts w:hint="eastAsia" w:ascii="Times New Roman" w:hAnsi="Times New Roman" w:eastAsia="宋体" w:cs="Times New Roman"/>
                <w:b w:val="0"/>
                <w:bCs w:val="0"/>
                <w:color w:val="auto"/>
                <w:kern w:val="0"/>
                <w:sz w:val="24"/>
                <w:szCs w:val="24"/>
                <w:highlight w:val="none"/>
                <w:lang w:val="en-US" w:eastAsia="zh-CN"/>
              </w:rPr>
              <w:t>工程占地及土壤的保护措施</w:t>
            </w:r>
          </w:p>
          <w:p w14:paraId="1A8920CD">
            <w:pPr>
              <w:pStyle w:val="11"/>
              <w:spacing w:line="360" w:lineRule="auto"/>
              <w:ind w:firstLine="480"/>
              <w:rPr>
                <w:rFonts w:hint="eastAsia" w:ascii="Times New Roman" w:hAnsi="Times New Roman" w:eastAsia="宋体" w:cs="Times New Roman"/>
                <w:snapToGrid w:val="0"/>
                <w:color w:val="auto"/>
                <w:kern w:val="0"/>
                <w:sz w:val="24"/>
                <w:lang w:val="en-US" w:eastAsia="zh-CN"/>
              </w:rPr>
            </w:pPr>
            <w:r>
              <w:rPr>
                <w:rFonts w:hint="eastAsia" w:ascii="Times New Roman" w:hAnsi="Times New Roman" w:eastAsia="宋体" w:cs="Times New Roman"/>
                <w:snapToGrid w:val="0"/>
                <w:color w:val="auto"/>
                <w:kern w:val="0"/>
                <w:sz w:val="24"/>
                <w:lang w:val="en-US" w:eastAsia="zh-CN"/>
              </w:rPr>
              <w:t>划定施工区域，强化施工管理，增强施工人员的环境保护意识，在保证施工顺利进行的前提下，严格控制施工人员、施工机械、临时占地范围，严禁随意扩大扰动范围；尽可能缩小施工作业面和减少扰动面积；以最大限度地控制地表土壤和植被的破坏程度和范围，减少地表扰动。在土方开挖施工时，应严格注意保护原有地表土壤层，按照原土层顺序回填及覆盖，做到分层开挖，分层堆放，分层回填，以利于植被自然恢复。</w:t>
            </w:r>
          </w:p>
          <w:p w14:paraId="4533E953">
            <w:pPr>
              <w:keepNext w:val="0"/>
              <w:keepLines w:val="0"/>
              <w:pageBreakBefore w:val="0"/>
              <w:widowControl w:val="0"/>
              <w:numPr>
                <w:ilvl w:val="2"/>
                <w:numId w:val="12"/>
              </w:numPr>
              <w:kinsoku/>
              <w:wordWrap/>
              <w:overflowPunct/>
              <w:topLinePunct w:val="0"/>
              <w:autoSpaceDE w:val="0"/>
              <w:autoSpaceDN w:val="0"/>
              <w:bidi w:val="0"/>
              <w:adjustRightInd w:val="0"/>
              <w:snapToGrid w:val="0"/>
              <w:spacing w:line="360" w:lineRule="auto"/>
              <w:ind w:left="0" w:leftChars="0" w:right="0" w:rightChars="0" w:firstLine="402" w:firstLineChars="0"/>
              <w:textAlignment w:val="auto"/>
              <w:rPr>
                <w:rFonts w:hint="default" w:ascii="Times New Roman" w:hAnsi="Times New Roman" w:eastAsia="宋体" w:cs="Times New Roman"/>
                <w:b w:val="0"/>
                <w:bCs w:val="0"/>
                <w:color w:val="auto"/>
                <w:kern w:val="0"/>
                <w:sz w:val="24"/>
                <w:szCs w:val="24"/>
                <w:highlight w:val="none"/>
                <w:lang w:val="en-US" w:eastAsia="zh-CN"/>
              </w:rPr>
            </w:pPr>
            <w:r>
              <w:rPr>
                <w:rFonts w:hint="eastAsia" w:ascii="Times New Roman" w:hAnsi="Times New Roman" w:eastAsia="宋体" w:cs="Times New Roman"/>
                <w:b w:val="0"/>
                <w:bCs w:val="0"/>
                <w:color w:val="auto"/>
                <w:kern w:val="0"/>
                <w:sz w:val="24"/>
                <w:szCs w:val="24"/>
                <w:highlight w:val="none"/>
                <w:lang w:val="en-US" w:eastAsia="zh-CN"/>
              </w:rPr>
              <w:t>动物保护</w:t>
            </w:r>
            <w:r>
              <w:rPr>
                <w:rFonts w:hint="default" w:ascii="Times New Roman" w:hAnsi="Times New Roman" w:eastAsia="宋体" w:cs="Times New Roman"/>
                <w:b w:val="0"/>
                <w:bCs w:val="0"/>
                <w:color w:val="auto"/>
                <w:kern w:val="0"/>
                <w:sz w:val="24"/>
                <w:szCs w:val="24"/>
                <w:highlight w:val="none"/>
                <w:lang w:val="en-US" w:eastAsia="zh-CN"/>
              </w:rPr>
              <w:t>措施</w:t>
            </w:r>
          </w:p>
          <w:p w14:paraId="33DF5A03">
            <w:pPr>
              <w:pStyle w:val="11"/>
              <w:spacing w:line="360" w:lineRule="auto"/>
              <w:ind w:firstLine="480"/>
              <w:rPr>
                <w:rFonts w:hint="default" w:ascii="Times New Roman" w:hAnsi="Times New Roman" w:cs="Times New Roman"/>
                <w:snapToGrid w:val="0"/>
                <w:color w:val="auto"/>
                <w:kern w:val="0"/>
                <w:sz w:val="24"/>
                <w:lang w:eastAsia="en-US"/>
              </w:rPr>
            </w:pPr>
            <w:r>
              <w:rPr>
                <w:rFonts w:hint="default" w:ascii="Times New Roman" w:hAnsi="Times New Roman" w:cs="Times New Roman"/>
                <w:snapToGrid w:val="0"/>
                <w:color w:val="auto"/>
                <w:kern w:val="0"/>
                <w:sz w:val="24"/>
                <w:lang w:eastAsia="zh-CN"/>
              </w:rPr>
              <w:t>①</w:t>
            </w:r>
            <w:r>
              <w:rPr>
                <w:rFonts w:hint="default" w:ascii="Times New Roman" w:hAnsi="Times New Roman" w:cs="Times New Roman"/>
                <w:snapToGrid w:val="0"/>
                <w:color w:val="auto"/>
                <w:kern w:val="0"/>
                <w:sz w:val="24"/>
                <w:lang w:eastAsia="en-US"/>
              </w:rPr>
              <w:t>在施工期间对施工人员和附近居民加强生态保护宣传教育，以宣传册、标志牌等形式，对施工区工作生活人员特别是施工人员及时进行宣传教育，建立生态破坏惩罚制度，严禁施工人员非法猎捕当地野生动物，禁止施工人员捕食鸟类，以减轻施工对当地动物的影响。</w:t>
            </w:r>
          </w:p>
          <w:p w14:paraId="19A298B7">
            <w:pPr>
              <w:pStyle w:val="11"/>
              <w:spacing w:line="360" w:lineRule="auto"/>
              <w:ind w:firstLine="480"/>
              <w:rPr>
                <w:rFonts w:hint="default" w:ascii="Times New Roman" w:hAnsi="Times New Roman" w:cs="Times New Roman"/>
                <w:snapToGrid w:val="0"/>
                <w:color w:val="auto"/>
                <w:kern w:val="0"/>
                <w:sz w:val="24"/>
                <w:lang w:eastAsia="en-US"/>
              </w:rPr>
            </w:pPr>
            <w:r>
              <w:rPr>
                <w:rFonts w:hint="default" w:ascii="Times New Roman" w:hAnsi="Times New Roman" w:cs="Times New Roman"/>
                <w:snapToGrid w:val="0"/>
                <w:color w:val="auto"/>
                <w:kern w:val="0"/>
                <w:sz w:val="24"/>
                <w:lang w:eastAsia="en-US"/>
              </w:rPr>
              <w:t>②根据施工总平面布置图，确定施工用地范围，进行标桩划界，禁止施工人员进入非施工占地区域；非施工区严禁烟火、狩猎和垂钓等活动。禁止施工人员野外用火，把对野生动物的干扰降至最低程度。</w:t>
            </w:r>
          </w:p>
          <w:p w14:paraId="1D449ED5">
            <w:pPr>
              <w:pStyle w:val="11"/>
              <w:spacing w:line="360" w:lineRule="auto"/>
              <w:ind w:firstLine="480"/>
              <w:rPr>
                <w:rFonts w:hint="default" w:ascii="Times New Roman" w:hAnsi="Times New Roman" w:cs="Times New Roman"/>
                <w:snapToGrid w:val="0"/>
                <w:color w:val="auto"/>
                <w:kern w:val="0"/>
                <w:sz w:val="24"/>
                <w:lang w:val="en-US" w:eastAsia="zh-CN"/>
              </w:rPr>
            </w:pPr>
            <w:r>
              <w:rPr>
                <w:rFonts w:hint="default" w:ascii="Times New Roman" w:hAnsi="Times New Roman" w:cs="Times New Roman"/>
                <w:snapToGrid w:val="0"/>
                <w:color w:val="auto"/>
                <w:kern w:val="0"/>
                <w:sz w:val="24"/>
                <w:lang w:val="en-US" w:eastAsia="zh-CN"/>
              </w:rPr>
              <w:t>③积极采取有效措施，降低噪音、废水等对野生动物的影响。在工程建设期间，推土机、挖掘机、打桩机等施工机械及各种运输车辆运行将产生一定强度</w:t>
            </w:r>
            <w:r>
              <w:rPr>
                <w:rFonts w:hint="eastAsia" w:cs="Times New Roman"/>
                <w:snapToGrid w:val="0"/>
                <w:color w:val="auto"/>
                <w:kern w:val="0"/>
                <w:sz w:val="24"/>
                <w:lang w:val="en-US" w:eastAsia="zh-CN"/>
              </w:rPr>
              <w:t>噪声</w:t>
            </w:r>
            <w:r>
              <w:rPr>
                <w:rFonts w:hint="default" w:ascii="Times New Roman" w:hAnsi="Times New Roman" w:cs="Times New Roman"/>
                <w:snapToGrid w:val="0"/>
                <w:color w:val="auto"/>
                <w:kern w:val="0"/>
                <w:sz w:val="24"/>
                <w:lang w:val="en-US" w:eastAsia="zh-CN"/>
              </w:rPr>
              <w:t>，应加强施工管理、采取遮挡</w:t>
            </w:r>
            <w:r>
              <w:rPr>
                <w:rFonts w:hint="eastAsia" w:cs="Times New Roman"/>
                <w:snapToGrid w:val="0"/>
                <w:color w:val="auto"/>
                <w:kern w:val="0"/>
                <w:sz w:val="24"/>
                <w:lang w:val="en-US" w:eastAsia="zh-CN"/>
              </w:rPr>
              <w:t>消声</w:t>
            </w:r>
            <w:r>
              <w:rPr>
                <w:rFonts w:hint="default" w:ascii="Times New Roman" w:hAnsi="Times New Roman" w:cs="Times New Roman"/>
                <w:snapToGrid w:val="0"/>
                <w:color w:val="auto"/>
                <w:kern w:val="0"/>
                <w:sz w:val="24"/>
                <w:lang w:val="en-US" w:eastAsia="zh-CN"/>
              </w:rPr>
              <w:t>等措施使施工噪音降到最低程度。对于施工产生的废污水，严禁随意排放。</w:t>
            </w:r>
          </w:p>
          <w:p w14:paraId="24F8F606">
            <w:pPr>
              <w:keepNext w:val="0"/>
              <w:keepLines w:val="0"/>
              <w:pageBreakBefore w:val="0"/>
              <w:widowControl w:val="0"/>
              <w:numPr>
                <w:ilvl w:val="2"/>
                <w:numId w:val="12"/>
              </w:numPr>
              <w:kinsoku/>
              <w:wordWrap/>
              <w:overflowPunct/>
              <w:topLinePunct w:val="0"/>
              <w:autoSpaceDE w:val="0"/>
              <w:autoSpaceDN w:val="0"/>
              <w:bidi w:val="0"/>
              <w:adjustRightInd w:val="0"/>
              <w:snapToGrid w:val="0"/>
              <w:spacing w:line="360" w:lineRule="auto"/>
              <w:ind w:left="0" w:leftChars="0" w:right="0" w:rightChars="0" w:firstLine="402" w:firstLineChars="0"/>
              <w:textAlignment w:val="auto"/>
              <w:rPr>
                <w:rFonts w:hint="default" w:ascii="Times New Roman" w:hAnsi="Times New Roman" w:eastAsia="宋体" w:cs="Times New Roman"/>
                <w:b w:val="0"/>
                <w:bCs w:val="0"/>
                <w:color w:val="auto"/>
                <w:kern w:val="0"/>
                <w:sz w:val="24"/>
                <w:szCs w:val="24"/>
                <w:highlight w:val="none"/>
                <w:lang w:val="en-US" w:eastAsia="zh-CN"/>
              </w:rPr>
            </w:pPr>
            <w:r>
              <w:rPr>
                <w:rFonts w:hint="eastAsia" w:ascii="Times New Roman" w:hAnsi="Times New Roman" w:eastAsia="宋体" w:cs="Times New Roman"/>
                <w:b w:val="0"/>
                <w:bCs w:val="0"/>
                <w:color w:val="auto"/>
                <w:kern w:val="0"/>
                <w:sz w:val="24"/>
                <w:szCs w:val="24"/>
                <w:highlight w:val="none"/>
                <w:lang w:val="en-US" w:eastAsia="zh-CN"/>
              </w:rPr>
              <w:t>植被保护</w:t>
            </w:r>
            <w:r>
              <w:rPr>
                <w:rFonts w:hint="default" w:ascii="Times New Roman" w:hAnsi="Times New Roman" w:eastAsia="宋体" w:cs="Times New Roman"/>
                <w:b w:val="0"/>
                <w:bCs w:val="0"/>
                <w:color w:val="auto"/>
                <w:kern w:val="0"/>
                <w:sz w:val="24"/>
                <w:szCs w:val="24"/>
                <w:highlight w:val="none"/>
                <w:lang w:val="en-US" w:eastAsia="zh-CN"/>
              </w:rPr>
              <w:t>措施</w:t>
            </w:r>
          </w:p>
          <w:p w14:paraId="61704C60">
            <w:pPr>
              <w:pStyle w:val="57"/>
              <w:adjustRightInd/>
              <w:snapToGrid/>
              <w:spacing w:line="360" w:lineRule="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①为减少施工队伍对植被和土壤的影响，要标明施工活动区，严令禁止到非施工区域活动，严禁烟火等措施。</w:t>
            </w:r>
          </w:p>
          <w:p w14:paraId="2CCBBB43">
            <w:pPr>
              <w:pStyle w:val="57"/>
              <w:adjustRightInd/>
              <w:snapToGrid/>
              <w:spacing w:line="360" w:lineRule="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②施工单位必须对施工人员进行环境保护法和相关法规、法律的教育，增强环境保护意识，预防火灾和乱砍林木，乱采（挖）植物的事件发生。</w:t>
            </w:r>
          </w:p>
          <w:p w14:paraId="7B76633A">
            <w:pPr>
              <w:pStyle w:val="57"/>
              <w:adjustRightInd/>
              <w:snapToGrid/>
              <w:spacing w:line="360" w:lineRule="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③施工过程中，严格限定施工的工作范围，采用彩条旗规范施工范围，严格行车路线，运输车辆不得随意驶离道路或施工便道。优化施工组织，尽量减少施工过程中动用的土石方数量，减少植被破坏量。</w:t>
            </w:r>
          </w:p>
          <w:p w14:paraId="491E3976">
            <w:pPr>
              <w:pStyle w:val="57"/>
              <w:adjustRightInd/>
              <w:snapToGrid/>
              <w:spacing w:line="360" w:lineRule="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④施工活动应严格限定在工程设计和用地红线范围内，严禁越界使用或随意侵占林地。通过设置施工界限围栏，固定施工便道，严禁施工人员越界活动和施工机械下道行驶，尽可能减少工程施工对自然地表和植被的扰动，严格控制施工人员数量、设备和施工作业时间，避免任意扩大施工作业面。车辆、机械应在规划的道路上行驶，严禁随意行驶碾压植被，严禁破坏与项目建设无关的植被，将植被损失降至最低。业主单位制定环境管理监控的规程、措施，不定期对施工单位进行监管检查，确保生态保护成效。</w:t>
            </w:r>
          </w:p>
          <w:p w14:paraId="2F5B7AB6">
            <w:pPr>
              <w:pStyle w:val="57"/>
              <w:adjustRightInd/>
              <w:snapToGrid/>
              <w:spacing w:line="360" w:lineRule="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⑤施工结束后，及时拆除、清理临时生产设施，各类施工迹地应进行清理，平整场地，地表利用集中堆存的表层土恢复，使扰动过的地表与周围的景观相协调。对使用完堆放表层土的地方，应进行清理，使其恢复至原貌。</w:t>
            </w:r>
          </w:p>
          <w:p w14:paraId="18A3D305">
            <w:pPr>
              <w:pStyle w:val="57"/>
              <w:adjustRightInd/>
              <w:snapToGrid/>
              <w:spacing w:line="360" w:lineRule="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⑥生态护岸采用乔灌草护坡，保留水陆生态连通性。</w:t>
            </w:r>
          </w:p>
          <w:p w14:paraId="0769C71A">
            <w:pPr>
              <w:pStyle w:val="57"/>
              <w:adjustRightInd/>
              <w:snapToGrid/>
              <w:spacing w:line="360" w:lineRule="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⑦禁止采摘和随意践踏林地植被。施工中要尽量把对林地地表植被的破坏降低到最低限度，特别要加强对重点保护植物的保护，严禁发生乱采、滥挖野生植物的行为，最大限度减少对野生植物生长环境的扰动，施工中一旦发现珍稀保护植物应就地保护或及时移植。本项目占用林地均为地方公益林地，在施工期间临时占地尽量避免占用地方公益林地，在无法避让时采用原地或异地补偿种植同类树种。</w:t>
            </w:r>
          </w:p>
          <w:p w14:paraId="4CCB782F">
            <w:pPr>
              <w:pStyle w:val="57"/>
              <w:adjustRightInd/>
              <w:snapToGrid/>
              <w:spacing w:line="360" w:lineRule="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⑧加强植被恢复。对工程建设占地造成的植被损失，通过原址恢复和异地植被恢复造林措施进一步加强植被恢复。</w:t>
            </w:r>
          </w:p>
          <w:p w14:paraId="395D58F7">
            <w:pPr>
              <w:pStyle w:val="57"/>
              <w:adjustRightInd/>
              <w:snapToGrid/>
              <w:spacing w:line="360" w:lineRule="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⑨在工程施工过程中，要按照生态保护要求制定科学合理的工程施工方案，严格执行工程施工管理制度，做好工程施工管理。要规范施工过程，严格按照施工工序进行施工，防止因为赶工期和赶进度而造成人为的生态干扰和破坏。施工过程中产生的建筑垃圾、废料、废水、施工人员生活垃圾、污水应集中处理及时清运，严禁直接倾倒排放至河道、农田中，造成污染；同时应采取减小鸣笛、洒水降尘等措施，减轻施工噪音、扬尘等对环境的影响。</w:t>
            </w:r>
          </w:p>
          <w:p w14:paraId="7E7C62D6">
            <w:pPr>
              <w:keepNext w:val="0"/>
              <w:keepLines w:val="0"/>
              <w:pageBreakBefore w:val="0"/>
              <w:widowControl w:val="0"/>
              <w:numPr>
                <w:ilvl w:val="2"/>
                <w:numId w:val="12"/>
              </w:numPr>
              <w:kinsoku/>
              <w:wordWrap/>
              <w:overflowPunct/>
              <w:topLinePunct w:val="0"/>
              <w:autoSpaceDE w:val="0"/>
              <w:autoSpaceDN w:val="0"/>
              <w:bidi w:val="0"/>
              <w:adjustRightInd w:val="0"/>
              <w:snapToGrid w:val="0"/>
              <w:spacing w:line="360" w:lineRule="auto"/>
              <w:ind w:left="0" w:leftChars="0" w:right="0" w:rightChars="0" w:firstLine="402" w:firstLineChars="0"/>
              <w:textAlignment w:val="auto"/>
              <w:rPr>
                <w:rFonts w:hint="eastAsia" w:ascii="Times New Roman" w:hAnsi="Times New Roman" w:eastAsia="宋体" w:cs="Times New Roman"/>
                <w:b w:val="0"/>
                <w:bCs w:val="0"/>
                <w:color w:val="auto"/>
                <w:kern w:val="0"/>
                <w:sz w:val="24"/>
                <w:szCs w:val="24"/>
                <w:highlight w:val="none"/>
                <w:lang w:val="en-US" w:eastAsia="en-US"/>
              </w:rPr>
            </w:pPr>
            <w:r>
              <w:rPr>
                <w:rFonts w:hint="eastAsia" w:ascii="Times New Roman" w:hAnsi="Times New Roman" w:eastAsia="宋体" w:cs="Times New Roman"/>
                <w:b w:val="0"/>
                <w:bCs w:val="0"/>
                <w:color w:val="auto"/>
                <w:kern w:val="0"/>
                <w:sz w:val="24"/>
                <w:szCs w:val="24"/>
                <w:highlight w:val="none"/>
                <w:lang w:val="en-US" w:eastAsia="zh-CN"/>
              </w:rPr>
              <w:t>水土保持</w:t>
            </w:r>
            <w:r>
              <w:rPr>
                <w:rFonts w:hint="eastAsia" w:ascii="Times New Roman" w:hAnsi="Times New Roman" w:eastAsia="宋体" w:cs="Times New Roman"/>
                <w:b w:val="0"/>
                <w:bCs w:val="0"/>
                <w:color w:val="auto"/>
                <w:kern w:val="0"/>
                <w:sz w:val="24"/>
                <w:szCs w:val="24"/>
                <w:highlight w:val="none"/>
                <w:lang w:val="en-US" w:eastAsia="en-US"/>
              </w:rPr>
              <w:t>措施</w:t>
            </w:r>
          </w:p>
          <w:p w14:paraId="3C61709D">
            <w:pPr>
              <w:widowControl/>
              <w:kinsoku/>
              <w:autoSpaceDE w:val="0"/>
              <w:autoSpaceDN w:val="0"/>
              <w:bidi w:val="0"/>
              <w:adjustRightInd w:val="0"/>
              <w:snapToGrid w:val="0"/>
              <w:spacing w:line="360" w:lineRule="auto"/>
              <w:ind w:firstLine="480" w:firstLineChars="200"/>
              <w:jc w:val="left"/>
              <w:textAlignment w:val="baseline"/>
              <w:rPr>
                <w:rFonts w:hint="eastAsia" w:cs="Times New Roman"/>
                <w:b w:val="0"/>
                <w:bCs w:val="0"/>
                <w:snapToGrid w:val="0"/>
                <w:color w:val="auto"/>
                <w:kern w:val="0"/>
                <w:sz w:val="24"/>
                <w:highlight w:val="none"/>
                <w:lang w:val="en-US" w:eastAsia="zh-CN"/>
              </w:rPr>
            </w:pPr>
            <w:r>
              <w:rPr>
                <w:rFonts w:hint="eastAsia" w:cs="Times New Roman"/>
                <w:b w:val="0"/>
                <w:bCs w:val="0"/>
                <w:snapToGrid w:val="0"/>
                <w:color w:val="auto"/>
                <w:kern w:val="0"/>
                <w:sz w:val="24"/>
                <w:highlight w:val="none"/>
                <w:lang w:val="en-US" w:eastAsia="zh-CN"/>
              </w:rPr>
              <w:t>①主体工程区水土保持措施</w:t>
            </w:r>
          </w:p>
          <w:p w14:paraId="0BF3B14F">
            <w:pPr>
              <w:widowControl/>
              <w:kinsoku/>
              <w:autoSpaceDE w:val="0"/>
              <w:autoSpaceDN w:val="0"/>
              <w:bidi w:val="0"/>
              <w:adjustRightInd w:val="0"/>
              <w:snapToGrid w:val="0"/>
              <w:spacing w:line="360" w:lineRule="auto"/>
              <w:ind w:firstLine="480" w:firstLineChars="200"/>
              <w:jc w:val="left"/>
              <w:textAlignment w:val="baseline"/>
              <w:rPr>
                <w:rFonts w:hint="eastAsia" w:cs="Times New Roman"/>
                <w:b w:val="0"/>
                <w:bCs w:val="0"/>
                <w:snapToGrid w:val="0"/>
                <w:color w:val="auto"/>
                <w:kern w:val="0"/>
                <w:sz w:val="24"/>
                <w:highlight w:val="none"/>
                <w:lang w:val="en-US" w:eastAsia="zh-CN"/>
              </w:rPr>
            </w:pPr>
            <w:r>
              <w:rPr>
                <w:rFonts w:hint="eastAsia" w:cs="Times New Roman"/>
                <w:b w:val="0"/>
                <w:bCs w:val="0"/>
                <w:snapToGrid w:val="0"/>
                <w:color w:val="auto"/>
                <w:kern w:val="0"/>
                <w:sz w:val="24"/>
                <w:highlight w:val="none"/>
                <w:lang w:val="en-US" w:eastAsia="zh-CN"/>
              </w:rPr>
              <w:t>1）工程措施</w:t>
            </w:r>
          </w:p>
          <w:p w14:paraId="1C1079D1">
            <w:pPr>
              <w:widowControl/>
              <w:kinsoku/>
              <w:autoSpaceDE w:val="0"/>
              <w:autoSpaceDN w:val="0"/>
              <w:bidi w:val="0"/>
              <w:adjustRightInd w:val="0"/>
              <w:snapToGrid w:val="0"/>
              <w:spacing w:line="360" w:lineRule="auto"/>
              <w:ind w:firstLine="480" w:firstLineChars="200"/>
              <w:jc w:val="left"/>
              <w:textAlignment w:val="baseline"/>
              <w:rPr>
                <w:rFonts w:hint="eastAsia" w:cs="Times New Roman"/>
                <w:b w:val="0"/>
                <w:bCs w:val="0"/>
                <w:snapToGrid w:val="0"/>
                <w:color w:val="auto"/>
                <w:kern w:val="0"/>
                <w:sz w:val="24"/>
                <w:highlight w:val="none"/>
                <w:lang w:val="en-US" w:eastAsia="zh-CN"/>
              </w:rPr>
            </w:pPr>
            <w:r>
              <w:rPr>
                <w:rFonts w:hint="eastAsia" w:cs="Times New Roman"/>
                <w:b w:val="0"/>
                <w:bCs w:val="0"/>
                <w:snapToGrid w:val="0"/>
                <w:color w:val="auto"/>
                <w:kern w:val="0"/>
                <w:sz w:val="24"/>
                <w:highlight w:val="none"/>
                <w:lang w:val="en-US" w:eastAsia="zh-CN"/>
              </w:rPr>
              <w:t>主要是施工结束后，对主体工程区项目区扰动区域进行土地平整。</w:t>
            </w:r>
          </w:p>
          <w:p w14:paraId="4BE8D49E">
            <w:pPr>
              <w:widowControl/>
              <w:kinsoku/>
              <w:autoSpaceDE w:val="0"/>
              <w:autoSpaceDN w:val="0"/>
              <w:bidi w:val="0"/>
              <w:adjustRightInd w:val="0"/>
              <w:snapToGrid w:val="0"/>
              <w:spacing w:line="360" w:lineRule="auto"/>
              <w:ind w:firstLine="480" w:firstLineChars="200"/>
              <w:jc w:val="left"/>
              <w:textAlignment w:val="baseline"/>
              <w:rPr>
                <w:rFonts w:hint="eastAsia" w:cs="Times New Roman"/>
                <w:b w:val="0"/>
                <w:bCs w:val="0"/>
                <w:snapToGrid w:val="0"/>
                <w:color w:val="auto"/>
                <w:kern w:val="0"/>
                <w:sz w:val="24"/>
                <w:highlight w:val="none"/>
                <w:lang w:val="en-US" w:eastAsia="zh-CN"/>
              </w:rPr>
            </w:pPr>
            <w:r>
              <w:rPr>
                <w:rFonts w:hint="eastAsia" w:cs="Times New Roman"/>
                <w:b w:val="0"/>
                <w:bCs w:val="0"/>
                <w:snapToGrid w:val="0"/>
                <w:color w:val="auto"/>
                <w:kern w:val="0"/>
                <w:sz w:val="24"/>
                <w:highlight w:val="none"/>
                <w:lang w:val="en-US" w:eastAsia="zh-CN"/>
              </w:rPr>
              <w:t>2）临时措施</w:t>
            </w:r>
          </w:p>
          <w:p w14:paraId="147BF967">
            <w:pPr>
              <w:widowControl/>
              <w:kinsoku/>
              <w:autoSpaceDE w:val="0"/>
              <w:autoSpaceDN w:val="0"/>
              <w:bidi w:val="0"/>
              <w:adjustRightInd w:val="0"/>
              <w:snapToGrid w:val="0"/>
              <w:spacing w:line="360" w:lineRule="auto"/>
              <w:ind w:firstLine="480" w:firstLineChars="200"/>
              <w:jc w:val="left"/>
              <w:textAlignment w:val="baseline"/>
              <w:rPr>
                <w:rFonts w:hint="eastAsia" w:cs="Times New Roman"/>
                <w:b w:val="0"/>
                <w:bCs w:val="0"/>
                <w:snapToGrid w:val="0"/>
                <w:color w:val="auto"/>
                <w:kern w:val="0"/>
                <w:sz w:val="24"/>
                <w:highlight w:val="none"/>
                <w:lang w:val="en-US" w:eastAsia="zh-CN"/>
              </w:rPr>
            </w:pPr>
            <w:r>
              <w:rPr>
                <w:rFonts w:hint="eastAsia" w:cs="Times New Roman"/>
                <w:b w:val="0"/>
                <w:bCs w:val="0"/>
                <w:snapToGrid w:val="0"/>
                <w:color w:val="auto"/>
                <w:kern w:val="0"/>
                <w:sz w:val="24"/>
                <w:highlight w:val="none"/>
                <w:lang w:val="en-US" w:eastAsia="zh-CN"/>
              </w:rPr>
              <w:t>洒水：施工期间，为减少施工车辆拉运土方造成的水土流失，采取洒水措施降低施工期间的水土流失，每天洒水一次。</w:t>
            </w:r>
          </w:p>
          <w:p w14:paraId="6B4D55E4">
            <w:pPr>
              <w:widowControl/>
              <w:kinsoku/>
              <w:autoSpaceDE w:val="0"/>
              <w:autoSpaceDN w:val="0"/>
              <w:bidi w:val="0"/>
              <w:adjustRightInd w:val="0"/>
              <w:snapToGrid w:val="0"/>
              <w:spacing w:line="360" w:lineRule="auto"/>
              <w:ind w:firstLine="480" w:firstLineChars="200"/>
              <w:jc w:val="left"/>
              <w:textAlignment w:val="baseline"/>
              <w:rPr>
                <w:rFonts w:hint="eastAsia" w:cs="Times New Roman"/>
                <w:b w:val="0"/>
                <w:bCs w:val="0"/>
                <w:snapToGrid w:val="0"/>
                <w:color w:val="auto"/>
                <w:kern w:val="0"/>
                <w:sz w:val="24"/>
                <w:highlight w:val="none"/>
                <w:lang w:val="en-US" w:eastAsia="zh-CN"/>
              </w:rPr>
            </w:pPr>
            <w:r>
              <w:rPr>
                <w:rFonts w:hint="eastAsia" w:cs="Times New Roman"/>
                <w:b w:val="0"/>
                <w:bCs w:val="0"/>
                <w:snapToGrid w:val="0"/>
                <w:color w:val="auto"/>
                <w:kern w:val="0"/>
                <w:sz w:val="24"/>
                <w:highlight w:val="none"/>
                <w:lang w:val="en-US" w:eastAsia="zh-CN"/>
              </w:rPr>
              <w:t>②道路工程区水土保持措施</w:t>
            </w:r>
          </w:p>
          <w:p w14:paraId="4348AABD">
            <w:pPr>
              <w:widowControl/>
              <w:kinsoku/>
              <w:autoSpaceDE w:val="0"/>
              <w:autoSpaceDN w:val="0"/>
              <w:bidi w:val="0"/>
              <w:adjustRightInd w:val="0"/>
              <w:snapToGrid w:val="0"/>
              <w:spacing w:line="360" w:lineRule="auto"/>
              <w:ind w:firstLine="480" w:firstLineChars="200"/>
              <w:jc w:val="left"/>
              <w:textAlignment w:val="baseline"/>
              <w:rPr>
                <w:rFonts w:hint="eastAsia" w:cs="Times New Roman"/>
                <w:b w:val="0"/>
                <w:bCs w:val="0"/>
                <w:snapToGrid w:val="0"/>
                <w:color w:val="auto"/>
                <w:kern w:val="0"/>
                <w:sz w:val="24"/>
                <w:highlight w:val="none"/>
                <w:lang w:val="en-US" w:eastAsia="zh-CN"/>
              </w:rPr>
            </w:pPr>
            <w:r>
              <w:rPr>
                <w:rFonts w:hint="eastAsia" w:cs="Times New Roman"/>
                <w:b w:val="0"/>
                <w:bCs w:val="0"/>
                <w:snapToGrid w:val="0"/>
                <w:color w:val="auto"/>
                <w:kern w:val="0"/>
                <w:sz w:val="24"/>
                <w:highlight w:val="none"/>
                <w:lang w:val="en-US" w:eastAsia="zh-CN"/>
              </w:rPr>
              <w:t>1）工程措施</w:t>
            </w:r>
          </w:p>
          <w:p w14:paraId="2AEE661D">
            <w:pPr>
              <w:widowControl/>
              <w:kinsoku/>
              <w:autoSpaceDE w:val="0"/>
              <w:autoSpaceDN w:val="0"/>
              <w:bidi w:val="0"/>
              <w:adjustRightInd w:val="0"/>
              <w:snapToGrid w:val="0"/>
              <w:spacing w:line="360" w:lineRule="auto"/>
              <w:ind w:firstLine="480" w:firstLineChars="200"/>
              <w:jc w:val="left"/>
              <w:textAlignment w:val="baseline"/>
              <w:rPr>
                <w:rFonts w:hint="eastAsia" w:cs="Times New Roman"/>
                <w:b w:val="0"/>
                <w:bCs w:val="0"/>
                <w:snapToGrid w:val="0"/>
                <w:color w:val="auto"/>
                <w:kern w:val="0"/>
                <w:sz w:val="24"/>
                <w:highlight w:val="none"/>
                <w:lang w:val="en-US" w:eastAsia="zh-CN"/>
              </w:rPr>
            </w:pPr>
            <w:r>
              <w:rPr>
                <w:rFonts w:hint="eastAsia" w:cs="Times New Roman"/>
                <w:b w:val="0"/>
                <w:bCs w:val="0"/>
                <w:snapToGrid w:val="0"/>
                <w:color w:val="auto"/>
                <w:kern w:val="0"/>
                <w:sz w:val="24"/>
                <w:highlight w:val="none"/>
                <w:lang w:val="en-US" w:eastAsia="zh-CN"/>
              </w:rPr>
              <w:t>土地平整：主体工程完工后，施工后期，对施工生产施工迹地区域采取土地平整。</w:t>
            </w:r>
          </w:p>
          <w:p w14:paraId="389E330A">
            <w:pPr>
              <w:widowControl/>
              <w:kinsoku/>
              <w:autoSpaceDE w:val="0"/>
              <w:autoSpaceDN w:val="0"/>
              <w:bidi w:val="0"/>
              <w:adjustRightInd w:val="0"/>
              <w:snapToGrid w:val="0"/>
              <w:spacing w:line="360" w:lineRule="auto"/>
              <w:ind w:firstLine="480" w:firstLineChars="200"/>
              <w:jc w:val="left"/>
              <w:textAlignment w:val="baseline"/>
              <w:rPr>
                <w:rFonts w:hint="eastAsia" w:cs="Times New Roman"/>
                <w:b w:val="0"/>
                <w:bCs w:val="0"/>
                <w:snapToGrid w:val="0"/>
                <w:color w:val="auto"/>
                <w:kern w:val="0"/>
                <w:sz w:val="24"/>
                <w:highlight w:val="none"/>
                <w:lang w:val="en-US" w:eastAsia="zh-CN"/>
              </w:rPr>
            </w:pPr>
            <w:r>
              <w:rPr>
                <w:rFonts w:hint="eastAsia" w:cs="Times New Roman"/>
                <w:b w:val="0"/>
                <w:bCs w:val="0"/>
                <w:snapToGrid w:val="0"/>
                <w:color w:val="auto"/>
                <w:kern w:val="0"/>
                <w:sz w:val="24"/>
                <w:highlight w:val="none"/>
                <w:lang w:val="en-US" w:eastAsia="zh-CN"/>
              </w:rPr>
              <w:t>2）临时措施</w:t>
            </w:r>
          </w:p>
          <w:p w14:paraId="4C5729FC">
            <w:pPr>
              <w:widowControl/>
              <w:kinsoku/>
              <w:autoSpaceDE w:val="0"/>
              <w:autoSpaceDN w:val="0"/>
              <w:bidi w:val="0"/>
              <w:adjustRightInd w:val="0"/>
              <w:snapToGrid w:val="0"/>
              <w:spacing w:line="360" w:lineRule="auto"/>
              <w:ind w:firstLine="480" w:firstLineChars="200"/>
              <w:jc w:val="left"/>
              <w:textAlignment w:val="baseline"/>
              <w:rPr>
                <w:rFonts w:hint="eastAsia" w:cs="Times New Roman"/>
                <w:b w:val="0"/>
                <w:bCs w:val="0"/>
                <w:snapToGrid w:val="0"/>
                <w:color w:val="auto"/>
                <w:kern w:val="0"/>
                <w:sz w:val="24"/>
                <w:highlight w:val="none"/>
                <w:lang w:val="en-US" w:eastAsia="zh-CN"/>
              </w:rPr>
            </w:pPr>
            <w:r>
              <w:rPr>
                <w:rFonts w:hint="eastAsia" w:cs="Times New Roman"/>
                <w:b w:val="0"/>
                <w:bCs w:val="0"/>
                <w:snapToGrid w:val="0"/>
                <w:color w:val="auto"/>
                <w:kern w:val="0"/>
                <w:sz w:val="24"/>
                <w:highlight w:val="none"/>
                <w:lang w:val="en-US" w:eastAsia="zh-CN"/>
              </w:rPr>
              <w:t>洒水：施工期间，为减少施工车辆拉运土方造成的水土流失，采取洒水措施降低施工期间的水土流失，每天洒水一次。</w:t>
            </w:r>
          </w:p>
          <w:p w14:paraId="4B5821B7">
            <w:pPr>
              <w:widowControl/>
              <w:kinsoku/>
              <w:autoSpaceDE w:val="0"/>
              <w:autoSpaceDN w:val="0"/>
              <w:bidi w:val="0"/>
              <w:adjustRightInd w:val="0"/>
              <w:snapToGrid w:val="0"/>
              <w:spacing w:line="360" w:lineRule="auto"/>
              <w:ind w:firstLine="480" w:firstLineChars="200"/>
              <w:jc w:val="left"/>
              <w:textAlignment w:val="baseline"/>
              <w:rPr>
                <w:rFonts w:hint="eastAsia" w:cs="Times New Roman"/>
                <w:b w:val="0"/>
                <w:bCs w:val="0"/>
                <w:snapToGrid w:val="0"/>
                <w:color w:val="auto"/>
                <w:kern w:val="0"/>
                <w:sz w:val="24"/>
                <w:highlight w:val="none"/>
                <w:lang w:val="en-US" w:eastAsia="zh-CN"/>
              </w:rPr>
            </w:pPr>
            <w:r>
              <w:rPr>
                <w:rFonts w:hint="eastAsia" w:cs="Times New Roman"/>
                <w:b w:val="0"/>
                <w:bCs w:val="0"/>
                <w:snapToGrid w:val="0"/>
                <w:color w:val="auto"/>
                <w:kern w:val="0"/>
                <w:sz w:val="24"/>
                <w:highlight w:val="none"/>
                <w:lang w:val="en-US" w:eastAsia="zh-CN"/>
              </w:rPr>
              <w:t>限制性彩条旗：在施工期间采取彩条旗限界措施防止施工车辆的超范围扰动。</w:t>
            </w:r>
          </w:p>
          <w:p w14:paraId="025F7558">
            <w:pPr>
              <w:widowControl/>
              <w:kinsoku/>
              <w:autoSpaceDE w:val="0"/>
              <w:autoSpaceDN w:val="0"/>
              <w:bidi w:val="0"/>
              <w:adjustRightInd w:val="0"/>
              <w:snapToGrid w:val="0"/>
              <w:spacing w:line="360" w:lineRule="auto"/>
              <w:ind w:firstLine="480" w:firstLineChars="200"/>
              <w:jc w:val="left"/>
              <w:textAlignment w:val="baseline"/>
              <w:rPr>
                <w:rFonts w:hint="eastAsia" w:cs="Times New Roman"/>
                <w:b w:val="0"/>
                <w:bCs w:val="0"/>
                <w:snapToGrid w:val="0"/>
                <w:color w:val="auto"/>
                <w:kern w:val="0"/>
                <w:sz w:val="24"/>
                <w:highlight w:val="none"/>
                <w:lang w:val="en-US" w:eastAsia="zh-CN"/>
              </w:rPr>
            </w:pPr>
            <w:r>
              <w:rPr>
                <w:rFonts w:hint="eastAsia" w:cs="Times New Roman"/>
                <w:b w:val="0"/>
                <w:bCs w:val="0"/>
                <w:snapToGrid w:val="0"/>
                <w:color w:val="auto"/>
                <w:kern w:val="0"/>
                <w:sz w:val="24"/>
                <w:highlight w:val="none"/>
                <w:lang w:val="en-US" w:eastAsia="zh-CN"/>
              </w:rPr>
              <w:t>③临时堆土区水土保持措施</w:t>
            </w:r>
          </w:p>
          <w:p w14:paraId="04BA80AE">
            <w:pPr>
              <w:widowControl/>
              <w:kinsoku/>
              <w:autoSpaceDE w:val="0"/>
              <w:autoSpaceDN w:val="0"/>
              <w:bidi w:val="0"/>
              <w:adjustRightInd w:val="0"/>
              <w:snapToGrid w:val="0"/>
              <w:spacing w:line="360" w:lineRule="auto"/>
              <w:ind w:firstLine="480" w:firstLineChars="200"/>
              <w:jc w:val="left"/>
              <w:textAlignment w:val="baseline"/>
              <w:rPr>
                <w:rFonts w:hint="eastAsia" w:cs="Times New Roman"/>
                <w:b w:val="0"/>
                <w:bCs w:val="0"/>
                <w:snapToGrid w:val="0"/>
                <w:color w:val="auto"/>
                <w:kern w:val="0"/>
                <w:sz w:val="24"/>
                <w:highlight w:val="none"/>
                <w:lang w:val="en-US" w:eastAsia="zh-CN"/>
              </w:rPr>
            </w:pPr>
            <w:r>
              <w:rPr>
                <w:rFonts w:hint="eastAsia" w:cs="Times New Roman"/>
                <w:b w:val="0"/>
                <w:bCs w:val="0"/>
                <w:snapToGrid w:val="0"/>
                <w:color w:val="auto"/>
                <w:kern w:val="0"/>
                <w:sz w:val="24"/>
                <w:highlight w:val="none"/>
                <w:lang w:val="en-US" w:eastAsia="zh-CN"/>
              </w:rPr>
              <w:t>1）工程措施</w:t>
            </w:r>
          </w:p>
          <w:p w14:paraId="08D453A1">
            <w:pPr>
              <w:widowControl/>
              <w:kinsoku/>
              <w:autoSpaceDE w:val="0"/>
              <w:autoSpaceDN w:val="0"/>
              <w:bidi w:val="0"/>
              <w:adjustRightInd w:val="0"/>
              <w:snapToGrid w:val="0"/>
              <w:spacing w:line="360" w:lineRule="auto"/>
              <w:ind w:firstLine="480" w:firstLineChars="200"/>
              <w:jc w:val="left"/>
              <w:textAlignment w:val="baseline"/>
              <w:rPr>
                <w:rFonts w:hint="eastAsia" w:cs="Times New Roman"/>
                <w:b w:val="0"/>
                <w:bCs w:val="0"/>
                <w:snapToGrid w:val="0"/>
                <w:color w:val="auto"/>
                <w:kern w:val="0"/>
                <w:sz w:val="24"/>
                <w:highlight w:val="none"/>
                <w:lang w:val="en-US" w:eastAsia="zh-CN"/>
              </w:rPr>
            </w:pPr>
            <w:r>
              <w:rPr>
                <w:rFonts w:hint="eastAsia" w:cs="Times New Roman"/>
                <w:b w:val="0"/>
                <w:bCs w:val="0"/>
                <w:snapToGrid w:val="0"/>
                <w:color w:val="auto"/>
                <w:kern w:val="0"/>
                <w:sz w:val="24"/>
                <w:highlight w:val="none"/>
                <w:lang w:val="en-US" w:eastAsia="zh-CN"/>
              </w:rPr>
              <w:t>土地平整：主体工程完工后，对施工生产施工迹地区域采取土地平整。</w:t>
            </w:r>
          </w:p>
          <w:p w14:paraId="136792CB">
            <w:pPr>
              <w:widowControl/>
              <w:kinsoku/>
              <w:autoSpaceDE w:val="0"/>
              <w:autoSpaceDN w:val="0"/>
              <w:bidi w:val="0"/>
              <w:adjustRightInd w:val="0"/>
              <w:snapToGrid w:val="0"/>
              <w:spacing w:line="360" w:lineRule="auto"/>
              <w:ind w:firstLine="480" w:firstLineChars="200"/>
              <w:jc w:val="left"/>
              <w:textAlignment w:val="baseline"/>
              <w:rPr>
                <w:rFonts w:hint="eastAsia" w:cs="Times New Roman"/>
                <w:b w:val="0"/>
                <w:bCs w:val="0"/>
                <w:snapToGrid w:val="0"/>
                <w:color w:val="auto"/>
                <w:kern w:val="0"/>
                <w:sz w:val="24"/>
                <w:highlight w:val="none"/>
                <w:lang w:val="en-US" w:eastAsia="zh-CN"/>
              </w:rPr>
            </w:pPr>
            <w:r>
              <w:rPr>
                <w:rFonts w:hint="eastAsia" w:cs="Times New Roman"/>
                <w:b w:val="0"/>
                <w:bCs w:val="0"/>
                <w:snapToGrid w:val="0"/>
                <w:color w:val="auto"/>
                <w:kern w:val="0"/>
                <w:sz w:val="24"/>
                <w:highlight w:val="none"/>
                <w:lang w:val="en-US" w:eastAsia="zh-CN"/>
              </w:rPr>
              <w:t>2）临时措施</w:t>
            </w:r>
          </w:p>
          <w:p w14:paraId="44828B03">
            <w:pPr>
              <w:widowControl/>
              <w:kinsoku/>
              <w:autoSpaceDE w:val="0"/>
              <w:autoSpaceDN w:val="0"/>
              <w:bidi w:val="0"/>
              <w:adjustRightInd w:val="0"/>
              <w:snapToGrid w:val="0"/>
              <w:spacing w:line="360" w:lineRule="auto"/>
              <w:ind w:firstLine="480" w:firstLineChars="200"/>
              <w:jc w:val="left"/>
              <w:textAlignment w:val="baseline"/>
              <w:rPr>
                <w:rFonts w:hint="eastAsia" w:cs="Times New Roman"/>
                <w:b w:val="0"/>
                <w:bCs w:val="0"/>
                <w:snapToGrid w:val="0"/>
                <w:color w:val="auto"/>
                <w:kern w:val="0"/>
                <w:sz w:val="24"/>
                <w:highlight w:val="none"/>
                <w:lang w:val="en-US" w:eastAsia="zh-CN"/>
              </w:rPr>
            </w:pPr>
            <w:r>
              <w:rPr>
                <w:rFonts w:hint="eastAsia" w:cs="Times New Roman"/>
                <w:b w:val="0"/>
                <w:bCs w:val="0"/>
                <w:snapToGrid w:val="0"/>
                <w:color w:val="auto"/>
                <w:kern w:val="0"/>
                <w:sz w:val="24"/>
                <w:highlight w:val="none"/>
                <w:lang w:val="en-US" w:eastAsia="zh-CN"/>
              </w:rPr>
              <w:t>防尘网苫盖：堆土堆放期间采取防尘网苫盖措施减少水土流失。</w:t>
            </w:r>
          </w:p>
          <w:p w14:paraId="049C51BB">
            <w:pPr>
              <w:widowControl/>
              <w:kinsoku/>
              <w:autoSpaceDE w:val="0"/>
              <w:autoSpaceDN w:val="0"/>
              <w:bidi w:val="0"/>
              <w:adjustRightInd w:val="0"/>
              <w:snapToGrid w:val="0"/>
              <w:spacing w:line="360" w:lineRule="auto"/>
              <w:ind w:firstLine="480" w:firstLineChars="200"/>
              <w:jc w:val="left"/>
              <w:textAlignment w:val="baseline"/>
              <w:rPr>
                <w:rFonts w:hint="eastAsia" w:cs="Times New Roman"/>
                <w:b w:val="0"/>
                <w:bCs w:val="0"/>
                <w:snapToGrid w:val="0"/>
                <w:color w:val="auto"/>
                <w:kern w:val="0"/>
                <w:sz w:val="24"/>
                <w:highlight w:val="none"/>
                <w:lang w:val="en-US" w:eastAsia="zh-CN"/>
              </w:rPr>
            </w:pPr>
            <w:r>
              <w:rPr>
                <w:rFonts w:hint="eastAsia" w:cs="Times New Roman"/>
                <w:b w:val="0"/>
                <w:bCs w:val="0"/>
                <w:snapToGrid w:val="0"/>
                <w:color w:val="auto"/>
                <w:kern w:val="0"/>
                <w:sz w:val="24"/>
                <w:highlight w:val="none"/>
                <w:lang w:val="en-US" w:eastAsia="zh-CN"/>
              </w:rPr>
              <w:t>限制性彩条旗：在施工期间采取彩条旗限界措施防止施工车辆的超范围扰动。</w:t>
            </w:r>
          </w:p>
          <w:p w14:paraId="3FBAF6DA">
            <w:pPr>
              <w:widowControl/>
              <w:kinsoku/>
              <w:autoSpaceDE w:val="0"/>
              <w:autoSpaceDN w:val="0"/>
              <w:bidi w:val="0"/>
              <w:adjustRightInd w:val="0"/>
              <w:snapToGrid w:val="0"/>
              <w:spacing w:line="360" w:lineRule="auto"/>
              <w:ind w:firstLine="480" w:firstLineChars="200"/>
              <w:jc w:val="left"/>
              <w:textAlignment w:val="baseline"/>
              <w:rPr>
                <w:rFonts w:hint="eastAsia" w:cs="Times New Roman"/>
                <w:b w:val="0"/>
                <w:bCs w:val="0"/>
                <w:snapToGrid w:val="0"/>
                <w:color w:val="auto"/>
                <w:kern w:val="0"/>
                <w:sz w:val="24"/>
                <w:highlight w:val="none"/>
                <w:lang w:val="en-US" w:eastAsia="zh-CN"/>
              </w:rPr>
            </w:pPr>
            <w:r>
              <w:rPr>
                <w:rFonts w:hint="eastAsia" w:cs="Times New Roman"/>
                <w:b w:val="0"/>
                <w:bCs w:val="0"/>
                <w:snapToGrid w:val="0"/>
                <w:color w:val="auto"/>
                <w:kern w:val="0"/>
                <w:sz w:val="24"/>
                <w:highlight w:val="none"/>
                <w:lang w:val="en-US" w:eastAsia="zh-CN"/>
              </w:rPr>
              <w:t>④临时生产区水土保持措施</w:t>
            </w:r>
          </w:p>
          <w:p w14:paraId="736AFE0A">
            <w:pPr>
              <w:widowControl/>
              <w:kinsoku/>
              <w:autoSpaceDE w:val="0"/>
              <w:autoSpaceDN w:val="0"/>
              <w:bidi w:val="0"/>
              <w:adjustRightInd w:val="0"/>
              <w:snapToGrid w:val="0"/>
              <w:spacing w:line="360" w:lineRule="auto"/>
              <w:ind w:firstLine="480" w:firstLineChars="200"/>
              <w:jc w:val="left"/>
              <w:textAlignment w:val="baseline"/>
              <w:rPr>
                <w:rFonts w:hint="eastAsia" w:cs="Times New Roman"/>
                <w:b w:val="0"/>
                <w:bCs w:val="0"/>
                <w:snapToGrid w:val="0"/>
                <w:color w:val="auto"/>
                <w:kern w:val="0"/>
                <w:sz w:val="24"/>
                <w:highlight w:val="none"/>
                <w:lang w:val="en-US" w:eastAsia="zh-CN"/>
              </w:rPr>
            </w:pPr>
            <w:r>
              <w:rPr>
                <w:rFonts w:hint="eastAsia" w:cs="Times New Roman"/>
                <w:b w:val="0"/>
                <w:bCs w:val="0"/>
                <w:snapToGrid w:val="0"/>
                <w:color w:val="auto"/>
                <w:kern w:val="0"/>
                <w:sz w:val="24"/>
                <w:highlight w:val="none"/>
                <w:lang w:val="en-US" w:eastAsia="zh-CN"/>
              </w:rPr>
              <w:t>1）工程措施</w:t>
            </w:r>
          </w:p>
          <w:p w14:paraId="11124A9C">
            <w:pPr>
              <w:widowControl/>
              <w:kinsoku/>
              <w:autoSpaceDE w:val="0"/>
              <w:autoSpaceDN w:val="0"/>
              <w:bidi w:val="0"/>
              <w:adjustRightInd w:val="0"/>
              <w:snapToGrid w:val="0"/>
              <w:spacing w:line="360" w:lineRule="auto"/>
              <w:ind w:firstLine="480" w:firstLineChars="200"/>
              <w:jc w:val="left"/>
              <w:textAlignment w:val="baseline"/>
              <w:rPr>
                <w:rFonts w:hint="eastAsia" w:cs="Times New Roman"/>
                <w:b w:val="0"/>
                <w:bCs w:val="0"/>
                <w:snapToGrid w:val="0"/>
                <w:color w:val="auto"/>
                <w:kern w:val="0"/>
                <w:sz w:val="24"/>
                <w:highlight w:val="none"/>
                <w:lang w:val="en-US" w:eastAsia="zh-CN"/>
              </w:rPr>
            </w:pPr>
            <w:r>
              <w:rPr>
                <w:rFonts w:hint="eastAsia" w:cs="Times New Roman"/>
                <w:b w:val="0"/>
                <w:bCs w:val="0"/>
                <w:snapToGrid w:val="0"/>
                <w:color w:val="auto"/>
                <w:kern w:val="0"/>
                <w:sz w:val="24"/>
                <w:highlight w:val="none"/>
                <w:lang w:val="en-US" w:eastAsia="zh-CN"/>
              </w:rPr>
              <w:t>土地平整：主体工程完工后，施工后期，对施工生产施工迹地区域采取土地平整。</w:t>
            </w:r>
          </w:p>
          <w:p w14:paraId="50ABA389">
            <w:pPr>
              <w:widowControl/>
              <w:kinsoku/>
              <w:autoSpaceDE w:val="0"/>
              <w:autoSpaceDN w:val="0"/>
              <w:bidi w:val="0"/>
              <w:adjustRightInd w:val="0"/>
              <w:snapToGrid w:val="0"/>
              <w:spacing w:line="360" w:lineRule="auto"/>
              <w:ind w:firstLine="480" w:firstLineChars="200"/>
              <w:jc w:val="left"/>
              <w:textAlignment w:val="baseline"/>
              <w:rPr>
                <w:rFonts w:hint="eastAsia" w:cs="Times New Roman"/>
                <w:b w:val="0"/>
                <w:bCs w:val="0"/>
                <w:snapToGrid w:val="0"/>
                <w:color w:val="auto"/>
                <w:kern w:val="0"/>
                <w:sz w:val="24"/>
                <w:highlight w:val="none"/>
                <w:lang w:val="en-US" w:eastAsia="zh-CN"/>
              </w:rPr>
            </w:pPr>
            <w:r>
              <w:rPr>
                <w:rFonts w:hint="eastAsia" w:cs="Times New Roman"/>
                <w:b w:val="0"/>
                <w:bCs w:val="0"/>
                <w:snapToGrid w:val="0"/>
                <w:color w:val="auto"/>
                <w:kern w:val="0"/>
                <w:sz w:val="24"/>
                <w:highlight w:val="none"/>
                <w:lang w:val="en-US" w:eastAsia="zh-CN"/>
              </w:rPr>
              <w:t>2）临时措施</w:t>
            </w:r>
          </w:p>
          <w:p w14:paraId="6D4BB90F">
            <w:pPr>
              <w:widowControl/>
              <w:kinsoku/>
              <w:autoSpaceDE w:val="0"/>
              <w:autoSpaceDN w:val="0"/>
              <w:bidi w:val="0"/>
              <w:adjustRightInd w:val="0"/>
              <w:snapToGrid w:val="0"/>
              <w:spacing w:line="360" w:lineRule="auto"/>
              <w:ind w:firstLine="480" w:firstLineChars="200"/>
              <w:jc w:val="left"/>
              <w:textAlignment w:val="baseline"/>
              <w:rPr>
                <w:rFonts w:hint="eastAsia" w:cs="Times New Roman"/>
                <w:b w:val="0"/>
                <w:bCs w:val="0"/>
                <w:snapToGrid w:val="0"/>
                <w:color w:val="auto"/>
                <w:kern w:val="0"/>
                <w:sz w:val="24"/>
                <w:highlight w:val="none"/>
                <w:lang w:val="en-US" w:eastAsia="zh-CN"/>
              </w:rPr>
            </w:pPr>
            <w:r>
              <w:rPr>
                <w:rFonts w:hint="eastAsia" w:cs="Times New Roman"/>
                <w:b w:val="0"/>
                <w:bCs w:val="0"/>
                <w:snapToGrid w:val="0"/>
                <w:color w:val="auto"/>
                <w:kern w:val="0"/>
                <w:sz w:val="24"/>
                <w:highlight w:val="none"/>
                <w:lang w:val="en-US" w:eastAsia="zh-CN"/>
              </w:rPr>
              <w:t>洒水：施工期间，为减少施工扬尘，采取洒水措施降低施工期间的水土流失，每天洒水一次。</w:t>
            </w:r>
          </w:p>
          <w:p w14:paraId="0B9F3319">
            <w:pPr>
              <w:widowControl/>
              <w:kinsoku/>
              <w:autoSpaceDE w:val="0"/>
              <w:autoSpaceDN w:val="0"/>
              <w:bidi w:val="0"/>
              <w:adjustRightInd w:val="0"/>
              <w:snapToGrid w:val="0"/>
              <w:spacing w:line="360" w:lineRule="auto"/>
              <w:ind w:firstLine="480" w:firstLineChars="200"/>
              <w:jc w:val="left"/>
              <w:textAlignment w:val="baseline"/>
              <w:rPr>
                <w:rFonts w:hint="eastAsia" w:cs="Times New Roman"/>
                <w:b w:val="0"/>
                <w:bCs w:val="0"/>
                <w:snapToGrid w:val="0"/>
                <w:color w:val="auto"/>
                <w:kern w:val="0"/>
                <w:sz w:val="24"/>
                <w:highlight w:val="none"/>
                <w:lang w:val="en-US" w:eastAsia="zh-CN"/>
              </w:rPr>
            </w:pPr>
            <w:r>
              <w:rPr>
                <w:rFonts w:hint="eastAsia" w:cs="Times New Roman"/>
                <w:b w:val="0"/>
                <w:bCs w:val="0"/>
                <w:snapToGrid w:val="0"/>
                <w:color w:val="auto"/>
                <w:kern w:val="0"/>
                <w:sz w:val="24"/>
                <w:highlight w:val="none"/>
                <w:lang w:val="en-US" w:eastAsia="zh-CN"/>
              </w:rPr>
              <w:t>限制性彩条旗：在施工期间采取彩条旗限界措施限制生产区范围扰动。</w:t>
            </w:r>
          </w:p>
          <w:p w14:paraId="1CF1895B">
            <w:pPr>
              <w:widowControl/>
              <w:kinsoku/>
              <w:autoSpaceDE w:val="0"/>
              <w:autoSpaceDN w:val="0"/>
              <w:bidi w:val="0"/>
              <w:adjustRightInd w:val="0"/>
              <w:snapToGrid w:val="0"/>
              <w:spacing w:line="360" w:lineRule="auto"/>
              <w:ind w:firstLine="480" w:firstLineChars="200"/>
              <w:jc w:val="left"/>
              <w:textAlignment w:val="baseline"/>
              <w:rPr>
                <w:rFonts w:hint="eastAsia" w:cs="Times New Roman"/>
                <w:b w:val="0"/>
                <w:bCs w:val="0"/>
                <w:snapToGrid w:val="0"/>
                <w:color w:val="auto"/>
                <w:kern w:val="0"/>
                <w:sz w:val="24"/>
                <w:highlight w:val="none"/>
                <w:lang w:val="en-US" w:eastAsia="zh-CN"/>
              </w:rPr>
            </w:pPr>
            <w:r>
              <w:rPr>
                <w:rFonts w:hint="eastAsia" w:cs="Times New Roman"/>
                <w:b w:val="0"/>
                <w:bCs w:val="0"/>
                <w:snapToGrid w:val="0"/>
                <w:color w:val="auto"/>
                <w:kern w:val="0"/>
                <w:sz w:val="24"/>
                <w:highlight w:val="none"/>
                <w:lang w:val="en-US" w:eastAsia="zh-CN"/>
              </w:rPr>
              <w:t>⑤管理措施</w:t>
            </w:r>
          </w:p>
          <w:p w14:paraId="771EE466">
            <w:pPr>
              <w:widowControl/>
              <w:kinsoku/>
              <w:autoSpaceDE w:val="0"/>
              <w:autoSpaceDN w:val="0"/>
              <w:bidi w:val="0"/>
              <w:adjustRightInd w:val="0"/>
              <w:snapToGrid w:val="0"/>
              <w:spacing w:line="360" w:lineRule="auto"/>
              <w:ind w:firstLine="480" w:firstLineChars="200"/>
              <w:jc w:val="left"/>
              <w:textAlignment w:val="baseline"/>
              <w:rPr>
                <w:rFonts w:hint="eastAsia" w:cs="Times New Roman"/>
                <w:b w:val="0"/>
                <w:bCs w:val="0"/>
                <w:snapToGrid w:val="0"/>
                <w:color w:val="auto"/>
                <w:kern w:val="0"/>
                <w:sz w:val="24"/>
                <w:highlight w:val="none"/>
                <w:lang w:val="en-US" w:eastAsia="zh-CN"/>
              </w:rPr>
            </w:pPr>
            <w:r>
              <w:rPr>
                <w:rFonts w:hint="eastAsia" w:cs="Times New Roman"/>
                <w:b w:val="0"/>
                <w:bCs w:val="0"/>
                <w:snapToGrid w:val="0"/>
                <w:color w:val="auto"/>
                <w:kern w:val="0"/>
                <w:sz w:val="24"/>
                <w:highlight w:val="none"/>
                <w:lang w:val="en-US" w:eastAsia="zh-CN"/>
              </w:rPr>
              <w:t>1）施工结束后，及时拆除、清理临时生产设施等各类施工迹地，平整场地，将施工产生土方及时回填于工程区，使扰动过的地表与周围的景观相协调，使其恢复至原貌。</w:t>
            </w:r>
          </w:p>
          <w:p w14:paraId="23D7BFDB">
            <w:pPr>
              <w:widowControl/>
              <w:kinsoku/>
              <w:autoSpaceDE w:val="0"/>
              <w:autoSpaceDN w:val="0"/>
              <w:bidi w:val="0"/>
              <w:adjustRightInd w:val="0"/>
              <w:snapToGrid w:val="0"/>
              <w:spacing w:line="360" w:lineRule="auto"/>
              <w:ind w:firstLine="480" w:firstLineChars="200"/>
              <w:jc w:val="left"/>
              <w:textAlignment w:val="baseline"/>
              <w:rPr>
                <w:rFonts w:hint="eastAsia" w:cs="Times New Roman"/>
                <w:b w:val="0"/>
                <w:bCs w:val="0"/>
                <w:snapToGrid w:val="0"/>
                <w:color w:val="auto"/>
                <w:kern w:val="0"/>
                <w:sz w:val="24"/>
                <w:highlight w:val="none"/>
                <w:lang w:val="en-US" w:eastAsia="zh-CN"/>
              </w:rPr>
            </w:pPr>
            <w:r>
              <w:rPr>
                <w:rFonts w:hint="eastAsia" w:cs="Times New Roman"/>
                <w:b w:val="0"/>
                <w:bCs w:val="0"/>
                <w:snapToGrid w:val="0"/>
                <w:color w:val="auto"/>
                <w:kern w:val="0"/>
                <w:sz w:val="24"/>
                <w:highlight w:val="none"/>
                <w:lang w:val="en-US" w:eastAsia="zh-CN"/>
              </w:rPr>
              <w:t>2）挖掘的土方合理堆放，及时回填，及时恢复挖方段的植被覆盖。</w:t>
            </w:r>
          </w:p>
          <w:p w14:paraId="4C096694">
            <w:pPr>
              <w:widowControl/>
              <w:kinsoku/>
              <w:autoSpaceDE w:val="0"/>
              <w:autoSpaceDN w:val="0"/>
              <w:bidi w:val="0"/>
              <w:adjustRightInd w:val="0"/>
              <w:snapToGrid w:val="0"/>
              <w:spacing w:line="360" w:lineRule="auto"/>
              <w:ind w:firstLine="480" w:firstLineChars="200"/>
              <w:jc w:val="left"/>
              <w:textAlignment w:val="baseline"/>
              <w:rPr>
                <w:rFonts w:hint="eastAsia" w:cs="Times New Roman"/>
                <w:b w:val="0"/>
                <w:bCs w:val="0"/>
                <w:snapToGrid w:val="0"/>
                <w:color w:val="auto"/>
                <w:kern w:val="0"/>
                <w:sz w:val="24"/>
                <w:highlight w:val="none"/>
                <w:lang w:val="en-US" w:eastAsia="zh-CN"/>
              </w:rPr>
            </w:pPr>
            <w:r>
              <w:rPr>
                <w:rFonts w:hint="eastAsia" w:cs="Times New Roman"/>
                <w:b w:val="0"/>
                <w:bCs w:val="0"/>
                <w:snapToGrid w:val="0"/>
                <w:color w:val="auto"/>
                <w:kern w:val="0"/>
                <w:sz w:val="24"/>
                <w:highlight w:val="none"/>
                <w:lang w:val="en-US" w:eastAsia="zh-CN"/>
              </w:rPr>
              <w:t>3）为了保护项目区的生态，工程挖方、回填采取分左右岸、分段集中施工的原则，挖方段表层土壤可进行异地存放，及时用于已施工完毕的地段进行覆盖恢复，极大地保持施工段景观的自然性。</w:t>
            </w:r>
          </w:p>
          <w:p w14:paraId="1E4A56D2">
            <w:pPr>
              <w:keepNext w:val="0"/>
              <w:keepLines w:val="0"/>
              <w:pageBreakBefore w:val="0"/>
              <w:widowControl w:val="0"/>
              <w:numPr>
                <w:ilvl w:val="2"/>
                <w:numId w:val="12"/>
              </w:numPr>
              <w:kinsoku/>
              <w:wordWrap/>
              <w:overflowPunct/>
              <w:topLinePunct w:val="0"/>
              <w:autoSpaceDE w:val="0"/>
              <w:autoSpaceDN w:val="0"/>
              <w:bidi w:val="0"/>
              <w:adjustRightInd w:val="0"/>
              <w:snapToGrid w:val="0"/>
              <w:spacing w:line="360" w:lineRule="auto"/>
              <w:ind w:left="0" w:leftChars="0" w:right="0" w:rightChars="0" w:firstLine="402" w:firstLineChars="0"/>
              <w:textAlignment w:val="auto"/>
              <w:rPr>
                <w:rFonts w:hint="eastAsia" w:ascii="Times New Roman" w:hAnsi="Times New Roman" w:eastAsia="宋体" w:cs="Times New Roman"/>
                <w:b w:val="0"/>
                <w:bCs w:val="0"/>
                <w:color w:val="auto"/>
                <w:kern w:val="0"/>
                <w:sz w:val="24"/>
                <w:szCs w:val="24"/>
                <w:highlight w:val="none"/>
                <w:lang w:val="en-US" w:eastAsia="zh-CN"/>
              </w:rPr>
            </w:pPr>
            <w:r>
              <w:rPr>
                <w:rFonts w:hint="eastAsia" w:ascii="Times New Roman" w:hAnsi="Times New Roman" w:eastAsia="宋体" w:cs="Times New Roman"/>
                <w:b w:val="0"/>
                <w:bCs w:val="0"/>
                <w:color w:val="auto"/>
                <w:kern w:val="0"/>
                <w:sz w:val="24"/>
                <w:szCs w:val="24"/>
                <w:highlight w:val="none"/>
                <w:lang w:val="en-US" w:eastAsia="zh-CN"/>
              </w:rPr>
              <w:t>防风固沙措施</w:t>
            </w:r>
          </w:p>
          <w:p w14:paraId="13A5707F">
            <w:pPr>
              <w:widowControl/>
              <w:spacing w:line="360" w:lineRule="auto"/>
              <w:ind w:firstLine="480" w:firstLineChars="200"/>
              <w:rPr>
                <w:rFonts w:hint="default" w:ascii="Times New Roman" w:hAnsi="Times New Roman" w:eastAsia="宋体" w:cs="Times New Roman"/>
                <w:color w:val="auto"/>
                <w:kern w:val="0"/>
                <w:sz w:val="24"/>
                <w:lang w:eastAsia="zh-CN" w:bidi="ar"/>
              </w:rPr>
            </w:pPr>
            <w:r>
              <w:rPr>
                <w:rFonts w:hint="default" w:ascii="Times New Roman" w:hAnsi="Times New Roman" w:eastAsia="宋体" w:cs="Times New Roman"/>
                <w:color w:val="auto"/>
                <w:kern w:val="0"/>
                <w:sz w:val="24"/>
                <w:lang w:eastAsia="zh-CN" w:bidi="ar"/>
              </w:rPr>
              <w:t>本次评价要求建设单位严格按照《中华人民共和国防沙治沙法》（2018）及《关于加强沙区</w:t>
            </w:r>
            <w:r>
              <w:rPr>
                <w:rFonts w:hint="eastAsia" w:ascii="Times New Roman" w:hAnsi="Times New Roman" w:eastAsia="宋体" w:cs="Times New Roman"/>
                <w:color w:val="auto"/>
                <w:kern w:val="0"/>
                <w:sz w:val="24"/>
                <w:lang w:eastAsia="zh-CN" w:bidi="ar"/>
              </w:rPr>
              <w:t>建设</w:t>
            </w:r>
            <w:r>
              <w:rPr>
                <w:rFonts w:hint="default" w:ascii="Times New Roman" w:hAnsi="Times New Roman" w:eastAsia="宋体" w:cs="Times New Roman"/>
                <w:color w:val="auto"/>
                <w:kern w:val="0"/>
                <w:sz w:val="24"/>
                <w:lang w:eastAsia="zh-CN" w:bidi="ar"/>
              </w:rPr>
              <w:t>项目环境影响评价工作的通知》（新环环评发</w:t>
            </w:r>
            <w:r>
              <w:rPr>
                <w:rFonts w:hint="eastAsia" w:ascii="Times New Roman" w:hAnsi="Times New Roman" w:eastAsia="宋体" w:cs="Times New Roman"/>
                <w:color w:val="auto"/>
                <w:kern w:val="0"/>
                <w:sz w:val="24"/>
                <w:lang w:eastAsia="zh-CN" w:bidi="ar"/>
              </w:rPr>
              <w:t>〔2020〕138号</w:t>
            </w:r>
            <w:r>
              <w:rPr>
                <w:rFonts w:hint="default" w:ascii="Times New Roman" w:hAnsi="Times New Roman" w:eastAsia="宋体" w:cs="Times New Roman"/>
                <w:color w:val="auto"/>
                <w:kern w:val="0"/>
                <w:sz w:val="24"/>
                <w:lang w:eastAsia="zh-CN" w:bidi="ar"/>
              </w:rPr>
              <w:t>）中有关规定，执行以下防沙治沙措施：</w:t>
            </w:r>
          </w:p>
          <w:p w14:paraId="41733CE9">
            <w:pPr>
              <w:keepNext w:val="0"/>
              <w:keepLines w:val="0"/>
              <w:pageBreakBefore w:val="0"/>
              <w:widowControl/>
              <w:numPr>
                <w:ilvl w:val="1"/>
                <w:numId w:val="13"/>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auto"/>
                <w:kern w:val="0"/>
                <w:sz w:val="24"/>
                <w:lang w:eastAsia="zh-CN" w:bidi="ar"/>
              </w:rPr>
            </w:pPr>
            <w:r>
              <w:rPr>
                <w:rFonts w:hint="default" w:ascii="Times New Roman" w:hAnsi="Times New Roman" w:eastAsia="宋体" w:cs="Times New Roman"/>
                <w:color w:val="auto"/>
                <w:kern w:val="0"/>
                <w:sz w:val="24"/>
                <w:lang w:eastAsia="zh-CN" w:bidi="ar"/>
              </w:rPr>
              <w:t>土方堆存过程中使用防尘网苫盖，并定期洒水抑尘。</w:t>
            </w:r>
          </w:p>
          <w:p w14:paraId="784AA73F">
            <w:pPr>
              <w:keepNext w:val="0"/>
              <w:keepLines w:val="0"/>
              <w:pageBreakBefore w:val="0"/>
              <w:widowControl/>
              <w:numPr>
                <w:ilvl w:val="1"/>
                <w:numId w:val="13"/>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auto"/>
                <w:kern w:val="0"/>
                <w:sz w:val="24"/>
                <w:lang w:eastAsia="zh-CN" w:bidi="ar"/>
              </w:rPr>
            </w:pPr>
            <w:r>
              <w:rPr>
                <w:rFonts w:hint="default" w:ascii="Times New Roman" w:hAnsi="Times New Roman" w:eastAsia="宋体" w:cs="Times New Roman"/>
                <w:color w:val="auto"/>
                <w:kern w:val="0"/>
                <w:sz w:val="24"/>
                <w:lang w:eastAsia="zh-CN" w:bidi="ar"/>
              </w:rPr>
              <w:t>施工期间应划定施工活动范围，严格控制和管理运输车辆及重型机械的运行线路和范围，不得离开运输道路随意行驶，由专人负责，以防破坏土壤和植被，加剧土地荒漠化。</w:t>
            </w:r>
          </w:p>
          <w:p w14:paraId="48B5D448">
            <w:pPr>
              <w:keepNext w:val="0"/>
              <w:keepLines w:val="0"/>
              <w:pageBreakBefore w:val="0"/>
              <w:widowControl/>
              <w:numPr>
                <w:ilvl w:val="1"/>
                <w:numId w:val="13"/>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auto"/>
                <w:kern w:val="0"/>
                <w:sz w:val="24"/>
                <w:lang w:eastAsia="zh-CN" w:bidi="ar"/>
              </w:rPr>
            </w:pPr>
            <w:r>
              <w:rPr>
                <w:rFonts w:hint="default" w:ascii="Times New Roman" w:hAnsi="Times New Roman" w:eastAsia="宋体" w:cs="Times New Roman"/>
                <w:color w:val="auto"/>
                <w:kern w:val="0"/>
                <w:sz w:val="24"/>
                <w:lang w:eastAsia="zh-CN" w:bidi="ar"/>
              </w:rPr>
              <w:t>加强对施工现场和物料运输的管理，保持道路清洁，管控料堆和渣土堆放，防治扬尘污染。</w:t>
            </w:r>
          </w:p>
          <w:p w14:paraId="3687DA4F">
            <w:pPr>
              <w:keepNext w:val="0"/>
              <w:keepLines w:val="0"/>
              <w:pageBreakBefore w:val="0"/>
              <w:widowControl/>
              <w:numPr>
                <w:ilvl w:val="1"/>
                <w:numId w:val="13"/>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auto"/>
                <w:kern w:val="0"/>
                <w:sz w:val="24"/>
                <w:lang w:eastAsia="zh-CN" w:bidi="ar"/>
              </w:rPr>
            </w:pPr>
            <w:r>
              <w:rPr>
                <w:rFonts w:hint="default" w:ascii="Times New Roman" w:hAnsi="Times New Roman" w:eastAsia="宋体" w:cs="Times New Roman"/>
                <w:color w:val="auto"/>
                <w:kern w:val="0"/>
                <w:sz w:val="24"/>
                <w:lang w:eastAsia="zh-CN" w:bidi="ar"/>
              </w:rPr>
              <w:t>施工后及时清理现场，尽可能恢复原状地貌，做到“工完、料尽、场清、整洁”，恢复原有生态。</w:t>
            </w:r>
          </w:p>
          <w:p w14:paraId="23809D1A">
            <w:pPr>
              <w:keepNext w:val="0"/>
              <w:keepLines w:val="0"/>
              <w:pageBreakBefore w:val="0"/>
              <w:widowControl/>
              <w:numPr>
                <w:ilvl w:val="1"/>
                <w:numId w:val="13"/>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auto"/>
                <w:kern w:val="0"/>
                <w:sz w:val="24"/>
                <w:lang w:eastAsia="zh-CN" w:bidi="ar"/>
              </w:rPr>
            </w:pPr>
            <w:r>
              <w:rPr>
                <w:rFonts w:hint="default" w:ascii="Times New Roman" w:hAnsi="Times New Roman" w:eastAsia="宋体" w:cs="Times New Roman"/>
                <w:color w:val="auto"/>
                <w:kern w:val="0"/>
                <w:sz w:val="24"/>
                <w:lang w:eastAsia="zh-CN" w:bidi="ar"/>
              </w:rPr>
              <w:t>合理规划临时工程的位置，尽可能减小扰动范围；临时占地在施工结束后及时清理施工垃圾，对施工场地进行平整、压实。</w:t>
            </w:r>
          </w:p>
          <w:p w14:paraId="52A6BAF1">
            <w:pPr>
              <w:keepNext w:val="0"/>
              <w:keepLines w:val="0"/>
              <w:pageBreakBefore w:val="0"/>
              <w:widowControl/>
              <w:numPr>
                <w:ilvl w:val="1"/>
                <w:numId w:val="13"/>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auto"/>
                <w:kern w:val="0"/>
                <w:sz w:val="24"/>
                <w:lang w:eastAsia="zh-CN" w:bidi="ar"/>
              </w:rPr>
            </w:pPr>
            <w:r>
              <w:rPr>
                <w:rFonts w:hint="default" w:ascii="Times New Roman" w:hAnsi="Times New Roman" w:eastAsia="宋体" w:cs="Times New Roman"/>
                <w:color w:val="auto"/>
                <w:kern w:val="0"/>
                <w:sz w:val="24"/>
                <w:lang w:eastAsia="zh-CN" w:bidi="ar"/>
              </w:rPr>
              <w:t>施工现场禁止将包装物、可燃垃圾等固体废弃物就地焚烧。</w:t>
            </w:r>
          </w:p>
          <w:p w14:paraId="6AB22F15">
            <w:pPr>
              <w:widowControl/>
              <w:spacing w:line="360" w:lineRule="auto"/>
              <w:ind w:firstLine="480" w:firstLineChars="200"/>
              <w:rPr>
                <w:rFonts w:hint="default" w:ascii="Times New Roman" w:hAnsi="Times New Roman" w:eastAsia="宋体" w:cs="Times New Roman"/>
                <w:color w:val="auto"/>
                <w:kern w:val="0"/>
                <w:sz w:val="24"/>
                <w:lang w:eastAsia="zh-CN" w:bidi="ar"/>
              </w:rPr>
            </w:pPr>
            <w:r>
              <w:rPr>
                <w:rFonts w:hint="default" w:ascii="Times New Roman" w:hAnsi="Times New Roman" w:eastAsia="宋体" w:cs="Times New Roman"/>
                <w:color w:val="auto"/>
                <w:kern w:val="0"/>
                <w:sz w:val="24"/>
                <w:lang w:eastAsia="zh-CN" w:bidi="ar"/>
              </w:rPr>
              <w:t>采取以上措施后，可防止区域土地沙化，项目建设对区域内生态环境的影响较小。</w:t>
            </w:r>
          </w:p>
          <w:p w14:paraId="2F3EC13B">
            <w:pPr>
              <w:keepNext w:val="0"/>
              <w:keepLines w:val="0"/>
              <w:pageBreakBefore w:val="0"/>
              <w:widowControl w:val="0"/>
              <w:numPr>
                <w:ilvl w:val="0"/>
                <w:numId w:val="12"/>
              </w:numPr>
              <w:kinsoku/>
              <w:wordWrap/>
              <w:overflowPunct/>
              <w:topLinePunct w:val="0"/>
              <w:autoSpaceDE w:val="0"/>
              <w:autoSpaceDN w:val="0"/>
              <w:bidi w:val="0"/>
              <w:adjustRightInd w:val="0"/>
              <w:snapToGrid w:val="0"/>
              <w:spacing w:line="360" w:lineRule="auto"/>
              <w:ind w:left="0" w:leftChars="0" w:right="42" w:rightChars="20" w:firstLine="40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大气环境保护措施</w:t>
            </w:r>
          </w:p>
          <w:p w14:paraId="15860326">
            <w:pPr>
              <w:widowControl/>
              <w:spacing w:line="360" w:lineRule="auto"/>
              <w:ind w:firstLine="480" w:firstLineChars="200"/>
              <w:rPr>
                <w:rFonts w:hint="default" w:ascii="Times New Roman" w:hAnsi="Times New Roman" w:cs="Times New Roman"/>
                <w:color w:val="auto"/>
                <w:kern w:val="0"/>
                <w:sz w:val="24"/>
                <w:lang w:eastAsia="zh-CN" w:bidi="ar"/>
              </w:rPr>
            </w:pPr>
            <w:r>
              <w:rPr>
                <w:rFonts w:hint="default" w:ascii="Times New Roman" w:hAnsi="Times New Roman" w:cs="Times New Roman"/>
                <w:color w:val="auto"/>
                <w:kern w:val="0"/>
                <w:sz w:val="24"/>
                <w:lang w:eastAsia="zh-CN" w:bidi="ar"/>
              </w:rPr>
              <w:t>（1）施工扬尘</w:t>
            </w:r>
          </w:p>
          <w:p w14:paraId="49847819">
            <w:pPr>
              <w:widowControl/>
              <w:spacing w:line="360" w:lineRule="auto"/>
              <w:ind w:firstLine="480" w:firstLineChars="200"/>
              <w:rPr>
                <w:rFonts w:hint="default" w:ascii="Times New Roman" w:hAnsi="Times New Roman" w:cs="Times New Roman"/>
                <w:color w:val="auto"/>
                <w:kern w:val="0"/>
                <w:sz w:val="24"/>
                <w:lang w:eastAsia="zh-CN" w:bidi="ar"/>
              </w:rPr>
            </w:pPr>
            <w:r>
              <w:rPr>
                <w:rFonts w:hint="default" w:ascii="Times New Roman" w:hAnsi="Times New Roman" w:cs="Times New Roman"/>
                <w:color w:val="auto"/>
                <w:kern w:val="0"/>
                <w:sz w:val="24"/>
                <w:lang w:eastAsia="zh-CN" w:bidi="ar"/>
              </w:rPr>
              <w:t>①</w:t>
            </w:r>
            <w:r>
              <w:rPr>
                <w:rFonts w:hint="default" w:ascii="Times New Roman" w:hAnsi="Times New Roman" w:cs="Times New Roman"/>
                <w:color w:val="auto"/>
                <w:kern w:val="0"/>
                <w:sz w:val="24"/>
                <w:lang w:val="en-US" w:eastAsia="zh-CN" w:bidi="ar"/>
              </w:rPr>
              <w:t xml:space="preserve"> </w:t>
            </w:r>
            <w:r>
              <w:rPr>
                <w:rFonts w:hint="default" w:ascii="Times New Roman" w:hAnsi="Times New Roman" w:cs="Times New Roman"/>
                <w:color w:val="auto"/>
                <w:kern w:val="0"/>
                <w:sz w:val="24"/>
                <w:lang w:eastAsia="zh-CN" w:bidi="ar"/>
              </w:rPr>
              <w:t>临时料场或施工出入口配备车辆清洗装置或采取其他控制措施，确保出场车辆清洁、运输不起尘。对车辆行驶比较频繁的路面以及工地上所有裸露地面应经常洒水，使其保持一定的湿度。施工现场设专人负责保洁工作，每个施工段安排1名员工对施工场地和运输车辆行驶路面进行洒水和清扫。洒水次数根据天气情况而定，原则上每天早（9:30～11:00）晚（18:30～21:00）上下班高峰期以及中（14:00～15:00）各洒水一次，当风速大于5级、夏季晴好天气每隔2个小时洒水一次。</w:t>
            </w:r>
          </w:p>
          <w:p w14:paraId="2502289B">
            <w:pPr>
              <w:widowControl/>
              <w:spacing w:line="360" w:lineRule="auto"/>
              <w:ind w:firstLine="480" w:firstLineChars="200"/>
              <w:rPr>
                <w:rFonts w:hint="default" w:ascii="Times New Roman" w:hAnsi="Times New Roman" w:cs="Times New Roman"/>
                <w:color w:val="auto"/>
                <w:kern w:val="0"/>
                <w:sz w:val="24"/>
                <w:lang w:eastAsia="zh-CN" w:bidi="ar"/>
              </w:rPr>
            </w:pPr>
            <w:r>
              <w:rPr>
                <w:rFonts w:hint="default" w:ascii="Times New Roman" w:hAnsi="Times New Roman" w:cs="Times New Roman"/>
                <w:color w:val="auto"/>
                <w:kern w:val="0"/>
                <w:sz w:val="24"/>
                <w:lang w:eastAsia="zh-CN" w:bidi="ar"/>
              </w:rPr>
              <w:t>②</w:t>
            </w:r>
            <w:r>
              <w:rPr>
                <w:rFonts w:hint="default" w:ascii="Times New Roman" w:hAnsi="Times New Roman" w:cs="Times New Roman"/>
                <w:color w:val="auto"/>
                <w:kern w:val="0"/>
                <w:sz w:val="24"/>
                <w:lang w:val="en-US" w:eastAsia="zh-CN" w:bidi="ar"/>
              </w:rPr>
              <w:t xml:space="preserve"> </w:t>
            </w:r>
            <w:r>
              <w:rPr>
                <w:rFonts w:hint="default" w:ascii="Times New Roman" w:hAnsi="Times New Roman" w:cs="Times New Roman"/>
                <w:color w:val="auto"/>
                <w:kern w:val="0"/>
                <w:sz w:val="24"/>
                <w:lang w:eastAsia="zh-CN" w:bidi="ar"/>
              </w:rPr>
              <w:t>工地周边围挡、物料堆放覆盖、土方开挖湿法作业、施工现场地面硬化、出入车辆清洗、渣土车辆密闭运输“六个百分百”。施工工区地面进行硬化或压实处理，在工区面向敏感目标的方向设立简易隔离围挡，高度不低于2.5m的施工围挡，位于建成区、临近居民点的施工工区，应将围挡高度加高到3m以上。围挡应封闭严密，并结合周边环境加以修饰，保持整洁完整。</w:t>
            </w:r>
          </w:p>
          <w:p w14:paraId="3F8548F4">
            <w:pPr>
              <w:widowControl/>
              <w:spacing w:line="360" w:lineRule="auto"/>
              <w:ind w:firstLine="480" w:firstLineChars="200"/>
              <w:rPr>
                <w:rFonts w:hint="default" w:ascii="Times New Roman" w:hAnsi="Times New Roman" w:cs="Times New Roman"/>
                <w:color w:val="auto"/>
                <w:kern w:val="0"/>
                <w:sz w:val="24"/>
                <w:lang w:eastAsia="zh-CN" w:bidi="ar"/>
              </w:rPr>
            </w:pPr>
            <w:r>
              <w:rPr>
                <w:rFonts w:hint="default" w:ascii="Times New Roman" w:hAnsi="Times New Roman" w:cs="Times New Roman"/>
                <w:color w:val="auto"/>
                <w:kern w:val="0"/>
                <w:sz w:val="24"/>
                <w:lang w:eastAsia="zh-CN" w:bidi="ar"/>
              </w:rPr>
              <w:t>③</w:t>
            </w:r>
            <w:r>
              <w:rPr>
                <w:rFonts w:hint="default" w:ascii="Times New Roman" w:hAnsi="Times New Roman" w:cs="Times New Roman"/>
                <w:color w:val="auto"/>
                <w:kern w:val="0"/>
                <w:sz w:val="24"/>
                <w:lang w:val="en-US" w:eastAsia="zh-CN" w:bidi="ar"/>
              </w:rPr>
              <w:t xml:space="preserve"> </w:t>
            </w:r>
            <w:r>
              <w:rPr>
                <w:rFonts w:hint="default" w:ascii="Times New Roman" w:hAnsi="Times New Roman" w:cs="Times New Roman"/>
                <w:color w:val="auto"/>
                <w:kern w:val="0"/>
                <w:sz w:val="24"/>
                <w:lang w:eastAsia="zh-CN" w:bidi="ar"/>
              </w:rPr>
              <w:t>尽量避免在大风（风速大于17m/s）、暴雨（24h雨强大于20mm）天气下施工。</w:t>
            </w:r>
          </w:p>
          <w:p w14:paraId="33EB885F">
            <w:pPr>
              <w:widowControl/>
              <w:spacing w:line="360" w:lineRule="auto"/>
              <w:ind w:firstLine="480" w:firstLineChars="200"/>
              <w:rPr>
                <w:rFonts w:hint="default" w:ascii="Times New Roman" w:hAnsi="Times New Roman" w:cs="Times New Roman"/>
                <w:color w:val="auto"/>
                <w:kern w:val="0"/>
                <w:sz w:val="24"/>
                <w:lang w:eastAsia="zh-CN" w:bidi="ar"/>
              </w:rPr>
            </w:pPr>
            <w:r>
              <w:rPr>
                <w:rFonts w:hint="default" w:ascii="Times New Roman" w:hAnsi="Times New Roman" w:cs="Times New Roman"/>
                <w:color w:val="auto"/>
                <w:kern w:val="0"/>
                <w:sz w:val="24"/>
                <w:lang w:eastAsia="zh-CN" w:bidi="ar"/>
              </w:rPr>
              <w:t>④</w:t>
            </w:r>
            <w:r>
              <w:rPr>
                <w:rFonts w:hint="default" w:ascii="Times New Roman" w:hAnsi="Times New Roman" w:cs="Times New Roman"/>
                <w:color w:val="auto"/>
                <w:kern w:val="0"/>
                <w:sz w:val="24"/>
                <w:lang w:val="en-US" w:eastAsia="zh-CN" w:bidi="ar"/>
              </w:rPr>
              <w:t xml:space="preserve"> </w:t>
            </w:r>
            <w:r>
              <w:rPr>
                <w:rFonts w:hint="default" w:ascii="Times New Roman" w:hAnsi="Times New Roman" w:cs="Times New Roman"/>
                <w:color w:val="auto"/>
                <w:kern w:val="0"/>
                <w:sz w:val="24"/>
                <w:lang w:eastAsia="zh-CN" w:bidi="ar"/>
              </w:rPr>
              <w:t>土方开挖、清运清杂垃圾等作业时，应当采取洒水、喷淋等湿法作业，存放超过48</w:t>
            </w:r>
            <w:r>
              <w:rPr>
                <w:rFonts w:hint="default" w:ascii="Times New Roman" w:hAnsi="Times New Roman" w:cs="Times New Roman"/>
                <w:color w:val="auto"/>
                <w:kern w:val="0"/>
                <w:sz w:val="24"/>
                <w:lang w:val="en-US" w:eastAsia="zh-CN" w:bidi="ar"/>
              </w:rPr>
              <w:t>h</w:t>
            </w:r>
            <w:r>
              <w:rPr>
                <w:rFonts w:hint="default" w:ascii="Times New Roman" w:hAnsi="Times New Roman" w:cs="Times New Roman"/>
                <w:color w:val="auto"/>
                <w:kern w:val="0"/>
                <w:sz w:val="24"/>
                <w:lang w:eastAsia="zh-CN" w:bidi="ar"/>
              </w:rPr>
              <w:t>以上的临时存放的土方、清杂垃圾应采用防尘网覆盖。风速达到5级及以上时，应暂停土方开挖、土方回填、灰土拌合、摊铺整平、路面基层清理等。因大风、空气重污染，按照相关规定停止产生扬尘污染的施工作业后采取定时洒水、覆盖等降尘措施，并对施工现场内可能被大风损坏的围挡，覆盖等措施进行巡检，及时修复。</w:t>
            </w:r>
          </w:p>
          <w:p w14:paraId="4BE7D71A">
            <w:pPr>
              <w:widowControl/>
              <w:spacing w:line="360" w:lineRule="auto"/>
              <w:ind w:firstLine="480" w:firstLineChars="200"/>
              <w:rPr>
                <w:rFonts w:hint="default" w:ascii="Times New Roman" w:hAnsi="Times New Roman" w:cs="Times New Roman"/>
                <w:color w:val="auto"/>
                <w:kern w:val="0"/>
                <w:sz w:val="24"/>
                <w:lang w:eastAsia="zh-CN" w:bidi="ar"/>
              </w:rPr>
            </w:pPr>
            <w:r>
              <w:rPr>
                <w:rFonts w:hint="default" w:ascii="Times New Roman" w:hAnsi="Times New Roman" w:cs="Times New Roman"/>
                <w:color w:val="auto"/>
                <w:kern w:val="0"/>
                <w:sz w:val="24"/>
                <w:lang w:eastAsia="zh-CN" w:bidi="ar"/>
              </w:rPr>
              <w:t>⑤</w:t>
            </w:r>
            <w:r>
              <w:rPr>
                <w:rFonts w:hint="default" w:ascii="Times New Roman" w:hAnsi="Times New Roman" w:cs="Times New Roman"/>
                <w:color w:val="auto"/>
                <w:kern w:val="0"/>
                <w:sz w:val="24"/>
                <w:lang w:val="en-US" w:eastAsia="zh-CN" w:bidi="ar"/>
              </w:rPr>
              <w:t xml:space="preserve"> </w:t>
            </w:r>
            <w:r>
              <w:rPr>
                <w:rFonts w:hint="default" w:ascii="Times New Roman" w:hAnsi="Times New Roman" w:cs="Times New Roman"/>
                <w:color w:val="auto"/>
                <w:kern w:val="0"/>
                <w:sz w:val="24"/>
                <w:lang w:eastAsia="zh-CN" w:bidi="ar"/>
              </w:rPr>
              <w:t>加强运输车辆管理，提升车仓封闭性施工单位应加强施工区的规划管理，建筑材料的堆场（水泥、砂石等）应定点定位，并采取适当的防尘措施；开挖土方集中堆放，缩小粉尘影响范围，及时回填或清运，减少粉尘影响时间；土方堆放时间超过48</w:t>
            </w:r>
            <w:bookmarkStart w:id="23" w:name="OLE_LINK2"/>
            <w:bookmarkStart w:id="24" w:name="OLE_LINK1"/>
            <w:r>
              <w:rPr>
                <w:rFonts w:hint="default" w:ascii="Times New Roman" w:hAnsi="Times New Roman" w:cs="Times New Roman"/>
                <w:color w:val="auto"/>
                <w:kern w:val="0"/>
                <w:sz w:val="24"/>
                <w:lang w:val="en-US" w:eastAsia="zh-CN" w:bidi="ar"/>
              </w:rPr>
              <w:t>h</w:t>
            </w:r>
            <w:bookmarkEnd w:id="23"/>
            <w:bookmarkEnd w:id="24"/>
            <w:r>
              <w:rPr>
                <w:rFonts w:hint="default" w:ascii="Times New Roman" w:hAnsi="Times New Roman" w:cs="Times New Roman"/>
                <w:color w:val="auto"/>
                <w:kern w:val="0"/>
                <w:sz w:val="24"/>
                <w:lang w:eastAsia="zh-CN" w:bidi="ar"/>
              </w:rPr>
              <w:t>或作回填土使用的，在施工场地内设置临时堆放场，对临时堆放场采取围挡、遮盖等防尘措施。</w:t>
            </w:r>
          </w:p>
          <w:p w14:paraId="157938EF">
            <w:pPr>
              <w:widowControl/>
              <w:spacing w:line="360" w:lineRule="auto"/>
              <w:ind w:firstLine="480" w:firstLineChars="200"/>
              <w:rPr>
                <w:rFonts w:hint="default" w:ascii="Times New Roman" w:hAnsi="Times New Roman" w:cs="Times New Roman"/>
                <w:color w:val="auto"/>
                <w:kern w:val="0"/>
                <w:sz w:val="24"/>
                <w:lang w:eastAsia="zh-CN" w:bidi="ar"/>
              </w:rPr>
            </w:pPr>
            <w:r>
              <w:rPr>
                <w:rFonts w:hint="default" w:ascii="Times New Roman" w:hAnsi="Times New Roman" w:cs="Times New Roman"/>
                <w:color w:val="auto"/>
                <w:kern w:val="0"/>
                <w:sz w:val="24"/>
                <w:lang w:eastAsia="zh-CN" w:bidi="ar"/>
              </w:rPr>
              <w:t>（</w:t>
            </w:r>
            <w:r>
              <w:rPr>
                <w:rFonts w:hint="default" w:ascii="Times New Roman" w:hAnsi="Times New Roman" w:cs="Times New Roman"/>
                <w:color w:val="auto"/>
                <w:kern w:val="0"/>
                <w:sz w:val="24"/>
                <w:lang w:val="en-US" w:eastAsia="zh-CN" w:bidi="ar"/>
              </w:rPr>
              <w:t>2</w:t>
            </w:r>
            <w:r>
              <w:rPr>
                <w:rFonts w:hint="default" w:ascii="Times New Roman" w:hAnsi="Times New Roman" w:cs="Times New Roman"/>
                <w:color w:val="auto"/>
                <w:kern w:val="0"/>
                <w:sz w:val="24"/>
                <w:lang w:eastAsia="zh-CN" w:bidi="ar"/>
              </w:rPr>
              <w:t>）临时</w:t>
            </w:r>
            <w:r>
              <w:rPr>
                <w:rFonts w:hint="eastAsia" w:cs="Times New Roman"/>
                <w:color w:val="auto"/>
                <w:kern w:val="0"/>
                <w:sz w:val="24"/>
                <w:lang w:eastAsia="zh-CN" w:bidi="ar"/>
              </w:rPr>
              <w:t>拌和站</w:t>
            </w:r>
            <w:r>
              <w:rPr>
                <w:rFonts w:hint="default" w:ascii="Times New Roman" w:hAnsi="Times New Roman" w:cs="Times New Roman"/>
                <w:color w:val="auto"/>
                <w:kern w:val="0"/>
                <w:sz w:val="24"/>
                <w:lang w:eastAsia="zh-CN" w:bidi="ar"/>
              </w:rPr>
              <w:t>生产废气</w:t>
            </w:r>
          </w:p>
          <w:p w14:paraId="4433ECC6">
            <w:pPr>
              <w:widowControl/>
              <w:spacing w:line="360" w:lineRule="auto"/>
              <w:ind w:firstLine="480" w:firstLineChars="200"/>
              <w:rPr>
                <w:rFonts w:hint="default" w:ascii="Times New Roman" w:hAnsi="Times New Roman" w:cs="Times New Roman"/>
                <w:color w:val="auto"/>
                <w:kern w:val="0"/>
                <w:sz w:val="24"/>
                <w:lang w:eastAsia="zh-CN" w:bidi="ar"/>
              </w:rPr>
            </w:pPr>
            <w:r>
              <w:rPr>
                <w:rFonts w:hint="eastAsia" w:ascii="Times New Roman" w:hAnsi="Times New Roman" w:eastAsia="宋体" w:cs="Times New Roman"/>
                <w:color w:val="auto"/>
                <w:sz w:val="24"/>
                <w:szCs w:val="32"/>
                <w:lang w:val="en-US" w:eastAsia="zh-CN"/>
              </w:rPr>
              <w:t>临时生产区的砼拌合系统中的移动式拌合机上料会有少量颗粒物产生，要求移动式混凝土拌合机所用骨料仓封闭，砂石骨料定期洒水润湿，封闭水泥筒仓上料过程产生的粉尘采用仓顶自带袋式除尘器除尘后</w:t>
            </w:r>
            <w:r>
              <w:rPr>
                <w:rFonts w:hint="eastAsia" w:cs="Times New Roman"/>
                <w:color w:val="auto"/>
                <w:sz w:val="24"/>
                <w:szCs w:val="32"/>
                <w:lang w:val="en-US" w:eastAsia="zh-CN"/>
              </w:rPr>
              <w:t>有</w:t>
            </w:r>
            <w:r>
              <w:rPr>
                <w:rFonts w:hint="eastAsia" w:ascii="Times New Roman" w:hAnsi="Times New Roman" w:eastAsia="宋体" w:cs="Times New Roman"/>
                <w:color w:val="auto"/>
                <w:sz w:val="24"/>
                <w:szCs w:val="32"/>
                <w:lang w:val="en-US" w:eastAsia="zh-CN"/>
              </w:rPr>
              <w:t>组织排放，粉尘排放浓度相对较低，能达到《大气污染物综合排放标准》（GB16297-1996）中最高允许排放浓度（120mg/m</w:t>
            </w:r>
            <w:r>
              <w:rPr>
                <w:rFonts w:hint="eastAsia" w:ascii="Times New Roman" w:hAnsi="Times New Roman" w:eastAsia="宋体" w:cs="Times New Roman"/>
                <w:color w:val="auto"/>
                <w:sz w:val="24"/>
                <w:szCs w:val="32"/>
                <w:vertAlign w:val="superscript"/>
                <w:lang w:val="en-US" w:eastAsia="zh-CN"/>
              </w:rPr>
              <w:t>3</w:t>
            </w:r>
            <w:r>
              <w:rPr>
                <w:rFonts w:hint="eastAsia" w:ascii="Times New Roman" w:hAnsi="Times New Roman" w:eastAsia="宋体" w:cs="Times New Roman"/>
                <w:color w:val="auto"/>
                <w:sz w:val="24"/>
                <w:szCs w:val="32"/>
                <w:lang w:val="en-US" w:eastAsia="zh-CN"/>
              </w:rPr>
              <w:t>）要求，搅拌机区域</w:t>
            </w:r>
            <w:r>
              <w:rPr>
                <w:rFonts w:hint="eastAsia" w:cs="Times New Roman"/>
                <w:color w:val="auto"/>
                <w:sz w:val="24"/>
                <w:szCs w:val="32"/>
                <w:lang w:val="en-US" w:eastAsia="zh-CN"/>
              </w:rPr>
              <w:t>同时进行</w:t>
            </w:r>
            <w:r>
              <w:rPr>
                <w:rFonts w:hint="eastAsia" w:ascii="Times New Roman" w:hAnsi="Times New Roman" w:eastAsia="宋体" w:cs="Times New Roman"/>
                <w:color w:val="auto"/>
                <w:sz w:val="24"/>
                <w:szCs w:val="32"/>
                <w:lang w:val="en-US" w:eastAsia="zh-CN"/>
              </w:rPr>
              <w:t>洒水降尘，不会对区域环境空气质量产生大的影响。</w:t>
            </w:r>
          </w:p>
          <w:p w14:paraId="78192AFB">
            <w:pPr>
              <w:widowControl/>
              <w:spacing w:line="360" w:lineRule="auto"/>
              <w:ind w:firstLine="480" w:firstLineChars="200"/>
              <w:rPr>
                <w:rFonts w:hint="default" w:ascii="Times New Roman" w:hAnsi="Times New Roman" w:cs="Times New Roman"/>
                <w:color w:val="auto"/>
                <w:kern w:val="0"/>
                <w:sz w:val="24"/>
                <w:lang w:eastAsia="zh-CN" w:bidi="ar"/>
              </w:rPr>
            </w:pPr>
            <w:r>
              <w:rPr>
                <w:rFonts w:hint="default" w:ascii="Times New Roman" w:hAnsi="Times New Roman" w:cs="Times New Roman"/>
                <w:color w:val="auto"/>
                <w:kern w:val="0"/>
                <w:sz w:val="24"/>
                <w:lang w:eastAsia="zh-CN" w:bidi="ar"/>
              </w:rPr>
              <w:t>（</w:t>
            </w:r>
            <w:r>
              <w:rPr>
                <w:rFonts w:hint="default" w:ascii="Times New Roman" w:hAnsi="Times New Roman" w:cs="Times New Roman"/>
                <w:color w:val="auto"/>
                <w:kern w:val="0"/>
                <w:sz w:val="24"/>
                <w:lang w:val="en-US" w:eastAsia="zh-CN" w:bidi="ar"/>
              </w:rPr>
              <w:t>3</w:t>
            </w:r>
            <w:r>
              <w:rPr>
                <w:rFonts w:hint="default" w:ascii="Times New Roman" w:hAnsi="Times New Roman" w:cs="Times New Roman"/>
                <w:color w:val="auto"/>
                <w:kern w:val="0"/>
                <w:sz w:val="24"/>
                <w:lang w:eastAsia="zh-CN" w:bidi="ar"/>
              </w:rPr>
              <w:t>）运输车辆及作业机械尾气</w:t>
            </w:r>
          </w:p>
          <w:p w14:paraId="2BAA1EC6">
            <w:pPr>
              <w:widowControl/>
              <w:spacing w:line="360" w:lineRule="auto"/>
              <w:ind w:firstLine="480" w:firstLineChars="200"/>
              <w:rPr>
                <w:rFonts w:hint="default" w:ascii="Times New Roman" w:hAnsi="Times New Roman" w:cs="Times New Roman"/>
                <w:color w:val="auto"/>
                <w:kern w:val="0"/>
                <w:sz w:val="24"/>
                <w:lang w:eastAsia="zh-CN" w:bidi="ar"/>
              </w:rPr>
            </w:pPr>
            <w:r>
              <w:rPr>
                <w:rFonts w:hint="default" w:ascii="Times New Roman" w:hAnsi="Times New Roman" w:cs="Times New Roman"/>
                <w:color w:val="auto"/>
                <w:kern w:val="0"/>
                <w:sz w:val="24"/>
                <w:lang w:eastAsia="zh-CN" w:bidi="ar"/>
              </w:rPr>
              <w:t>①在施工机械和运输工具选择上，为控制施工废气排放对大气的污染，减少NOx污染物，施工单位应选用符合国家有关卫生标准的施工机械和运输工具，使用符合标准的油料或清洁能源，使其排放的废气能够达到国家标准。</w:t>
            </w:r>
          </w:p>
          <w:p w14:paraId="2A814EC9">
            <w:pPr>
              <w:widowControl/>
              <w:spacing w:line="360" w:lineRule="auto"/>
              <w:ind w:firstLine="480" w:firstLineChars="200"/>
              <w:rPr>
                <w:rFonts w:hint="default" w:ascii="Times New Roman" w:hAnsi="Times New Roman" w:cs="Times New Roman"/>
                <w:color w:val="auto"/>
                <w:kern w:val="0"/>
                <w:sz w:val="24"/>
                <w:lang w:eastAsia="zh-CN" w:bidi="ar"/>
              </w:rPr>
            </w:pPr>
            <w:r>
              <w:rPr>
                <w:rFonts w:hint="default" w:ascii="Times New Roman" w:hAnsi="Times New Roman" w:cs="Times New Roman"/>
                <w:color w:val="auto"/>
                <w:kern w:val="0"/>
                <w:sz w:val="24"/>
                <w:lang w:eastAsia="zh-CN" w:bidi="ar"/>
              </w:rPr>
              <w:t>②施工期间，往来车辆多为燃用柴油的大型运输车辆，尾气排放量与污染物含量均较燃用汽油车辆高，合理安排车辆运输次数与作业的时间段。</w:t>
            </w:r>
          </w:p>
          <w:p w14:paraId="73F7487E">
            <w:pPr>
              <w:widowControl/>
              <w:spacing w:line="360" w:lineRule="auto"/>
              <w:ind w:firstLine="480" w:firstLineChars="200"/>
              <w:rPr>
                <w:rFonts w:hint="default" w:ascii="Times New Roman" w:hAnsi="Times New Roman" w:cs="Times New Roman"/>
                <w:color w:val="auto"/>
                <w:kern w:val="0"/>
                <w:sz w:val="24"/>
                <w:lang w:eastAsia="zh-CN" w:bidi="ar"/>
              </w:rPr>
            </w:pPr>
            <w:r>
              <w:rPr>
                <w:rFonts w:hint="default" w:ascii="Times New Roman" w:hAnsi="Times New Roman" w:cs="Times New Roman"/>
                <w:color w:val="auto"/>
                <w:kern w:val="0"/>
                <w:sz w:val="24"/>
                <w:lang w:eastAsia="zh-CN" w:bidi="ar"/>
              </w:rPr>
              <w:t>③加强施工机械和车辆的维护与保养。</w:t>
            </w:r>
          </w:p>
          <w:p w14:paraId="78C3B678">
            <w:pPr>
              <w:widowControl/>
              <w:spacing w:line="360" w:lineRule="auto"/>
              <w:ind w:firstLine="480" w:firstLineChars="200"/>
              <w:rPr>
                <w:rFonts w:hint="default" w:ascii="Times New Roman" w:hAnsi="Times New Roman" w:cs="Times New Roman"/>
                <w:color w:val="auto"/>
                <w:kern w:val="0"/>
                <w:sz w:val="24"/>
                <w:lang w:eastAsia="zh-CN" w:bidi="ar"/>
              </w:rPr>
            </w:pPr>
            <w:r>
              <w:rPr>
                <w:rFonts w:hint="default" w:ascii="Times New Roman" w:hAnsi="Times New Roman" w:cs="Times New Roman"/>
                <w:color w:val="auto"/>
                <w:kern w:val="0"/>
                <w:sz w:val="24"/>
                <w:lang w:eastAsia="zh-CN" w:bidi="ar"/>
              </w:rPr>
              <w:t>④配合有关部门规划好施工期间周边道路的道路情况，避免因施工造成交通堵塞，减少交通堵塞产生的怠速尾气排放。</w:t>
            </w:r>
          </w:p>
          <w:p w14:paraId="5D172DB2">
            <w:pPr>
              <w:widowControl/>
              <w:spacing w:line="360" w:lineRule="auto"/>
              <w:ind w:firstLine="480" w:firstLineChars="200"/>
              <w:rPr>
                <w:rFonts w:hint="default" w:ascii="Times New Roman" w:hAnsi="Times New Roman" w:cs="Times New Roman"/>
                <w:color w:val="auto"/>
                <w:kern w:val="0"/>
                <w:sz w:val="24"/>
                <w:lang w:eastAsia="zh-CN" w:bidi="ar"/>
              </w:rPr>
            </w:pPr>
            <w:r>
              <w:rPr>
                <w:rFonts w:hint="default" w:ascii="Times New Roman" w:hAnsi="Times New Roman" w:cs="Times New Roman"/>
                <w:color w:val="auto"/>
                <w:kern w:val="0"/>
                <w:sz w:val="24"/>
                <w:lang w:eastAsia="zh-CN" w:bidi="ar"/>
              </w:rPr>
              <w:t>（</w:t>
            </w:r>
            <w:r>
              <w:rPr>
                <w:rFonts w:hint="default" w:ascii="Times New Roman" w:hAnsi="Times New Roman" w:cs="Times New Roman"/>
                <w:color w:val="auto"/>
                <w:kern w:val="0"/>
                <w:sz w:val="24"/>
                <w:lang w:val="en-US" w:eastAsia="zh-CN" w:bidi="ar"/>
              </w:rPr>
              <w:t>4</w:t>
            </w:r>
            <w:r>
              <w:rPr>
                <w:rFonts w:hint="default" w:ascii="Times New Roman" w:hAnsi="Times New Roman" w:cs="Times New Roman"/>
                <w:color w:val="auto"/>
                <w:kern w:val="0"/>
                <w:sz w:val="24"/>
                <w:lang w:eastAsia="zh-CN" w:bidi="ar"/>
              </w:rPr>
              <w:t>）燃油废气</w:t>
            </w:r>
          </w:p>
          <w:p w14:paraId="5B92A7D3">
            <w:pPr>
              <w:widowControl/>
              <w:spacing w:line="360" w:lineRule="auto"/>
              <w:ind w:firstLine="480" w:firstLineChars="200"/>
              <w:rPr>
                <w:rFonts w:hint="default" w:ascii="Times New Roman" w:hAnsi="Times New Roman" w:cs="Times New Roman"/>
                <w:color w:val="auto"/>
                <w:kern w:val="0"/>
                <w:sz w:val="24"/>
                <w:lang w:bidi="ar"/>
              </w:rPr>
            </w:pPr>
            <w:r>
              <w:rPr>
                <w:rFonts w:hint="default" w:ascii="Times New Roman" w:hAnsi="Times New Roman" w:cs="Times New Roman"/>
                <w:color w:val="auto"/>
                <w:kern w:val="0"/>
                <w:sz w:val="24"/>
                <w:lang w:eastAsia="zh-CN" w:bidi="ar"/>
              </w:rPr>
              <w:t>施工燃油机械</w:t>
            </w:r>
            <w:r>
              <w:rPr>
                <w:rFonts w:hint="default" w:ascii="Times New Roman" w:hAnsi="Times New Roman" w:cs="Times New Roman"/>
                <w:color w:val="auto"/>
                <w:kern w:val="0"/>
                <w:sz w:val="24"/>
                <w:lang w:val="en-US" w:eastAsia="zh-CN" w:bidi="ar"/>
              </w:rPr>
              <w:t>为</w:t>
            </w:r>
            <w:r>
              <w:rPr>
                <w:rFonts w:hint="default" w:ascii="Times New Roman" w:hAnsi="Times New Roman" w:cs="Times New Roman"/>
                <w:color w:val="auto"/>
                <w:kern w:val="0"/>
                <w:sz w:val="24"/>
                <w:lang w:eastAsia="zh-CN" w:bidi="ar"/>
              </w:rPr>
              <w:t>无组织流动性排放，废气经稀释扩散后不会对周边空气环境产生明显影响，</w:t>
            </w:r>
            <w:r>
              <w:rPr>
                <w:rFonts w:hint="default" w:ascii="Times New Roman" w:hAnsi="Times New Roman" w:cs="Times New Roman"/>
                <w:color w:val="auto"/>
                <w:kern w:val="0"/>
                <w:sz w:val="24"/>
                <w:lang w:val="en-US" w:eastAsia="zh-CN" w:bidi="ar"/>
              </w:rPr>
              <w:t>建议施工单位尽量采用清洁能源的机械设备</w:t>
            </w:r>
            <w:r>
              <w:rPr>
                <w:rFonts w:hint="default" w:ascii="Times New Roman" w:hAnsi="Times New Roman" w:cs="Times New Roman"/>
                <w:color w:val="auto"/>
                <w:kern w:val="0"/>
                <w:sz w:val="24"/>
                <w:lang w:eastAsia="zh-CN" w:bidi="ar"/>
              </w:rPr>
              <w:t>。</w:t>
            </w:r>
          </w:p>
          <w:p w14:paraId="6313DCE8">
            <w:pPr>
              <w:keepNext w:val="0"/>
              <w:keepLines w:val="0"/>
              <w:pageBreakBefore w:val="0"/>
              <w:widowControl w:val="0"/>
              <w:numPr>
                <w:ilvl w:val="0"/>
                <w:numId w:val="12"/>
              </w:numPr>
              <w:kinsoku/>
              <w:wordWrap/>
              <w:overflowPunct/>
              <w:topLinePunct w:val="0"/>
              <w:autoSpaceDE w:val="0"/>
              <w:autoSpaceDN w:val="0"/>
              <w:bidi w:val="0"/>
              <w:adjustRightInd w:val="0"/>
              <w:snapToGrid w:val="0"/>
              <w:spacing w:line="360" w:lineRule="auto"/>
              <w:ind w:left="0" w:leftChars="0" w:right="42" w:rightChars="20" w:firstLine="40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水环境保护措施</w:t>
            </w:r>
          </w:p>
          <w:p w14:paraId="6C138569">
            <w:pPr>
              <w:keepNext w:val="0"/>
              <w:keepLines w:val="0"/>
              <w:pageBreakBefore w:val="0"/>
              <w:widowControl w:val="0"/>
              <w:kinsoku/>
              <w:wordWrap/>
              <w:overflowPunct/>
              <w:topLinePunct w:val="0"/>
              <w:autoSpaceDE/>
              <w:autoSpaceDN/>
              <w:bidi w:val="0"/>
              <w:adjustRightInd/>
              <w:snapToGrid/>
              <w:spacing w:line="360" w:lineRule="auto"/>
              <w:ind w:left="0" w:firstLine="476" w:firstLineChars="200"/>
              <w:jc w:val="both"/>
              <w:textAlignment w:val="auto"/>
              <w:rPr>
                <w:rFonts w:hint="default" w:ascii="Times New Roman" w:hAnsi="Times New Roman" w:eastAsia="宋体" w:cs="Times New Roman"/>
                <w:color w:val="auto"/>
                <w:spacing w:val="-1"/>
                <w:kern w:val="2"/>
                <w:sz w:val="24"/>
                <w:szCs w:val="24"/>
                <w:highlight w:val="none"/>
                <w:lang w:val="en-US" w:eastAsia="en-US" w:bidi="ar-SA"/>
              </w:rPr>
            </w:pPr>
            <w:r>
              <w:rPr>
                <w:rFonts w:hint="default" w:ascii="Times New Roman" w:hAnsi="Times New Roman" w:eastAsia="宋体" w:cs="Times New Roman"/>
                <w:color w:val="auto"/>
                <w:spacing w:val="-1"/>
                <w:kern w:val="2"/>
                <w:sz w:val="24"/>
                <w:szCs w:val="24"/>
                <w:highlight w:val="none"/>
                <w:lang w:val="en-US" w:eastAsia="en-US" w:bidi="ar-SA"/>
              </w:rPr>
              <w:t>为了减少施工期废水对环境的影响，应采取以下环境保护措施：</w:t>
            </w:r>
          </w:p>
          <w:p w14:paraId="69062CC5">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firstLine="476" w:firstLineChars="200"/>
              <w:jc w:val="both"/>
              <w:textAlignment w:val="auto"/>
              <w:rPr>
                <w:rFonts w:hint="default" w:ascii="Times New Roman" w:hAnsi="Times New Roman" w:eastAsia="宋体" w:cs="Times New Roman"/>
                <w:color w:val="auto"/>
                <w:spacing w:val="-1"/>
                <w:kern w:val="2"/>
                <w:sz w:val="24"/>
                <w:szCs w:val="24"/>
                <w:highlight w:val="none"/>
                <w:lang w:val="en-US" w:eastAsia="en-US" w:bidi="ar-SA"/>
              </w:rPr>
            </w:pPr>
            <w:r>
              <w:rPr>
                <w:rFonts w:hint="default" w:ascii="Times New Roman" w:hAnsi="Times New Roman" w:eastAsia="宋体" w:cs="Times New Roman"/>
                <w:color w:val="auto"/>
                <w:spacing w:val="-1"/>
                <w:kern w:val="2"/>
                <w:sz w:val="24"/>
                <w:szCs w:val="24"/>
                <w:highlight w:val="none"/>
                <w:lang w:val="en-US" w:eastAsia="en-US" w:bidi="ar-SA"/>
              </w:rPr>
              <w:t>施工材料堆放时要采取遮蔽措施，防止降雨冲刷造成对地表水的污染。</w:t>
            </w:r>
          </w:p>
          <w:p w14:paraId="0141BB3C">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firstLine="476" w:firstLineChars="200"/>
              <w:jc w:val="both"/>
              <w:textAlignment w:val="auto"/>
              <w:rPr>
                <w:rFonts w:hint="default" w:ascii="Times New Roman" w:hAnsi="Times New Roman" w:eastAsia="宋体" w:cs="Times New Roman"/>
                <w:color w:val="auto"/>
                <w:spacing w:val="-1"/>
                <w:kern w:val="2"/>
                <w:sz w:val="24"/>
                <w:szCs w:val="24"/>
                <w:highlight w:val="none"/>
                <w:lang w:val="en-US" w:eastAsia="en-US" w:bidi="ar-SA"/>
              </w:rPr>
            </w:pPr>
            <w:r>
              <w:rPr>
                <w:rFonts w:hint="default" w:ascii="Times New Roman" w:hAnsi="Times New Roman" w:eastAsia="宋体" w:cs="Times New Roman"/>
                <w:color w:val="auto"/>
                <w:spacing w:val="-1"/>
                <w:kern w:val="2"/>
                <w:sz w:val="24"/>
                <w:szCs w:val="24"/>
                <w:highlight w:val="none"/>
                <w:lang w:val="en-US" w:eastAsia="en-US" w:bidi="ar-SA"/>
              </w:rPr>
              <w:t>加强施工期管理，加强对运输车辆、施工机械设备定期检修保养，避免燃油、机油的跑、冒、滴、漏。</w:t>
            </w:r>
          </w:p>
          <w:p w14:paraId="7BC2EFC1">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firstLine="476" w:firstLineChars="200"/>
              <w:jc w:val="both"/>
              <w:textAlignment w:val="auto"/>
              <w:rPr>
                <w:rFonts w:hint="default" w:ascii="Times New Roman" w:hAnsi="Times New Roman" w:eastAsia="宋体" w:cs="Times New Roman"/>
                <w:color w:val="auto"/>
                <w:spacing w:val="-1"/>
                <w:kern w:val="2"/>
                <w:sz w:val="24"/>
                <w:szCs w:val="24"/>
                <w:highlight w:val="none"/>
                <w:lang w:val="en-US" w:eastAsia="en-US" w:bidi="ar-SA"/>
              </w:rPr>
            </w:pPr>
            <w:r>
              <w:rPr>
                <w:rFonts w:hint="default" w:ascii="Times New Roman" w:hAnsi="Times New Roman" w:eastAsia="宋体" w:cs="Times New Roman"/>
                <w:color w:val="auto"/>
                <w:spacing w:val="-1"/>
                <w:kern w:val="2"/>
                <w:sz w:val="24"/>
                <w:szCs w:val="24"/>
                <w:highlight w:val="none"/>
                <w:lang w:val="en-US" w:eastAsia="en-US" w:bidi="ar-SA"/>
              </w:rPr>
              <w:t>禁止在项目</w:t>
            </w:r>
            <w:r>
              <w:rPr>
                <w:rFonts w:hint="eastAsia" w:ascii="Times New Roman" w:hAnsi="Times New Roman" w:eastAsia="宋体" w:cs="Times New Roman"/>
                <w:color w:val="auto"/>
                <w:spacing w:val="-1"/>
                <w:kern w:val="2"/>
                <w:sz w:val="24"/>
                <w:szCs w:val="24"/>
                <w:highlight w:val="none"/>
                <w:lang w:val="en-US" w:eastAsia="zh-CN" w:bidi="ar-SA"/>
              </w:rPr>
              <w:t>管</w:t>
            </w:r>
            <w:r>
              <w:rPr>
                <w:rFonts w:hint="default" w:ascii="Times New Roman" w:hAnsi="Times New Roman" w:eastAsia="宋体" w:cs="Times New Roman"/>
                <w:color w:val="auto"/>
                <w:spacing w:val="-1"/>
                <w:kern w:val="2"/>
                <w:sz w:val="24"/>
                <w:szCs w:val="24"/>
                <w:highlight w:val="none"/>
                <w:lang w:val="en-US" w:eastAsia="en-US" w:bidi="ar-SA"/>
              </w:rPr>
              <w:t>道</w:t>
            </w:r>
            <w:r>
              <w:rPr>
                <w:rFonts w:hint="eastAsia" w:ascii="Times New Roman" w:hAnsi="Times New Roman" w:eastAsia="宋体" w:cs="Times New Roman"/>
                <w:color w:val="auto"/>
                <w:spacing w:val="-1"/>
                <w:kern w:val="2"/>
                <w:sz w:val="24"/>
                <w:szCs w:val="24"/>
                <w:highlight w:val="none"/>
                <w:lang w:val="en-US" w:eastAsia="zh-CN" w:bidi="ar-SA"/>
              </w:rPr>
              <w:t>区域</w:t>
            </w:r>
            <w:r>
              <w:rPr>
                <w:rFonts w:hint="default" w:ascii="Times New Roman" w:hAnsi="Times New Roman" w:eastAsia="宋体" w:cs="Times New Roman"/>
                <w:color w:val="auto"/>
                <w:spacing w:val="-1"/>
                <w:kern w:val="2"/>
                <w:sz w:val="24"/>
                <w:szCs w:val="24"/>
                <w:highlight w:val="none"/>
                <w:lang w:val="en-US" w:eastAsia="en-US" w:bidi="ar-SA"/>
              </w:rPr>
              <w:t>内直接冲洗运输车辆和施工机械设备。</w:t>
            </w:r>
          </w:p>
          <w:p w14:paraId="2E26CF72">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firstLine="476" w:firstLineChars="200"/>
              <w:jc w:val="both"/>
              <w:textAlignment w:val="auto"/>
              <w:rPr>
                <w:rFonts w:hint="default" w:ascii="Times New Roman" w:hAnsi="Times New Roman" w:eastAsia="宋体" w:cs="Times New Roman"/>
                <w:color w:val="auto"/>
                <w:spacing w:val="-1"/>
                <w:kern w:val="2"/>
                <w:sz w:val="24"/>
                <w:szCs w:val="24"/>
                <w:highlight w:val="none"/>
                <w:lang w:val="en-US" w:eastAsia="en-US" w:bidi="ar-SA"/>
              </w:rPr>
            </w:pPr>
            <w:r>
              <w:rPr>
                <w:rFonts w:hint="default" w:ascii="Times New Roman" w:hAnsi="Times New Roman" w:eastAsia="宋体" w:cs="Times New Roman"/>
                <w:color w:val="auto"/>
                <w:spacing w:val="-1"/>
                <w:kern w:val="2"/>
                <w:sz w:val="24"/>
                <w:szCs w:val="24"/>
                <w:highlight w:val="none"/>
                <w:lang w:val="en-US" w:eastAsia="en-US" w:bidi="ar-SA"/>
              </w:rPr>
              <w:t>施工单位文明施工，车轮清洗废水经沉淀池处理后用于项目区洒水抑尘，严禁施工废水乱排、乱流污染施工场地，禁止施工废水直接排放，污染或进入天然水体。</w:t>
            </w:r>
          </w:p>
          <w:p w14:paraId="01E529FD">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firstLine="476" w:firstLineChars="200"/>
              <w:jc w:val="both"/>
              <w:textAlignment w:val="auto"/>
              <w:rPr>
                <w:rFonts w:hint="default" w:ascii="Times New Roman" w:hAnsi="Times New Roman" w:eastAsia="宋体" w:cs="Times New Roman"/>
                <w:color w:val="auto"/>
                <w:spacing w:val="-1"/>
                <w:kern w:val="2"/>
                <w:sz w:val="24"/>
                <w:szCs w:val="24"/>
                <w:highlight w:val="none"/>
                <w:lang w:val="en-US" w:eastAsia="en-US" w:bidi="ar-SA"/>
              </w:rPr>
            </w:pPr>
            <w:r>
              <w:rPr>
                <w:rFonts w:hint="default" w:ascii="Times New Roman" w:hAnsi="Times New Roman" w:eastAsia="宋体" w:cs="Times New Roman"/>
                <w:color w:val="auto"/>
                <w:spacing w:val="-1"/>
                <w:kern w:val="2"/>
                <w:sz w:val="24"/>
                <w:szCs w:val="24"/>
                <w:highlight w:val="none"/>
                <w:lang w:val="en-US" w:eastAsia="en-US" w:bidi="ar-SA"/>
              </w:rPr>
              <w:t>施工区内不设置生活区，施工人员就近租住各乡镇民房，产生的生活污水依托村镇民房已建污水管道排入村镇污水处理设施处理。</w:t>
            </w:r>
          </w:p>
          <w:p w14:paraId="35D31A6B">
            <w:pPr>
              <w:spacing w:line="360" w:lineRule="auto"/>
              <w:ind w:firstLine="480"/>
              <w:rPr>
                <w:rFonts w:hint="default" w:ascii="Times New Roman" w:hAnsi="Times New Roman" w:cs="Times New Roman"/>
                <w:color w:val="auto"/>
                <w:sz w:val="24"/>
              </w:rPr>
            </w:pPr>
            <w:r>
              <w:rPr>
                <w:rFonts w:hint="default" w:ascii="Times New Roman" w:hAnsi="Times New Roman" w:cs="Times New Roman"/>
                <w:color w:val="auto"/>
                <w:sz w:val="24"/>
              </w:rPr>
              <w:t>综上所述，施工期废水在采取以上措施处理后，不会对外环境产生明显不利影响，措施可行。</w:t>
            </w:r>
          </w:p>
          <w:p w14:paraId="1398473A">
            <w:pPr>
              <w:keepNext w:val="0"/>
              <w:keepLines w:val="0"/>
              <w:pageBreakBefore w:val="0"/>
              <w:widowControl w:val="0"/>
              <w:numPr>
                <w:ilvl w:val="0"/>
                <w:numId w:val="12"/>
              </w:numPr>
              <w:kinsoku/>
              <w:wordWrap/>
              <w:overflowPunct/>
              <w:topLinePunct w:val="0"/>
              <w:autoSpaceDE w:val="0"/>
              <w:autoSpaceDN w:val="0"/>
              <w:bidi w:val="0"/>
              <w:adjustRightInd w:val="0"/>
              <w:snapToGrid w:val="0"/>
              <w:spacing w:line="360" w:lineRule="auto"/>
              <w:ind w:left="0" w:leftChars="0" w:right="42" w:rightChars="20" w:firstLine="40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声环境保护措施</w:t>
            </w:r>
          </w:p>
          <w:p w14:paraId="73C1E131">
            <w:pPr>
              <w:widowControl/>
              <w:spacing w:line="360" w:lineRule="auto"/>
              <w:ind w:firstLine="480" w:firstLineChars="200"/>
              <w:rPr>
                <w:rFonts w:hint="default" w:ascii="Times New Roman" w:hAnsi="Times New Roman" w:cs="Times New Roman"/>
                <w:color w:val="auto"/>
                <w:kern w:val="0"/>
                <w:sz w:val="24"/>
                <w:highlight w:val="none"/>
                <w:lang w:bidi="ar"/>
              </w:rPr>
            </w:pPr>
            <w:r>
              <w:rPr>
                <w:rFonts w:hint="default" w:ascii="Times New Roman" w:hAnsi="Times New Roman" w:cs="Times New Roman"/>
                <w:color w:val="auto"/>
                <w:kern w:val="0"/>
                <w:sz w:val="24"/>
                <w:lang w:bidi="ar"/>
              </w:rPr>
              <w:t>（1）施工期噪声选用低噪声设备，设备采取基础减振、围挡隔声，合理布局施工场地，远离敏感区，禁止夜间施工。运营期选用低噪声风机机组，合理布置机位。噪声施工期</w:t>
            </w:r>
            <w:r>
              <w:rPr>
                <w:rFonts w:hint="eastAsia" w:cs="Times New Roman"/>
                <w:color w:val="auto"/>
                <w:kern w:val="0"/>
                <w:sz w:val="24"/>
                <w:lang w:eastAsia="zh-CN" w:bidi="ar"/>
              </w:rPr>
              <w:t>需</w:t>
            </w:r>
            <w:r>
              <w:rPr>
                <w:rFonts w:hint="default" w:ascii="Times New Roman" w:hAnsi="Times New Roman" w:cs="Times New Roman"/>
                <w:color w:val="auto"/>
                <w:kern w:val="0"/>
                <w:sz w:val="24"/>
                <w:lang w:bidi="ar"/>
              </w:rPr>
              <w:t>符合《建筑施工噪声排放标准》（GB12523-2025）要求，营运期需符合</w:t>
            </w:r>
            <w:r>
              <w:rPr>
                <w:rFonts w:hint="default" w:ascii="Times New Roman" w:hAnsi="Times New Roman" w:cs="Times New Roman"/>
                <w:color w:val="auto"/>
                <w:kern w:val="0"/>
                <w:sz w:val="24"/>
                <w:highlight w:val="none"/>
                <w:lang w:bidi="ar"/>
              </w:rPr>
              <w:t>《工业企业厂界环境噪声排放标准》（GB12348-2008）</w:t>
            </w:r>
            <w:r>
              <w:rPr>
                <w:rFonts w:hint="eastAsia" w:cs="Times New Roman"/>
                <w:color w:val="auto"/>
                <w:kern w:val="0"/>
                <w:sz w:val="24"/>
                <w:highlight w:val="none"/>
                <w:lang w:val="en-US" w:eastAsia="zh-CN" w:bidi="ar"/>
              </w:rPr>
              <w:t>1</w:t>
            </w:r>
            <w:r>
              <w:rPr>
                <w:rFonts w:hint="default" w:ascii="Times New Roman" w:hAnsi="Times New Roman" w:cs="Times New Roman"/>
                <w:color w:val="auto"/>
                <w:kern w:val="0"/>
                <w:sz w:val="24"/>
                <w:highlight w:val="none"/>
                <w:lang w:bidi="ar"/>
              </w:rPr>
              <w:t>类标准要求。</w:t>
            </w:r>
          </w:p>
          <w:p w14:paraId="234ECDA6">
            <w:pPr>
              <w:widowControl/>
              <w:spacing w:line="360" w:lineRule="auto"/>
              <w:ind w:firstLine="480" w:firstLineChars="200"/>
              <w:rPr>
                <w:rFonts w:hint="default" w:ascii="Times New Roman" w:hAnsi="Times New Roman" w:eastAsia="宋体" w:cs="Times New Roman"/>
                <w:color w:val="auto"/>
                <w:lang w:eastAsia="zh-CN"/>
              </w:rPr>
            </w:pPr>
            <w:r>
              <w:rPr>
                <w:rFonts w:hint="eastAsia" w:cs="Times New Roman"/>
                <w:color w:val="auto"/>
                <w:kern w:val="0"/>
                <w:sz w:val="24"/>
                <w:lang w:eastAsia="zh-CN" w:bidi="ar"/>
              </w:rPr>
              <w:t>（</w:t>
            </w:r>
            <w:r>
              <w:rPr>
                <w:rFonts w:hint="eastAsia" w:cs="Times New Roman"/>
                <w:color w:val="auto"/>
                <w:kern w:val="0"/>
                <w:sz w:val="24"/>
                <w:lang w:val="en-US" w:eastAsia="zh-CN" w:bidi="ar"/>
              </w:rPr>
              <w:t>2</w:t>
            </w:r>
            <w:r>
              <w:rPr>
                <w:rFonts w:hint="eastAsia" w:cs="Times New Roman"/>
                <w:color w:val="auto"/>
                <w:kern w:val="0"/>
                <w:sz w:val="24"/>
                <w:lang w:eastAsia="zh-CN" w:bidi="ar"/>
              </w:rPr>
              <w:t>）</w:t>
            </w:r>
            <w:r>
              <w:rPr>
                <w:rFonts w:hint="default" w:ascii="Times New Roman" w:hAnsi="Times New Roman" w:cs="Times New Roman"/>
                <w:color w:val="auto"/>
                <w:kern w:val="0"/>
                <w:sz w:val="24"/>
                <w:lang w:bidi="ar"/>
              </w:rPr>
              <w:t>施工单位在施工组织设计中，应合理摆放施工机械，尽量使机械远离敏感点，减少机械噪声对声环境的污染；</w:t>
            </w:r>
          </w:p>
          <w:p w14:paraId="1A826325">
            <w:pPr>
              <w:widowControl/>
              <w:spacing w:line="360" w:lineRule="auto"/>
              <w:ind w:firstLine="480" w:firstLineChars="200"/>
              <w:rPr>
                <w:rFonts w:hint="default" w:ascii="Times New Roman" w:hAnsi="Times New Roman" w:eastAsia="宋体" w:cs="Times New Roman"/>
                <w:color w:val="auto"/>
                <w:lang w:eastAsia="zh-CN"/>
              </w:rPr>
            </w:pPr>
            <w:r>
              <w:rPr>
                <w:rFonts w:hint="default" w:ascii="Times New Roman" w:hAnsi="Times New Roman" w:cs="Times New Roman"/>
                <w:color w:val="auto"/>
                <w:kern w:val="0"/>
                <w:sz w:val="24"/>
                <w:lang w:bidi="ar"/>
              </w:rPr>
              <w:t>（</w:t>
            </w:r>
            <w:r>
              <w:rPr>
                <w:rFonts w:hint="eastAsia" w:cs="Times New Roman"/>
                <w:color w:val="auto"/>
                <w:kern w:val="0"/>
                <w:sz w:val="24"/>
                <w:lang w:val="en-US" w:eastAsia="zh-CN" w:bidi="ar"/>
              </w:rPr>
              <w:t>3</w:t>
            </w:r>
            <w:r>
              <w:rPr>
                <w:rFonts w:hint="default" w:ascii="Times New Roman" w:hAnsi="Times New Roman" w:cs="Times New Roman"/>
                <w:color w:val="auto"/>
                <w:kern w:val="0"/>
                <w:sz w:val="24"/>
                <w:lang w:bidi="ar"/>
              </w:rPr>
              <w:t>）对于固定类机械设备，可采取基础</w:t>
            </w:r>
            <w:r>
              <w:rPr>
                <w:rFonts w:hint="default" w:ascii="Times New Roman" w:hAnsi="Times New Roman" w:cs="Times New Roman"/>
                <w:color w:val="auto"/>
                <w:kern w:val="0"/>
                <w:sz w:val="24"/>
                <w:lang w:eastAsia="zh-CN" w:bidi="ar"/>
              </w:rPr>
              <w:t>减振</w:t>
            </w:r>
            <w:r>
              <w:rPr>
                <w:rFonts w:hint="default" w:ascii="Times New Roman" w:hAnsi="Times New Roman" w:cs="Times New Roman"/>
                <w:color w:val="auto"/>
                <w:kern w:val="0"/>
                <w:sz w:val="24"/>
                <w:lang w:bidi="ar"/>
              </w:rPr>
              <w:t>，降低噪声污染；</w:t>
            </w:r>
          </w:p>
          <w:p w14:paraId="294BEFD8">
            <w:pPr>
              <w:widowControl/>
              <w:spacing w:line="360" w:lineRule="auto"/>
              <w:ind w:firstLine="480" w:firstLineChars="200"/>
              <w:rPr>
                <w:rFonts w:hint="default" w:ascii="Times New Roman" w:hAnsi="Times New Roman" w:eastAsia="宋体" w:cs="Times New Roman"/>
                <w:color w:val="auto"/>
                <w:lang w:eastAsia="zh-CN"/>
              </w:rPr>
            </w:pPr>
            <w:r>
              <w:rPr>
                <w:rFonts w:hint="default" w:ascii="Times New Roman" w:hAnsi="Times New Roman" w:cs="Times New Roman"/>
                <w:color w:val="auto"/>
                <w:kern w:val="0"/>
                <w:sz w:val="24"/>
                <w:lang w:bidi="ar"/>
              </w:rPr>
              <w:t>（</w:t>
            </w:r>
            <w:r>
              <w:rPr>
                <w:rFonts w:hint="eastAsia" w:cs="Times New Roman"/>
                <w:color w:val="auto"/>
                <w:kern w:val="0"/>
                <w:sz w:val="24"/>
                <w:lang w:val="en-US" w:eastAsia="zh-CN" w:bidi="ar"/>
              </w:rPr>
              <w:t>4</w:t>
            </w:r>
            <w:r>
              <w:rPr>
                <w:rFonts w:hint="default" w:ascii="Times New Roman" w:hAnsi="Times New Roman" w:cs="Times New Roman"/>
                <w:color w:val="auto"/>
                <w:kern w:val="0"/>
                <w:sz w:val="24"/>
                <w:lang w:bidi="ar"/>
              </w:rPr>
              <w:t>）施工场界要设置噪声防护围栏，降低施工噪声；</w:t>
            </w:r>
          </w:p>
          <w:p w14:paraId="641363C2">
            <w:pPr>
              <w:widowControl/>
              <w:spacing w:line="360" w:lineRule="auto"/>
              <w:ind w:firstLine="480" w:firstLineChars="200"/>
              <w:rPr>
                <w:rFonts w:hint="default" w:ascii="Times New Roman" w:hAnsi="Times New Roman" w:eastAsia="宋体" w:cs="Times New Roman"/>
                <w:color w:val="auto"/>
                <w:lang w:eastAsia="zh-CN"/>
              </w:rPr>
            </w:pPr>
            <w:r>
              <w:rPr>
                <w:rFonts w:hint="default" w:ascii="Times New Roman" w:hAnsi="Times New Roman" w:cs="Times New Roman"/>
                <w:color w:val="auto"/>
                <w:kern w:val="0"/>
                <w:sz w:val="24"/>
                <w:lang w:bidi="ar"/>
              </w:rPr>
              <w:t>（</w:t>
            </w:r>
            <w:r>
              <w:rPr>
                <w:rFonts w:hint="eastAsia" w:cs="Times New Roman"/>
                <w:color w:val="auto"/>
                <w:kern w:val="0"/>
                <w:sz w:val="24"/>
                <w:lang w:val="en-US" w:eastAsia="zh-CN" w:bidi="ar"/>
              </w:rPr>
              <w:t>5</w:t>
            </w:r>
            <w:r>
              <w:rPr>
                <w:rFonts w:hint="default" w:ascii="Times New Roman" w:hAnsi="Times New Roman" w:cs="Times New Roman"/>
                <w:color w:val="auto"/>
                <w:kern w:val="0"/>
                <w:sz w:val="24"/>
                <w:lang w:bidi="ar"/>
              </w:rPr>
              <w:t>）在项目施工期，应设立临时隔声屏障，在</w:t>
            </w:r>
            <w:r>
              <w:rPr>
                <w:rFonts w:hint="eastAsia" w:cs="Times New Roman"/>
                <w:color w:val="auto"/>
                <w:kern w:val="0"/>
                <w:sz w:val="24"/>
                <w:lang w:eastAsia="zh-CN" w:bidi="ar"/>
              </w:rPr>
              <w:t>施工</w:t>
            </w:r>
            <w:r>
              <w:rPr>
                <w:rFonts w:hint="default" w:ascii="Times New Roman" w:hAnsi="Times New Roman" w:cs="Times New Roman"/>
                <w:color w:val="auto"/>
                <w:kern w:val="0"/>
                <w:sz w:val="24"/>
                <w:lang w:bidi="ar"/>
              </w:rPr>
              <w:t>结构阶段应采用围挡，以降低设备噪声对周围的影响。</w:t>
            </w:r>
          </w:p>
          <w:p w14:paraId="4CD8B293">
            <w:pPr>
              <w:keepNext w:val="0"/>
              <w:keepLines w:val="0"/>
              <w:pageBreakBefore w:val="0"/>
              <w:widowControl w:val="0"/>
              <w:numPr>
                <w:ilvl w:val="0"/>
                <w:numId w:val="12"/>
              </w:numPr>
              <w:kinsoku/>
              <w:wordWrap/>
              <w:overflowPunct/>
              <w:topLinePunct w:val="0"/>
              <w:autoSpaceDE w:val="0"/>
              <w:autoSpaceDN w:val="0"/>
              <w:bidi w:val="0"/>
              <w:adjustRightInd w:val="0"/>
              <w:snapToGrid w:val="0"/>
              <w:spacing w:line="360" w:lineRule="auto"/>
              <w:ind w:left="0" w:leftChars="0" w:right="42" w:rightChars="20" w:firstLine="40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固体废弃物环境保护措施</w:t>
            </w:r>
          </w:p>
          <w:p w14:paraId="0D7FBD31">
            <w:pPr>
              <w:spacing w:line="360" w:lineRule="auto"/>
              <w:ind w:firstLine="480" w:firstLineChars="200"/>
              <w:rPr>
                <w:rFonts w:hint="default" w:ascii="Times New Roman" w:hAnsi="Times New Roman" w:cs="Times New Roman"/>
                <w:color w:val="auto"/>
                <w:kern w:val="0"/>
                <w:sz w:val="24"/>
                <w:lang w:val="en-US" w:eastAsia="zh-CN" w:bidi="ar"/>
              </w:rPr>
            </w:pPr>
            <w:r>
              <w:rPr>
                <w:rFonts w:hint="default" w:ascii="Times New Roman" w:hAnsi="Times New Roman" w:cs="Times New Roman"/>
                <w:color w:val="auto"/>
                <w:kern w:val="0"/>
                <w:sz w:val="24"/>
                <w:lang w:val="en-US" w:eastAsia="zh-CN" w:bidi="ar"/>
              </w:rPr>
              <w:t>施工期固体废弃物主要包括：建筑垃圾、生活垃圾、土石方、沉淀池泥沙。</w:t>
            </w:r>
          </w:p>
          <w:p w14:paraId="0E140D50">
            <w:pPr>
              <w:spacing w:line="360" w:lineRule="auto"/>
              <w:ind w:firstLine="480" w:firstLineChars="200"/>
              <w:rPr>
                <w:rFonts w:hint="default" w:ascii="Times New Roman" w:hAnsi="Times New Roman" w:cs="Times New Roman"/>
                <w:color w:val="auto"/>
                <w:kern w:val="0"/>
                <w:sz w:val="24"/>
                <w:lang w:val="en-US" w:eastAsia="zh-CN" w:bidi="ar"/>
              </w:rPr>
            </w:pPr>
            <w:r>
              <w:rPr>
                <w:rFonts w:hint="eastAsia" w:cs="Times New Roman"/>
                <w:color w:val="auto"/>
                <w:kern w:val="0"/>
                <w:sz w:val="24"/>
                <w:lang w:val="en-US" w:eastAsia="zh-CN" w:bidi="ar"/>
              </w:rPr>
              <w:t>（1）</w:t>
            </w:r>
            <w:r>
              <w:rPr>
                <w:rFonts w:hint="default" w:ascii="Times New Roman" w:hAnsi="Times New Roman" w:cs="Times New Roman"/>
                <w:color w:val="auto"/>
                <w:kern w:val="0"/>
                <w:sz w:val="24"/>
                <w:lang w:val="en-US" w:eastAsia="zh-CN" w:bidi="ar"/>
              </w:rPr>
              <w:t>建筑垃圾</w:t>
            </w:r>
          </w:p>
          <w:p w14:paraId="1C6DE868">
            <w:pPr>
              <w:spacing w:line="360" w:lineRule="auto"/>
              <w:ind w:firstLine="480" w:firstLineChars="200"/>
              <w:rPr>
                <w:rFonts w:hint="default" w:ascii="Times New Roman" w:hAnsi="Times New Roman" w:cs="Times New Roman"/>
                <w:color w:val="auto"/>
                <w:kern w:val="0"/>
                <w:sz w:val="24"/>
                <w:lang w:val="en-US" w:eastAsia="zh-CN" w:bidi="ar"/>
              </w:rPr>
            </w:pPr>
            <w:r>
              <w:rPr>
                <w:rFonts w:hint="default" w:ascii="Times New Roman" w:hAnsi="Times New Roman" w:cs="Times New Roman"/>
                <w:color w:val="auto"/>
                <w:kern w:val="0"/>
                <w:sz w:val="24"/>
                <w:lang w:val="en-US" w:eastAsia="zh-CN" w:bidi="ar"/>
              </w:rPr>
              <w:t>本项目产生建筑垃圾主要来自施工过程中产生的废混凝土块、废钢材、废包装材料等，环评建议采取如下措施：</w:t>
            </w:r>
          </w:p>
          <w:p w14:paraId="79434236">
            <w:pPr>
              <w:pStyle w:val="59"/>
              <w:keepNext w:val="0"/>
              <w:keepLines w:val="0"/>
              <w:pageBreakBefore w:val="0"/>
              <w:widowControl w:val="0"/>
              <w:numPr>
                <w:ilvl w:val="1"/>
                <w:numId w:val="15"/>
              </w:numPr>
              <w:kinsoku/>
              <w:wordWrap/>
              <w:overflowPunct/>
              <w:topLinePunct w:val="0"/>
              <w:autoSpaceDE/>
              <w:autoSpaceDN/>
              <w:bidi w:val="0"/>
              <w:adjustRightInd/>
              <w:snapToGrid/>
              <w:spacing w:line="360" w:lineRule="auto"/>
              <w:ind w:left="0" w:leftChars="0" w:firstLine="476" w:firstLineChars="200"/>
              <w:textAlignment w:val="auto"/>
              <w:rPr>
                <w:rFonts w:hint="default" w:ascii="Times New Roman" w:hAnsi="Times New Roman" w:eastAsia="宋体" w:cs="Times New Roman"/>
                <w:b w:val="0"/>
                <w:bCs w:val="0"/>
                <w:color w:val="auto"/>
                <w:spacing w:val="-1"/>
                <w:sz w:val="24"/>
                <w:szCs w:val="24"/>
                <w:highlight w:val="none"/>
                <w:lang w:val="en-US" w:eastAsia="zh-CN"/>
              </w:rPr>
            </w:pPr>
            <w:r>
              <w:rPr>
                <w:rFonts w:hint="default" w:ascii="Times New Roman" w:hAnsi="Times New Roman" w:eastAsia="宋体" w:cs="Times New Roman"/>
                <w:b w:val="0"/>
                <w:bCs w:val="0"/>
                <w:color w:val="auto"/>
                <w:spacing w:val="-1"/>
                <w:sz w:val="24"/>
                <w:szCs w:val="24"/>
                <w:highlight w:val="none"/>
                <w:lang w:val="en-US" w:eastAsia="zh-CN"/>
              </w:rPr>
              <w:t>分类收集：</w:t>
            </w:r>
          </w:p>
          <w:p w14:paraId="1320CE0C">
            <w:pPr>
              <w:spacing w:line="360" w:lineRule="auto"/>
              <w:ind w:firstLine="480" w:firstLineChars="200"/>
              <w:rPr>
                <w:rFonts w:hint="default" w:ascii="Times New Roman" w:hAnsi="Times New Roman" w:cs="Times New Roman"/>
                <w:color w:val="auto"/>
                <w:kern w:val="0"/>
                <w:sz w:val="24"/>
                <w:lang w:val="en-US" w:eastAsia="zh-CN" w:bidi="ar"/>
              </w:rPr>
            </w:pPr>
            <w:r>
              <w:rPr>
                <w:rFonts w:hint="default" w:ascii="Times New Roman" w:hAnsi="Times New Roman" w:cs="Times New Roman"/>
                <w:color w:val="auto"/>
                <w:kern w:val="0"/>
                <w:sz w:val="24"/>
                <w:lang w:val="en-US" w:eastAsia="zh-CN" w:bidi="ar"/>
              </w:rPr>
              <w:t>在施工区出入口、材料堆放区、作业面设置四分类收集点，配备带标识的专用容器；施工班组设立专职环保员，负责监督建筑垃圾日产日清，建立《建筑垃圾产生台账》，记录种类、数量及去向；对废混凝土块等大块废料，要求现场破碎至粒径≤30cm后再转运，降低运输扬尘。</w:t>
            </w:r>
          </w:p>
          <w:p w14:paraId="6732DE85">
            <w:pPr>
              <w:pStyle w:val="59"/>
              <w:keepNext w:val="0"/>
              <w:keepLines w:val="0"/>
              <w:pageBreakBefore w:val="0"/>
              <w:widowControl w:val="0"/>
              <w:numPr>
                <w:ilvl w:val="1"/>
                <w:numId w:val="15"/>
              </w:numPr>
              <w:kinsoku/>
              <w:wordWrap/>
              <w:overflowPunct/>
              <w:topLinePunct w:val="0"/>
              <w:autoSpaceDE/>
              <w:autoSpaceDN/>
              <w:bidi w:val="0"/>
              <w:adjustRightInd/>
              <w:snapToGrid/>
              <w:spacing w:line="360" w:lineRule="auto"/>
              <w:ind w:left="0" w:leftChars="0" w:firstLine="476" w:firstLineChars="200"/>
              <w:textAlignment w:val="auto"/>
              <w:rPr>
                <w:rFonts w:hint="default" w:ascii="Times New Roman" w:hAnsi="Times New Roman" w:eastAsia="宋体" w:cs="Times New Roman"/>
                <w:b w:val="0"/>
                <w:bCs w:val="0"/>
                <w:color w:val="auto"/>
                <w:spacing w:val="-1"/>
                <w:sz w:val="24"/>
                <w:szCs w:val="24"/>
                <w:highlight w:val="none"/>
                <w:lang w:val="en-US" w:eastAsia="zh-CN"/>
              </w:rPr>
            </w:pPr>
            <w:r>
              <w:rPr>
                <w:rFonts w:hint="default" w:ascii="Times New Roman" w:hAnsi="Times New Roman" w:eastAsia="宋体" w:cs="Times New Roman"/>
                <w:b w:val="0"/>
                <w:bCs w:val="0"/>
                <w:color w:val="auto"/>
                <w:spacing w:val="-1"/>
                <w:sz w:val="24"/>
                <w:szCs w:val="24"/>
                <w:highlight w:val="none"/>
                <w:lang w:val="en-US" w:eastAsia="zh-CN"/>
              </w:rPr>
              <w:t>临时贮存：</w:t>
            </w:r>
          </w:p>
          <w:p w14:paraId="20ADBC25">
            <w:pPr>
              <w:spacing w:line="360" w:lineRule="auto"/>
              <w:ind w:firstLine="480" w:firstLineChars="200"/>
              <w:rPr>
                <w:rFonts w:hint="default" w:ascii="Times New Roman" w:hAnsi="Times New Roman" w:cs="Times New Roman"/>
                <w:color w:val="auto"/>
                <w:kern w:val="0"/>
                <w:sz w:val="24"/>
                <w:lang w:val="en-US" w:eastAsia="zh-CN" w:bidi="ar"/>
              </w:rPr>
            </w:pPr>
            <w:r>
              <w:rPr>
                <w:rFonts w:hint="default" w:ascii="Times New Roman" w:hAnsi="Times New Roman" w:cs="Times New Roman"/>
                <w:color w:val="auto"/>
                <w:kern w:val="0"/>
                <w:sz w:val="24"/>
                <w:lang w:val="en-US" w:eastAsia="zh-CN" w:bidi="ar"/>
              </w:rPr>
              <w:t>场地选址避开敏感区域（距居民区≥50m，距水源地≥100m），设置在施工区下风向。不同类别垃圾分区堆放，间距≥1.5m，设置隔离挡板及分类标识牌。临时堆存时间不超过72小时，易扬尘物料覆盖阻燃防尘网，高温季节每日洒水降尘。</w:t>
            </w:r>
          </w:p>
          <w:p w14:paraId="7F66D61C">
            <w:pPr>
              <w:pStyle w:val="59"/>
              <w:keepNext w:val="0"/>
              <w:keepLines w:val="0"/>
              <w:pageBreakBefore w:val="0"/>
              <w:widowControl w:val="0"/>
              <w:numPr>
                <w:ilvl w:val="1"/>
                <w:numId w:val="15"/>
              </w:numPr>
              <w:kinsoku/>
              <w:wordWrap/>
              <w:overflowPunct/>
              <w:topLinePunct w:val="0"/>
              <w:autoSpaceDE/>
              <w:autoSpaceDN/>
              <w:bidi w:val="0"/>
              <w:adjustRightInd/>
              <w:snapToGrid/>
              <w:spacing w:line="360" w:lineRule="auto"/>
              <w:ind w:left="0" w:leftChars="0" w:firstLine="476" w:firstLineChars="200"/>
              <w:textAlignment w:val="auto"/>
              <w:rPr>
                <w:rFonts w:hint="default" w:ascii="Times New Roman" w:hAnsi="Times New Roman" w:eastAsia="宋体" w:cs="Times New Roman"/>
                <w:b w:val="0"/>
                <w:bCs w:val="0"/>
                <w:color w:val="auto"/>
                <w:spacing w:val="-1"/>
                <w:sz w:val="24"/>
                <w:szCs w:val="24"/>
                <w:highlight w:val="none"/>
                <w:lang w:val="en-US" w:eastAsia="zh-CN"/>
              </w:rPr>
            </w:pPr>
            <w:r>
              <w:rPr>
                <w:rFonts w:hint="default" w:ascii="Times New Roman" w:hAnsi="Times New Roman" w:eastAsia="宋体" w:cs="Times New Roman"/>
                <w:b w:val="0"/>
                <w:bCs w:val="0"/>
                <w:color w:val="auto"/>
                <w:spacing w:val="-1"/>
                <w:sz w:val="24"/>
                <w:szCs w:val="24"/>
                <w:highlight w:val="none"/>
                <w:lang w:val="en-US" w:eastAsia="zh-CN"/>
              </w:rPr>
              <w:t>环境管理强化措施：</w:t>
            </w:r>
          </w:p>
          <w:p w14:paraId="4BBF7273">
            <w:pPr>
              <w:spacing w:line="360" w:lineRule="auto"/>
              <w:ind w:firstLine="480" w:firstLineChars="200"/>
              <w:rPr>
                <w:rFonts w:hint="default" w:ascii="Times New Roman" w:hAnsi="Times New Roman" w:cs="Times New Roman"/>
                <w:color w:val="auto"/>
                <w:kern w:val="0"/>
                <w:sz w:val="24"/>
                <w:lang w:val="en-US" w:eastAsia="zh-CN" w:bidi="ar"/>
              </w:rPr>
            </w:pPr>
            <w:r>
              <w:rPr>
                <w:rFonts w:hint="default" w:ascii="Times New Roman" w:hAnsi="Times New Roman" w:cs="Times New Roman"/>
                <w:color w:val="auto"/>
                <w:kern w:val="0"/>
                <w:sz w:val="24"/>
                <w:lang w:val="en-US" w:eastAsia="zh-CN" w:bidi="ar"/>
              </w:rPr>
              <w:t>明确施工单位为建筑垃圾管理责任主体，缴纳环保保证金；监理单位每日巡查并填写《环保日志》，重点核查：分类合规率、贮存场地防尘措施、运输车辆密闭性。资源化利用要求废钢材、金属构件100%回收利用，破碎后的混凝土块优先用于场地硬化或路基填料。</w:t>
            </w:r>
          </w:p>
          <w:p w14:paraId="486A7816">
            <w:pPr>
              <w:spacing w:line="360" w:lineRule="auto"/>
              <w:ind w:firstLine="480" w:firstLineChars="200"/>
              <w:rPr>
                <w:rFonts w:hint="default" w:ascii="Times New Roman" w:hAnsi="Times New Roman" w:cs="Times New Roman"/>
                <w:color w:val="auto"/>
                <w:kern w:val="0"/>
                <w:sz w:val="24"/>
                <w:lang w:val="en-US" w:eastAsia="zh-CN" w:bidi="ar"/>
              </w:rPr>
            </w:pPr>
            <w:r>
              <w:rPr>
                <w:rFonts w:hint="default" w:ascii="Times New Roman" w:hAnsi="Times New Roman" w:cs="Times New Roman"/>
                <w:color w:val="auto"/>
                <w:kern w:val="0"/>
                <w:sz w:val="24"/>
                <w:lang w:val="en-US" w:eastAsia="zh-CN" w:bidi="ar"/>
              </w:rPr>
              <w:t>车辆运输时，运输车辆必须做到装载适量，加盖篷布，出工地前做好外部清洗，沿途不漏洒、不飞扬；运输必须在规定的时段内进行，按指定路段行驶；</w:t>
            </w:r>
          </w:p>
          <w:p w14:paraId="7281EE24">
            <w:pPr>
              <w:spacing w:line="360" w:lineRule="auto"/>
              <w:ind w:firstLine="480" w:firstLineChars="200"/>
              <w:rPr>
                <w:rFonts w:hint="default" w:ascii="Times New Roman" w:hAnsi="Times New Roman" w:cs="Times New Roman"/>
                <w:color w:val="auto"/>
                <w:kern w:val="0"/>
                <w:sz w:val="24"/>
                <w:lang w:val="en-US" w:eastAsia="zh-CN" w:bidi="ar"/>
              </w:rPr>
            </w:pPr>
            <w:r>
              <w:rPr>
                <w:rFonts w:hint="default" w:ascii="Times New Roman" w:hAnsi="Times New Roman" w:cs="Times New Roman"/>
                <w:color w:val="auto"/>
                <w:kern w:val="0"/>
                <w:sz w:val="24"/>
                <w:lang w:val="en-US" w:eastAsia="zh-CN" w:bidi="ar"/>
              </w:rPr>
              <w:t>实施全封闭型施工，尽可能使施工期间的污染和影响控制在施工场地范围内，尽量减少对周围环境的影响；</w:t>
            </w:r>
          </w:p>
          <w:p w14:paraId="2B84DB19">
            <w:pPr>
              <w:spacing w:line="360" w:lineRule="auto"/>
              <w:ind w:firstLine="480" w:firstLineChars="200"/>
              <w:rPr>
                <w:rFonts w:hint="default" w:ascii="Times New Roman" w:hAnsi="Times New Roman" w:cs="Times New Roman"/>
                <w:color w:val="auto"/>
                <w:kern w:val="0"/>
                <w:sz w:val="24"/>
                <w:lang w:val="en-US" w:eastAsia="zh-CN" w:bidi="ar"/>
              </w:rPr>
            </w:pPr>
            <w:r>
              <w:rPr>
                <w:rFonts w:hint="default" w:ascii="Times New Roman" w:hAnsi="Times New Roman" w:cs="Times New Roman"/>
                <w:color w:val="auto"/>
                <w:kern w:val="0"/>
                <w:sz w:val="24"/>
                <w:lang w:val="en-US" w:eastAsia="zh-CN" w:bidi="ar"/>
              </w:rPr>
              <w:t>施工车辆的物料运输应尽量避开敏感点的交通高峰期，并采取适当防护措施，减轻物料运输的交通压力和物料泄漏，以及可能导致的二次扬尘污染。</w:t>
            </w:r>
          </w:p>
          <w:p w14:paraId="3180D2CA">
            <w:pPr>
              <w:spacing w:line="360" w:lineRule="auto"/>
              <w:ind w:firstLine="480" w:firstLineChars="200"/>
              <w:rPr>
                <w:rFonts w:hint="default" w:ascii="Times New Roman" w:hAnsi="Times New Roman" w:eastAsia="宋体" w:cs="Times New Roman"/>
                <w:color w:val="auto"/>
                <w:kern w:val="0"/>
                <w:sz w:val="24"/>
                <w:lang w:val="en-US" w:eastAsia="zh-CN" w:bidi="ar"/>
              </w:rPr>
            </w:pPr>
            <w:r>
              <w:rPr>
                <w:rFonts w:hint="eastAsia" w:ascii="Times New Roman" w:hAnsi="Times New Roman" w:eastAsia="宋体" w:cs="Times New Roman"/>
                <w:color w:val="auto"/>
                <w:kern w:val="0"/>
                <w:sz w:val="24"/>
                <w:lang w:val="en-US" w:eastAsia="zh-CN" w:bidi="ar"/>
              </w:rPr>
              <w:t>（2）</w:t>
            </w:r>
            <w:r>
              <w:rPr>
                <w:rFonts w:hint="default" w:ascii="Times New Roman" w:hAnsi="Times New Roman" w:eastAsia="宋体" w:cs="Times New Roman"/>
                <w:color w:val="auto"/>
                <w:kern w:val="0"/>
                <w:sz w:val="24"/>
                <w:lang w:val="en-US" w:eastAsia="zh-CN" w:bidi="ar"/>
              </w:rPr>
              <w:t>生活垃圾</w:t>
            </w:r>
          </w:p>
          <w:p w14:paraId="18807A8A">
            <w:pPr>
              <w:spacing w:line="360" w:lineRule="auto"/>
              <w:ind w:firstLine="480" w:firstLineChars="200"/>
              <w:rPr>
                <w:rFonts w:hint="default" w:ascii="Times New Roman" w:hAnsi="Times New Roman" w:cs="Times New Roman"/>
                <w:color w:val="auto"/>
                <w:kern w:val="0"/>
                <w:sz w:val="24"/>
                <w:lang w:val="en-US" w:eastAsia="zh-CN" w:bidi="ar"/>
              </w:rPr>
            </w:pPr>
            <w:r>
              <w:rPr>
                <w:rFonts w:hint="default" w:ascii="Times New Roman" w:hAnsi="Times New Roman" w:cs="Times New Roman"/>
                <w:color w:val="auto"/>
                <w:kern w:val="0"/>
                <w:sz w:val="24"/>
                <w:lang w:val="en-US" w:eastAsia="zh-CN" w:bidi="ar"/>
              </w:rPr>
              <w:t>项目施工场地内设置生活垃圾桶，生活垃圾袋装收集后，定期交由奇台县生活垃圾填埋场处理。</w:t>
            </w:r>
          </w:p>
          <w:p w14:paraId="0EEC8E3C">
            <w:pPr>
              <w:spacing w:line="360" w:lineRule="auto"/>
              <w:ind w:firstLine="480" w:firstLineChars="200"/>
              <w:rPr>
                <w:rFonts w:hint="default" w:ascii="Times New Roman" w:hAnsi="Times New Roman" w:cs="Times New Roman"/>
                <w:color w:val="auto"/>
                <w:kern w:val="0"/>
                <w:sz w:val="24"/>
                <w:lang w:val="en-US" w:eastAsia="zh-CN" w:bidi="ar"/>
              </w:rPr>
            </w:pPr>
            <w:r>
              <w:rPr>
                <w:rFonts w:hint="eastAsia" w:cs="Times New Roman"/>
                <w:color w:val="auto"/>
                <w:kern w:val="0"/>
                <w:sz w:val="24"/>
                <w:lang w:val="en-US" w:eastAsia="zh-CN" w:bidi="ar"/>
              </w:rPr>
              <w:t>（3）</w:t>
            </w:r>
            <w:r>
              <w:rPr>
                <w:rFonts w:hint="default" w:ascii="Times New Roman" w:hAnsi="Times New Roman" w:cs="Times New Roman"/>
                <w:color w:val="auto"/>
                <w:kern w:val="0"/>
                <w:sz w:val="24"/>
                <w:lang w:val="en-US" w:eastAsia="zh-CN" w:bidi="ar"/>
              </w:rPr>
              <w:t>土石方</w:t>
            </w:r>
          </w:p>
          <w:p w14:paraId="1CCD5D13">
            <w:pPr>
              <w:spacing w:line="360" w:lineRule="auto"/>
              <w:ind w:firstLine="480" w:firstLineChars="200"/>
              <w:rPr>
                <w:rFonts w:hint="default" w:ascii="Times New Roman" w:hAnsi="Times New Roman" w:cs="Times New Roman"/>
                <w:color w:val="auto"/>
                <w:kern w:val="0"/>
                <w:sz w:val="24"/>
                <w:lang w:val="en-US" w:eastAsia="zh-CN" w:bidi="ar"/>
              </w:rPr>
            </w:pPr>
            <w:r>
              <w:rPr>
                <w:rFonts w:hint="default" w:ascii="Times New Roman" w:hAnsi="Times New Roman" w:cs="Times New Roman"/>
                <w:color w:val="auto"/>
                <w:kern w:val="0"/>
                <w:sz w:val="24"/>
                <w:lang w:val="en-US" w:eastAsia="zh-CN" w:bidi="ar"/>
              </w:rPr>
              <w:t>本项目共计土方开挖量5.</w:t>
            </w:r>
            <w:r>
              <w:rPr>
                <w:rFonts w:hint="eastAsia" w:cs="Times New Roman"/>
                <w:color w:val="auto"/>
                <w:kern w:val="0"/>
                <w:sz w:val="24"/>
                <w:lang w:val="en-US" w:eastAsia="zh-CN" w:bidi="ar"/>
              </w:rPr>
              <w:t>26</w:t>
            </w:r>
            <w:r>
              <w:rPr>
                <w:rFonts w:hint="default" w:ascii="Times New Roman" w:hAnsi="Times New Roman" w:cs="Times New Roman"/>
                <w:color w:val="auto"/>
                <w:kern w:val="0"/>
                <w:sz w:val="24"/>
                <w:lang w:val="en-US" w:eastAsia="zh-CN" w:bidi="ar"/>
              </w:rPr>
              <w:t>万m</w:t>
            </w:r>
            <w:r>
              <w:rPr>
                <w:rFonts w:hint="default" w:ascii="Times New Roman" w:hAnsi="Times New Roman" w:cs="Times New Roman"/>
                <w:color w:val="auto"/>
                <w:kern w:val="0"/>
                <w:sz w:val="24"/>
                <w:vertAlign w:val="superscript"/>
                <w:lang w:val="en-US" w:eastAsia="zh-CN" w:bidi="ar"/>
              </w:rPr>
              <w:t>3</w:t>
            </w:r>
            <w:r>
              <w:rPr>
                <w:rFonts w:hint="default" w:ascii="Times New Roman" w:hAnsi="Times New Roman" w:cs="Times New Roman"/>
                <w:color w:val="auto"/>
                <w:kern w:val="0"/>
                <w:sz w:val="24"/>
                <w:lang w:val="en-US" w:eastAsia="zh-CN" w:bidi="ar"/>
              </w:rPr>
              <w:t>，填方</w:t>
            </w:r>
            <w:r>
              <w:rPr>
                <w:rFonts w:hint="eastAsia" w:cs="Times New Roman"/>
                <w:color w:val="auto"/>
                <w:kern w:val="0"/>
                <w:sz w:val="24"/>
                <w:lang w:val="en-US" w:eastAsia="zh-CN" w:bidi="ar"/>
              </w:rPr>
              <w:t>7.08</w:t>
            </w:r>
            <w:r>
              <w:rPr>
                <w:rFonts w:hint="default" w:ascii="Times New Roman" w:hAnsi="Times New Roman" w:cs="Times New Roman"/>
                <w:color w:val="auto"/>
                <w:kern w:val="0"/>
                <w:sz w:val="24"/>
                <w:lang w:val="en-US" w:eastAsia="zh-CN" w:bidi="ar"/>
              </w:rPr>
              <w:t>万m</w:t>
            </w:r>
            <w:r>
              <w:rPr>
                <w:rFonts w:hint="default" w:ascii="Times New Roman" w:hAnsi="Times New Roman" w:cs="Times New Roman"/>
                <w:color w:val="auto"/>
                <w:kern w:val="0"/>
                <w:sz w:val="24"/>
                <w:vertAlign w:val="superscript"/>
                <w:lang w:val="en-US" w:eastAsia="zh-CN" w:bidi="ar"/>
              </w:rPr>
              <w:t>3</w:t>
            </w:r>
            <w:r>
              <w:rPr>
                <w:rFonts w:hint="default" w:ascii="Times New Roman" w:hAnsi="Times New Roman" w:cs="Times New Roman"/>
                <w:color w:val="auto"/>
                <w:kern w:val="0"/>
                <w:sz w:val="24"/>
                <w:lang w:val="en-US" w:eastAsia="zh-CN" w:bidi="ar"/>
              </w:rPr>
              <w:t>，借方</w:t>
            </w:r>
            <w:r>
              <w:rPr>
                <w:rFonts w:hint="eastAsia" w:cs="Times New Roman"/>
                <w:color w:val="auto"/>
                <w:kern w:val="0"/>
                <w:sz w:val="24"/>
                <w:lang w:val="en-US" w:eastAsia="zh-CN" w:bidi="ar"/>
              </w:rPr>
              <w:t>3.33</w:t>
            </w:r>
            <w:r>
              <w:rPr>
                <w:rFonts w:hint="default" w:ascii="Times New Roman" w:hAnsi="Times New Roman" w:cs="Times New Roman"/>
                <w:color w:val="auto"/>
                <w:kern w:val="0"/>
                <w:sz w:val="24"/>
                <w:lang w:val="en-US" w:eastAsia="zh-CN" w:bidi="ar"/>
              </w:rPr>
              <w:t>万m</w:t>
            </w:r>
            <w:r>
              <w:rPr>
                <w:rFonts w:hint="default" w:ascii="Times New Roman" w:hAnsi="Times New Roman" w:cs="Times New Roman"/>
                <w:color w:val="auto"/>
                <w:kern w:val="0"/>
                <w:sz w:val="24"/>
                <w:vertAlign w:val="superscript"/>
                <w:lang w:val="en-US" w:eastAsia="zh-CN" w:bidi="ar"/>
              </w:rPr>
              <w:t>3</w:t>
            </w:r>
            <w:r>
              <w:rPr>
                <w:rFonts w:hint="default" w:ascii="Times New Roman" w:hAnsi="Times New Roman" w:cs="Times New Roman"/>
                <w:color w:val="auto"/>
                <w:kern w:val="0"/>
                <w:sz w:val="24"/>
                <w:lang w:val="en-US" w:eastAsia="zh-CN" w:bidi="ar"/>
              </w:rPr>
              <w:t>，弃方</w:t>
            </w:r>
            <w:r>
              <w:rPr>
                <w:rFonts w:hint="eastAsia" w:cs="Times New Roman"/>
                <w:color w:val="auto"/>
                <w:kern w:val="0"/>
                <w:sz w:val="24"/>
                <w:lang w:val="en-US" w:eastAsia="zh-CN" w:bidi="ar"/>
              </w:rPr>
              <w:t>1.51</w:t>
            </w:r>
            <w:r>
              <w:rPr>
                <w:rFonts w:hint="default" w:ascii="Times New Roman" w:hAnsi="Times New Roman" w:cs="Times New Roman"/>
                <w:color w:val="auto"/>
                <w:kern w:val="0"/>
                <w:sz w:val="24"/>
                <w:lang w:val="en-US" w:eastAsia="zh-CN" w:bidi="ar"/>
              </w:rPr>
              <w:t>万m</w:t>
            </w:r>
            <w:r>
              <w:rPr>
                <w:rFonts w:hint="default" w:ascii="Times New Roman" w:hAnsi="Times New Roman" w:cs="Times New Roman"/>
                <w:color w:val="auto"/>
                <w:kern w:val="0"/>
                <w:sz w:val="24"/>
                <w:vertAlign w:val="superscript"/>
                <w:lang w:val="en-US" w:eastAsia="zh-CN" w:bidi="ar"/>
              </w:rPr>
              <w:t>3</w:t>
            </w:r>
            <w:r>
              <w:rPr>
                <w:rFonts w:hint="default" w:ascii="Times New Roman" w:hAnsi="Times New Roman" w:cs="Times New Roman"/>
                <w:color w:val="auto"/>
                <w:kern w:val="0"/>
                <w:sz w:val="24"/>
                <w:lang w:val="en-US" w:eastAsia="zh-CN" w:bidi="ar"/>
              </w:rPr>
              <w:t>，主要为原渠道及渠系建筑物拆除产生的建筑垃圾，计划拉至奇台县建筑垃圾填埋场处置，其余土方全部用于渠堤培高</w:t>
            </w:r>
            <w:r>
              <w:rPr>
                <w:rFonts w:hint="eastAsia" w:cs="Times New Roman"/>
                <w:color w:val="auto"/>
                <w:kern w:val="0"/>
                <w:sz w:val="24"/>
                <w:lang w:val="en-US" w:eastAsia="zh-CN" w:bidi="ar"/>
              </w:rPr>
              <w:t>，</w:t>
            </w:r>
            <w:r>
              <w:rPr>
                <w:rFonts w:hint="default" w:ascii="Times New Roman" w:hAnsi="Times New Roman" w:cs="Times New Roman"/>
                <w:color w:val="auto"/>
                <w:kern w:val="0"/>
                <w:sz w:val="24"/>
                <w:lang w:val="en-US" w:eastAsia="zh-CN" w:bidi="ar"/>
              </w:rPr>
              <w:t>拆除的可利用砼建筑部分用于渠道固堤，不可利用部分运至建筑垃圾填埋场填埋处置。</w:t>
            </w:r>
          </w:p>
          <w:p w14:paraId="45E2A150">
            <w:pPr>
              <w:spacing w:line="360" w:lineRule="auto"/>
              <w:ind w:firstLine="480" w:firstLineChars="200"/>
              <w:rPr>
                <w:rFonts w:hint="default" w:ascii="Times New Roman" w:hAnsi="Times New Roman" w:cs="Times New Roman"/>
                <w:color w:val="auto"/>
                <w:kern w:val="0"/>
                <w:sz w:val="24"/>
                <w:lang w:val="en-US" w:eastAsia="zh-CN" w:bidi="ar"/>
              </w:rPr>
            </w:pPr>
            <w:r>
              <w:rPr>
                <w:rFonts w:hint="default" w:ascii="Times New Roman" w:hAnsi="Times New Roman" w:cs="Times New Roman"/>
                <w:color w:val="auto"/>
                <w:kern w:val="0"/>
                <w:sz w:val="24"/>
                <w:lang w:val="en-US" w:eastAsia="zh-CN" w:bidi="ar"/>
              </w:rPr>
              <w:t>为强化过程管控，需重点落实两项措施：一是建立动态清理机制，对施工现场土方及时转运或综合利用，严禁长期堆放产生扬尘污染；二是要求施工单位编制详细弃方运输处置方案，经监理及业主审批后实施，全过程接受监理单位对运输路线、处置流程及环保措施的监督核查。</w:t>
            </w:r>
          </w:p>
          <w:p w14:paraId="4F095972">
            <w:pPr>
              <w:spacing w:line="360" w:lineRule="auto"/>
              <w:ind w:firstLine="480" w:firstLineChars="200"/>
              <w:rPr>
                <w:rFonts w:hint="default" w:ascii="Times New Roman" w:hAnsi="Times New Roman" w:cs="Times New Roman"/>
                <w:color w:val="auto"/>
                <w:kern w:val="0"/>
                <w:sz w:val="24"/>
                <w:lang w:val="en-US" w:eastAsia="zh-CN" w:bidi="ar"/>
              </w:rPr>
            </w:pPr>
            <w:r>
              <w:rPr>
                <w:rFonts w:hint="default" w:ascii="Times New Roman" w:hAnsi="Times New Roman" w:cs="Times New Roman"/>
                <w:color w:val="auto"/>
                <w:kern w:val="0"/>
                <w:sz w:val="24"/>
                <w:lang w:val="en-US" w:eastAsia="zh-CN" w:bidi="ar"/>
              </w:rPr>
              <w:t>（4）沉淀池泥沙</w:t>
            </w:r>
          </w:p>
          <w:p w14:paraId="06231300">
            <w:pPr>
              <w:spacing w:line="360" w:lineRule="auto"/>
              <w:ind w:firstLine="480" w:firstLineChars="200"/>
              <w:rPr>
                <w:rFonts w:hint="default" w:ascii="Times New Roman" w:hAnsi="Times New Roman" w:cs="Times New Roman"/>
                <w:color w:val="auto"/>
                <w:kern w:val="0"/>
                <w:sz w:val="24"/>
                <w:lang w:val="en-US" w:eastAsia="zh-CN" w:bidi="ar"/>
              </w:rPr>
            </w:pPr>
            <w:r>
              <w:rPr>
                <w:rFonts w:hint="default" w:ascii="Times New Roman" w:hAnsi="Times New Roman" w:cs="Times New Roman"/>
                <w:color w:val="auto"/>
                <w:kern w:val="0"/>
                <w:sz w:val="24"/>
                <w:lang w:val="en-US" w:eastAsia="zh-CN" w:bidi="ar"/>
              </w:rPr>
              <w:t>本项目沉淀池内产生的泥沙晾晒后连同建筑垃圾一同运至奇台县</w:t>
            </w:r>
            <w:r>
              <w:rPr>
                <w:rFonts w:hint="default" w:ascii="Times New Roman" w:hAnsi="Times New Roman" w:cs="Times New Roman"/>
                <w:color w:val="auto"/>
                <w:kern w:val="0"/>
                <w:sz w:val="24"/>
                <w:lang w:bidi="ar"/>
              </w:rPr>
              <w:t>生活垃圾填埋场处理</w:t>
            </w:r>
            <w:r>
              <w:rPr>
                <w:rFonts w:hint="default" w:ascii="Times New Roman" w:hAnsi="Times New Roman" w:cs="Times New Roman"/>
                <w:color w:val="auto"/>
                <w:kern w:val="0"/>
                <w:sz w:val="24"/>
                <w:lang w:val="en-US" w:eastAsia="zh-CN" w:bidi="ar"/>
              </w:rPr>
              <w:t>。</w:t>
            </w:r>
          </w:p>
          <w:p w14:paraId="1F6BD1B5">
            <w:pPr>
              <w:keepNext w:val="0"/>
              <w:keepLines w:val="0"/>
              <w:pageBreakBefore w:val="0"/>
              <w:widowControl w:val="0"/>
              <w:numPr>
                <w:ilvl w:val="0"/>
                <w:numId w:val="12"/>
              </w:numPr>
              <w:kinsoku/>
              <w:wordWrap/>
              <w:overflowPunct/>
              <w:topLinePunct w:val="0"/>
              <w:autoSpaceDE w:val="0"/>
              <w:autoSpaceDN w:val="0"/>
              <w:bidi w:val="0"/>
              <w:adjustRightInd w:val="0"/>
              <w:snapToGrid w:val="0"/>
              <w:spacing w:line="360" w:lineRule="auto"/>
              <w:ind w:left="0" w:leftChars="0" w:right="42" w:rightChars="20" w:firstLine="400" w:firstLineChars="0"/>
              <w:textAlignment w:val="auto"/>
              <w:rPr>
                <w:rFonts w:hint="default" w:ascii="Times New Roman" w:hAnsi="Times New Roman" w:cs="Times New Roman"/>
                <w:color w:val="auto"/>
                <w:kern w:val="0"/>
                <w:sz w:val="24"/>
                <w:lang w:val="en-US" w:eastAsia="zh-CN" w:bidi="ar"/>
              </w:rPr>
            </w:pPr>
            <w:r>
              <w:rPr>
                <w:rFonts w:hint="eastAsia" w:ascii="Times New Roman" w:hAnsi="Times New Roman" w:eastAsia="宋体" w:cs="Times New Roman"/>
                <w:b/>
                <w:bCs/>
                <w:color w:val="auto"/>
                <w:kern w:val="0"/>
                <w:sz w:val="24"/>
                <w:szCs w:val="24"/>
                <w:highlight w:val="none"/>
                <w:lang w:val="en-US" w:eastAsia="zh-CN"/>
              </w:rPr>
              <w:t>土壤</w:t>
            </w:r>
            <w:r>
              <w:rPr>
                <w:rFonts w:hint="default" w:ascii="Times New Roman" w:hAnsi="Times New Roman" w:eastAsia="宋体" w:cs="Times New Roman"/>
                <w:b/>
                <w:bCs/>
                <w:color w:val="auto"/>
                <w:kern w:val="0"/>
                <w:sz w:val="24"/>
                <w:szCs w:val="24"/>
                <w:highlight w:val="none"/>
                <w:lang w:val="en-US" w:eastAsia="zh-CN"/>
              </w:rPr>
              <w:t>环境保护措施</w:t>
            </w:r>
          </w:p>
          <w:p w14:paraId="0B541379">
            <w:pPr>
              <w:spacing w:line="360" w:lineRule="auto"/>
              <w:ind w:firstLine="480" w:firstLineChars="200"/>
              <w:rPr>
                <w:rFonts w:hint="default" w:ascii="Times New Roman" w:hAnsi="Times New Roman" w:cs="Times New Roman"/>
                <w:color w:val="auto"/>
                <w:kern w:val="0"/>
                <w:sz w:val="24"/>
                <w:lang w:val="en-US" w:eastAsia="zh-CN" w:bidi="ar"/>
              </w:rPr>
            </w:pPr>
            <w:r>
              <w:rPr>
                <w:rFonts w:hint="default" w:ascii="Times New Roman" w:hAnsi="Times New Roman" w:cs="Times New Roman"/>
                <w:color w:val="auto"/>
                <w:kern w:val="0"/>
                <w:sz w:val="24"/>
                <w:lang w:val="en-US" w:eastAsia="zh-CN" w:bidi="ar"/>
              </w:rPr>
              <w:t>严控施工范围，按施工红线作业，严禁超范围施工和违规占地，减少土壤扰动与植被破坏。优化施工布局，规划便道、堆场等位置，避免重复扰动，减少土壤压实板结。优化施工时序，避开大风、暴雨时段，降低风蚀、水蚀风险。</w:t>
            </w:r>
          </w:p>
          <w:p w14:paraId="4B50372B">
            <w:pPr>
              <w:spacing w:line="360" w:lineRule="auto"/>
              <w:ind w:firstLine="480" w:firstLineChars="200"/>
              <w:rPr>
                <w:rFonts w:hint="default" w:ascii="Times New Roman" w:hAnsi="Times New Roman" w:cs="Times New Roman"/>
                <w:color w:val="auto"/>
                <w:kern w:val="0"/>
                <w:sz w:val="24"/>
                <w:lang w:val="en-US" w:eastAsia="zh-CN" w:bidi="ar"/>
              </w:rPr>
            </w:pPr>
            <w:r>
              <w:rPr>
                <w:rFonts w:hint="default" w:ascii="Times New Roman" w:hAnsi="Times New Roman" w:cs="Times New Roman"/>
                <w:color w:val="auto"/>
                <w:kern w:val="0"/>
                <w:sz w:val="24"/>
                <w:lang w:val="en-US" w:eastAsia="zh-CN" w:bidi="ar"/>
              </w:rPr>
              <w:t>施工时区分表层耕作土与深部含盐土层，不将高含盐底层土铺至地表。及时清理基坑和作业区废水，</w:t>
            </w:r>
            <w:r>
              <w:rPr>
                <w:rFonts w:hint="eastAsia" w:cs="Times New Roman"/>
                <w:color w:val="auto"/>
                <w:kern w:val="0"/>
                <w:sz w:val="24"/>
                <w:lang w:val="en-US" w:eastAsia="zh-CN" w:bidi="ar"/>
              </w:rPr>
              <w:t>防止</w:t>
            </w:r>
            <w:r>
              <w:rPr>
                <w:rFonts w:hint="default" w:ascii="Times New Roman" w:hAnsi="Times New Roman" w:cs="Times New Roman"/>
                <w:color w:val="auto"/>
                <w:kern w:val="0"/>
                <w:sz w:val="24"/>
                <w:lang w:val="en-US" w:eastAsia="zh-CN" w:bidi="ar"/>
              </w:rPr>
              <w:t>盐分富集。土方回填分层压实，减少盐分上移，严控盐化加重风险。</w:t>
            </w:r>
          </w:p>
          <w:p w14:paraId="579A3ECA">
            <w:pPr>
              <w:spacing w:line="360" w:lineRule="auto"/>
              <w:ind w:firstLine="480" w:firstLineChars="200"/>
              <w:rPr>
                <w:rFonts w:hint="default" w:ascii="Times New Roman" w:hAnsi="Times New Roman" w:cs="Times New Roman"/>
                <w:color w:val="auto"/>
                <w:kern w:val="0"/>
                <w:sz w:val="24"/>
                <w:lang w:val="en-US" w:eastAsia="zh-CN" w:bidi="ar"/>
              </w:rPr>
            </w:pPr>
            <w:r>
              <w:rPr>
                <w:rFonts w:hint="default" w:ascii="Times New Roman" w:hAnsi="Times New Roman" w:cs="Times New Roman"/>
                <w:color w:val="auto"/>
                <w:kern w:val="0"/>
                <w:sz w:val="24"/>
                <w:lang w:val="en-US" w:eastAsia="zh-CN" w:bidi="ar"/>
              </w:rPr>
              <w:t>定期检修施工设备，规范油料加注，不在施工现场维修作业，防止机油等泄漏。建材集中搅拌、规范取用，及时清理散落物料。施工垃圾等分类收集、集中存放，统一外运处置，</w:t>
            </w:r>
            <w:r>
              <w:rPr>
                <w:rFonts w:hint="eastAsia" w:cs="Times New Roman"/>
                <w:color w:val="auto"/>
                <w:kern w:val="0"/>
                <w:sz w:val="24"/>
                <w:lang w:val="en-US" w:eastAsia="zh-CN" w:bidi="ar"/>
              </w:rPr>
              <w:t>防止</w:t>
            </w:r>
            <w:r>
              <w:rPr>
                <w:rFonts w:hint="default" w:ascii="Times New Roman" w:hAnsi="Times New Roman" w:cs="Times New Roman"/>
                <w:color w:val="auto"/>
                <w:kern w:val="0"/>
                <w:sz w:val="24"/>
                <w:lang w:val="en-US" w:eastAsia="zh-CN" w:bidi="ar"/>
              </w:rPr>
              <w:t>土壤点状污染。</w:t>
            </w:r>
          </w:p>
          <w:p w14:paraId="0A855115">
            <w:pPr>
              <w:spacing w:line="360" w:lineRule="auto"/>
              <w:ind w:firstLine="480" w:firstLineChars="200"/>
              <w:rPr>
                <w:rFonts w:hint="default" w:ascii="Times New Roman" w:hAnsi="Times New Roman" w:cs="Times New Roman"/>
                <w:color w:val="auto"/>
                <w:kern w:val="0"/>
                <w:sz w:val="24"/>
                <w:lang w:val="en-US" w:eastAsia="zh-CN" w:bidi="ar"/>
              </w:rPr>
            </w:pPr>
            <w:r>
              <w:rPr>
                <w:rFonts w:hint="default" w:ascii="Times New Roman" w:hAnsi="Times New Roman" w:cs="Times New Roman"/>
                <w:color w:val="auto"/>
                <w:kern w:val="0"/>
                <w:sz w:val="24"/>
                <w:lang w:val="en-US" w:eastAsia="zh-CN" w:bidi="ar"/>
              </w:rPr>
              <w:t>施工结束后，拆除临时设施，清理垃圾废弃物。对板结土壤松土改良，恢复孔隙结构。结合区域特点，选耐旱、耐盐碱乡土植被覆绿，恢复植被覆盖，修复土壤生态。</w:t>
            </w:r>
          </w:p>
        </w:tc>
      </w:tr>
      <w:tr w14:paraId="5F4FCE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66" w:hRule="atLeast"/>
          <w:jc w:val="center"/>
        </w:trPr>
        <w:tc>
          <w:tcPr>
            <w:tcW w:w="412" w:type="pct"/>
            <w:noWrap w:val="0"/>
            <w:tcMar>
              <w:left w:w="28" w:type="dxa"/>
              <w:right w:w="28" w:type="dxa"/>
            </w:tcMar>
            <w:vAlign w:val="center"/>
          </w:tcPr>
          <w:p w14:paraId="3D9466DF">
            <w:pPr>
              <w:adjustRightInd w:val="0"/>
              <w:snapToGrid w:val="0"/>
              <w:jc w:val="center"/>
              <w:rPr>
                <w:rFonts w:hint="default" w:ascii="Times New Roman" w:hAnsi="Times New Roman" w:cs="Times New Roman"/>
                <w:bCs/>
                <w:color w:val="auto"/>
                <w:spacing w:val="10"/>
                <w:sz w:val="24"/>
              </w:rPr>
            </w:pPr>
            <w:r>
              <w:rPr>
                <w:rFonts w:hint="default" w:ascii="Times New Roman" w:hAnsi="Times New Roman" w:cs="Times New Roman"/>
                <w:bCs/>
                <w:color w:val="auto"/>
                <w:spacing w:val="10"/>
                <w:sz w:val="24"/>
              </w:rPr>
              <w:t>运营期生态环境保护措施</w:t>
            </w:r>
          </w:p>
        </w:tc>
        <w:tc>
          <w:tcPr>
            <w:tcW w:w="4587" w:type="pct"/>
            <w:noWrap w:val="0"/>
            <w:vAlign w:val="top"/>
          </w:tcPr>
          <w:p w14:paraId="610F60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lang w:val="en-US" w:eastAsia="zh-CN"/>
              </w:rPr>
              <w:t xml:space="preserve">本项目建设内容为渠道防渗、配套建筑物建设，属生态影响型项目，运营期无废气、废水、固废排放，营运期环境影响主要为正效应。 </w:t>
            </w:r>
          </w:p>
          <w:p w14:paraId="39FF80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lang w:val="en-US" w:eastAsia="zh-CN"/>
              </w:rPr>
              <w:t>本项目施工混凝土为抗渗混凝土，项目建设完成后，渠道顺畅，水资源浪费的问题得到解决，不会引起该地区水文情势和水质的变化，因此本项目对渠道地下水的影响较小。</w:t>
            </w:r>
          </w:p>
          <w:p w14:paraId="1FEA6DA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kern w:val="0"/>
                <w:sz w:val="24"/>
              </w:rPr>
            </w:pPr>
            <w:r>
              <w:rPr>
                <w:rFonts w:hint="default" w:ascii="Times New Roman" w:hAnsi="Times New Roman" w:eastAsia="宋体" w:cs="Times New Roman"/>
                <w:color w:val="auto"/>
                <w:sz w:val="24"/>
                <w:lang w:val="en-US" w:eastAsia="zh-CN"/>
              </w:rPr>
              <w:t>工程实施运行后，可改善项目区环境，减少沿渠水土流失，减少淤积灾害，有利于提高灌区的引水条件，提高输水效率；过水能力和抗冲能力有效提高，保障沿渠农田、道路和公共设施的安全运行；有效控制地下水位，减少下渗水量，降低土壤盐碱化程度；沿渠绿化带的建设能美化周围环境，改善当地景观。</w:t>
            </w:r>
          </w:p>
        </w:tc>
      </w:tr>
      <w:tr w14:paraId="52EBC1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3" w:hRule="atLeast"/>
          <w:jc w:val="center"/>
        </w:trPr>
        <w:tc>
          <w:tcPr>
            <w:tcW w:w="412" w:type="pct"/>
            <w:noWrap w:val="0"/>
            <w:vAlign w:val="center"/>
          </w:tcPr>
          <w:p w14:paraId="6644028A">
            <w:pPr>
              <w:adjustRightInd w:val="0"/>
              <w:snapToGrid w:val="0"/>
              <w:jc w:val="center"/>
              <w:rPr>
                <w:rFonts w:hint="default" w:ascii="Times New Roman" w:hAnsi="Times New Roman" w:cs="Times New Roman"/>
                <w:bCs/>
                <w:color w:val="auto"/>
                <w:spacing w:val="10"/>
                <w:sz w:val="24"/>
              </w:rPr>
            </w:pPr>
            <w:r>
              <w:rPr>
                <w:rFonts w:hint="default" w:ascii="Times New Roman" w:hAnsi="Times New Roman" w:cs="Times New Roman"/>
                <w:bCs/>
                <w:color w:val="auto"/>
                <w:sz w:val="24"/>
              </w:rPr>
              <w:t>其他</w:t>
            </w:r>
          </w:p>
        </w:tc>
        <w:tc>
          <w:tcPr>
            <w:tcW w:w="4587" w:type="pct"/>
            <w:noWrap w:val="0"/>
            <w:vAlign w:val="center"/>
          </w:tcPr>
          <w:p w14:paraId="60F82E73">
            <w:pPr>
              <w:keepNext w:val="0"/>
              <w:keepLines w:val="0"/>
              <w:pageBreakBefore w:val="0"/>
              <w:widowControl w:val="0"/>
              <w:numPr>
                <w:ilvl w:val="0"/>
                <w:numId w:val="16"/>
              </w:numPr>
              <w:kinsoku/>
              <w:wordWrap/>
              <w:overflowPunct/>
              <w:topLinePunct w:val="0"/>
              <w:autoSpaceDE w:val="0"/>
              <w:autoSpaceDN w:val="0"/>
              <w:bidi w:val="0"/>
              <w:adjustRightInd w:val="0"/>
              <w:snapToGrid w:val="0"/>
              <w:spacing w:before="157" w:beforeLines="50"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环境管理</w:t>
            </w:r>
          </w:p>
          <w:p w14:paraId="64915F93">
            <w:pPr>
              <w:spacing w:line="360" w:lineRule="auto"/>
              <w:ind w:firstLine="480" w:firstLineChars="200"/>
              <w:rPr>
                <w:rFonts w:hint="eastAsia" w:ascii="Times New Roman" w:hAnsi="Times New Roman" w:eastAsia="宋体" w:cs="Times New Roman"/>
                <w:color w:val="auto"/>
                <w:kern w:val="0"/>
                <w:sz w:val="24"/>
                <w:lang w:bidi="ar"/>
              </w:rPr>
            </w:pPr>
            <w:r>
              <w:rPr>
                <w:rFonts w:hint="eastAsia" w:ascii="Times New Roman" w:hAnsi="Times New Roman" w:eastAsia="宋体" w:cs="Times New Roman"/>
                <w:color w:val="auto"/>
                <w:kern w:val="0"/>
                <w:sz w:val="24"/>
                <w:lang w:bidi="ar"/>
              </w:rPr>
              <w:t>通过制订系统的、科学的环境管理计划，使本</w:t>
            </w:r>
            <w:r>
              <w:rPr>
                <w:rFonts w:hint="eastAsia" w:ascii="Times New Roman" w:hAnsi="Times New Roman" w:eastAsia="宋体" w:cs="Times New Roman"/>
                <w:color w:val="auto"/>
                <w:kern w:val="0"/>
                <w:sz w:val="24"/>
                <w:lang w:eastAsia="zh-CN" w:bidi="ar"/>
              </w:rPr>
              <w:t>报告</w:t>
            </w:r>
            <w:r>
              <w:rPr>
                <w:rFonts w:hint="eastAsia" w:ascii="Times New Roman" w:hAnsi="Times New Roman" w:eastAsia="宋体" w:cs="Times New Roman"/>
                <w:color w:val="auto"/>
                <w:kern w:val="0"/>
                <w:sz w:val="24"/>
                <w:lang w:bidi="ar"/>
              </w:rPr>
              <w:t>针对工程建设过程中产生的负面环境影响所提出的防治或减缓措施，在该项目的设计、施工和运营中逐步得到落实，从而使得环境建设和主体工程建设符合国家同步设计、同步实施和同步投入使用的“三同时”制度要求，为环保措施的落实及监督、项目环境保护审批及环境保护竣工验收提供依据。</w:t>
            </w:r>
          </w:p>
          <w:p w14:paraId="0455C66F">
            <w:pPr>
              <w:spacing w:line="360" w:lineRule="auto"/>
              <w:ind w:firstLine="480" w:firstLineChars="200"/>
              <w:rPr>
                <w:rFonts w:hint="eastAsia" w:ascii="Times New Roman" w:hAnsi="Times New Roman" w:eastAsia="宋体" w:cs="Times New Roman"/>
                <w:color w:val="auto"/>
                <w:kern w:val="0"/>
                <w:sz w:val="24"/>
                <w:lang w:bidi="ar"/>
              </w:rPr>
            </w:pPr>
            <w:r>
              <w:rPr>
                <w:rFonts w:hint="eastAsia" w:ascii="Times New Roman" w:hAnsi="Times New Roman" w:eastAsia="宋体" w:cs="Times New Roman"/>
                <w:color w:val="auto"/>
                <w:kern w:val="0"/>
                <w:sz w:val="24"/>
                <w:lang w:bidi="ar"/>
              </w:rPr>
              <w:t>通过环境管理计划的实施，将本项目对沿线环境带来的不利影响减缓到相应法规和标准限值要求之内，使工程建设的经济效益和环境效益得以协调、持续和稳定发展。</w:t>
            </w:r>
          </w:p>
          <w:p w14:paraId="4F482EA5">
            <w:pPr>
              <w:spacing w:line="360" w:lineRule="auto"/>
              <w:ind w:firstLine="480" w:firstLineChars="200"/>
              <w:rPr>
                <w:rFonts w:hint="default" w:ascii="Times New Roman" w:hAnsi="Times New Roman" w:eastAsia="宋体" w:cs="Times New Roman"/>
                <w:color w:val="auto"/>
                <w:kern w:val="0"/>
                <w:sz w:val="24"/>
                <w:lang w:bidi="ar"/>
              </w:rPr>
            </w:pPr>
            <w:r>
              <w:rPr>
                <w:rFonts w:hint="eastAsia" w:ascii="Times New Roman" w:hAnsi="Times New Roman" w:eastAsia="宋体" w:cs="Times New Roman"/>
                <w:color w:val="auto"/>
                <w:kern w:val="0"/>
                <w:sz w:val="24"/>
                <w:lang w:bidi="ar"/>
              </w:rPr>
              <w:t>①</w:t>
            </w:r>
            <w:r>
              <w:rPr>
                <w:rFonts w:hint="default" w:ascii="Times New Roman" w:hAnsi="Times New Roman" w:eastAsia="宋体" w:cs="Times New Roman"/>
                <w:color w:val="auto"/>
                <w:kern w:val="0"/>
                <w:sz w:val="24"/>
                <w:lang w:bidi="ar"/>
              </w:rPr>
              <w:t>建立信息沟通渠道，接受工程所在地环保主管部门的监督管理。</w:t>
            </w:r>
          </w:p>
          <w:p w14:paraId="1BA7925E">
            <w:pPr>
              <w:spacing w:line="360" w:lineRule="auto"/>
              <w:ind w:firstLine="480" w:firstLineChars="200"/>
              <w:rPr>
                <w:rFonts w:hint="default" w:ascii="Times New Roman" w:hAnsi="Times New Roman" w:eastAsia="宋体" w:cs="Times New Roman"/>
                <w:color w:val="auto"/>
                <w:kern w:val="0"/>
                <w:sz w:val="24"/>
                <w:lang w:bidi="ar"/>
              </w:rPr>
            </w:pPr>
            <w:r>
              <w:rPr>
                <w:rFonts w:hint="eastAsia" w:ascii="Times New Roman" w:hAnsi="Times New Roman" w:eastAsia="宋体" w:cs="Times New Roman"/>
                <w:color w:val="auto"/>
                <w:kern w:val="0"/>
                <w:sz w:val="24"/>
                <w:lang w:bidi="ar"/>
              </w:rPr>
              <w:t>②</w:t>
            </w:r>
            <w:r>
              <w:rPr>
                <w:rFonts w:hint="default" w:ascii="Times New Roman" w:hAnsi="Times New Roman" w:eastAsia="宋体" w:cs="Times New Roman"/>
                <w:color w:val="auto"/>
                <w:kern w:val="0"/>
                <w:sz w:val="24"/>
                <w:lang w:bidi="ar"/>
              </w:rPr>
              <w:t>成立工程环保管理机构，并制定相应的环境管理办法。</w:t>
            </w:r>
          </w:p>
          <w:p w14:paraId="7720CF65">
            <w:pPr>
              <w:spacing w:line="360" w:lineRule="auto"/>
              <w:ind w:firstLine="480" w:firstLineChars="200"/>
              <w:rPr>
                <w:rFonts w:hint="default" w:ascii="Times New Roman" w:hAnsi="Times New Roman" w:eastAsia="宋体" w:cs="Times New Roman"/>
                <w:color w:val="auto"/>
                <w:kern w:val="0"/>
                <w:sz w:val="24"/>
                <w:lang w:bidi="ar"/>
              </w:rPr>
            </w:pPr>
            <w:r>
              <w:rPr>
                <w:rFonts w:hint="eastAsia" w:ascii="Times New Roman" w:hAnsi="Times New Roman" w:eastAsia="宋体" w:cs="Times New Roman"/>
                <w:color w:val="auto"/>
                <w:kern w:val="0"/>
                <w:sz w:val="24"/>
                <w:lang w:bidi="ar"/>
              </w:rPr>
              <w:t>1、</w:t>
            </w:r>
            <w:r>
              <w:rPr>
                <w:rFonts w:hint="default" w:ascii="Times New Roman" w:hAnsi="Times New Roman" w:eastAsia="宋体" w:cs="Times New Roman"/>
                <w:color w:val="auto"/>
                <w:kern w:val="0"/>
                <w:sz w:val="24"/>
                <w:lang w:bidi="ar"/>
              </w:rPr>
              <w:t>成立由工程建设指挥部指挥长任组长、分管领导任副组长，指挥部相关部门负责人为成员的环境保护领导小组，对整个项目的施工期环境保护管理工作负责，办事机构环境保护领导小组办公室，设在工程部；施工单位成立以项目经理为组长、项目总工为副组长，项目部各部门负责人、各施工队队长为组员的项目部环保小组，负责本单位施工标段内的环境保护工作，办事机构环保小组办公室，设在总工办</w:t>
            </w:r>
            <w:r>
              <w:rPr>
                <w:rFonts w:hint="eastAsia" w:ascii="Times New Roman" w:hAnsi="Times New Roman" w:eastAsia="宋体" w:cs="Times New Roman"/>
                <w:color w:val="auto"/>
                <w:kern w:val="0"/>
                <w:sz w:val="24"/>
                <w:lang w:bidi="ar"/>
              </w:rPr>
              <w:t>；</w:t>
            </w:r>
          </w:p>
          <w:p w14:paraId="3507CCF1">
            <w:pPr>
              <w:spacing w:line="360" w:lineRule="auto"/>
              <w:ind w:firstLine="480" w:firstLineChars="200"/>
              <w:rPr>
                <w:rFonts w:hint="default" w:ascii="Times New Roman" w:hAnsi="Times New Roman" w:eastAsia="宋体" w:cs="Times New Roman"/>
                <w:color w:val="auto"/>
                <w:kern w:val="0"/>
                <w:sz w:val="24"/>
                <w:lang w:bidi="ar"/>
              </w:rPr>
            </w:pPr>
            <w:r>
              <w:rPr>
                <w:rFonts w:hint="eastAsia" w:ascii="Times New Roman" w:hAnsi="Times New Roman" w:eastAsia="宋体" w:cs="Times New Roman"/>
                <w:color w:val="auto"/>
                <w:kern w:val="0"/>
                <w:sz w:val="24"/>
                <w:lang w:bidi="ar"/>
              </w:rPr>
              <w:t>2、</w:t>
            </w:r>
            <w:r>
              <w:rPr>
                <w:rFonts w:hint="default" w:ascii="Times New Roman" w:hAnsi="Times New Roman" w:eastAsia="宋体" w:cs="Times New Roman"/>
                <w:color w:val="auto"/>
                <w:kern w:val="0"/>
                <w:sz w:val="24"/>
                <w:lang w:bidi="ar"/>
              </w:rPr>
              <w:t>根据环境影响评价成果，制定系统的、分阶段环境管理目标、方针，确定与项目建设有关单位的环境保护义务、职责和管理办法</w:t>
            </w:r>
            <w:r>
              <w:rPr>
                <w:rFonts w:hint="eastAsia" w:ascii="Times New Roman" w:hAnsi="Times New Roman" w:eastAsia="宋体" w:cs="Times New Roman"/>
                <w:color w:val="auto"/>
                <w:kern w:val="0"/>
                <w:sz w:val="24"/>
                <w:lang w:bidi="ar"/>
              </w:rPr>
              <w:t>；</w:t>
            </w:r>
          </w:p>
          <w:p w14:paraId="49EF576D">
            <w:pPr>
              <w:spacing w:line="360" w:lineRule="auto"/>
              <w:ind w:firstLine="480" w:firstLineChars="200"/>
              <w:rPr>
                <w:rFonts w:hint="default" w:ascii="Times New Roman" w:hAnsi="Times New Roman" w:eastAsia="宋体" w:cs="Times New Roman"/>
                <w:color w:val="auto"/>
                <w:kern w:val="0"/>
                <w:sz w:val="24"/>
                <w:lang w:bidi="ar"/>
              </w:rPr>
            </w:pPr>
            <w:r>
              <w:rPr>
                <w:rFonts w:hint="eastAsia" w:ascii="Times New Roman" w:hAnsi="Times New Roman" w:eastAsia="宋体" w:cs="Times New Roman"/>
                <w:color w:val="auto"/>
                <w:kern w:val="0"/>
                <w:sz w:val="24"/>
                <w:lang w:bidi="ar"/>
              </w:rPr>
              <w:t>3、</w:t>
            </w:r>
            <w:r>
              <w:rPr>
                <w:rFonts w:hint="default" w:ascii="Times New Roman" w:hAnsi="Times New Roman" w:eastAsia="宋体" w:cs="Times New Roman"/>
                <w:color w:val="auto"/>
                <w:kern w:val="0"/>
                <w:sz w:val="24"/>
                <w:lang w:bidi="ar"/>
              </w:rPr>
              <w:t>确定环境管理措施落实情况与实施效果的监督体系，制定激励和奖惩措施</w:t>
            </w:r>
            <w:r>
              <w:rPr>
                <w:rFonts w:hint="eastAsia" w:ascii="Times New Roman" w:hAnsi="Times New Roman" w:eastAsia="宋体" w:cs="Times New Roman"/>
                <w:color w:val="auto"/>
                <w:kern w:val="0"/>
                <w:sz w:val="24"/>
                <w:lang w:bidi="ar"/>
              </w:rPr>
              <w:t>；</w:t>
            </w:r>
          </w:p>
          <w:p w14:paraId="22E287C1">
            <w:pPr>
              <w:spacing w:line="360" w:lineRule="auto"/>
              <w:ind w:firstLine="480" w:firstLineChars="200"/>
              <w:rPr>
                <w:rFonts w:hint="default" w:ascii="Times New Roman" w:hAnsi="Times New Roman" w:eastAsia="宋体" w:cs="Times New Roman"/>
                <w:color w:val="auto"/>
                <w:kern w:val="0"/>
                <w:sz w:val="24"/>
                <w:lang w:bidi="ar"/>
              </w:rPr>
            </w:pPr>
            <w:r>
              <w:rPr>
                <w:rFonts w:hint="eastAsia" w:ascii="Times New Roman" w:hAnsi="Times New Roman" w:eastAsia="宋体" w:cs="Times New Roman"/>
                <w:color w:val="auto"/>
                <w:kern w:val="0"/>
                <w:sz w:val="24"/>
                <w:lang w:bidi="ar"/>
              </w:rPr>
              <w:t>4、</w:t>
            </w:r>
            <w:r>
              <w:rPr>
                <w:rFonts w:hint="default" w:ascii="Times New Roman" w:hAnsi="Times New Roman" w:eastAsia="宋体" w:cs="Times New Roman"/>
                <w:color w:val="auto"/>
                <w:kern w:val="0"/>
                <w:sz w:val="24"/>
                <w:lang w:bidi="ar"/>
              </w:rPr>
              <w:t>加强施工期环境保护知识普及和宣教活动</w:t>
            </w:r>
            <w:r>
              <w:rPr>
                <w:rFonts w:hint="eastAsia" w:ascii="Times New Roman" w:hAnsi="Times New Roman" w:eastAsia="宋体" w:cs="Times New Roman"/>
                <w:color w:val="auto"/>
                <w:kern w:val="0"/>
                <w:sz w:val="24"/>
                <w:lang w:bidi="ar"/>
              </w:rPr>
              <w:t>；</w:t>
            </w:r>
          </w:p>
          <w:p w14:paraId="7ECAE9FD">
            <w:pPr>
              <w:spacing w:line="360" w:lineRule="auto"/>
              <w:ind w:firstLine="480" w:firstLineChars="200"/>
              <w:rPr>
                <w:rFonts w:hint="default" w:ascii="Times New Roman" w:hAnsi="Times New Roman" w:eastAsia="宋体" w:cs="Times New Roman"/>
                <w:color w:val="auto"/>
                <w:kern w:val="0"/>
                <w:sz w:val="24"/>
                <w:lang w:bidi="ar"/>
              </w:rPr>
            </w:pPr>
            <w:r>
              <w:rPr>
                <w:rFonts w:hint="eastAsia" w:ascii="Times New Roman" w:hAnsi="Times New Roman" w:eastAsia="宋体" w:cs="Times New Roman"/>
                <w:color w:val="auto"/>
                <w:kern w:val="0"/>
                <w:sz w:val="24"/>
                <w:lang w:bidi="ar"/>
              </w:rPr>
              <w:t>5、</w:t>
            </w:r>
            <w:r>
              <w:rPr>
                <w:rFonts w:hint="default" w:ascii="Times New Roman" w:hAnsi="Times New Roman" w:eastAsia="宋体" w:cs="Times New Roman"/>
                <w:color w:val="auto"/>
                <w:kern w:val="0"/>
                <w:sz w:val="24"/>
                <w:lang w:bidi="ar"/>
              </w:rPr>
              <w:t>监控、评价和改进施工期环境保护管理办法</w:t>
            </w:r>
            <w:r>
              <w:rPr>
                <w:rFonts w:hint="eastAsia" w:ascii="Times New Roman" w:hAnsi="Times New Roman" w:eastAsia="宋体" w:cs="Times New Roman"/>
                <w:color w:val="auto"/>
                <w:kern w:val="0"/>
                <w:sz w:val="24"/>
                <w:lang w:bidi="ar"/>
              </w:rPr>
              <w:t>；</w:t>
            </w:r>
          </w:p>
          <w:p w14:paraId="4C998F26">
            <w:pPr>
              <w:spacing w:line="360" w:lineRule="auto"/>
              <w:ind w:firstLine="480" w:firstLineChars="200"/>
              <w:rPr>
                <w:rFonts w:hint="default" w:ascii="Times New Roman" w:hAnsi="Times New Roman" w:eastAsia="宋体" w:cs="Times New Roman"/>
                <w:color w:val="auto"/>
                <w:kern w:val="0"/>
                <w:sz w:val="24"/>
                <w:lang w:bidi="ar"/>
              </w:rPr>
            </w:pPr>
            <w:r>
              <w:rPr>
                <w:rFonts w:hint="eastAsia" w:ascii="Times New Roman" w:hAnsi="Times New Roman" w:eastAsia="宋体" w:cs="Times New Roman"/>
                <w:color w:val="auto"/>
                <w:kern w:val="0"/>
                <w:sz w:val="24"/>
                <w:lang w:bidi="ar"/>
              </w:rPr>
              <w:t>③</w:t>
            </w:r>
            <w:r>
              <w:rPr>
                <w:rFonts w:hint="default" w:ascii="Times New Roman" w:hAnsi="Times New Roman" w:eastAsia="宋体" w:cs="Times New Roman"/>
                <w:color w:val="auto"/>
                <w:kern w:val="0"/>
                <w:sz w:val="24"/>
                <w:lang w:bidi="ar"/>
              </w:rPr>
              <w:t>落实施工期污染控制与生态保护措施，建立完善的监测结果报告制度</w:t>
            </w:r>
            <w:r>
              <w:rPr>
                <w:rFonts w:hint="eastAsia" w:ascii="Times New Roman" w:hAnsi="Times New Roman" w:eastAsia="宋体" w:cs="Times New Roman"/>
                <w:color w:val="auto"/>
                <w:kern w:val="0"/>
                <w:sz w:val="24"/>
                <w:lang w:bidi="ar"/>
              </w:rPr>
              <w:t>；</w:t>
            </w:r>
          </w:p>
          <w:p w14:paraId="67218BF8">
            <w:pPr>
              <w:spacing w:line="360" w:lineRule="auto"/>
              <w:ind w:firstLine="480" w:firstLineChars="200"/>
              <w:rPr>
                <w:rFonts w:hint="default" w:ascii="Times New Roman" w:hAnsi="Times New Roman" w:eastAsia="宋体" w:cs="Times New Roman"/>
                <w:color w:val="auto"/>
                <w:kern w:val="0"/>
                <w:sz w:val="24"/>
                <w:lang w:bidi="ar"/>
              </w:rPr>
            </w:pPr>
            <w:r>
              <w:rPr>
                <w:rFonts w:hint="eastAsia" w:ascii="Times New Roman" w:hAnsi="Times New Roman" w:eastAsia="宋体" w:cs="Times New Roman"/>
                <w:color w:val="auto"/>
                <w:kern w:val="0"/>
                <w:sz w:val="24"/>
                <w:lang w:bidi="ar"/>
              </w:rPr>
              <w:t>④</w:t>
            </w:r>
            <w:r>
              <w:rPr>
                <w:rFonts w:hint="default" w:ascii="Times New Roman" w:hAnsi="Times New Roman" w:eastAsia="宋体" w:cs="Times New Roman"/>
                <w:color w:val="auto"/>
                <w:kern w:val="0"/>
                <w:sz w:val="24"/>
                <w:lang w:bidi="ar"/>
              </w:rPr>
              <w:t>促使施工建设管理与环境管理的有机结合，为实现工程的环境管理目标提供充足的资源保证，包括合格的环境管理人员、管理和治理资金的到位等</w:t>
            </w:r>
            <w:r>
              <w:rPr>
                <w:rFonts w:hint="eastAsia" w:ascii="Times New Roman" w:hAnsi="Times New Roman" w:eastAsia="宋体" w:cs="Times New Roman"/>
                <w:color w:val="auto"/>
                <w:kern w:val="0"/>
                <w:sz w:val="24"/>
                <w:lang w:bidi="ar"/>
              </w:rPr>
              <w:t>；</w:t>
            </w:r>
          </w:p>
          <w:p w14:paraId="650893AA">
            <w:pPr>
              <w:spacing w:line="360" w:lineRule="auto"/>
              <w:ind w:firstLine="480" w:firstLineChars="200"/>
              <w:rPr>
                <w:rFonts w:hint="default" w:ascii="Times New Roman" w:hAnsi="Times New Roman" w:eastAsia="宋体" w:cs="Times New Roman"/>
                <w:color w:val="auto"/>
                <w:kern w:val="0"/>
                <w:sz w:val="24"/>
                <w:lang w:bidi="ar"/>
              </w:rPr>
            </w:pPr>
            <w:r>
              <w:rPr>
                <w:rFonts w:hint="eastAsia" w:ascii="Times New Roman" w:hAnsi="Times New Roman" w:eastAsia="宋体" w:cs="Times New Roman"/>
                <w:color w:val="auto"/>
                <w:kern w:val="0"/>
                <w:sz w:val="24"/>
                <w:lang w:bidi="ar"/>
              </w:rPr>
              <w:t>⑤</w:t>
            </w:r>
            <w:r>
              <w:rPr>
                <w:rFonts w:hint="default" w:ascii="Times New Roman" w:hAnsi="Times New Roman" w:eastAsia="宋体" w:cs="Times New Roman"/>
                <w:color w:val="auto"/>
                <w:kern w:val="0"/>
                <w:sz w:val="24"/>
                <w:lang w:bidi="ar"/>
              </w:rPr>
              <w:t>充分利用工程支付的调节手段，将工程的环境保护工作落到实处</w:t>
            </w:r>
            <w:r>
              <w:rPr>
                <w:rFonts w:hint="eastAsia" w:ascii="Times New Roman" w:hAnsi="Times New Roman" w:eastAsia="宋体" w:cs="Times New Roman"/>
                <w:color w:val="auto"/>
                <w:kern w:val="0"/>
                <w:sz w:val="24"/>
                <w:lang w:bidi="ar"/>
              </w:rPr>
              <w:t>；</w:t>
            </w:r>
          </w:p>
          <w:p w14:paraId="162DE13F">
            <w:pPr>
              <w:spacing w:line="360" w:lineRule="auto"/>
              <w:ind w:firstLine="480" w:firstLineChars="200"/>
              <w:rPr>
                <w:rFonts w:hint="default" w:ascii="Times New Roman" w:hAnsi="Times New Roman" w:eastAsia="宋体" w:cs="Times New Roman"/>
                <w:color w:val="auto"/>
                <w:kern w:val="0"/>
                <w:sz w:val="24"/>
                <w:lang w:bidi="ar"/>
              </w:rPr>
            </w:pPr>
            <w:r>
              <w:rPr>
                <w:rFonts w:hint="eastAsia" w:ascii="Times New Roman" w:hAnsi="Times New Roman" w:eastAsia="宋体" w:cs="Times New Roman"/>
                <w:color w:val="auto"/>
                <w:kern w:val="0"/>
                <w:sz w:val="24"/>
                <w:lang w:bidi="ar"/>
              </w:rPr>
              <w:t>⑥</w:t>
            </w:r>
            <w:r>
              <w:rPr>
                <w:rFonts w:hint="default" w:ascii="Times New Roman" w:hAnsi="Times New Roman" w:eastAsia="宋体" w:cs="Times New Roman"/>
                <w:color w:val="auto"/>
                <w:kern w:val="0"/>
                <w:sz w:val="24"/>
                <w:lang w:bidi="ar"/>
              </w:rPr>
              <w:t>做好工程施工期环境保护工作文档的归档管理工作</w:t>
            </w:r>
            <w:r>
              <w:rPr>
                <w:rFonts w:hint="eastAsia" w:ascii="Times New Roman" w:hAnsi="Times New Roman" w:eastAsia="宋体" w:cs="Times New Roman"/>
                <w:color w:val="auto"/>
                <w:kern w:val="0"/>
                <w:sz w:val="24"/>
                <w:lang w:bidi="ar"/>
              </w:rPr>
              <w:t>；</w:t>
            </w:r>
          </w:p>
          <w:p w14:paraId="6976815C">
            <w:pPr>
              <w:spacing w:line="360" w:lineRule="auto"/>
              <w:ind w:firstLine="480" w:firstLineChars="200"/>
              <w:rPr>
                <w:rFonts w:hint="eastAsia" w:ascii="Times New Roman" w:hAnsi="Times New Roman" w:eastAsia="宋体" w:cs="Times New Roman"/>
                <w:color w:val="auto"/>
                <w:kern w:val="0"/>
                <w:sz w:val="24"/>
                <w:lang w:bidi="ar"/>
              </w:rPr>
            </w:pPr>
            <w:r>
              <w:rPr>
                <w:rFonts w:hint="eastAsia" w:ascii="Times New Roman" w:hAnsi="Times New Roman" w:eastAsia="宋体" w:cs="Times New Roman"/>
                <w:color w:val="auto"/>
                <w:kern w:val="0"/>
                <w:sz w:val="24"/>
                <w:lang w:bidi="ar"/>
              </w:rPr>
              <w:t>⑦</w:t>
            </w:r>
            <w:r>
              <w:rPr>
                <w:rFonts w:hint="default" w:ascii="Times New Roman" w:hAnsi="Times New Roman" w:eastAsia="宋体" w:cs="Times New Roman"/>
                <w:color w:val="auto"/>
                <w:kern w:val="0"/>
                <w:sz w:val="24"/>
                <w:lang w:bidi="ar"/>
              </w:rPr>
              <w:t>加强工程招、投标工作中的环境保护管理</w:t>
            </w:r>
            <w:r>
              <w:rPr>
                <w:rFonts w:hint="eastAsia" w:ascii="Times New Roman" w:hAnsi="Times New Roman" w:eastAsia="宋体" w:cs="Times New Roman"/>
                <w:color w:val="auto"/>
                <w:kern w:val="0"/>
                <w:sz w:val="24"/>
                <w:lang w:bidi="ar"/>
              </w:rPr>
              <w:t>。</w:t>
            </w:r>
          </w:p>
          <w:p w14:paraId="2A85A4B7">
            <w:pPr>
              <w:keepNext w:val="0"/>
              <w:keepLines w:val="0"/>
              <w:pageBreakBefore w:val="0"/>
              <w:widowControl w:val="0"/>
              <w:numPr>
                <w:ilvl w:val="0"/>
                <w:numId w:val="16"/>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监测计划</w:t>
            </w:r>
          </w:p>
          <w:p w14:paraId="1974A2B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为了监督施工过程中各种环境保护措施的实施情况及运行效果，使施工环境管理更具有针对性，必须掌握施工过程中各施工时段及每一施工区域的环境质量状况及污染物排放情况，需要开展施工区环境质量监测。监测时段包括整个施工期，监测的环境因子包括水质、大气、生态监测等。监测断面和监测点的布设以及监测频次安排应能够系统地反映施工区从施工开始到工程完建各个时期的污染源变化及施工区环境质量变化情况，监测结果应准确、及时并具有较好的代表性，以便为施工区环境建设及环境监察管理提供科学依据。根据《环境影响评价技术导则生态影响》（HJ19-2022）、《环境影响评价技术导则声环境》（HJ2.4-2021）、《环境影响评价技术导则大气环境》（HJ2.2-2018）、《大气污染物综合排放标准》</w:t>
            </w:r>
            <w:r>
              <w:rPr>
                <w:rFonts w:hint="eastAsia"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GB16297-1996</w:t>
            </w:r>
            <w:r>
              <w:rPr>
                <w:rFonts w:hint="eastAsia"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、《声环境质量标准》（GB3096-2008）、《建筑施工场界环境噪声排放标准》等相关要求开展施工期环境监测。</w:t>
            </w:r>
          </w:p>
          <w:p w14:paraId="41CE636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（1）空气环境监测计划</w:t>
            </w:r>
          </w:p>
          <w:p w14:paraId="0B77B99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监测点位的布设：选取有代表性的施工生产区</w:t>
            </w:r>
            <w:r>
              <w:rPr>
                <w:rFonts w:hint="eastAsia" w:cs="Times New Roman"/>
                <w:color w:val="auto"/>
                <w:kern w:val="2"/>
                <w:sz w:val="24"/>
                <w:szCs w:val="24"/>
                <w:highlight w:val="none"/>
                <w:lang w:val="en-US" w:eastAsia="zh-CN" w:bidi="ar-SA"/>
              </w:rPr>
              <w:t>厂</w:t>
            </w:r>
            <w:r>
              <w:rPr>
                <w:rFonts w:hint="default" w:ascii="Times New Roman" w:hAnsi="Times New Roman" w:eastAsia="宋体" w:cs="Times New Roman"/>
                <w:color w:val="auto"/>
                <w:kern w:val="2"/>
                <w:sz w:val="24"/>
                <w:szCs w:val="24"/>
                <w:highlight w:val="none"/>
                <w:lang w:val="en-US" w:eastAsia="zh-CN" w:bidi="ar-SA"/>
              </w:rPr>
              <w:t>界附近居民点处，拟设置大气监测点。</w:t>
            </w:r>
          </w:p>
          <w:p w14:paraId="2600290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监测项目：TSP</w:t>
            </w:r>
          </w:p>
          <w:p w14:paraId="0211882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监测频率：主体工程施工期1次，高峰期1次，每次监测2天。</w:t>
            </w:r>
          </w:p>
          <w:p w14:paraId="3417BA1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执行标准：施工场界执行《大气污染物综合排放标准》</w:t>
            </w:r>
            <w:r>
              <w:rPr>
                <w:rFonts w:hint="eastAsia"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GB16297-1996</w:t>
            </w:r>
            <w:r>
              <w:rPr>
                <w:rFonts w:hint="eastAsia" w:cs="Times New Roman"/>
                <w:color w:val="auto"/>
                <w:kern w:val="2"/>
                <w:sz w:val="24"/>
                <w:szCs w:val="24"/>
                <w:highlight w:val="none"/>
                <w:lang w:val="en-US" w:eastAsia="zh-CN" w:bidi="ar-SA"/>
              </w:rPr>
              <w:t>）相关</w:t>
            </w:r>
            <w:r>
              <w:rPr>
                <w:rFonts w:hint="default" w:ascii="Times New Roman" w:hAnsi="Times New Roman" w:eastAsia="宋体" w:cs="Times New Roman"/>
                <w:color w:val="auto"/>
                <w:kern w:val="2"/>
                <w:sz w:val="24"/>
                <w:szCs w:val="24"/>
                <w:highlight w:val="none"/>
                <w:lang w:val="en-US" w:eastAsia="zh-CN" w:bidi="ar-SA"/>
              </w:rPr>
              <w:t>浓度限值。</w:t>
            </w:r>
          </w:p>
          <w:p w14:paraId="7FABA78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（2）噪声环境监测计划</w:t>
            </w:r>
          </w:p>
          <w:p w14:paraId="369B085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监测点位选取有代表性的施工生产区临近居民区处，布设噪声监测点。</w:t>
            </w:r>
          </w:p>
          <w:p w14:paraId="28846AE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监测项目：等效连续A声级；</w:t>
            </w:r>
          </w:p>
          <w:p w14:paraId="0D7D229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监测频率：主体工程施工期1次，高峰期1次，每次监测2天。</w:t>
            </w:r>
          </w:p>
          <w:p w14:paraId="77C6F38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执行标准：施工场界执行《建筑施工场界环境噪声排放标准》</w:t>
            </w:r>
            <w:r>
              <w:rPr>
                <w:rFonts w:hint="eastAsia"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GB12523-2011</w:t>
            </w:r>
            <w:r>
              <w:rPr>
                <w:rFonts w:hint="eastAsia"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w:t>
            </w:r>
          </w:p>
          <w:p w14:paraId="28578B0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（3）陆生生态环境监测</w:t>
            </w:r>
          </w:p>
          <w:p w14:paraId="36BFB63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监测点位：每个施工区的施工范围内设置1个监测点。</w:t>
            </w:r>
          </w:p>
          <w:p w14:paraId="4186469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监测项目：土壤类型及理化性质、土壤侵蚀类型及侵蚀程度等；植被类型及覆盖度、生物产量等；临时占地面积、地表扰动面积、植被损坏面积等；对野生动物的数量、种类、活动范围进行观测等。</w:t>
            </w:r>
          </w:p>
          <w:p w14:paraId="12B78AB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监测频率：施工前监测一次，根据施工进度，施工高峰期监测一次。</w:t>
            </w:r>
          </w:p>
          <w:p w14:paraId="43C3514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（4）施工废水与生活污水监测计划</w:t>
            </w:r>
          </w:p>
          <w:p w14:paraId="1690815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监测点位布设：在施工废水、生活污水处理设施进出口设置监测点位，覆盖施工区域与生活区，全面掌握污水处理及水质情况。</w:t>
            </w:r>
          </w:p>
          <w:p w14:paraId="360059A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监测项目：</w:t>
            </w:r>
          </w:p>
          <w:p w14:paraId="3F8DC34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1.施工废水：监测pH、SS、COD、泥沙含量。</w:t>
            </w:r>
          </w:p>
          <w:p w14:paraId="306BCCF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2.生活污水：监测pH、COD、BOD₅、SS、氨氮、总磷、总氮。</w:t>
            </w:r>
          </w:p>
          <w:p w14:paraId="0B3478E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监测频率：日常施工每季度1次，施工高峰、土方作业及雨季每月加密1次。每次连续2天、每日采样1次，同步记录现场及设施运行情况，突发异常随时加测。</w:t>
            </w:r>
          </w:p>
          <w:p w14:paraId="180C9A1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执行标准：污水经处理后优先回用、不外排。</w:t>
            </w:r>
          </w:p>
          <w:p w14:paraId="120EE7F5">
            <w:pPr>
              <w:keepNext w:val="0"/>
              <w:keepLines w:val="0"/>
              <w:pageBreakBefore w:val="0"/>
              <w:widowControl w:val="0"/>
              <w:numPr>
                <w:ilvl w:val="0"/>
                <w:numId w:val="16"/>
              </w:numPr>
              <w:kinsoku/>
              <w:wordWrap/>
              <w:overflowPunct/>
              <w:topLinePunct w:val="0"/>
              <w:autoSpaceDE w:val="0"/>
              <w:autoSpaceDN w:val="0"/>
              <w:bidi w:val="0"/>
              <w:adjustRightInd w:val="0"/>
              <w:snapToGrid w:val="0"/>
              <w:spacing w:before="157" w:beforeLines="50"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“三同时”制度</w:t>
            </w:r>
          </w:p>
          <w:p w14:paraId="4D935B87">
            <w:pPr>
              <w:pStyle w:val="28"/>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480"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根据《建设项目环境保护“三同时”管理办法》，工程建设过程中的污染防治措施必须与建设项目同时设计、同时施工、同时投入运行。建设项目与“三同时”污染防治措施业主必须自主验收合格后才能正式投入运行。防治污染的设施不得擅自拆除或闲置。</w:t>
            </w:r>
          </w:p>
          <w:p w14:paraId="264CC139">
            <w:pPr>
              <w:pStyle w:val="28"/>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480"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环保“三同时”竣工验收见表</w:t>
            </w:r>
            <w:r>
              <w:rPr>
                <w:rFonts w:hint="default" w:ascii="Times New Roman" w:hAnsi="Times New Roman" w:eastAsia="宋体" w:cs="Times New Roman"/>
                <w:color w:val="auto"/>
                <w:lang w:val="en-US" w:eastAsia="zh-CN"/>
              </w:rPr>
              <w:t>5-</w:t>
            </w:r>
            <w:r>
              <w:rPr>
                <w:rFonts w:hint="eastAsia" w:eastAsia="宋体" w:cs="Times New Roman"/>
                <w:color w:val="auto"/>
                <w:lang w:val="en-US" w:eastAsia="zh-CN"/>
              </w:rPr>
              <w:t>1</w:t>
            </w:r>
            <w:r>
              <w:rPr>
                <w:rFonts w:hint="default" w:ascii="Times New Roman" w:hAnsi="Times New Roman" w:eastAsia="宋体" w:cs="Times New Roman"/>
                <w:color w:val="auto"/>
              </w:rPr>
              <w:t>。</w:t>
            </w:r>
          </w:p>
          <w:p w14:paraId="60F6FFD7">
            <w:pPr>
              <w:pStyle w:val="41"/>
              <w:keepNext w:val="0"/>
              <w:keepLines w:val="0"/>
              <w:pageBreakBefore w:val="0"/>
              <w:widowControl w:val="0"/>
              <w:kinsoku/>
              <w:wordWrap/>
              <w:overflowPunct/>
              <w:topLinePunct w:val="0"/>
              <w:autoSpaceDE/>
              <w:autoSpaceDN/>
              <w:bidi w:val="0"/>
              <w:adjustRightInd w:val="0"/>
              <w:snapToGrid/>
              <w:spacing w:before="0" w:after="0" w:line="240" w:lineRule="auto"/>
              <w:ind w:firstLine="0" w:firstLineChars="0"/>
              <w:textAlignment w:val="baseline"/>
              <w:rPr>
                <w:rFonts w:hint="default" w:ascii="Times New Roman" w:hAnsi="Times New Roman" w:eastAsia="黑体" w:cs="Times New Roman"/>
                <w:b/>
                <w:bCs w:val="0"/>
                <w:color w:val="auto"/>
                <w:spacing w:val="0"/>
                <w:kern w:val="2"/>
                <w:sz w:val="24"/>
                <w:szCs w:val="24"/>
                <w:lang w:val="en-US" w:eastAsia="zh-CN"/>
              </w:rPr>
            </w:pPr>
            <w:r>
              <w:rPr>
                <w:rFonts w:hint="default" w:ascii="Times New Roman" w:hAnsi="Times New Roman" w:eastAsia="宋体" w:cs="Times New Roman"/>
                <w:b/>
                <w:bCs w:val="0"/>
                <w:color w:val="auto"/>
                <w:spacing w:val="0"/>
                <w:kern w:val="2"/>
                <w:sz w:val="24"/>
                <w:szCs w:val="24"/>
                <w:lang w:val="en-US" w:eastAsia="zh-CN"/>
              </w:rPr>
              <w:t>表5-</w:t>
            </w:r>
            <w:r>
              <w:rPr>
                <w:rFonts w:hint="eastAsia" w:ascii="Times New Roman" w:hAnsi="Times New Roman" w:eastAsia="宋体" w:cs="Times New Roman"/>
                <w:b/>
                <w:bCs w:val="0"/>
                <w:color w:val="auto"/>
                <w:spacing w:val="0"/>
                <w:kern w:val="2"/>
                <w:sz w:val="24"/>
                <w:szCs w:val="24"/>
                <w:lang w:val="en-US" w:eastAsia="zh-CN"/>
              </w:rPr>
              <w:t>1</w:t>
            </w:r>
            <w:r>
              <w:rPr>
                <w:rFonts w:hint="default" w:ascii="Times New Roman" w:hAnsi="Times New Roman" w:eastAsia="宋体" w:cs="Times New Roman"/>
                <w:b/>
                <w:bCs w:val="0"/>
                <w:color w:val="auto"/>
                <w:spacing w:val="0"/>
                <w:kern w:val="2"/>
                <w:sz w:val="24"/>
                <w:szCs w:val="24"/>
                <w:lang w:val="en-US" w:eastAsia="zh-CN"/>
              </w:rPr>
              <w:t>“三同时”环保竣工验收内容</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
              <w:gridCol w:w="1694"/>
              <w:gridCol w:w="5346"/>
            </w:tblGrid>
            <w:tr w14:paraId="6D879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319" w:type="pct"/>
                  <w:tcBorders>
                    <w:tl2br w:val="nil"/>
                    <w:tr2bl w:val="nil"/>
                  </w:tcBorders>
                  <w:noWrap w:val="0"/>
                  <w:vAlign w:val="center"/>
                </w:tcPr>
                <w:p w14:paraId="774C5C4A">
                  <w:pPr>
                    <w:spacing w:line="240" w:lineRule="auto"/>
                    <w:jc w:val="center"/>
                    <w:rPr>
                      <w:rFonts w:hint="default" w:ascii="Times New Roman" w:hAnsi="Times New Roman" w:eastAsia="宋体" w:cs="Times New Roman"/>
                      <w:b/>
                      <w:bCs w:val="0"/>
                      <w:color w:val="auto"/>
                    </w:rPr>
                  </w:pPr>
                  <w:r>
                    <w:rPr>
                      <w:rFonts w:hint="default" w:ascii="Times New Roman" w:hAnsi="Times New Roman" w:eastAsia="宋体" w:cs="Times New Roman"/>
                      <w:b/>
                      <w:bCs w:val="0"/>
                      <w:color w:val="auto"/>
                    </w:rPr>
                    <w:t>序号</w:t>
                  </w:r>
                </w:p>
              </w:tc>
              <w:tc>
                <w:tcPr>
                  <w:tcW w:w="1126" w:type="pct"/>
                  <w:tcBorders>
                    <w:tl2br w:val="nil"/>
                    <w:tr2bl w:val="nil"/>
                  </w:tcBorders>
                  <w:noWrap w:val="0"/>
                  <w:vAlign w:val="center"/>
                </w:tcPr>
                <w:p w14:paraId="21AC3EFC">
                  <w:pPr>
                    <w:spacing w:line="240" w:lineRule="auto"/>
                    <w:jc w:val="center"/>
                    <w:rPr>
                      <w:rFonts w:hint="default" w:ascii="Times New Roman" w:hAnsi="Times New Roman" w:eastAsia="宋体" w:cs="Times New Roman"/>
                      <w:b/>
                      <w:bCs w:val="0"/>
                      <w:color w:val="auto"/>
                    </w:rPr>
                  </w:pPr>
                  <w:r>
                    <w:rPr>
                      <w:rFonts w:hint="default" w:ascii="Times New Roman" w:hAnsi="Times New Roman" w:eastAsia="宋体" w:cs="Times New Roman"/>
                      <w:b/>
                      <w:bCs w:val="0"/>
                      <w:color w:val="auto"/>
                    </w:rPr>
                    <w:t>验收调查项目</w:t>
                  </w:r>
                </w:p>
              </w:tc>
              <w:tc>
                <w:tcPr>
                  <w:tcW w:w="3553" w:type="pct"/>
                  <w:tcBorders>
                    <w:tl2br w:val="nil"/>
                    <w:tr2bl w:val="nil"/>
                  </w:tcBorders>
                  <w:noWrap w:val="0"/>
                  <w:vAlign w:val="center"/>
                </w:tcPr>
                <w:p w14:paraId="5C2F6F69">
                  <w:pPr>
                    <w:spacing w:line="240" w:lineRule="auto"/>
                    <w:jc w:val="center"/>
                    <w:rPr>
                      <w:rFonts w:hint="default" w:ascii="Times New Roman" w:hAnsi="Times New Roman" w:eastAsia="宋体" w:cs="Times New Roman"/>
                      <w:b/>
                      <w:bCs w:val="0"/>
                      <w:color w:val="auto"/>
                    </w:rPr>
                  </w:pPr>
                  <w:r>
                    <w:rPr>
                      <w:rFonts w:hint="default" w:ascii="Times New Roman" w:hAnsi="Times New Roman" w:eastAsia="宋体" w:cs="Times New Roman"/>
                      <w:b/>
                      <w:bCs w:val="0"/>
                      <w:color w:val="auto"/>
                    </w:rPr>
                    <w:t>竣工环境保护验收调查内容</w:t>
                  </w:r>
                </w:p>
              </w:tc>
            </w:tr>
            <w:tr w14:paraId="0EF4E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9" w:type="pct"/>
                  <w:tcBorders>
                    <w:tl2br w:val="nil"/>
                    <w:tr2bl w:val="nil"/>
                  </w:tcBorders>
                  <w:noWrap w:val="0"/>
                  <w:vAlign w:val="center"/>
                </w:tcPr>
                <w:p w14:paraId="663ABB23">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1</w:t>
                  </w:r>
                </w:p>
              </w:tc>
              <w:tc>
                <w:tcPr>
                  <w:tcW w:w="1126" w:type="pct"/>
                  <w:tcBorders>
                    <w:tl2br w:val="nil"/>
                    <w:tr2bl w:val="nil"/>
                  </w:tcBorders>
                  <w:noWrap w:val="0"/>
                  <w:vAlign w:val="center"/>
                </w:tcPr>
                <w:p w14:paraId="7E134197">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相关批复文件</w:t>
                  </w:r>
                </w:p>
              </w:tc>
              <w:tc>
                <w:tcPr>
                  <w:tcW w:w="3553" w:type="pct"/>
                  <w:tcBorders>
                    <w:tl2br w:val="nil"/>
                    <w:tr2bl w:val="nil"/>
                  </w:tcBorders>
                  <w:noWrap w:val="0"/>
                  <w:vAlign w:val="center"/>
                </w:tcPr>
                <w:p w14:paraId="0CD40F5D">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项目是否取得核准文件，相关批复文件是否齐备，项目是否具备开工条件。</w:t>
                  </w:r>
                </w:p>
              </w:tc>
            </w:tr>
            <w:tr w14:paraId="31838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9" w:type="pct"/>
                  <w:tcBorders>
                    <w:tl2br w:val="nil"/>
                    <w:tr2bl w:val="nil"/>
                  </w:tcBorders>
                  <w:noWrap w:val="0"/>
                  <w:vAlign w:val="center"/>
                </w:tcPr>
                <w:p w14:paraId="0DE75151">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2</w:t>
                  </w:r>
                </w:p>
              </w:tc>
              <w:tc>
                <w:tcPr>
                  <w:tcW w:w="1126" w:type="pct"/>
                  <w:tcBorders>
                    <w:tl2br w:val="nil"/>
                    <w:tr2bl w:val="nil"/>
                  </w:tcBorders>
                  <w:noWrap w:val="0"/>
                  <w:vAlign w:val="center"/>
                </w:tcPr>
                <w:p w14:paraId="7DD6E7EA">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工程建设与规划的相符性</w:t>
                  </w:r>
                </w:p>
              </w:tc>
              <w:tc>
                <w:tcPr>
                  <w:tcW w:w="3553" w:type="pct"/>
                  <w:tcBorders>
                    <w:tl2br w:val="nil"/>
                    <w:tr2bl w:val="nil"/>
                  </w:tcBorders>
                  <w:noWrap w:val="0"/>
                  <w:vAlign w:val="center"/>
                </w:tcPr>
                <w:p w14:paraId="4612692B">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本项目的建设是否符合相关规划要求。</w:t>
                  </w:r>
                </w:p>
              </w:tc>
            </w:tr>
            <w:tr w14:paraId="61A9F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9" w:type="pct"/>
                  <w:tcBorders>
                    <w:tl2br w:val="nil"/>
                    <w:tr2bl w:val="nil"/>
                  </w:tcBorders>
                  <w:noWrap w:val="0"/>
                  <w:vAlign w:val="center"/>
                </w:tcPr>
                <w:p w14:paraId="51E8E258">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3</w:t>
                  </w:r>
                </w:p>
              </w:tc>
              <w:tc>
                <w:tcPr>
                  <w:tcW w:w="1126" w:type="pct"/>
                  <w:tcBorders>
                    <w:tl2br w:val="nil"/>
                    <w:tr2bl w:val="nil"/>
                  </w:tcBorders>
                  <w:noWrap w:val="0"/>
                  <w:vAlign w:val="center"/>
                </w:tcPr>
                <w:p w14:paraId="64CCA899">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工程建设内容与环评的相符性</w:t>
                  </w:r>
                </w:p>
              </w:tc>
              <w:tc>
                <w:tcPr>
                  <w:tcW w:w="3553" w:type="pct"/>
                  <w:tcBorders>
                    <w:tl2br w:val="nil"/>
                    <w:tr2bl w:val="nil"/>
                  </w:tcBorders>
                  <w:noWrap w:val="0"/>
                  <w:vAlign w:val="center"/>
                </w:tcPr>
                <w:p w14:paraId="5EF29D22">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与环评报告及环评报告批复对比，若工程的场址、建设规模发生变更，应就变更情况以及变更原因进行说明。</w:t>
                  </w:r>
                </w:p>
              </w:tc>
            </w:tr>
            <w:tr w14:paraId="4FEB1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jc w:val="center"/>
              </w:trPr>
              <w:tc>
                <w:tcPr>
                  <w:tcW w:w="319" w:type="pct"/>
                  <w:tcBorders>
                    <w:tl2br w:val="nil"/>
                    <w:tr2bl w:val="nil"/>
                  </w:tcBorders>
                  <w:noWrap w:val="0"/>
                  <w:vAlign w:val="center"/>
                </w:tcPr>
                <w:p w14:paraId="06F52EB0">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4</w:t>
                  </w:r>
                </w:p>
              </w:tc>
              <w:tc>
                <w:tcPr>
                  <w:tcW w:w="1126" w:type="pct"/>
                  <w:tcBorders>
                    <w:tl2br w:val="nil"/>
                    <w:tr2bl w:val="nil"/>
                  </w:tcBorders>
                  <w:noWrap w:val="0"/>
                  <w:vAlign w:val="center"/>
                </w:tcPr>
                <w:p w14:paraId="7B4B1AFC">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敏感目标调查</w:t>
                  </w:r>
                </w:p>
              </w:tc>
              <w:tc>
                <w:tcPr>
                  <w:tcW w:w="3553" w:type="pct"/>
                  <w:tcBorders>
                    <w:tl2br w:val="nil"/>
                    <w:tr2bl w:val="nil"/>
                  </w:tcBorders>
                  <w:noWrap w:val="0"/>
                  <w:vAlign w:val="center"/>
                </w:tcPr>
                <w:p w14:paraId="08C341E8">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调查工程周围生态影响评价范围内环境敏感区的分布情况；对比环评报告，说明生态保护目标的变化情况以及原因。</w:t>
                  </w:r>
                </w:p>
              </w:tc>
            </w:tr>
            <w:tr w14:paraId="09E69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319" w:type="pct"/>
                  <w:tcBorders>
                    <w:tl2br w:val="nil"/>
                    <w:tr2bl w:val="nil"/>
                  </w:tcBorders>
                  <w:noWrap w:val="0"/>
                  <w:vAlign w:val="center"/>
                </w:tcPr>
                <w:p w14:paraId="00C4CD0C">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5</w:t>
                  </w:r>
                </w:p>
              </w:tc>
              <w:tc>
                <w:tcPr>
                  <w:tcW w:w="1126" w:type="pct"/>
                  <w:tcBorders>
                    <w:tl2br w:val="nil"/>
                    <w:tr2bl w:val="nil"/>
                  </w:tcBorders>
                  <w:noWrap w:val="0"/>
                  <w:vAlign w:val="center"/>
                </w:tcPr>
                <w:p w14:paraId="147D2DF9">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施工期环保措施落实情况</w:t>
                  </w:r>
                </w:p>
              </w:tc>
              <w:tc>
                <w:tcPr>
                  <w:tcW w:w="3553" w:type="pct"/>
                  <w:tcBorders>
                    <w:tl2br w:val="nil"/>
                    <w:tr2bl w:val="nil"/>
                  </w:tcBorders>
                  <w:noWrap w:val="0"/>
                  <w:vAlign w:val="center"/>
                </w:tcPr>
                <w:p w14:paraId="501CFC20">
                  <w:pPr>
                    <w:spacing w:line="240" w:lineRule="auto"/>
                    <w:jc w:val="left"/>
                    <w:rPr>
                      <w:rFonts w:hint="default" w:ascii="Times New Roman" w:hAnsi="Times New Roman" w:eastAsia="宋体" w:cs="Times New Roman"/>
                      <w:bCs/>
                      <w:color w:val="auto"/>
                    </w:rPr>
                  </w:pPr>
                  <w:r>
                    <w:rPr>
                      <w:rFonts w:hint="default" w:ascii="Times New Roman" w:hAnsi="Times New Roman" w:eastAsia="宋体" w:cs="Times New Roman"/>
                      <w:bCs/>
                      <w:color w:val="auto"/>
                    </w:rPr>
                    <w:t>调查工程施工期废水处理措施；施工期固废处理处置方式，调查工程施工临时占地恢复情况及效果；分析采取相关措施的有效性及存在问题，针对存在问题提出整改、补救措施与建议。</w:t>
                  </w:r>
                </w:p>
              </w:tc>
            </w:tr>
            <w:tr w14:paraId="6E4BB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319" w:type="pct"/>
                  <w:tcBorders>
                    <w:tl2br w:val="nil"/>
                    <w:tr2bl w:val="nil"/>
                  </w:tcBorders>
                  <w:noWrap w:val="0"/>
                  <w:vAlign w:val="center"/>
                </w:tcPr>
                <w:p w14:paraId="451830F8">
                  <w:pPr>
                    <w:spacing w:line="240" w:lineRule="auto"/>
                    <w:jc w:val="center"/>
                    <w:rPr>
                      <w:rFonts w:hint="default" w:ascii="Times New Roman" w:hAnsi="Times New Roman" w:eastAsia="宋体" w:cs="Times New Roman"/>
                      <w:bCs/>
                      <w:color w:val="auto"/>
                      <w:lang w:eastAsia="zh-CN"/>
                    </w:rPr>
                  </w:pPr>
                  <w:r>
                    <w:rPr>
                      <w:rFonts w:hint="default" w:ascii="Times New Roman" w:hAnsi="Times New Roman" w:eastAsia="宋体" w:cs="Times New Roman"/>
                      <w:bCs/>
                      <w:color w:val="auto"/>
                      <w:lang w:val="en-US" w:eastAsia="zh-CN"/>
                    </w:rPr>
                    <w:t>6</w:t>
                  </w:r>
                </w:p>
              </w:tc>
              <w:tc>
                <w:tcPr>
                  <w:tcW w:w="1126" w:type="pct"/>
                  <w:tcBorders>
                    <w:tl2br w:val="nil"/>
                    <w:tr2bl w:val="nil"/>
                  </w:tcBorders>
                  <w:noWrap w:val="0"/>
                  <w:vAlign w:val="center"/>
                </w:tcPr>
                <w:p w14:paraId="6CB14D0F">
                  <w:pPr>
                    <w:spacing w:line="240" w:lineRule="auto"/>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噪声</w:t>
                  </w:r>
                </w:p>
              </w:tc>
              <w:tc>
                <w:tcPr>
                  <w:tcW w:w="3553" w:type="pct"/>
                  <w:tcBorders>
                    <w:tl2br w:val="nil"/>
                    <w:tr2bl w:val="nil"/>
                  </w:tcBorders>
                  <w:noWrap w:val="0"/>
                  <w:vAlign w:val="center"/>
                </w:tcPr>
                <w:p w14:paraId="59D8A5B6">
                  <w:pPr>
                    <w:spacing w:line="240" w:lineRule="auto"/>
                    <w:jc w:val="left"/>
                    <w:rPr>
                      <w:rFonts w:hint="eastAsia" w:ascii="Times New Roman" w:hAnsi="Times New Roman" w:eastAsia="宋体" w:cs="Times New Roman"/>
                      <w:bCs/>
                      <w:color w:val="auto"/>
                      <w:highlight w:val="none"/>
                      <w:lang w:eastAsia="zh-CN"/>
                    </w:rPr>
                  </w:pPr>
                  <w:r>
                    <w:rPr>
                      <w:rFonts w:hint="default" w:ascii="Times New Roman" w:hAnsi="Times New Roman" w:eastAsia="宋体" w:cs="Times New Roman"/>
                      <w:bCs/>
                      <w:color w:val="auto"/>
                      <w:highlight w:val="none"/>
                    </w:rPr>
                    <w:t>选用低噪声设备，噪声是否满足《</w:t>
                  </w:r>
                  <w:r>
                    <w:rPr>
                      <w:rFonts w:hint="default" w:ascii="Times New Roman" w:hAnsi="Times New Roman" w:eastAsia="宋体" w:cs="Times New Roman"/>
                      <w:bCs/>
                      <w:color w:val="auto"/>
                      <w:highlight w:val="none"/>
                      <w:lang w:eastAsia="zh-CN"/>
                    </w:rPr>
                    <w:t>工业企业厂界环境噪声排放标准</w:t>
                  </w:r>
                  <w:r>
                    <w:rPr>
                      <w:rFonts w:hint="default" w:ascii="Times New Roman" w:hAnsi="Times New Roman" w:eastAsia="宋体" w:cs="Times New Roman"/>
                      <w:bCs/>
                      <w:color w:val="auto"/>
                      <w:highlight w:val="none"/>
                    </w:rPr>
                    <w:t>》（GB12348-2008）</w:t>
                  </w:r>
                  <w:r>
                    <w:rPr>
                      <w:rFonts w:hint="eastAsia" w:cs="Times New Roman"/>
                      <w:bCs/>
                      <w:color w:val="auto"/>
                      <w:highlight w:val="none"/>
                      <w:lang w:val="en-US" w:eastAsia="zh-CN"/>
                    </w:rPr>
                    <w:t>1</w:t>
                  </w:r>
                  <w:r>
                    <w:rPr>
                      <w:rFonts w:hint="default" w:ascii="Times New Roman" w:hAnsi="Times New Roman" w:eastAsia="宋体" w:cs="Times New Roman"/>
                      <w:bCs/>
                      <w:color w:val="auto"/>
                      <w:highlight w:val="none"/>
                      <w:lang w:val="en-US" w:eastAsia="zh-CN"/>
                    </w:rPr>
                    <w:t>类声环境功能区对应的厂界噪声排放标准</w:t>
                  </w:r>
                  <w:r>
                    <w:rPr>
                      <w:rFonts w:hint="eastAsia" w:cs="Times New Roman"/>
                      <w:bCs/>
                      <w:color w:val="auto"/>
                      <w:highlight w:val="none"/>
                      <w:lang w:val="en-US" w:eastAsia="zh-CN"/>
                    </w:rPr>
                    <w:t>要求</w:t>
                  </w:r>
                  <w:r>
                    <w:rPr>
                      <w:rFonts w:hint="default" w:ascii="Times New Roman" w:hAnsi="Times New Roman" w:eastAsia="宋体" w:cs="Times New Roman"/>
                      <w:bCs/>
                      <w:color w:val="auto"/>
                      <w:highlight w:val="none"/>
                    </w:rPr>
                    <w:t>，如有超标，提出处置措施</w:t>
                  </w:r>
                  <w:r>
                    <w:rPr>
                      <w:rFonts w:hint="eastAsia" w:cs="Times New Roman"/>
                      <w:bCs/>
                      <w:color w:val="auto"/>
                      <w:highlight w:val="none"/>
                      <w:lang w:eastAsia="zh-CN"/>
                    </w:rPr>
                    <w:t>。</w:t>
                  </w:r>
                </w:p>
              </w:tc>
            </w:tr>
            <w:tr w14:paraId="31248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19" w:type="pct"/>
                  <w:tcBorders>
                    <w:tl2br w:val="nil"/>
                    <w:tr2bl w:val="nil"/>
                  </w:tcBorders>
                  <w:noWrap w:val="0"/>
                  <w:vAlign w:val="center"/>
                </w:tcPr>
                <w:p w14:paraId="51CDCA24">
                  <w:pPr>
                    <w:spacing w:line="240" w:lineRule="auto"/>
                    <w:jc w:val="center"/>
                    <w:rPr>
                      <w:rFonts w:hint="default" w:ascii="Times New Roman" w:hAnsi="Times New Roman" w:eastAsia="宋体" w:cs="Times New Roman"/>
                      <w:bCs/>
                      <w:color w:val="auto"/>
                      <w:lang w:eastAsia="zh-CN"/>
                    </w:rPr>
                  </w:pPr>
                  <w:r>
                    <w:rPr>
                      <w:rFonts w:hint="default" w:ascii="Times New Roman" w:hAnsi="Times New Roman" w:eastAsia="宋体" w:cs="Times New Roman"/>
                      <w:bCs/>
                      <w:color w:val="auto"/>
                      <w:lang w:val="en-US" w:eastAsia="zh-CN"/>
                    </w:rPr>
                    <w:t>7</w:t>
                  </w:r>
                </w:p>
              </w:tc>
              <w:tc>
                <w:tcPr>
                  <w:tcW w:w="1126" w:type="pct"/>
                  <w:tcBorders>
                    <w:tl2br w:val="nil"/>
                    <w:tr2bl w:val="nil"/>
                  </w:tcBorders>
                  <w:noWrap w:val="0"/>
                  <w:vAlign w:val="center"/>
                </w:tcPr>
                <w:p w14:paraId="6AD0DE64">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固体废物</w:t>
                  </w:r>
                </w:p>
              </w:tc>
              <w:tc>
                <w:tcPr>
                  <w:tcW w:w="3553" w:type="pct"/>
                  <w:tcBorders>
                    <w:tl2br w:val="nil"/>
                    <w:tr2bl w:val="nil"/>
                  </w:tcBorders>
                  <w:noWrap w:val="0"/>
                  <w:vAlign w:val="center"/>
                </w:tcPr>
                <w:p w14:paraId="6849954C">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lang w:val="en-US" w:eastAsia="zh-CN"/>
                    </w:rPr>
                    <w:t>项目区建筑垃圾是否按照《建筑垃圾污染控制技术规范》</w:t>
                  </w:r>
                  <w:r>
                    <w:rPr>
                      <w:rFonts w:hint="eastAsia" w:cs="Times New Roman"/>
                      <w:bCs/>
                      <w:color w:val="auto"/>
                      <w:lang w:val="en-US" w:eastAsia="zh-CN"/>
                    </w:rPr>
                    <w:t>（</w:t>
                  </w:r>
                  <w:r>
                    <w:rPr>
                      <w:rFonts w:hint="default" w:ascii="Times New Roman" w:hAnsi="Times New Roman" w:eastAsia="宋体" w:cs="Times New Roman"/>
                      <w:bCs/>
                      <w:color w:val="auto"/>
                      <w:lang w:val="en-US" w:eastAsia="zh-CN"/>
                    </w:rPr>
                    <w:t>HJ1462一2026</w:t>
                  </w:r>
                  <w:r>
                    <w:rPr>
                      <w:rFonts w:hint="eastAsia" w:cs="Times New Roman"/>
                      <w:bCs/>
                      <w:color w:val="auto"/>
                      <w:lang w:val="en-US" w:eastAsia="zh-CN"/>
                    </w:rPr>
                    <w:t>）</w:t>
                  </w:r>
                  <w:r>
                    <w:rPr>
                      <w:rFonts w:hint="default" w:ascii="Times New Roman" w:hAnsi="Times New Roman" w:eastAsia="宋体" w:cs="Times New Roman"/>
                      <w:bCs/>
                      <w:color w:val="auto"/>
                      <w:lang w:val="en-US" w:eastAsia="zh-CN"/>
                    </w:rPr>
                    <w:t>要求进行处置；生活垃圾是否处置。</w:t>
                  </w:r>
                </w:p>
              </w:tc>
            </w:tr>
            <w:tr w14:paraId="12C85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319" w:type="pct"/>
                  <w:tcBorders>
                    <w:tl2br w:val="nil"/>
                    <w:tr2bl w:val="nil"/>
                  </w:tcBorders>
                  <w:noWrap w:val="0"/>
                  <w:vAlign w:val="center"/>
                </w:tcPr>
                <w:p w14:paraId="60A662B4">
                  <w:pPr>
                    <w:spacing w:line="240" w:lineRule="auto"/>
                    <w:jc w:val="center"/>
                    <w:rPr>
                      <w:rFonts w:hint="default" w:ascii="Times New Roman" w:hAnsi="Times New Roman" w:eastAsia="宋体" w:cs="Times New Roman"/>
                      <w:bCs/>
                      <w:color w:val="auto"/>
                      <w:lang w:eastAsia="zh-CN"/>
                    </w:rPr>
                  </w:pPr>
                  <w:r>
                    <w:rPr>
                      <w:rFonts w:hint="default" w:ascii="Times New Roman" w:hAnsi="Times New Roman" w:eastAsia="宋体" w:cs="Times New Roman"/>
                      <w:bCs/>
                      <w:color w:val="auto"/>
                      <w:lang w:val="en-US" w:eastAsia="zh-CN"/>
                    </w:rPr>
                    <w:t>8</w:t>
                  </w:r>
                </w:p>
              </w:tc>
              <w:tc>
                <w:tcPr>
                  <w:tcW w:w="1126" w:type="pct"/>
                  <w:tcBorders>
                    <w:tl2br w:val="nil"/>
                    <w:tr2bl w:val="nil"/>
                  </w:tcBorders>
                  <w:noWrap w:val="0"/>
                  <w:vAlign w:val="center"/>
                </w:tcPr>
                <w:p w14:paraId="6D46B2AC">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生态环境</w:t>
                  </w:r>
                </w:p>
              </w:tc>
              <w:tc>
                <w:tcPr>
                  <w:tcW w:w="3553" w:type="pct"/>
                  <w:tcBorders>
                    <w:tl2br w:val="nil"/>
                    <w:tr2bl w:val="nil"/>
                  </w:tcBorders>
                  <w:noWrap w:val="0"/>
                  <w:vAlign w:val="center"/>
                </w:tcPr>
                <w:p w14:paraId="62353D1A">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调查工程采取的生态保护措施的实施效果；列表说明工程实际占地变化情况，明确占地性质、占地位置、用途、临时占地恢复措施和恢复效果。根据上述调查结果，对存在的问题分析原因，并从保护、恢复、补偿、建设等方面提出具有操作性的补偿措施与建议。</w:t>
                  </w:r>
                </w:p>
              </w:tc>
            </w:tr>
            <w:tr w14:paraId="0FC8C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319" w:type="pct"/>
                  <w:tcBorders>
                    <w:tl2br w:val="nil"/>
                    <w:tr2bl w:val="nil"/>
                  </w:tcBorders>
                  <w:noWrap w:val="0"/>
                  <w:vAlign w:val="center"/>
                </w:tcPr>
                <w:p w14:paraId="71EEEB08">
                  <w:pPr>
                    <w:spacing w:line="240" w:lineRule="auto"/>
                    <w:jc w:val="center"/>
                    <w:rPr>
                      <w:rFonts w:hint="default" w:ascii="Times New Roman" w:hAnsi="Times New Roman" w:eastAsia="宋体" w:cs="Times New Roman"/>
                      <w:bCs/>
                      <w:color w:val="auto"/>
                      <w:lang w:eastAsia="zh-CN"/>
                    </w:rPr>
                  </w:pPr>
                  <w:r>
                    <w:rPr>
                      <w:rFonts w:hint="default" w:ascii="Times New Roman" w:hAnsi="Times New Roman" w:eastAsia="宋体" w:cs="Times New Roman"/>
                      <w:bCs/>
                      <w:color w:val="auto"/>
                      <w:lang w:val="en-US" w:eastAsia="zh-CN"/>
                    </w:rPr>
                    <w:t>9</w:t>
                  </w:r>
                </w:p>
              </w:tc>
              <w:tc>
                <w:tcPr>
                  <w:tcW w:w="1126" w:type="pct"/>
                  <w:tcBorders>
                    <w:tl2br w:val="nil"/>
                    <w:tr2bl w:val="nil"/>
                  </w:tcBorders>
                  <w:noWrap w:val="0"/>
                  <w:vAlign w:val="center"/>
                </w:tcPr>
                <w:p w14:paraId="0BDCFAD7">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环境保护</w:t>
                  </w:r>
                </w:p>
              </w:tc>
              <w:tc>
                <w:tcPr>
                  <w:tcW w:w="3553" w:type="pct"/>
                  <w:tcBorders>
                    <w:tl2br w:val="nil"/>
                    <w:tr2bl w:val="nil"/>
                  </w:tcBorders>
                  <w:noWrap w:val="0"/>
                  <w:vAlign w:val="center"/>
                </w:tcPr>
                <w:p w14:paraId="20120CE6">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环境管理、环境监测落实情况；环保投资资金是否到位，工程所在区域各级生态环境主管部门是否收到相关环保投诉，投诉原因及处理结果。</w:t>
                  </w:r>
                </w:p>
              </w:tc>
            </w:tr>
            <w:tr w14:paraId="78AB1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480" w:type="dxa"/>
                  <w:tcBorders>
                    <w:tl2br w:val="nil"/>
                    <w:tr2bl w:val="nil"/>
                  </w:tcBorders>
                  <w:noWrap w:val="0"/>
                  <w:vAlign w:val="center"/>
                </w:tcPr>
                <w:p w14:paraId="366C687E">
                  <w:pPr>
                    <w:spacing w:line="240" w:lineRule="auto"/>
                    <w:jc w:val="center"/>
                    <w:rPr>
                      <w:rFonts w:hint="default" w:ascii="Times New Roman" w:hAnsi="Times New Roman" w:eastAsia="宋体" w:cs="Times New Roman"/>
                      <w:bCs/>
                      <w:color w:val="auto"/>
                      <w:lang w:val="en-US" w:eastAsia="zh-CN"/>
                    </w:rPr>
                  </w:pPr>
                  <w:r>
                    <w:rPr>
                      <w:rFonts w:hint="default" w:ascii="Times New Roman" w:hAnsi="Times New Roman" w:eastAsia="宋体" w:cs="Times New Roman"/>
                      <w:bCs/>
                      <w:color w:val="auto"/>
                      <w:lang w:val="en-US" w:eastAsia="zh-CN"/>
                    </w:rPr>
                    <w:t>10</w:t>
                  </w:r>
                </w:p>
              </w:tc>
              <w:tc>
                <w:tcPr>
                  <w:tcW w:w="1694" w:type="dxa"/>
                  <w:tcBorders>
                    <w:tl2br w:val="nil"/>
                    <w:tr2bl w:val="nil"/>
                  </w:tcBorders>
                  <w:noWrap w:val="0"/>
                  <w:vAlign w:val="center"/>
                </w:tcPr>
                <w:p w14:paraId="59BD7FCE">
                  <w:pPr>
                    <w:spacing w:line="240" w:lineRule="auto"/>
                    <w:jc w:val="center"/>
                    <w:rPr>
                      <w:rFonts w:hint="default" w:ascii="Times New Roman" w:hAnsi="Times New Roman" w:eastAsia="宋体" w:cs="Times New Roman"/>
                      <w:bCs/>
                      <w:color w:val="auto"/>
                      <w:lang w:val="en-US" w:eastAsia="zh-CN"/>
                    </w:rPr>
                  </w:pPr>
                  <w:r>
                    <w:rPr>
                      <w:rFonts w:hint="default" w:ascii="Times New Roman" w:hAnsi="Times New Roman" w:eastAsia="宋体" w:cs="Times New Roman"/>
                      <w:bCs/>
                      <w:color w:val="auto"/>
                      <w:lang w:val="en-US" w:eastAsia="zh-CN"/>
                    </w:rPr>
                    <w:t>环保设备清单核查</w:t>
                  </w:r>
                </w:p>
              </w:tc>
              <w:tc>
                <w:tcPr>
                  <w:tcW w:w="5346" w:type="dxa"/>
                  <w:tcBorders>
                    <w:tl2br w:val="nil"/>
                    <w:tr2bl w:val="nil"/>
                  </w:tcBorders>
                  <w:noWrap w:val="0"/>
                  <w:vAlign w:val="center"/>
                </w:tcPr>
                <w:p w14:paraId="356538D5">
                  <w:pPr>
                    <w:spacing w:line="240" w:lineRule="auto"/>
                    <w:jc w:val="center"/>
                    <w:rPr>
                      <w:rFonts w:hint="default" w:ascii="Times New Roman" w:hAnsi="Times New Roman" w:eastAsia="宋体" w:cs="Times New Roman"/>
                      <w:bCs/>
                      <w:color w:val="auto"/>
                      <w:lang w:val="en-US" w:eastAsia="zh-CN"/>
                    </w:rPr>
                  </w:pPr>
                  <w:r>
                    <w:rPr>
                      <w:rFonts w:hint="default" w:ascii="Times New Roman" w:hAnsi="Times New Roman" w:eastAsia="宋体" w:cs="Times New Roman"/>
                      <w:bCs/>
                      <w:color w:val="auto"/>
                      <w:lang w:val="en-US" w:eastAsia="zh-CN"/>
                    </w:rPr>
                    <w:t>统计本项目噪声防控、固废收集、防渗、防护等环保设施及生产设备清单，核实设备型号、数量、安装位置、运行工况；核查环保设施是否按环评要求同步安装、同步投入使用，落实“三同时”制度。</w:t>
                  </w:r>
                </w:p>
              </w:tc>
            </w:tr>
            <w:tr w14:paraId="710EE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480" w:type="dxa"/>
                  <w:tcBorders>
                    <w:tl2br w:val="nil"/>
                    <w:tr2bl w:val="nil"/>
                  </w:tcBorders>
                  <w:noWrap w:val="0"/>
                  <w:vAlign w:val="center"/>
                </w:tcPr>
                <w:p w14:paraId="78D462B3">
                  <w:pPr>
                    <w:spacing w:line="240" w:lineRule="auto"/>
                    <w:jc w:val="center"/>
                    <w:rPr>
                      <w:rFonts w:hint="default" w:ascii="Times New Roman" w:hAnsi="Times New Roman" w:eastAsia="宋体" w:cs="Times New Roman"/>
                      <w:bCs/>
                      <w:color w:val="auto"/>
                      <w:lang w:val="en-US" w:eastAsia="zh-CN"/>
                    </w:rPr>
                  </w:pPr>
                  <w:r>
                    <w:rPr>
                      <w:rFonts w:hint="default" w:ascii="Times New Roman" w:hAnsi="Times New Roman" w:eastAsia="宋体" w:cs="Times New Roman"/>
                      <w:bCs/>
                      <w:color w:val="auto"/>
                      <w:lang w:val="en-US" w:eastAsia="zh-CN"/>
                    </w:rPr>
                    <w:t>11</w:t>
                  </w:r>
                </w:p>
              </w:tc>
              <w:tc>
                <w:tcPr>
                  <w:tcW w:w="1694" w:type="dxa"/>
                  <w:tcBorders>
                    <w:tl2br w:val="nil"/>
                    <w:tr2bl w:val="nil"/>
                  </w:tcBorders>
                  <w:noWrap w:val="0"/>
                  <w:vAlign w:val="center"/>
                </w:tcPr>
                <w:p w14:paraId="228D9108">
                  <w:pPr>
                    <w:spacing w:line="240" w:lineRule="auto"/>
                    <w:jc w:val="center"/>
                    <w:rPr>
                      <w:rFonts w:hint="default" w:ascii="Times New Roman" w:hAnsi="Times New Roman" w:eastAsia="宋体" w:cs="Times New Roman"/>
                      <w:bCs/>
                      <w:color w:val="auto"/>
                      <w:lang w:val="en-US" w:eastAsia="zh-CN"/>
                    </w:rPr>
                  </w:pPr>
                  <w:r>
                    <w:rPr>
                      <w:rFonts w:hint="default" w:ascii="Times New Roman" w:hAnsi="Times New Roman" w:eastAsia="宋体" w:cs="Times New Roman"/>
                      <w:bCs/>
                      <w:color w:val="auto"/>
                      <w:lang w:val="en-US" w:eastAsia="zh-CN"/>
                    </w:rPr>
                    <w:t>环保组织机构及人员配置</w:t>
                  </w:r>
                </w:p>
              </w:tc>
              <w:tc>
                <w:tcPr>
                  <w:tcW w:w="5346" w:type="dxa"/>
                  <w:tcBorders>
                    <w:tl2br w:val="nil"/>
                    <w:tr2bl w:val="nil"/>
                  </w:tcBorders>
                  <w:noWrap w:val="0"/>
                  <w:vAlign w:val="center"/>
                </w:tcPr>
                <w:p w14:paraId="57E35E26">
                  <w:pPr>
                    <w:spacing w:line="240" w:lineRule="auto"/>
                    <w:jc w:val="center"/>
                    <w:rPr>
                      <w:rFonts w:hint="default" w:ascii="Times New Roman" w:hAnsi="Times New Roman" w:eastAsia="宋体" w:cs="Times New Roman"/>
                      <w:bCs/>
                      <w:color w:val="auto"/>
                      <w:lang w:val="en-US" w:eastAsia="zh-CN"/>
                    </w:rPr>
                  </w:pPr>
                  <w:r>
                    <w:rPr>
                      <w:rFonts w:hint="default" w:ascii="Times New Roman" w:hAnsi="Times New Roman" w:eastAsia="宋体" w:cs="Times New Roman"/>
                      <w:bCs/>
                      <w:color w:val="auto"/>
                      <w:lang w:val="en-US" w:eastAsia="zh-CN"/>
                    </w:rPr>
                    <w:t>核查项目环境保护管理组织机构设置情况，明确专职或兼职环保管理人员配置数量、岗位职责；建立环保管理制度、巡检制度、危废管理制度，确保运营期环保管理工作常态化、规范化运行。</w:t>
                  </w:r>
                </w:p>
              </w:tc>
            </w:tr>
          </w:tbl>
          <w:p w14:paraId="0D9752F0">
            <w:pPr>
              <w:pStyle w:val="40"/>
              <w:spacing w:before="0" w:line="240" w:lineRule="auto"/>
              <w:ind w:firstLine="0" w:firstLineChars="0"/>
              <w:jc w:val="both"/>
              <w:rPr>
                <w:rFonts w:hint="default" w:ascii="Times New Roman" w:hAnsi="Times New Roman" w:cs="Times New Roman"/>
                <w:color w:val="auto"/>
                <w:szCs w:val="24"/>
              </w:rPr>
            </w:pPr>
          </w:p>
          <w:p w14:paraId="0D4E16D9">
            <w:pPr>
              <w:pStyle w:val="40"/>
              <w:spacing w:before="0" w:line="240" w:lineRule="auto"/>
              <w:ind w:firstLine="0" w:firstLineChars="0"/>
              <w:jc w:val="both"/>
              <w:rPr>
                <w:rFonts w:hint="default" w:ascii="Times New Roman" w:hAnsi="Times New Roman" w:cs="Times New Roman"/>
                <w:color w:val="auto"/>
                <w:szCs w:val="24"/>
              </w:rPr>
            </w:pPr>
          </w:p>
          <w:p w14:paraId="6AC366A3">
            <w:pPr>
              <w:pStyle w:val="40"/>
              <w:spacing w:before="0" w:line="240" w:lineRule="auto"/>
              <w:ind w:firstLine="0" w:firstLineChars="0"/>
              <w:jc w:val="both"/>
              <w:rPr>
                <w:rFonts w:hint="default" w:ascii="Times New Roman" w:hAnsi="Times New Roman" w:cs="Times New Roman"/>
                <w:color w:val="auto"/>
                <w:szCs w:val="24"/>
              </w:rPr>
            </w:pPr>
          </w:p>
        </w:tc>
      </w:tr>
      <w:tr w14:paraId="310AA7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8" w:hRule="atLeast"/>
          <w:jc w:val="center"/>
        </w:trPr>
        <w:tc>
          <w:tcPr>
            <w:tcW w:w="412" w:type="pct"/>
            <w:noWrap w:val="0"/>
            <w:vAlign w:val="center"/>
          </w:tcPr>
          <w:p w14:paraId="19D30410">
            <w:pPr>
              <w:adjustRightInd w:val="0"/>
              <w:snapToGrid w:val="0"/>
              <w:jc w:val="center"/>
              <w:rPr>
                <w:rFonts w:hint="default" w:ascii="Times New Roman" w:hAnsi="Times New Roman" w:cs="Times New Roman"/>
                <w:bCs/>
                <w:color w:val="auto"/>
                <w:spacing w:val="10"/>
                <w:sz w:val="24"/>
              </w:rPr>
            </w:pPr>
            <w:r>
              <w:rPr>
                <w:rFonts w:hint="default" w:ascii="Times New Roman" w:hAnsi="Times New Roman" w:cs="Times New Roman"/>
                <w:bCs/>
                <w:color w:val="auto"/>
                <w:sz w:val="24"/>
              </w:rPr>
              <w:t>环保投资</w:t>
            </w:r>
          </w:p>
        </w:tc>
        <w:tc>
          <w:tcPr>
            <w:tcW w:w="4587" w:type="pct"/>
            <w:noWrap w:val="0"/>
            <w:vAlign w:val="top"/>
          </w:tcPr>
          <w:p w14:paraId="6094ABDB">
            <w:pPr>
              <w:adjustRightInd w:val="0"/>
              <w:snapToGrid w:val="0"/>
              <w:spacing w:line="480" w:lineRule="exact"/>
              <w:ind w:firstLine="480" w:firstLineChars="200"/>
              <w:rPr>
                <w:rFonts w:hint="default" w:ascii="Times New Roman" w:hAnsi="Times New Roman" w:cs="Times New Roman"/>
                <w:color w:val="auto"/>
                <w:sz w:val="24"/>
                <w:szCs w:val="32"/>
              </w:rPr>
            </w:pPr>
            <w:r>
              <w:rPr>
                <w:rFonts w:hint="default" w:ascii="Times New Roman" w:hAnsi="Times New Roman" w:cs="Times New Roman"/>
                <w:color w:val="auto"/>
                <w:sz w:val="24"/>
                <w:szCs w:val="32"/>
              </w:rPr>
              <w:t>本项目总投资为</w:t>
            </w:r>
            <w:r>
              <w:rPr>
                <w:rFonts w:hint="eastAsia" w:cs="Times New Roman"/>
                <w:color w:val="auto"/>
                <w:sz w:val="24"/>
                <w:szCs w:val="32"/>
                <w:lang w:val="en-US" w:eastAsia="zh-CN"/>
              </w:rPr>
              <w:t>2</w:t>
            </w:r>
            <w:r>
              <w:rPr>
                <w:rFonts w:hint="default" w:ascii="Times New Roman" w:hAnsi="Times New Roman" w:cs="Times New Roman"/>
                <w:color w:val="auto"/>
                <w:sz w:val="24"/>
                <w:szCs w:val="32"/>
                <w:lang w:eastAsia="zh-CN"/>
              </w:rPr>
              <w:t>900</w:t>
            </w:r>
            <w:r>
              <w:rPr>
                <w:rFonts w:hint="default" w:ascii="Times New Roman" w:hAnsi="Times New Roman" w:cs="Times New Roman"/>
                <w:color w:val="auto"/>
                <w:sz w:val="24"/>
                <w:szCs w:val="32"/>
              </w:rPr>
              <w:t>万元，环保投资</w:t>
            </w:r>
            <w:r>
              <w:rPr>
                <w:rFonts w:hint="eastAsia" w:cs="Times New Roman"/>
                <w:color w:val="auto"/>
                <w:sz w:val="24"/>
                <w:szCs w:val="32"/>
                <w:lang w:val="en-US" w:eastAsia="zh-CN"/>
              </w:rPr>
              <w:t>55.3</w:t>
            </w:r>
            <w:r>
              <w:rPr>
                <w:rFonts w:hint="default" w:ascii="Times New Roman" w:hAnsi="Times New Roman" w:cs="Times New Roman"/>
                <w:color w:val="auto"/>
                <w:sz w:val="24"/>
                <w:szCs w:val="32"/>
              </w:rPr>
              <w:t>万元，占总投资</w:t>
            </w:r>
            <w:r>
              <w:rPr>
                <w:rFonts w:hint="eastAsia" w:cs="Times New Roman"/>
                <w:color w:val="auto"/>
                <w:sz w:val="24"/>
                <w:szCs w:val="32"/>
                <w:lang w:val="en-US" w:eastAsia="zh-CN"/>
              </w:rPr>
              <w:t>1.91</w:t>
            </w:r>
            <w:r>
              <w:rPr>
                <w:rFonts w:hint="default" w:ascii="Times New Roman" w:hAnsi="Times New Roman" w:cs="Times New Roman"/>
                <w:color w:val="auto"/>
                <w:sz w:val="24"/>
                <w:szCs w:val="32"/>
              </w:rPr>
              <w:t>%。项目环保投资详情见表5-</w:t>
            </w:r>
            <w:r>
              <w:rPr>
                <w:rFonts w:hint="eastAsia" w:cs="Times New Roman"/>
                <w:color w:val="auto"/>
                <w:sz w:val="24"/>
                <w:szCs w:val="32"/>
                <w:lang w:val="en-US" w:eastAsia="zh-CN"/>
              </w:rPr>
              <w:t>2</w:t>
            </w:r>
            <w:r>
              <w:rPr>
                <w:rFonts w:hint="default" w:ascii="Times New Roman" w:hAnsi="Times New Roman" w:cs="Times New Roman"/>
                <w:color w:val="auto"/>
                <w:sz w:val="24"/>
                <w:szCs w:val="32"/>
              </w:rPr>
              <w:t>。</w:t>
            </w:r>
          </w:p>
          <w:p w14:paraId="15DCBCC8">
            <w:pPr>
              <w:pStyle w:val="41"/>
              <w:keepNext w:val="0"/>
              <w:keepLines w:val="0"/>
              <w:pageBreakBefore w:val="0"/>
              <w:widowControl w:val="0"/>
              <w:kinsoku/>
              <w:wordWrap/>
              <w:overflowPunct/>
              <w:topLinePunct w:val="0"/>
              <w:autoSpaceDE/>
              <w:autoSpaceDN/>
              <w:bidi w:val="0"/>
              <w:adjustRightInd w:val="0"/>
              <w:snapToGrid/>
              <w:spacing w:before="0" w:after="0" w:line="240" w:lineRule="auto"/>
              <w:ind w:firstLine="0" w:firstLineChars="0"/>
              <w:textAlignment w:val="baseline"/>
              <w:rPr>
                <w:rFonts w:hint="default" w:ascii="Times New Roman" w:hAnsi="Times New Roman" w:eastAsia="宋体" w:cs="Times New Roman"/>
                <w:b/>
                <w:bCs w:val="0"/>
                <w:color w:val="auto"/>
                <w:spacing w:val="0"/>
                <w:kern w:val="2"/>
                <w:sz w:val="21"/>
                <w:szCs w:val="21"/>
                <w:lang w:val="en-US" w:eastAsia="zh-CN"/>
              </w:rPr>
            </w:pPr>
            <w:r>
              <w:rPr>
                <w:rFonts w:hint="default" w:ascii="Times New Roman" w:hAnsi="Times New Roman" w:eastAsia="宋体" w:cs="Times New Roman"/>
                <w:b/>
                <w:bCs w:val="0"/>
                <w:color w:val="auto"/>
                <w:spacing w:val="0"/>
                <w:kern w:val="2"/>
                <w:sz w:val="21"/>
                <w:szCs w:val="21"/>
                <w:lang w:val="en-US" w:eastAsia="zh-CN"/>
              </w:rPr>
              <w:t>表5-</w:t>
            </w:r>
            <w:r>
              <w:rPr>
                <w:rFonts w:hint="eastAsia" w:ascii="Times New Roman" w:hAnsi="Times New Roman" w:eastAsia="宋体" w:cs="Times New Roman"/>
                <w:b/>
                <w:bCs w:val="0"/>
                <w:color w:val="auto"/>
                <w:spacing w:val="0"/>
                <w:kern w:val="2"/>
                <w:sz w:val="21"/>
                <w:szCs w:val="21"/>
                <w:lang w:val="en-US" w:eastAsia="zh-CN"/>
              </w:rPr>
              <w:t>2</w:t>
            </w:r>
            <w:r>
              <w:rPr>
                <w:rFonts w:hint="default" w:ascii="Times New Roman" w:hAnsi="Times New Roman" w:eastAsia="宋体" w:cs="Times New Roman"/>
                <w:b/>
                <w:bCs w:val="0"/>
                <w:color w:val="auto"/>
                <w:spacing w:val="0"/>
                <w:kern w:val="2"/>
                <w:sz w:val="21"/>
                <w:szCs w:val="21"/>
                <w:lang w:val="en-US" w:eastAsia="zh-CN"/>
              </w:rPr>
              <w:t>项目环保投资一览表</w:t>
            </w:r>
          </w:p>
          <w:tbl>
            <w:tblPr>
              <w:tblStyle w:val="2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17"/>
              <w:gridCol w:w="857"/>
              <w:gridCol w:w="1006"/>
              <w:gridCol w:w="3018"/>
              <w:gridCol w:w="1460"/>
              <w:gridCol w:w="759"/>
            </w:tblGrid>
            <w:tr w14:paraId="3F7AD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7" w:type="pct"/>
                  <w:tcBorders>
                    <w:tl2br w:val="nil"/>
                    <w:tr2bl w:val="nil"/>
                  </w:tcBorders>
                  <w:noWrap w:val="0"/>
                  <w:vAlign w:val="center"/>
                </w:tcPr>
                <w:p w14:paraId="32DBADE1">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b/>
                      <w:bCs/>
                      <w:snapToGrid/>
                      <w:color w:val="auto"/>
                      <w:spacing w:val="0"/>
                      <w:kern w:val="2"/>
                      <w:sz w:val="21"/>
                      <w:szCs w:val="21"/>
                      <w:highlight w:val="none"/>
                    </w:rPr>
                  </w:pPr>
                  <w:bookmarkStart w:id="25" w:name="_Hlk106273803"/>
                  <w:r>
                    <w:rPr>
                      <w:rFonts w:hint="default" w:ascii="Times New Roman" w:hAnsi="Times New Roman" w:eastAsia="宋体" w:cs="Times New Roman"/>
                      <w:b/>
                      <w:bCs/>
                      <w:snapToGrid/>
                      <w:color w:val="auto"/>
                      <w:spacing w:val="0"/>
                      <w:kern w:val="2"/>
                      <w:sz w:val="21"/>
                      <w:szCs w:val="21"/>
                      <w:highlight w:val="none"/>
                    </w:rPr>
                    <w:t>类别</w:t>
                  </w:r>
                </w:p>
              </w:tc>
              <w:tc>
                <w:tcPr>
                  <w:tcW w:w="569" w:type="pct"/>
                  <w:tcBorders>
                    <w:tl2br w:val="nil"/>
                    <w:tr2bl w:val="nil"/>
                  </w:tcBorders>
                  <w:noWrap w:val="0"/>
                  <w:vAlign w:val="center"/>
                </w:tcPr>
                <w:p w14:paraId="4BDA28E5">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b/>
                      <w:bCs/>
                      <w:snapToGrid/>
                      <w:color w:val="auto"/>
                      <w:spacing w:val="0"/>
                      <w:kern w:val="2"/>
                      <w:sz w:val="21"/>
                      <w:szCs w:val="21"/>
                      <w:highlight w:val="none"/>
                    </w:rPr>
                  </w:pPr>
                  <w:r>
                    <w:rPr>
                      <w:rFonts w:hint="eastAsia" w:ascii="Times New Roman" w:hAnsi="Times New Roman" w:eastAsia="宋体" w:cs="Times New Roman"/>
                      <w:b/>
                      <w:bCs/>
                      <w:snapToGrid/>
                      <w:color w:val="auto"/>
                      <w:spacing w:val="0"/>
                      <w:kern w:val="2"/>
                      <w:sz w:val="21"/>
                      <w:szCs w:val="21"/>
                      <w:highlight w:val="none"/>
                    </w:rPr>
                    <w:t>污染源</w:t>
                  </w:r>
                </w:p>
              </w:tc>
              <w:tc>
                <w:tcPr>
                  <w:tcW w:w="669" w:type="pct"/>
                  <w:tcBorders>
                    <w:tl2br w:val="nil"/>
                    <w:tr2bl w:val="nil"/>
                  </w:tcBorders>
                  <w:noWrap w:val="0"/>
                  <w:vAlign w:val="center"/>
                </w:tcPr>
                <w:p w14:paraId="0C3F1CFB">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b/>
                      <w:bCs/>
                      <w:snapToGrid/>
                      <w:color w:val="auto"/>
                      <w:spacing w:val="0"/>
                      <w:kern w:val="2"/>
                      <w:sz w:val="21"/>
                      <w:szCs w:val="21"/>
                      <w:highlight w:val="none"/>
                    </w:rPr>
                  </w:pPr>
                  <w:r>
                    <w:rPr>
                      <w:rFonts w:hint="eastAsia" w:ascii="Times New Roman" w:hAnsi="Times New Roman" w:eastAsia="宋体" w:cs="Times New Roman"/>
                      <w:b/>
                      <w:bCs/>
                      <w:snapToGrid/>
                      <w:color w:val="auto"/>
                      <w:spacing w:val="0"/>
                      <w:kern w:val="2"/>
                      <w:sz w:val="21"/>
                      <w:szCs w:val="21"/>
                      <w:highlight w:val="none"/>
                    </w:rPr>
                    <w:t>污染物</w:t>
                  </w:r>
                </w:p>
              </w:tc>
              <w:tc>
                <w:tcPr>
                  <w:tcW w:w="2007" w:type="pct"/>
                  <w:tcBorders>
                    <w:tl2br w:val="nil"/>
                    <w:tr2bl w:val="nil"/>
                  </w:tcBorders>
                  <w:noWrap w:val="0"/>
                  <w:vAlign w:val="center"/>
                </w:tcPr>
                <w:p w14:paraId="3CDF16E0">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b/>
                      <w:bCs/>
                      <w:snapToGrid/>
                      <w:color w:val="auto"/>
                      <w:spacing w:val="0"/>
                      <w:kern w:val="2"/>
                      <w:sz w:val="21"/>
                      <w:szCs w:val="21"/>
                      <w:highlight w:val="none"/>
                    </w:rPr>
                  </w:pPr>
                  <w:r>
                    <w:rPr>
                      <w:rFonts w:hint="eastAsia" w:ascii="Times New Roman" w:hAnsi="Times New Roman" w:eastAsia="宋体" w:cs="Times New Roman"/>
                      <w:b/>
                      <w:bCs/>
                      <w:snapToGrid/>
                      <w:color w:val="auto"/>
                      <w:spacing w:val="0"/>
                      <w:kern w:val="2"/>
                      <w:sz w:val="21"/>
                      <w:szCs w:val="21"/>
                      <w:highlight w:val="none"/>
                    </w:rPr>
                    <w:t>处理措施</w:t>
                  </w:r>
                </w:p>
              </w:tc>
              <w:tc>
                <w:tcPr>
                  <w:tcW w:w="971" w:type="pct"/>
                  <w:tcBorders>
                    <w:tl2br w:val="nil"/>
                    <w:tr2bl w:val="nil"/>
                  </w:tcBorders>
                  <w:noWrap w:val="0"/>
                  <w:vAlign w:val="center"/>
                </w:tcPr>
                <w:p w14:paraId="40FC6CBF">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b/>
                      <w:bCs/>
                      <w:snapToGrid/>
                      <w:color w:val="auto"/>
                      <w:spacing w:val="0"/>
                      <w:kern w:val="2"/>
                      <w:sz w:val="21"/>
                      <w:szCs w:val="21"/>
                      <w:highlight w:val="none"/>
                    </w:rPr>
                  </w:pPr>
                  <w:r>
                    <w:rPr>
                      <w:rFonts w:hint="default" w:ascii="Times New Roman" w:hAnsi="Times New Roman" w:eastAsia="宋体" w:cs="Times New Roman"/>
                      <w:b/>
                      <w:bCs/>
                      <w:snapToGrid/>
                      <w:color w:val="auto"/>
                      <w:spacing w:val="0"/>
                      <w:kern w:val="2"/>
                      <w:sz w:val="21"/>
                      <w:szCs w:val="21"/>
                      <w:highlight w:val="none"/>
                    </w:rPr>
                    <w:t>环境效益</w:t>
                  </w:r>
                </w:p>
              </w:tc>
              <w:tc>
                <w:tcPr>
                  <w:tcW w:w="505" w:type="pct"/>
                  <w:tcBorders>
                    <w:tl2br w:val="nil"/>
                    <w:tr2bl w:val="nil"/>
                  </w:tcBorders>
                  <w:noWrap w:val="0"/>
                  <w:vAlign w:val="center"/>
                </w:tcPr>
                <w:p w14:paraId="07E4C4E3">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b/>
                      <w:bCs/>
                      <w:snapToGrid/>
                      <w:color w:val="auto"/>
                      <w:spacing w:val="0"/>
                      <w:kern w:val="2"/>
                      <w:sz w:val="21"/>
                      <w:szCs w:val="21"/>
                      <w:highlight w:val="none"/>
                    </w:rPr>
                  </w:pPr>
                  <w:r>
                    <w:rPr>
                      <w:rFonts w:hint="eastAsia" w:ascii="Times New Roman" w:hAnsi="Times New Roman" w:eastAsia="宋体" w:cs="Times New Roman"/>
                      <w:b/>
                      <w:bCs/>
                      <w:snapToGrid/>
                      <w:color w:val="auto"/>
                      <w:spacing w:val="0"/>
                      <w:kern w:val="2"/>
                      <w:sz w:val="21"/>
                      <w:szCs w:val="21"/>
                      <w:highlight w:val="none"/>
                    </w:rPr>
                    <w:t>投资</w:t>
                  </w:r>
                </w:p>
                <w:p w14:paraId="244E0DF3">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b/>
                      <w:bCs/>
                      <w:snapToGrid/>
                      <w:color w:val="auto"/>
                      <w:spacing w:val="0"/>
                      <w:kern w:val="2"/>
                      <w:sz w:val="21"/>
                      <w:szCs w:val="21"/>
                      <w:highlight w:val="none"/>
                    </w:rPr>
                  </w:pPr>
                  <w:r>
                    <w:rPr>
                      <w:rFonts w:hint="eastAsia" w:ascii="Times New Roman" w:hAnsi="Times New Roman" w:eastAsia="宋体" w:cs="Times New Roman"/>
                      <w:b/>
                      <w:bCs/>
                      <w:snapToGrid/>
                      <w:color w:val="auto"/>
                      <w:spacing w:val="0"/>
                      <w:kern w:val="2"/>
                      <w:sz w:val="21"/>
                      <w:szCs w:val="21"/>
                      <w:highlight w:val="none"/>
                      <w:lang w:eastAsia="zh-CN"/>
                    </w:rPr>
                    <w:t>（</w:t>
                  </w:r>
                  <w:r>
                    <w:rPr>
                      <w:rFonts w:hint="eastAsia" w:ascii="Times New Roman" w:hAnsi="Times New Roman" w:eastAsia="宋体" w:cs="Times New Roman"/>
                      <w:b/>
                      <w:bCs/>
                      <w:snapToGrid/>
                      <w:color w:val="auto"/>
                      <w:spacing w:val="0"/>
                      <w:kern w:val="2"/>
                      <w:sz w:val="21"/>
                      <w:szCs w:val="21"/>
                      <w:highlight w:val="none"/>
                    </w:rPr>
                    <w:t>万元</w:t>
                  </w:r>
                  <w:r>
                    <w:rPr>
                      <w:rFonts w:hint="eastAsia" w:ascii="Times New Roman" w:hAnsi="Times New Roman" w:eastAsia="宋体" w:cs="Times New Roman"/>
                      <w:b/>
                      <w:bCs/>
                      <w:snapToGrid/>
                      <w:color w:val="auto"/>
                      <w:spacing w:val="0"/>
                      <w:kern w:val="2"/>
                      <w:sz w:val="21"/>
                      <w:szCs w:val="21"/>
                      <w:highlight w:val="none"/>
                      <w:lang w:eastAsia="zh-CN"/>
                    </w:rPr>
                    <w:t>）</w:t>
                  </w:r>
                </w:p>
              </w:tc>
            </w:tr>
            <w:tr w14:paraId="45F44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7" w:type="pct"/>
                  <w:vMerge w:val="restart"/>
                  <w:tcBorders>
                    <w:tl2br w:val="nil"/>
                    <w:tr2bl w:val="nil"/>
                  </w:tcBorders>
                  <w:noWrap w:val="0"/>
                  <w:vAlign w:val="center"/>
                </w:tcPr>
                <w:p w14:paraId="2A6E0BE0">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r>
                    <w:rPr>
                      <w:rFonts w:hint="eastAsia" w:ascii="Times New Roman" w:hAnsi="Times New Roman" w:eastAsia="宋体" w:cs="Times New Roman"/>
                      <w:snapToGrid/>
                      <w:color w:val="auto"/>
                      <w:spacing w:val="0"/>
                      <w:kern w:val="2"/>
                      <w:sz w:val="21"/>
                      <w:szCs w:val="21"/>
                      <w:highlight w:val="none"/>
                    </w:rPr>
                    <w:t>废气</w:t>
                  </w:r>
                </w:p>
              </w:tc>
              <w:tc>
                <w:tcPr>
                  <w:tcW w:w="569" w:type="pct"/>
                  <w:tcBorders>
                    <w:tl2br w:val="nil"/>
                    <w:tr2bl w:val="nil"/>
                  </w:tcBorders>
                  <w:noWrap w:val="0"/>
                  <w:vAlign w:val="center"/>
                </w:tcPr>
                <w:p w14:paraId="4956D5CD">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r>
                    <w:rPr>
                      <w:rFonts w:hint="eastAsia" w:ascii="Times New Roman" w:hAnsi="Times New Roman" w:eastAsia="宋体" w:cs="Times New Roman"/>
                      <w:snapToGrid/>
                      <w:color w:val="auto"/>
                      <w:spacing w:val="0"/>
                      <w:kern w:val="2"/>
                      <w:sz w:val="21"/>
                      <w:szCs w:val="21"/>
                      <w:highlight w:val="none"/>
                    </w:rPr>
                    <w:t>施工扬尘</w:t>
                  </w:r>
                </w:p>
              </w:tc>
              <w:tc>
                <w:tcPr>
                  <w:tcW w:w="669" w:type="pct"/>
                  <w:tcBorders>
                    <w:tl2br w:val="nil"/>
                    <w:tr2bl w:val="nil"/>
                  </w:tcBorders>
                  <w:noWrap w:val="0"/>
                  <w:vAlign w:val="center"/>
                </w:tcPr>
                <w:p w14:paraId="6B678B3C">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r>
                    <w:rPr>
                      <w:rFonts w:hint="eastAsia" w:ascii="Times New Roman" w:hAnsi="Times New Roman" w:eastAsia="宋体" w:cs="Times New Roman"/>
                      <w:snapToGrid/>
                      <w:color w:val="auto"/>
                      <w:spacing w:val="0"/>
                      <w:kern w:val="2"/>
                      <w:sz w:val="21"/>
                      <w:szCs w:val="21"/>
                      <w:highlight w:val="none"/>
                    </w:rPr>
                    <w:t>颗粒物</w:t>
                  </w:r>
                </w:p>
              </w:tc>
              <w:tc>
                <w:tcPr>
                  <w:tcW w:w="2007" w:type="pct"/>
                  <w:tcBorders>
                    <w:tl2br w:val="nil"/>
                    <w:tr2bl w:val="nil"/>
                  </w:tcBorders>
                  <w:noWrap w:val="0"/>
                  <w:vAlign w:val="center"/>
                </w:tcPr>
                <w:p w14:paraId="0E1ED329">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snapToGrid/>
                      <w:color w:val="auto"/>
                      <w:spacing w:val="0"/>
                      <w:kern w:val="2"/>
                      <w:sz w:val="21"/>
                      <w:szCs w:val="21"/>
                      <w:highlight w:val="none"/>
                    </w:rPr>
                  </w:pPr>
                  <w:r>
                    <w:rPr>
                      <w:rFonts w:hint="eastAsia" w:ascii="Times New Roman" w:hAnsi="Times New Roman" w:eastAsia="宋体" w:cs="Times New Roman"/>
                      <w:snapToGrid/>
                      <w:color w:val="auto"/>
                      <w:spacing w:val="0"/>
                      <w:kern w:val="2"/>
                      <w:sz w:val="21"/>
                      <w:szCs w:val="21"/>
                      <w:highlight w:val="none"/>
                      <w:lang w:val="en-US" w:eastAsia="zh-CN"/>
                    </w:rPr>
                    <w:t xml:space="preserve">原材料堆放区进行苫盖、围挡等， </w:t>
                  </w:r>
                </w:p>
                <w:p w14:paraId="5FE5944A">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r>
                    <w:rPr>
                      <w:rFonts w:hint="eastAsia" w:ascii="Times New Roman" w:hAnsi="Times New Roman" w:eastAsia="宋体" w:cs="Times New Roman"/>
                      <w:snapToGrid/>
                      <w:color w:val="auto"/>
                      <w:spacing w:val="0"/>
                      <w:kern w:val="2"/>
                      <w:sz w:val="21"/>
                      <w:szCs w:val="21"/>
                      <w:highlight w:val="none"/>
                      <w:lang w:val="en-US" w:eastAsia="zh-CN"/>
                    </w:rPr>
                    <w:t>施工区域及运输道路要做到每天用洒水车至少洒水2～3次；运输过</w:t>
                  </w:r>
                  <w:r>
                    <w:rPr>
                      <w:rFonts w:hint="eastAsia" w:eastAsia="宋体" w:cs="Times New Roman"/>
                      <w:snapToGrid/>
                      <w:color w:val="auto"/>
                      <w:spacing w:val="0"/>
                      <w:kern w:val="2"/>
                      <w:sz w:val="21"/>
                      <w:szCs w:val="21"/>
                      <w:highlight w:val="none"/>
                      <w:lang w:val="en-US" w:eastAsia="zh-CN"/>
                    </w:rPr>
                    <w:t>程中</w:t>
                  </w:r>
                  <w:r>
                    <w:rPr>
                      <w:rFonts w:hint="eastAsia" w:ascii="Times New Roman" w:hAnsi="Times New Roman" w:eastAsia="宋体" w:cs="Times New Roman"/>
                      <w:snapToGrid/>
                      <w:color w:val="auto"/>
                      <w:spacing w:val="0"/>
                      <w:kern w:val="2"/>
                      <w:sz w:val="21"/>
                      <w:szCs w:val="21"/>
                      <w:highlight w:val="none"/>
                      <w:lang w:val="en-US" w:eastAsia="zh-CN"/>
                    </w:rPr>
                    <w:t>物料遮盖密闭。</w:t>
                  </w:r>
                </w:p>
              </w:tc>
              <w:tc>
                <w:tcPr>
                  <w:tcW w:w="971" w:type="pct"/>
                  <w:vMerge w:val="restart"/>
                  <w:tcBorders>
                    <w:tl2br w:val="nil"/>
                    <w:tr2bl w:val="nil"/>
                  </w:tcBorders>
                  <w:noWrap w:val="0"/>
                  <w:vAlign w:val="center"/>
                </w:tcPr>
                <w:p w14:paraId="2DCD4B90">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减缓施工期扬尘对环境空气的污染</w:t>
                  </w:r>
                </w:p>
              </w:tc>
              <w:tc>
                <w:tcPr>
                  <w:tcW w:w="505" w:type="pct"/>
                  <w:vMerge w:val="restart"/>
                  <w:tcBorders>
                    <w:tl2br w:val="nil"/>
                    <w:tr2bl w:val="nil"/>
                  </w:tcBorders>
                  <w:noWrap w:val="0"/>
                  <w:vAlign w:val="center"/>
                </w:tcPr>
                <w:p w14:paraId="46A90FD8">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lang w:val="en-US" w:eastAsia="zh-CN"/>
                    </w:rPr>
                  </w:pPr>
                  <w:r>
                    <w:rPr>
                      <w:rFonts w:hint="eastAsia" w:ascii="Times New Roman" w:hAnsi="Times New Roman" w:eastAsia="宋体" w:cs="Times New Roman"/>
                      <w:snapToGrid/>
                      <w:color w:val="auto"/>
                      <w:spacing w:val="0"/>
                      <w:kern w:val="2"/>
                      <w:sz w:val="21"/>
                      <w:szCs w:val="21"/>
                      <w:highlight w:val="none"/>
                      <w:lang w:val="en-US" w:eastAsia="zh-CN"/>
                    </w:rPr>
                    <w:t>10</w:t>
                  </w:r>
                </w:p>
              </w:tc>
            </w:tr>
            <w:tr w14:paraId="1B09B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0" w:hRule="atLeast"/>
                <w:jc w:val="center"/>
              </w:trPr>
              <w:tc>
                <w:tcPr>
                  <w:tcW w:w="277" w:type="pct"/>
                  <w:vMerge w:val="continue"/>
                  <w:tcBorders>
                    <w:tl2br w:val="nil"/>
                    <w:tr2bl w:val="nil"/>
                  </w:tcBorders>
                  <w:noWrap w:val="0"/>
                  <w:vAlign w:val="center"/>
                </w:tcPr>
                <w:p w14:paraId="10F7267C">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p>
              </w:tc>
              <w:tc>
                <w:tcPr>
                  <w:tcW w:w="569" w:type="pct"/>
                  <w:tcBorders>
                    <w:tl2br w:val="nil"/>
                    <w:tr2bl w:val="nil"/>
                  </w:tcBorders>
                  <w:noWrap w:val="0"/>
                  <w:vAlign w:val="center"/>
                </w:tcPr>
                <w:p w14:paraId="7B0A7A53">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r>
                    <w:rPr>
                      <w:rFonts w:hint="eastAsia" w:ascii="Times New Roman" w:hAnsi="Times New Roman" w:eastAsia="宋体" w:cs="Times New Roman"/>
                      <w:snapToGrid/>
                      <w:color w:val="auto"/>
                      <w:spacing w:val="0"/>
                      <w:kern w:val="2"/>
                      <w:sz w:val="21"/>
                      <w:szCs w:val="21"/>
                      <w:highlight w:val="none"/>
                      <w:lang w:val="en-US" w:eastAsia="zh-CN"/>
                    </w:rPr>
                    <w:t>燃油设备及发电机燃油废气</w:t>
                  </w:r>
                </w:p>
              </w:tc>
              <w:tc>
                <w:tcPr>
                  <w:tcW w:w="669" w:type="pct"/>
                  <w:tcBorders>
                    <w:tl2br w:val="nil"/>
                    <w:tr2bl w:val="nil"/>
                  </w:tcBorders>
                  <w:noWrap w:val="0"/>
                  <w:vAlign w:val="center"/>
                </w:tcPr>
                <w:p w14:paraId="78DF5C2E">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r>
                    <w:rPr>
                      <w:rFonts w:hint="eastAsia" w:ascii="Times New Roman" w:hAnsi="Times New Roman" w:eastAsia="宋体" w:cs="Times New Roman"/>
                      <w:snapToGrid/>
                      <w:color w:val="auto"/>
                      <w:spacing w:val="0"/>
                      <w:kern w:val="2"/>
                      <w:sz w:val="21"/>
                      <w:szCs w:val="21"/>
                      <w:highlight w:val="none"/>
                    </w:rPr>
                    <w:t>尾气</w:t>
                  </w:r>
                </w:p>
              </w:tc>
              <w:tc>
                <w:tcPr>
                  <w:tcW w:w="2007" w:type="pct"/>
                  <w:tcBorders>
                    <w:tl2br w:val="nil"/>
                    <w:tr2bl w:val="nil"/>
                  </w:tcBorders>
                  <w:noWrap w:val="0"/>
                  <w:vAlign w:val="center"/>
                </w:tcPr>
                <w:p w14:paraId="16940B48">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r>
                    <w:rPr>
                      <w:rFonts w:hint="eastAsia" w:ascii="Times New Roman" w:hAnsi="Times New Roman" w:eastAsia="宋体" w:cs="Times New Roman"/>
                      <w:snapToGrid/>
                      <w:color w:val="auto"/>
                      <w:spacing w:val="0"/>
                      <w:kern w:val="2"/>
                      <w:sz w:val="21"/>
                      <w:szCs w:val="21"/>
                      <w:highlight w:val="none"/>
                    </w:rPr>
                    <w:t>选用符合排放标准的施工机械和车辆，选择合格优质、污染小的油品作为燃料，加强车辆和机械设备维护保养</w:t>
                  </w:r>
                </w:p>
              </w:tc>
              <w:tc>
                <w:tcPr>
                  <w:tcW w:w="971" w:type="pct"/>
                  <w:vMerge w:val="continue"/>
                  <w:tcBorders>
                    <w:tl2br w:val="nil"/>
                    <w:tr2bl w:val="nil"/>
                  </w:tcBorders>
                  <w:noWrap w:val="0"/>
                  <w:vAlign w:val="center"/>
                </w:tcPr>
                <w:p w14:paraId="2DFEF19C">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p>
              </w:tc>
              <w:tc>
                <w:tcPr>
                  <w:tcW w:w="505" w:type="pct"/>
                  <w:vMerge w:val="continue"/>
                  <w:tcBorders>
                    <w:tl2br w:val="nil"/>
                    <w:tr2bl w:val="nil"/>
                  </w:tcBorders>
                  <w:noWrap w:val="0"/>
                  <w:vAlign w:val="center"/>
                </w:tcPr>
                <w:p w14:paraId="4E8D5FD6">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p>
              </w:tc>
            </w:tr>
            <w:tr w14:paraId="09941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7" w:type="pct"/>
                  <w:vMerge w:val="restart"/>
                  <w:tcBorders>
                    <w:tl2br w:val="nil"/>
                    <w:tr2bl w:val="nil"/>
                  </w:tcBorders>
                  <w:noWrap w:val="0"/>
                  <w:vAlign w:val="center"/>
                </w:tcPr>
                <w:p w14:paraId="28CCC7A5">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r>
                    <w:rPr>
                      <w:rFonts w:hint="eastAsia" w:ascii="Times New Roman" w:hAnsi="Times New Roman" w:eastAsia="宋体" w:cs="Times New Roman"/>
                      <w:snapToGrid/>
                      <w:color w:val="auto"/>
                      <w:spacing w:val="0"/>
                      <w:kern w:val="2"/>
                      <w:sz w:val="21"/>
                      <w:szCs w:val="21"/>
                      <w:highlight w:val="none"/>
                    </w:rPr>
                    <w:t>废水</w:t>
                  </w:r>
                </w:p>
              </w:tc>
              <w:tc>
                <w:tcPr>
                  <w:tcW w:w="569" w:type="pct"/>
                  <w:tcBorders>
                    <w:tl2br w:val="nil"/>
                    <w:tr2bl w:val="nil"/>
                  </w:tcBorders>
                  <w:noWrap w:val="0"/>
                  <w:vAlign w:val="center"/>
                </w:tcPr>
                <w:p w14:paraId="1F1AF80D">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生活污水</w:t>
                  </w:r>
                </w:p>
              </w:tc>
              <w:tc>
                <w:tcPr>
                  <w:tcW w:w="669" w:type="pct"/>
                  <w:tcBorders>
                    <w:tl2br w:val="nil"/>
                    <w:tr2bl w:val="nil"/>
                  </w:tcBorders>
                  <w:noWrap w:val="0"/>
                  <w:vAlign w:val="center"/>
                </w:tcPr>
                <w:p w14:paraId="2DE2C953">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COD、SS、NH3-N</w:t>
                  </w:r>
                </w:p>
              </w:tc>
              <w:tc>
                <w:tcPr>
                  <w:tcW w:w="2007" w:type="pct"/>
                  <w:tcBorders>
                    <w:tl2br w:val="nil"/>
                    <w:tr2bl w:val="nil"/>
                  </w:tcBorders>
                  <w:noWrap w:val="0"/>
                  <w:vAlign w:val="center"/>
                </w:tcPr>
                <w:p w14:paraId="4E4B54A2">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依托附近村庄现有设施</w:t>
                  </w:r>
                </w:p>
              </w:tc>
              <w:tc>
                <w:tcPr>
                  <w:tcW w:w="971" w:type="pct"/>
                  <w:vMerge w:val="restart"/>
                  <w:tcBorders>
                    <w:tl2br w:val="nil"/>
                    <w:tr2bl w:val="nil"/>
                  </w:tcBorders>
                  <w:noWrap w:val="0"/>
                  <w:vAlign w:val="center"/>
                </w:tcPr>
                <w:p w14:paraId="0BC1B577">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r>
                    <w:rPr>
                      <w:rFonts w:hint="eastAsia" w:ascii="Times New Roman" w:hAnsi="Times New Roman" w:eastAsia="宋体" w:cs="Times New Roman"/>
                      <w:snapToGrid/>
                      <w:color w:val="auto"/>
                      <w:spacing w:val="0"/>
                      <w:kern w:val="2"/>
                      <w:sz w:val="21"/>
                      <w:szCs w:val="21"/>
                      <w:highlight w:val="none"/>
                    </w:rPr>
                    <w:t>不外排</w:t>
                  </w:r>
                  <w:r>
                    <w:rPr>
                      <w:rFonts w:hint="default" w:ascii="Times New Roman" w:hAnsi="Times New Roman" w:eastAsia="宋体" w:cs="Times New Roman"/>
                      <w:snapToGrid/>
                      <w:color w:val="auto"/>
                      <w:spacing w:val="0"/>
                      <w:kern w:val="2"/>
                      <w:sz w:val="21"/>
                      <w:szCs w:val="21"/>
                      <w:highlight w:val="none"/>
                    </w:rPr>
                    <w:t>，</w:t>
                  </w:r>
                  <w:r>
                    <w:rPr>
                      <w:rFonts w:hint="eastAsia" w:ascii="Times New Roman" w:hAnsi="Times New Roman" w:eastAsia="宋体" w:cs="Times New Roman"/>
                      <w:snapToGrid/>
                      <w:color w:val="auto"/>
                      <w:spacing w:val="0"/>
                      <w:kern w:val="2"/>
                      <w:sz w:val="21"/>
                      <w:szCs w:val="21"/>
                      <w:highlight w:val="none"/>
                    </w:rPr>
                    <w:t>避免</w:t>
                  </w:r>
                  <w:r>
                    <w:rPr>
                      <w:rFonts w:hint="eastAsia" w:ascii="Times New Roman" w:hAnsi="Times New Roman" w:eastAsia="宋体" w:cs="Times New Roman"/>
                      <w:snapToGrid/>
                      <w:color w:val="auto"/>
                      <w:spacing w:val="0"/>
                      <w:kern w:val="2"/>
                      <w:sz w:val="21"/>
                      <w:szCs w:val="21"/>
                      <w:highlight w:val="none"/>
                      <w:lang w:eastAsia="zh-CN"/>
                    </w:rPr>
                    <w:t>水体</w:t>
                  </w:r>
                  <w:r>
                    <w:rPr>
                      <w:rFonts w:hint="eastAsia" w:ascii="Times New Roman" w:hAnsi="Times New Roman" w:eastAsia="宋体" w:cs="Times New Roman"/>
                      <w:snapToGrid/>
                      <w:color w:val="auto"/>
                      <w:spacing w:val="0"/>
                      <w:kern w:val="2"/>
                      <w:sz w:val="21"/>
                      <w:szCs w:val="21"/>
                      <w:highlight w:val="none"/>
                    </w:rPr>
                    <w:t>污染</w:t>
                  </w:r>
                </w:p>
              </w:tc>
              <w:tc>
                <w:tcPr>
                  <w:tcW w:w="505" w:type="pct"/>
                  <w:vMerge w:val="restart"/>
                  <w:tcBorders>
                    <w:tl2br w:val="nil"/>
                    <w:tr2bl w:val="nil"/>
                  </w:tcBorders>
                  <w:noWrap w:val="0"/>
                  <w:vAlign w:val="center"/>
                </w:tcPr>
                <w:p w14:paraId="553A99B4">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lang w:val="en-US" w:eastAsia="zh-CN"/>
                    </w:rPr>
                  </w:pPr>
                  <w:r>
                    <w:rPr>
                      <w:rFonts w:hint="eastAsia" w:ascii="Times New Roman" w:hAnsi="Times New Roman" w:eastAsia="宋体" w:cs="Times New Roman"/>
                      <w:snapToGrid/>
                      <w:color w:val="auto"/>
                      <w:spacing w:val="0"/>
                      <w:kern w:val="2"/>
                      <w:sz w:val="21"/>
                      <w:szCs w:val="21"/>
                      <w:highlight w:val="none"/>
                      <w:lang w:val="en-US" w:eastAsia="zh-CN"/>
                    </w:rPr>
                    <w:t>8</w:t>
                  </w:r>
                </w:p>
              </w:tc>
            </w:tr>
            <w:tr w14:paraId="03B2B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7" w:type="pct"/>
                  <w:vMerge w:val="continue"/>
                  <w:tcBorders>
                    <w:tl2br w:val="nil"/>
                    <w:tr2bl w:val="nil"/>
                  </w:tcBorders>
                  <w:noWrap w:val="0"/>
                  <w:vAlign w:val="center"/>
                </w:tcPr>
                <w:p w14:paraId="790C5A1C">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p>
              </w:tc>
              <w:tc>
                <w:tcPr>
                  <w:tcW w:w="569" w:type="pct"/>
                  <w:tcBorders>
                    <w:tl2br w:val="nil"/>
                    <w:tr2bl w:val="nil"/>
                  </w:tcBorders>
                  <w:noWrap w:val="0"/>
                  <w:vAlign w:val="center"/>
                </w:tcPr>
                <w:p w14:paraId="1D59BE3D">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设备</w:t>
                  </w:r>
                  <w:r>
                    <w:rPr>
                      <w:rFonts w:hint="eastAsia" w:ascii="Times New Roman" w:hAnsi="Times New Roman" w:eastAsia="宋体" w:cs="Times New Roman"/>
                      <w:snapToGrid/>
                      <w:color w:val="auto"/>
                      <w:spacing w:val="0"/>
                      <w:kern w:val="2"/>
                      <w:sz w:val="21"/>
                      <w:szCs w:val="21"/>
                      <w:highlight w:val="none"/>
                    </w:rPr>
                    <w:t>（车辆）</w:t>
                  </w:r>
                  <w:r>
                    <w:rPr>
                      <w:rFonts w:hint="default" w:ascii="Times New Roman" w:hAnsi="Times New Roman" w:eastAsia="宋体" w:cs="Times New Roman"/>
                      <w:snapToGrid/>
                      <w:color w:val="auto"/>
                      <w:spacing w:val="0"/>
                      <w:kern w:val="2"/>
                      <w:sz w:val="21"/>
                      <w:szCs w:val="21"/>
                      <w:highlight w:val="none"/>
                    </w:rPr>
                    <w:t>冲洗废水</w:t>
                  </w:r>
                </w:p>
              </w:tc>
              <w:tc>
                <w:tcPr>
                  <w:tcW w:w="669" w:type="pct"/>
                  <w:tcBorders>
                    <w:tl2br w:val="nil"/>
                    <w:tr2bl w:val="nil"/>
                  </w:tcBorders>
                  <w:noWrap w:val="0"/>
                  <w:vAlign w:val="center"/>
                </w:tcPr>
                <w:p w14:paraId="2C2D4714">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SS</w:t>
                  </w:r>
                </w:p>
              </w:tc>
              <w:tc>
                <w:tcPr>
                  <w:tcW w:w="2007" w:type="pct"/>
                  <w:tcBorders>
                    <w:tl2br w:val="nil"/>
                    <w:tr2bl w:val="nil"/>
                  </w:tcBorders>
                  <w:noWrap w:val="0"/>
                  <w:vAlign w:val="center"/>
                </w:tcPr>
                <w:p w14:paraId="704C34B9">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r>
                    <w:rPr>
                      <w:rFonts w:hint="eastAsia" w:ascii="Times New Roman" w:hAnsi="Times New Roman" w:eastAsia="宋体" w:cs="Times New Roman"/>
                      <w:snapToGrid/>
                      <w:color w:val="auto"/>
                      <w:spacing w:val="0"/>
                      <w:kern w:val="2"/>
                      <w:sz w:val="21"/>
                      <w:szCs w:val="21"/>
                      <w:highlight w:val="none"/>
                    </w:rPr>
                    <w:t>经沉淀池沉淀后用于施工道路泼洒抑尘</w:t>
                  </w:r>
                </w:p>
              </w:tc>
              <w:tc>
                <w:tcPr>
                  <w:tcW w:w="971" w:type="pct"/>
                  <w:vMerge w:val="continue"/>
                  <w:tcBorders>
                    <w:tl2br w:val="nil"/>
                    <w:tr2bl w:val="nil"/>
                  </w:tcBorders>
                  <w:noWrap w:val="0"/>
                  <w:vAlign w:val="center"/>
                </w:tcPr>
                <w:p w14:paraId="299EB2B1">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p>
              </w:tc>
              <w:tc>
                <w:tcPr>
                  <w:tcW w:w="505" w:type="pct"/>
                  <w:vMerge w:val="continue"/>
                  <w:tcBorders>
                    <w:tl2br w:val="nil"/>
                    <w:tr2bl w:val="nil"/>
                  </w:tcBorders>
                  <w:noWrap w:val="0"/>
                  <w:vAlign w:val="center"/>
                </w:tcPr>
                <w:p w14:paraId="2D64D65F">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p>
              </w:tc>
            </w:tr>
            <w:tr w14:paraId="1E270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7" w:type="pct"/>
                  <w:vMerge w:val="continue"/>
                  <w:tcBorders>
                    <w:tl2br w:val="nil"/>
                    <w:tr2bl w:val="nil"/>
                  </w:tcBorders>
                  <w:noWrap w:val="0"/>
                  <w:vAlign w:val="center"/>
                </w:tcPr>
                <w:p w14:paraId="00DA6130">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p>
              </w:tc>
              <w:tc>
                <w:tcPr>
                  <w:tcW w:w="569" w:type="pct"/>
                  <w:tcBorders>
                    <w:tl2br w:val="nil"/>
                    <w:tr2bl w:val="nil"/>
                  </w:tcBorders>
                  <w:noWrap w:val="0"/>
                  <w:vAlign w:val="center"/>
                </w:tcPr>
                <w:p w14:paraId="5D522512">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混凝土养护废水</w:t>
                  </w:r>
                </w:p>
              </w:tc>
              <w:tc>
                <w:tcPr>
                  <w:tcW w:w="669" w:type="pct"/>
                  <w:tcBorders>
                    <w:tl2br w:val="nil"/>
                    <w:tr2bl w:val="nil"/>
                  </w:tcBorders>
                  <w:noWrap w:val="0"/>
                  <w:vAlign w:val="center"/>
                </w:tcPr>
                <w:p w14:paraId="5D1B0A84">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SS</w:t>
                  </w:r>
                </w:p>
              </w:tc>
              <w:tc>
                <w:tcPr>
                  <w:tcW w:w="2007" w:type="pct"/>
                  <w:tcBorders>
                    <w:tl2br w:val="nil"/>
                    <w:tr2bl w:val="nil"/>
                  </w:tcBorders>
                  <w:noWrap w:val="0"/>
                  <w:vAlign w:val="center"/>
                </w:tcPr>
                <w:p w14:paraId="2DC156F0">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自然蒸发</w:t>
                  </w:r>
                </w:p>
              </w:tc>
              <w:tc>
                <w:tcPr>
                  <w:tcW w:w="971" w:type="pct"/>
                  <w:vMerge w:val="continue"/>
                  <w:tcBorders>
                    <w:tl2br w:val="nil"/>
                    <w:tr2bl w:val="nil"/>
                  </w:tcBorders>
                  <w:noWrap w:val="0"/>
                  <w:vAlign w:val="center"/>
                </w:tcPr>
                <w:p w14:paraId="244F5D6B">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p>
              </w:tc>
              <w:tc>
                <w:tcPr>
                  <w:tcW w:w="505" w:type="pct"/>
                  <w:vMerge w:val="continue"/>
                  <w:tcBorders>
                    <w:tl2br w:val="nil"/>
                    <w:tr2bl w:val="nil"/>
                  </w:tcBorders>
                  <w:noWrap w:val="0"/>
                  <w:vAlign w:val="center"/>
                </w:tcPr>
                <w:p w14:paraId="018555B5">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p>
              </w:tc>
            </w:tr>
            <w:tr w14:paraId="39DB9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7" w:type="pct"/>
                  <w:tcBorders>
                    <w:tl2br w:val="nil"/>
                    <w:tr2bl w:val="nil"/>
                  </w:tcBorders>
                  <w:noWrap w:val="0"/>
                  <w:vAlign w:val="center"/>
                </w:tcPr>
                <w:p w14:paraId="7893545D">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r>
                    <w:rPr>
                      <w:rFonts w:hint="eastAsia" w:ascii="Times New Roman" w:hAnsi="Times New Roman" w:eastAsia="宋体" w:cs="Times New Roman"/>
                      <w:snapToGrid/>
                      <w:color w:val="auto"/>
                      <w:spacing w:val="0"/>
                      <w:kern w:val="2"/>
                      <w:sz w:val="21"/>
                      <w:szCs w:val="21"/>
                      <w:highlight w:val="none"/>
                    </w:rPr>
                    <w:t>噪声</w:t>
                  </w:r>
                </w:p>
              </w:tc>
              <w:tc>
                <w:tcPr>
                  <w:tcW w:w="569" w:type="pct"/>
                  <w:tcBorders>
                    <w:tl2br w:val="nil"/>
                    <w:tr2bl w:val="nil"/>
                  </w:tcBorders>
                  <w:noWrap w:val="0"/>
                  <w:vAlign w:val="center"/>
                </w:tcPr>
                <w:p w14:paraId="4B897AD1">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r>
                    <w:rPr>
                      <w:rFonts w:hint="eastAsia" w:ascii="Times New Roman" w:hAnsi="Times New Roman" w:eastAsia="宋体" w:cs="Times New Roman"/>
                      <w:snapToGrid/>
                      <w:color w:val="auto"/>
                      <w:spacing w:val="0"/>
                      <w:kern w:val="2"/>
                      <w:sz w:val="21"/>
                      <w:szCs w:val="21"/>
                      <w:highlight w:val="none"/>
                    </w:rPr>
                    <w:t>施工期</w:t>
                  </w:r>
                </w:p>
              </w:tc>
              <w:tc>
                <w:tcPr>
                  <w:tcW w:w="669" w:type="pct"/>
                  <w:tcBorders>
                    <w:tl2br w:val="nil"/>
                    <w:tr2bl w:val="nil"/>
                  </w:tcBorders>
                  <w:noWrap w:val="0"/>
                  <w:vAlign w:val="center"/>
                </w:tcPr>
                <w:p w14:paraId="3571ABC6">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r>
                    <w:rPr>
                      <w:rFonts w:hint="eastAsia" w:ascii="Times New Roman" w:hAnsi="Times New Roman" w:eastAsia="宋体" w:cs="Times New Roman"/>
                      <w:snapToGrid/>
                      <w:color w:val="auto"/>
                      <w:spacing w:val="0"/>
                      <w:kern w:val="2"/>
                      <w:sz w:val="21"/>
                      <w:szCs w:val="21"/>
                      <w:highlight w:val="none"/>
                    </w:rPr>
                    <w:t>噪声</w:t>
                  </w:r>
                </w:p>
              </w:tc>
              <w:tc>
                <w:tcPr>
                  <w:tcW w:w="2007" w:type="pct"/>
                  <w:tcBorders>
                    <w:tl2br w:val="nil"/>
                    <w:tr2bl w:val="nil"/>
                  </w:tcBorders>
                  <w:noWrap w:val="0"/>
                  <w:vAlign w:val="center"/>
                </w:tcPr>
                <w:p w14:paraId="2FB246B6">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加强管理</w:t>
                  </w:r>
                  <w:r>
                    <w:rPr>
                      <w:rFonts w:hint="eastAsia" w:ascii="Times New Roman" w:hAnsi="Times New Roman" w:eastAsia="宋体" w:cs="Times New Roman"/>
                      <w:snapToGrid/>
                      <w:color w:val="auto"/>
                      <w:spacing w:val="0"/>
                      <w:kern w:val="2"/>
                      <w:sz w:val="21"/>
                      <w:szCs w:val="21"/>
                      <w:highlight w:val="none"/>
                    </w:rPr>
                    <w:t>，安装减震装置，选择低噪声施工设备；合理安排施工时间</w:t>
                  </w:r>
                </w:p>
              </w:tc>
              <w:tc>
                <w:tcPr>
                  <w:tcW w:w="971" w:type="pct"/>
                  <w:tcBorders>
                    <w:tl2br w:val="nil"/>
                    <w:tr2bl w:val="nil"/>
                  </w:tcBorders>
                  <w:noWrap w:val="0"/>
                  <w:vAlign w:val="center"/>
                </w:tcPr>
                <w:p w14:paraId="09ED49DC">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减缓对沿线声环境敏感点影响</w:t>
                  </w:r>
                </w:p>
              </w:tc>
              <w:tc>
                <w:tcPr>
                  <w:tcW w:w="505" w:type="pct"/>
                  <w:tcBorders>
                    <w:tl2br w:val="nil"/>
                    <w:tr2bl w:val="nil"/>
                  </w:tcBorders>
                  <w:noWrap w:val="0"/>
                  <w:vAlign w:val="center"/>
                </w:tcPr>
                <w:p w14:paraId="475782EB">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lang w:val="en-US" w:eastAsia="zh-CN"/>
                    </w:rPr>
                  </w:pPr>
                  <w:r>
                    <w:rPr>
                      <w:rFonts w:hint="eastAsia" w:ascii="Times New Roman" w:hAnsi="Times New Roman" w:eastAsia="宋体" w:cs="Times New Roman"/>
                      <w:snapToGrid/>
                      <w:color w:val="auto"/>
                      <w:spacing w:val="0"/>
                      <w:kern w:val="2"/>
                      <w:sz w:val="21"/>
                      <w:szCs w:val="21"/>
                      <w:highlight w:val="none"/>
                      <w:lang w:val="en-US" w:eastAsia="zh-CN"/>
                    </w:rPr>
                    <w:t>6</w:t>
                  </w:r>
                </w:p>
              </w:tc>
            </w:tr>
            <w:tr w14:paraId="275D7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47" w:type="pct"/>
                  <w:gridSpan w:val="2"/>
                  <w:vMerge w:val="restart"/>
                  <w:tcBorders>
                    <w:tl2br w:val="nil"/>
                    <w:tr2bl w:val="nil"/>
                  </w:tcBorders>
                  <w:noWrap w:val="0"/>
                  <w:vAlign w:val="center"/>
                </w:tcPr>
                <w:p w14:paraId="5736F70F">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固体废物</w:t>
                  </w:r>
                </w:p>
              </w:tc>
              <w:tc>
                <w:tcPr>
                  <w:tcW w:w="669" w:type="pct"/>
                  <w:tcBorders>
                    <w:tl2br w:val="nil"/>
                    <w:tr2bl w:val="nil"/>
                  </w:tcBorders>
                  <w:noWrap w:val="0"/>
                  <w:vAlign w:val="center"/>
                </w:tcPr>
                <w:p w14:paraId="092D0717">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生活垃圾</w:t>
                  </w:r>
                </w:p>
              </w:tc>
              <w:tc>
                <w:tcPr>
                  <w:tcW w:w="2007" w:type="pct"/>
                  <w:tcBorders>
                    <w:tl2br w:val="nil"/>
                    <w:tr2bl w:val="nil"/>
                  </w:tcBorders>
                  <w:noWrap w:val="0"/>
                  <w:vAlign w:val="center"/>
                </w:tcPr>
                <w:p w14:paraId="7C572429">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lang w:val="en-US" w:eastAsia="zh-CN"/>
                    </w:rPr>
                    <w:t>工区设置生活垃圾箱用于集中收集生活垃圾，由奇台县生活垃圾填埋场处理</w:t>
                  </w:r>
                  <w:r>
                    <w:rPr>
                      <w:rFonts w:hint="eastAsia" w:ascii="Times New Roman" w:hAnsi="Times New Roman" w:eastAsia="宋体" w:cs="Times New Roman"/>
                      <w:snapToGrid/>
                      <w:color w:val="auto"/>
                      <w:spacing w:val="0"/>
                      <w:kern w:val="2"/>
                      <w:sz w:val="21"/>
                      <w:szCs w:val="21"/>
                      <w:highlight w:val="none"/>
                      <w:lang w:val="en-US" w:eastAsia="zh-CN"/>
                    </w:rPr>
                    <w:t>。</w:t>
                  </w:r>
                </w:p>
              </w:tc>
              <w:tc>
                <w:tcPr>
                  <w:tcW w:w="971" w:type="pct"/>
                  <w:vMerge w:val="restart"/>
                  <w:tcBorders>
                    <w:tl2br w:val="nil"/>
                    <w:tr2bl w:val="nil"/>
                  </w:tcBorders>
                  <w:noWrap w:val="0"/>
                  <w:vAlign w:val="center"/>
                </w:tcPr>
                <w:p w14:paraId="033FEFA9">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减缓固体废物对环境污染</w:t>
                  </w:r>
                </w:p>
              </w:tc>
              <w:tc>
                <w:tcPr>
                  <w:tcW w:w="505" w:type="pct"/>
                  <w:vMerge w:val="restart"/>
                  <w:tcBorders>
                    <w:tl2br w:val="nil"/>
                    <w:tr2bl w:val="nil"/>
                  </w:tcBorders>
                  <w:noWrap w:val="0"/>
                  <w:vAlign w:val="center"/>
                </w:tcPr>
                <w:p w14:paraId="1BC8A429">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lang w:val="en-US" w:eastAsia="zh-CN"/>
                    </w:rPr>
                  </w:pPr>
                  <w:r>
                    <w:rPr>
                      <w:rFonts w:hint="eastAsia" w:ascii="Times New Roman" w:hAnsi="Times New Roman" w:eastAsia="宋体" w:cs="Times New Roman"/>
                      <w:snapToGrid/>
                      <w:color w:val="auto"/>
                      <w:spacing w:val="0"/>
                      <w:kern w:val="2"/>
                      <w:sz w:val="21"/>
                      <w:szCs w:val="21"/>
                      <w:highlight w:val="none"/>
                      <w:lang w:val="en-US" w:eastAsia="zh-CN"/>
                    </w:rPr>
                    <w:t>3.5</w:t>
                  </w:r>
                </w:p>
              </w:tc>
            </w:tr>
            <w:tr w14:paraId="49E8D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3" w:hRule="atLeast"/>
                <w:jc w:val="center"/>
              </w:trPr>
              <w:tc>
                <w:tcPr>
                  <w:tcW w:w="847" w:type="pct"/>
                  <w:gridSpan w:val="2"/>
                  <w:vMerge w:val="continue"/>
                  <w:tcBorders>
                    <w:tl2br w:val="nil"/>
                    <w:tr2bl w:val="nil"/>
                  </w:tcBorders>
                  <w:noWrap w:val="0"/>
                  <w:vAlign w:val="center"/>
                </w:tcPr>
                <w:p w14:paraId="7D3E2988">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p>
              </w:tc>
              <w:tc>
                <w:tcPr>
                  <w:tcW w:w="669" w:type="pct"/>
                  <w:tcBorders>
                    <w:tl2br w:val="nil"/>
                    <w:tr2bl w:val="nil"/>
                  </w:tcBorders>
                  <w:noWrap w:val="0"/>
                  <w:vAlign w:val="center"/>
                </w:tcPr>
                <w:p w14:paraId="19B09D43">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建筑垃圾</w:t>
                  </w:r>
                </w:p>
              </w:tc>
              <w:tc>
                <w:tcPr>
                  <w:tcW w:w="2007" w:type="pct"/>
                  <w:tcBorders>
                    <w:tl2br w:val="nil"/>
                    <w:tr2bl w:val="nil"/>
                  </w:tcBorders>
                  <w:noWrap w:val="0"/>
                  <w:vAlign w:val="center"/>
                </w:tcPr>
                <w:p w14:paraId="3E69D321">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r>
                    <w:rPr>
                      <w:rFonts w:hint="eastAsia" w:ascii="Times New Roman" w:hAnsi="Times New Roman" w:eastAsia="宋体" w:cs="Times New Roman"/>
                      <w:snapToGrid/>
                      <w:color w:val="auto"/>
                      <w:spacing w:val="0"/>
                      <w:kern w:val="2"/>
                      <w:sz w:val="21"/>
                      <w:szCs w:val="21"/>
                      <w:highlight w:val="none"/>
                      <w:lang w:val="en-US" w:eastAsia="zh-CN"/>
                    </w:rPr>
                    <w:t>施工过程中和施工结束后应由施工方将不可利用施工垃圾运送至当地环保部门指定的建筑垃圾填埋场。</w:t>
                  </w:r>
                </w:p>
              </w:tc>
              <w:tc>
                <w:tcPr>
                  <w:tcW w:w="971" w:type="pct"/>
                  <w:vMerge w:val="continue"/>
                  <w:tcBorders>
                    <w:tl2br w:val="nil"/>
                    <w:tr2bl w:val="nil"/>
                  </w:tcBorders>
                  <w:noWrap w:val="0"/>
                  <w:vAlign w:val="center"/>
                </w:tcPr>
                <w:p w14:paraId="02A192F9">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p>
              </w:tc>
              <w:tc>
                <w:tcPr>
                  <w:tcW w:w="505" w:type="pct"/>
                  <w:vMerge w:val="continue"/>
                  <w:tcBorders>
                    <w:tl2br w:val="nil"/>
                    <w:tr2bl w:val="nil"/>
                  </w:tcBorders>
                  <w:noWrap w:val="0"/>
                  <w:vAlign w:val="center"/>
                </w:tcPr>
                <w:p w14:paraId="6BDE1D8C">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p>
              </w:tc>
            </w:tr>
            <w:tr w14:paraId="30560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47" w:type="pct"/>
                  <w:gridSpan w:val="2"/>
                  <w:tcBorders>
                    <w:tl2br w:val="nil"/>
                    <w:tr2bl w:val="nil"/>
                  </w:tcBorders>
                  <w:noWrap w:val="0"/>
                  <w:vAlign w:val="center"/>
                </w:tcPr>
                <w:p w14:paraId="3ACF47A4">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生态环境</w:t>
                  </w:r>
                </w:p>
              </w:tc>
              <w:tc>
                <w:tcPr>
                  <w:tcW w:w="669" w:type="pct"/>
                  <w:tcBorders>
                    <w:tl2br w:val="nil"/>
                    <w:tr2bl w:val="nil"/>
                  </w:tcBorders>
                  <w:noWrap w:val="0"/>
                  <w:vAlign w:val="center"/>
                </w:tcPr>
                <w:p w14:paraId="71E9337D">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植被恢复</w:t>
                  </w:r>
                </w:p>
              </w:tc>
              <w:tc>
                <w:tcPr>
                  <w:tcW w:w="2007" w:type="pct"/>
                  <w:tcBorders>
                    <w:tl2br w:val="nil"/>
                    <w:tr2bl w:val="nil"/>
                  </w:tcBorders>
                  <w:noWrap w:val="0"/>
                  <w:vAlign w:val="center"/>
                </w:tcPr>
                <w:p w14:paraId="748B5470">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color w:val="auto"/>
                      <w:kern w:val="2"/>
                      <w:sz w:val="21"/>
                      <w:szCs w:val="24"/>
                      <w:lang w:val="en-US" w:eastAsia="zh-CN" w:bidi="ar-SA"/>
                    </w:rPr>
                    <w:t>对临时设施拆除</w:t>
                  </w:r>
                  <w:r>
                    <w:rPr>
                      <w:rFonts w:hint="eastAsia" w:ascii="Times New Roman" w:hAnsi="Times New Roman" w:eastAsia="宋体" w:cs="Times New Roman"/>
                      <w:color w:val="auto"/>
                      <w:kern w:val="2"/>
                      <w:sz w:val="21"/>
                      <w:szCs w:val="24"/>
                      <w:lang w:val="en-US" w:eastAsia="zh-CN" w:bidi="ar-SA"/>
                    </w:rPr>
                    <w:t>，</w:t>
                  </w:r>
                  <w:r>
                    <w:rPr>
                      <w:rFonts w:hint="default" w:ascii="Times New Roman" w:hAnsi="Times New Roman" w:eastAsia="宋体" w:cs="Times New Roman"/>
                      <w:snapToGrid/>
                      <w:color w:val="auto"/>
                      <w:spacing w:val="0"/>
                      <w:kern w:val="2"/>
                      <w:sz w:val="21"/>
                      <w:szCs w:val="21"/>
                      <w:highlight w:val="none"/>
                    </w:rPr>
                    <w:t>临时占地进行土地平整后用原表土覆盖，并进行植被恢复</w:t>
                  </w:r>
                  <w:r>
                    <w:rPr>
                      <w:rFonts w:hint="eastAsia" w:ascii="Times New Roman" w:hAnsi="Times New Roman" w:eastAsia="宋体" w:cs="Times New Roman"/>
                      <w:snapToGrid/>
                      <w:color w:val="auto"/>
                      <w:spacing w:val="0"/>
                      <w:kern w:val="2"/>
                      <w:sz w:val="21"/>
                      <w:szCs w:val="21"/>
                      <w:highlight w:val="none"/>
                    </w:rPr>
                    <w:t>，采用播撒草种和自然恢复结合的方式，避免水土流失和风蚀沙化</w:t>
                  </w:r>
                </w:p>
              </w:tc>
              <w:tc>
                <w:tcPr>
                  <w:tcW w:w="971" w:type="pct"/>
                  <w:tcBorders>
                    <w:tl2br w:val="nil"/>
                    <w:tr2bl w:val="nil"/>
                  </w:tcBorders>
                  <w:noWrap w:val="0"/>
                  <w:vAlign w:val="center"/>
                </w:tcPr>
                <w:p w14:paraId="5674CE94">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工程占地得到恢复、减轻生态影响</w:t>
                  </w:r>
                </w:p>
              </w:tc>
              <w:tc>
                <w:tcPr>
                  <w:tcW w:w="505" w:type="pct"/>
                  <w:tcBorders>
                    <w:tl2br w:val="nil"/>
                    <w:tr2bl w:val="nil"/>
                  </w:tcBorders>
                  <w:noWrap w:val="0"/>
                  <w:vAlign w:val="center"/>
                </w:tcPr>
                <w:p w14:paraId="0798B3E5">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lang w:val="en-US" w:eastAsia="zh-CN"/>
                    </w:rPr>
                  </w:pPr>
                  <w:r>
                    <w:rPr>
                      <w:rFonts w:hint="eastAsia" w:ascii="Times New Roman" w:hAnsi="Times New Roman" w:eastAsia="宋体" w:cs="Times New Roman"/>
                      <w:snapToGrid/>
                      <w:color w:val="auto"/>
                      <w:spacing w:val="0"/>
                      <w:kern w:val="2"/>
                      <w:sz w:val="21"/>
                      <w:szCs w:val="21"/>
                      <w:highlight w:val="none"/>
                      <w:lang w:val="en-US" w:eastAsia="zh-CN"/>
                    </w:rPr>
                    <w:t>14.8</w:t>
                  </w:r>
                </w:p>
              </w:tc>
            </w:tr>
            <w:tr w14:paraId="5DE22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516" w:type="pct"/>
                  <w:gridSpan w:val="3"/>
                  <w:tcBorders>
                    <w:tl2br w:val="nil"/>
                    <w:tr2bl w:val="nil"/>
                  </w:tcBorders>
                  <w:noWrap w:val="0"/>
                  <w:vAlign w:val="center"/>
                </w:tcPr>
                <w:p w14:paraId="02B66CCC">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其他</w:t>
                  </w:r>
                </w:p>
              </w:tc>
              <w:tc>
                <w:tcPr>
                  <w:tcW w:w="2007" w:type="pct"/>
                  <w:tcBorders>
                    <w:tl2br w:val="nil"/>
                    <w:tr2bl w:val="nil"/>
                  </w:tcBorders>
                  <w:noWrap w:val="0"/>
                  <w:vAlign w:val="center"/>
                </w:tcPr>
                <w:p w14:paraId="099985A4">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lang w:val="en-US" w:eastAsia="zh-CN"/>
                    </w:rPr>
                    <w:t>综合整治、场地平整并恢复原地貌，水土保持、生态恢复、竣工验收环境管理、环境监测等</w:t>
                  </w:r>
                  <w:r>
                    <w:rPr>
                      <w:rFonts w:hint="eastAsia" w:ascii="Times New Roman" w:hAnsi="Times New Roman" w:eastAsia="宋体" w:cs="Times New Roman"/>
                      <w:snapToGrid/>
                      <w:color w:val="auto"/>
                      <w:spacing w:val="0"/>
                      <w:kern w:val="2"/>
                      <w:sz w:val="21"/>
                      <w:szCs w:val="21"/>
                      <w:highlight w:val="none"/>
                      <w:lang w:val="en-US" w:eastAsia="zh-CN"/>
                    </w:rPr>
                    <w:t>。</w:t>
                  </w:r>
                </w:p>
              </w:tc>
              <w:tc>
                <w:tcPr>
                  <w:tcW w:w="971" w:type="pct"/>
                  <w:tcBorders>
                    <w:tl2br w:val="nil"/>
                    <w:tr2bl w:val="nil"/>
                  </w:tcBorders>
                  <w:noWrap w:val="0"/>
                  <w:vAlign w:val="center"/>
                </w:tcPr>
                <w:p w14:paraId="68167C32">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减轻</w:t>
                  </w:r>
                  <w:r>
                    <w:rPr>
                      <w:rFonts w:hint="eastAsia" w:ascii="Times New Roman" w:hAnsi="Times New Roman" w:eastAsia="宋体" w:cs="Times New Roman"/>
                      <w:snapToGrid/>
                      <w:color w:val="auto"/>
                      <w:spacing w:val="0"/>
                      <w:kern w:val="2"/>
                      <w:sz w:val="21"/>
                      <w:szCs w:val="21"/>
                      <w:highlight w:val="none"/>
                    </w:rPr>
                    <w:t>工程对环境的</w:t>
                  </w:r>
                  <w:r>
                    <w:rPr>
                      <w:rFonts w:hint="default" w:ascii="Times New Roman" w:hAnsi="Times New Roman" w:eastAsia="宋体" w:cs="Times New Roman"/>
                      <w:snapToGrid/>
                      <w:color w:val="auto"/>
                      <w:spacing w:val="0"/>
                      <w:kern w:val="2"/>
                      <w:sz w:val="21"/>
                      <w:szCs w:val="21"/>
                      <w:highlight w:val="none"/>
                    </w:rPr>
                    <w:t>影响</w:t>
                  </w:r>
                </w:p>
              </w:tc>
              <w:tc>
                <w:tcPr>
                  <w:tcW w:w="505" w:type="pct"/>
                  <w:tcBorders>
                    <w:tl2br w:val="nil"/>
                    <w:tr2bl w:val="nil"/>
                  </w:tcBorders>
                  <w:noWrap w:val="0"/>
                  <w:vAlign w:val="center"/>
                </w:tcPr>
                <w:p w14:paraId="3AC899E3">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lang w:val="en-US" w:eastAsia="zh-CN"/>
                    </w:rPr>
                  </w:pPr>
                  <w:r>
                    <w:rPr>
                      <w:rFonts w:hint="eastAsia" w:ascii="Times New Roman" w:hAnsi="Times New Roman" w:eastAsia="宋体" w:cs="Times New Roman"/>
                      <w:snapToGrid/>
                      <w:color w:val="auto"/>
                      <w:spacing w:val="0"/>
                      <w:kern w:val="2"/>
                      <w:sz w:val="21"/>
                      <w:szCs w:val="21"/>
                      <w:highlight w:val="none"/>
                      <w:lang w:val="en-US" w:eastAsia="zh-CN"/>
                    </w:rPr>
                    <w:t>13</w:t>
                  </w:r>
                </w:p>
              </w:tc>
            </w:tr>
            <w:tr w14:paraId="48E01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516" w:type="pct"/>
                  <w:gridSpan w:val="3"/>
                  <w:tcBorders>
                    <w:tl2br w:val="nil"/>
                    <w:tr2bl w:val="nil"/>
                  </w:tcBorders>
                  <w:noWrap w:val="0"/>
                  <w:vAlign w:val="center"/>
                </w:tcPr>
                <w:p w14:paraId="32D15D95">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合计</w:t>
                  </w:r>
                </w:p>
              </w:tc>
              <w:tc>
                <w:tcPr>
                  <w:tcW w:w="3483" w:type="pct"/>
                  <w:gridSpan w:val="3"/>
                  <w:tcBorders>
                    <w:tl2br w:val="nil"/>
                    <w:tr2bl w:val="nil"/>
                  </w:tcBorders>
                  <w:noWrap w:val="0"/>
                  <w:vAlign w:val="center"/>
                </w:tcPr>
                <w:p w14:paraId="07121EA1">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napToGrid/>
                      <w:color w:val="auto"/>
                      <w:spacing w:val="0"/>
                      <w:kern w:val="2"/>
                      <w:sz w:val="21"/>
                      <w:szCs w:val="21"/>
                      <w:highlight w:val="none"/>
                      <w:lang w:val="en-US" w:eastAsia="zh-CN"/>
                    </w:rPr>
                  </w:pPr>
                  <w:r>
                    <w:rPr>
                      <w:rFonts w:hint="eastAsia" w:ascii="Times New Roman" w:hAnsi="Times New Roman" w:eastAsia="宋体" w:cs="Times New Roman"/>
                      <w:snapToGrid/>
                      <w:color w:val="auto"/>
                      <w:spacing w:val="0"/>
                      <w:kern w:val="2"/>
                      <w:sz w:val="21"/>
                      <w:szCs w:val="21"/>
                      <w:highlight w:val="none"/>
                      <w:lang w:val="en-US" w:eastAsia="zh-CN"/>
                    </w:rPr>
                    <w:t>55.3</w:t>
                  </w:r>
                </w:p>
              </w:tc>
            </w:tr>
            <w:bookmarkEnd w:id="25"/>
          </w:tbl>
          <w:p w14:paraId="27A8F984">
            <w:pPr>
              <w:pStyle w:val="41"/>
              <w:keepNext w:val="0"/>
              <w:keepLines w:val="0"/>
              <w:pageBreakBefore w:val="0"/>
              <w:widowControl w:val="0"/>
              <w:kinsoku/>
              <w:wordWrap/>
              <w:overflowPunct/>
              <w:topLinePunct w:val="0"/>
              <w:autoSpaceDE/>
              <w:autoSpaceDN/>
              <w:bidi w:val="0"/>
              <w:adjustRightInd w:val="0"/>
              <w:snapToGrid/>
              <w:spacing w:before="0" w:after="0" w:line="240" w:lineRule="auto"/>
              <w:ind w:firstLine="0" w:firstLineChars="0"/>
              <w:textAlignment w:val="baseline"/>
              <w:rPr>
                <w:rFonts w:hint="default" w:ascii="Times New Roman" w:hAnsi="Times New Roman" w:eastAsia="宋体" w:cs="Times New Roman"/>
                <w:b/>
                <w:bCs w:val="0"/>
                <w:color w:val="auto"/>
                <w:spacing w:val="0"/>
                <w:kern w:val="2"/>
                <w:sz w:val="21"/>
                <w:szCs w:val="21"/>
                <w:lang w:val="en-US" w:eastAsia="zh-CN"/>
              </w:rPr>
            </w:pPr>
          </w:p>
          <w:p w14:paraId="55ACDE91">
            <w:pPr>
              <w:pStyle w:val="41"/>
              <w:keepNext w:val="0"/>
              <w:keepLines w:val="0"/>
              <w:pageBreakBefore w:val="0"/>
              <w:widowControl w:val="0"/>
              <w:kinsoku/>
              <w:wordWrap/>
              <w:overflowPunct/>
              <w:topLinePunct w:val="0"/>
              <w:autoSpaceDE/>
              <w:autoSpaceDN/>
              <w:bidi w:val="0"/>
              <w:adjustRightInd w:val="0"/>
              <w:snapToGrid/>
              <w:spacing w:before="0" w:after="0" w:line="240" w:lineRule="auto"/>
              <w:ind w:firstLine="0" w:firstLineChars="0"/>
              <w:textAlignment w:val="baseline"/>
              <w:rPr>
                <w:rFonts w:hint="default" w:ascii="Times New Roman" w:hAnsi="Times New Roman" w:eastAsia="宋体" w:cs="Times New Roman"/>
                <w:b/>
                <w:bCs w:val="0"/>
                <w:color w:val="auto"/>
                <w:spacing w:val="0"/>
                <w:kern w:val="2"/>
                <w:sz w:val="21"/>
                <w:szCs w:val="21"/>
                <w:lang w:val="en-US" w:eastAsia="zh-CN"/>
              </w:rPr>
            </w:pPr>
          </w:p>
          <w:p w14:paraId="47D0E3C1">
            <w:pPr>
              <w:adjustRightInd w:val="0"/>
              <w:snapToGrid w:val="0"/>
              <w:rPr>
                <w:rFonts w:hint="default" w:ascii="Times New Roman" w:hAnsi="Times New Roman" w:cs="Times New Roman"/>
                <w:color w:val="auto"/>
              </w:rPr>
            </w:pPr>
          </w:p>
          <w:p w14:paraId="546B93D7">
            <w:pPr>
              <w:pStyle w:val="15"/>
              <w:rPr>
                <w:rFonts w:hint="default" w:ascii="Times New Roman" w:hAnsi="Times New Roman" w:cs="Times New Roman"/>
                <w:bCs/>
                <w:color w:val="auto"/>
                <w:spacing w:val="10"/>
                <w:sz w:val="24"/>
              </w:rPr>
            </w:pPr>
          </w:p>
        </w:tc>
      </w:tr>
    </w:tbl>
    <w:p w14:paraId="2EAE47DD">
      <w:pPr>
        <w:pStyle w:val="16"/>
        <w:rPr>
          <w:rFonts w:hint="default" w:ascii="Times New Roman" w:hAnsi="Times New Roman" w:cs="Times New Roman"/>
          <w:color w:val="auto"/>
        </w:rPr>
        <w:sectPr>
          <w:pgSz w:w="11907" w:h="16840"/>
          <w:pgMar w:top="1440" w:right="1800" w:bottom="1440" w:left="1800" w:header="851" w:footer="1077" w:gutter="0"/>
          <w:pgBorders>
            <w:top w:val="none" w:sz="0" w:space="0"/>
            <w:left w:val="none" w:sz="0" w:space="0"/>
            <w:bottom w:val="none" w:sz="0" w:space="0"/>
            <w:right w:val="none" w:sz="0" w:space="0"/>
          </w:pgBorders>
          <w:pgNumType w:fmt="decimal"/>
          <w:cols w:space="720" w:num="1"/>
          <w:docGrid w:linePitch="312" w:charSpace="0"/>
        </w:sectPr>
      </w:pPr>
    </w:p>
    <w:p w14:paraId="6274D2C6">
      <w:pPr>
        <w:pStyle w:val="26"/>
        <w:jc w:val="center"/>
        <w:outlineLvl w:val="0"/>
        <w:rPr>
          <w:rFonts w:hint="default" w:ascii="Times New Roman" w:hAnsi="Times New Roman" w:eastAsia="黑体" w:cs="Times New Roman"/>
          <w:snapToGrid w:val="0"/>
          <w:color w:val="auto"/>
          <w:sz w:val="30"/>
          <w:szCs w:val="30"/>
        </w:rPr>
      </w:pPr>
      <w:bookmarkStart w:id="26" w:name="_Toc16768"/>
      <w:bookmarkStart w:id="27" w:name="_Toc30688"/>
      <w:r>
        <w:rPr>
          <w:rFonts w:hint="default" w:ascii="Times New Roman" w:hAnsi="Times New Roman" w:eastAsia="黑体" w:cs="Times New Roman"/>
          <w:snapToGrid w:val="0"/>
          <w:color w:val="auto"/>
          <w:sz w:val="30"/>
          <w:szCs w:val="30"/>
        </w:rPr>
        <w:t>六、生态环境保护措施监督检查清单</w:t>
      </w:r>
      <w:bookmarkEnd w:id="26"/>
      <w:bookmarkEnd w:id="27"/>
    </w:p>
    <w:tbl>
      <w:tblPr>
        <w:tblStyle w:val="29"/>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2667"/>
        <w:gridCol w:w="1786"/>
        <w:gridCol w:w="1722"/>
        <w:gridCol w:w="1214"/>
      </w:tblGrid>
      <w:tr w14:paraId="6DC08A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3" w:type="pct"/>
            <w:vMerge w:val="restart"/>
            <w:tcBorders>
              <w:tl2br w:val="single" w:color="auto" w:sz="4" w:space="0"/>
            </w:tcBorders>
            <w:noWrap w:val="0"/>
            <w:vAlign w:val="top"/>
          </w:tcPr>
          <w:p w14:paraId="0221DF98">
            <w:pPr>
              <w:pStyle w:val="26"/>
              <w:keepNext w:val="0"/>
              <w:keepLines w:val="0"/>
              <w:pageBreakBefore w:val="0"/>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right"/>
              <w:textAlignment w:val="auto"/>
              <w:outlineLvl w:val="9"/>
              <w:rPr>
                <w:rFonts w:hint="default" w:ascii="Times New Roman" w:hAnsi="Times New Roman" w:eastAsia="宋体" w:cs="Times New Roman"/>
                <w:b/>
                <w:bCs/>
                <w:color w:val="auto"/>
                <w:kern w:val="2"/>
                <w:sz w:val="21"/>
                <w:szCs w:val="21"/>
                <w:lang w:eastAsia="zh-CN"/>
              </w:rPr>
            </w:pPr>
            <w:bookmarkStart w:id="28" w:name="_Toc9020"/>
            <w:r>
              <w:rPr>
                <w:rFonts w:hint="default" w:ascii="Times New Roman" w:hAnsi="Times New Roman" w:cs="Times New Roman"/>
                <w:b/>
                <w:bCs/>
                <w:color w:val="auto"/>
                <w:kern w:val="2"/>
                <w:sz w:val="21"/>
                <w:szCs w:val="21"/>
              </w:rPr>
              <w:t>内容</w:t>
            </w:r>
            <w:bookmarkEnd w:id="28"/>
          </w:p>
          <w:p w14:paraId="6E567EF7">
            <w:pPr>
              <w:pStyle w:val="26"/>
              <w:keepNext w:val="0"/>
              <w:keepLines w:val="0"/>
              <w:pageBreakBefore w:val="0"/>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textAlignment w:val="auto"/>
              <w:outlineLvl w:val="9"/>
              <w:rPr>
                <w:rFonts w:hint="default" w:ascii="Times New Roman" w:hAnsi="Times New Roman" w:eastAsia="宋体" w:cs="Times New Roman"/>
                <w:b/>
                <w:bCs/>
                <w:color w:val="auto"/>
                <w:kern w:val="2"/>
                <w:sz w:val="21"/>
                <w:szCs w:val="21"/>
                <w:lang w:eastAsia="zh-CN"/>
              </w:rPr>
            </w:pPr>
          </w:p>
          <w:p w14:paraId="0A121356">
            <w:pPr>
              <w:pStyle w:val="26"/>
              <w:keepNext w:val="0"/>
              <w:keepLines w:val="0"/>
              <w:pageBreakBefore w:val="0"/>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textAlignment w:val="auto"/>
              <w:outlineLvl w:val="9"/>
              <w:rPr>
                <w:rFonts w:hint="default" w:ascii="Times New Roman" w:hAnsi="Times New Roman" w:cs="Times New Roman"/>
                <w:b/>
                <w:bCs/>
                <w:color w:val="auto"/>
                <w:kern w:val="2"/>
                <w:sz w:val="21"/>
                <w:szCs w:val="21"/>
              </w:rPr>
            </w:pPr>
            <w:bookmarkStart w:id="29" w:name="_Toc6714"/>
          </w:p>
          <w:p w14:paraId="4E0D8C7C">
            <w:pPr>
              <w:pStyle w:val="26"/>
              <w:keepNext w:val="0"/>
              <w:keepLines w:val="0"/>
              <w:pageBreakBefore w:val="0"/>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outlineLvl w:val="9"/>
              <w:rPr>
                <w:rFonts w:hint="default" w:ascii="Times New Roman" w:hAnsi="Times New Roman" w:cs="Times New Roman"/>
                <w:b/>
                <w:bCs/>
                <w:color w:val="auto"/>
                <w:kern w:val="2"/>
                <w:sz w:val="21"/>
                <w:szCs w:val="21"/>
              </w:rPr>
            </w:pPr>
            <w:r>
              <w:rPr>
                <w:rFonts w:hint="default" w:ascii="Times New Roman" w:hAnsi="Times New Roman" w:cs="Times New Roman"/>
                <w:b/>
                <w:bCs/>
                <w:color w:val="auto"/>
                <w:kern w:val="2"/>
                <w:sz w:val="21"/>
                <w:szCs w:val="21"/>
              </w:rPr>
              <w:t>要素</w:t>
            </w:r>
            <w:bookmarkEnd w:id="29"/>
          </w:p>
        </w:tc>
        <w:tc>
          <w:tcPr>
            <w:tcW w:w="2613" w:type="pct"/>
            <w:gridSpan w:val="2"/>
            <w:noWrap w:val="0"/>
            <w:vAlign w:val="center"/>
          </w:tcPr>
          <w:p w14:paraId="54BDF1E3">
            <w:pPr>
              <w:pStyle w:val="26"/>
              <w:keepNext w:val="0"/>
              <w:keepLines w:val="0"/>
              <w:pageBreakBefore w:val="0"/>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b/>
                <w:bCs/>
                <w:color w:val="auto"/>
                <w:kern w:val="2"/>
                <w:sz w:val="21"/>
                <w:szCs w:val="21"/>
              </w:rPr>
            </w:pPr>
            <w:bookmarkStart w:id="30" w:name="_Toc23128"/>
            <w:r>
              <w:rPr>
                <w:rFonts w:hint="default" w:ascii="Times New Roman" w:hAnsi="Times New Roman" w:cs="Times New Roman"/>
                <w:b/>
                <w:bCs/>
                <w:color w:val="auto"/>
                <w:kern w:val="2"/>
                <w:sz w:val="21"/>
                <w:szCs w:val="21"/>
              </w:rPr>
              <w:t>施工期</w:t>
            </w:r>
            <w:bookmarkEnd w:id="30"/>
          </w:p>
        </w:tc>
        <w:tc>
          <w:tcPr>
            <w:tcW w:w="1723" w:type="pct"/>
            <w:gridSpan w:val="2"/>
            <w:noWrap w:val="0"/>
            <w:vAlign w:val="center"/>
          </w:tcPr>
          <w:p w14:paraId="6D060579">
            <w:pPr>
              <w:pStyle w:val="26"/>
              <w:keepNext w:val="0"/>
              <w:keepLines w:val="0"/>
              <w:pageBreakBefore w:val="0"/>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b/>
                <w:bCs/>
                <w:color w:val="auto"/>
                <w:kern w:val="2"/>
                <w:sz w:val="21"/>
                <w:szCs w:val="21"/>
              </w:rPr>
            </w:pPr>
            <w:bookmarkStart w:id="31" w:name="_Toc32167"/>
            <w:r>
              <w:rPr>
                <w:rFonts w:hint="default" w:ascii="Times New Roman" w:hAnsi="Times New Roman" w:cs="Times New Roman"/>
                <w:b/>
                <w:bCs/>
                <w:color w:val="auto"/>
                <w:kern w:val="2"/>
                <w:sz w:val="21"/>
                <w:szCs w:val="21"/>
              </w:rPr>
              <w:t>运营期</w:t>
            </w:r>
            <w:bookmarkEnd w:id="31"/>
          </w:p>
        </w:tc>
      </w:tr>
      <w:tr w14:paraId="61DC3D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3" w:type="pct"/>
            <w:vMerge w:val="continue"/>
            <w:noWrap w:val="0"/>
            <w:vAlign w:val="top"/>
          </w:tcPr>
          <w:p w14:paraId="27993239">
            <w:pPr>
              <w:pStyle w:val="26"/>
              <w:keepNext w:val="0"/>
              <w:keepLines w:val="0"/>
              <w:pageBreakBefore w:val="0"/>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outlineLvl w:val="9"/>
              <w:rPr>
                <w:rFonts w:hint="default" w:ascii="Times New Roman" w:hAnsi="Times New Roman" w:cs="Times New Roman"/>
                <w:b/>
                <w:bCs/>
                <w:color w:val="auto"/>
                <w:kern w:val="2"/>
                <w:sz w:val="21"/>
                <w:szCs w:val="21"/>
              </w:rPr>
            </w:pPr>
          </w:p>
        </w:tc>
        <w:tc>
          <w:tcPr>
            <w:tcW w:w="1565" w:type="pct"/>
            <w:noWrap w:val="0"/>
            <w:vAlign w:val="center"/>
          </w:tcPr>
          <w:p w14:paraId="5B1FFF13">
            <w:pPr>
              <w:pStyle w:val="26"/>
              <w:keepNext w:val="0"/>
              <w:keepLines w:val="0"/>
              <w:pageBreakBefore w:val="0"/>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b/>
                <w:bCs/>
                <w:color w:val="auto"/>
                <w:kern w:val="2"/>
                <w:sz w:val="21"/>
                <w:szCs w:val="21"/>
              </w:rPr>
            </w:pPr>
            <w:bookmarkStart w:id="32" w:name="_Toc12275"/>
            <w:r>
              <w:rPr>
                <w:rFonts w:hint="default" w:ascii="Times New Roman" w:hAnsi="Times New Roman" w:cs="Times New Roman"/>
                <w:b/>
                <w:bCs/>
                <w:color w:val="auto"/>
                <w:kern w:val="2"/>
                <w:sz w:val="21"/>
                <w:szCs w:val="21"/>
              </w:rPr>
              <w:t>环境保护</w:t>
            </w:r>
            <w:bookmarkEnd w:id="32"/>
            <w:bookmarkStart w:id="33" w:name="_Toc11991"/>
            <w:r>
              <w:rPr>
                <w:rFonts w:hint="default" w:ascii="Times New Roman" w:hAnsi="Times New Roman" w:cs="Times New Roman"/>
                <w:b/>
                <w:bCs/>
                <w:color w:val="auto"/>
                <w:kern w:val="2"/>
                <w:sz w:val="21"/>
                <w:szCs w:val="21"/>
              </w:rPr>
              <w:t>措施</w:t>
            </w:r>
            <w:bookmarkEnd w:id="33"/>
          </w:p>
        </w:tc>
        <w:tc>
          <w:tcPr>
            <w:tcW w:w="1048" w:type="pct"/>
            <w:noWrap w:val="0"/>
            <w:vAlign w:val="center"/>
          </w:tcPr>
          <w:p w14:paraId="1BFE5213">
            <w:pPr>
              <w:pStyle w:val="26"/>
              <w:keepNext w:val="0"/>
              <w:keepLines w:val="0"/>
              <w:pageBreakBefore w:val="0"/>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b/>
                <w:bCs/>
                <w:color w:val="auto"/>
                <w:kern w:val="2"/>
                <w:sz w:val="21"/>
                <w:szCs w:val="21"/>
              </w:rPr>
            </w:pPr>
            <w:bookmarkStart w:id="34" w:name="_Toc29058"/>
            <w:r>
              <w:rPr>
                <w:rFonts w:hint="default" w:ascii="Times New Roman" w:hAnsi="Times New Roman" w:cs="Times New Roman"/>
                <w:b/>
                <w:bCs/>
                <w:color w:val="auto"/>
                <w:kern w:val="2"/>
                <w:sz w:val="21"/>
                <w:szCs w:val="21"/>
              </w:rPr>
              <w:t>验收要求</w:t>
            </w:r>
            <w:bookmarkEnd w:id="34"/>
          </w:p>
        </w:tc>
        <w:tc>
          <w:tcPr>
            <w:tcW w:w="1010" w:type="pct"/>
            <w:noWrap w:val="0"/>
            <w:vAlign w:val="center"/>
          </w:tcPr>
          <w:p w14:paraId="7CFC6A92">
            <w:pPr>
              <w:pStyle w:val="26"/>
              <w:keepNext w:val="0"/>
              <w:keepLines w:val="0"/>
              <w:pageBreakBefore w:val="0"/>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b/>
                <w:bCs/>
                <w:color w:val="auto"/>
                <w:kern w:val="2"/>
                <w:sz w:val="21"/>
                <w:szCs w:val="21"/>
              </w:rPr>
            </w:pPr>
            <w:bookmarkStart w:id="35" w:name="_Toc10606"/>
            <w:r>
              <w:rPr>
                <w:rFonts w:hint="default" w:ascii="Times New Roman" w:hAnsi="Times New Roman" w:cs="Times New Roman"/>
                <w:b/>
                <w:bCs/>
                <w:color w:val="auto"/>
                <w:kern w:val="2"/>
                <w:sz w:val="21"/>
                <w:szCs w:val="21"/>
              </w:rPr>
              <w:t>环境保护</w:t>
            </w:r>
            <w:bookmarkEnd w:id="35"/>
            <w:bookmarkStart w:id="36" w:name="_Toc2070"/>
            <w:r>
              <w:rPr>
                <w:rFonts w:hint="default" w:ascii="Times New Roman" w:hAnsi="Times New Roman" w:cs="Times New Roman"/>
                <w:b/>
                <w:bCs/>
                <w:color w:val="auto"/>
                <w:kern w:val="2"/>
                <w:sz w:val="21"/>
                <w:szCs w:val="21"/>
              </w:rPr>
              <w:t>措施</w:t>
            </w:r>
            <w:bookmarkEnd w:id="36"/>
          </w:p>
        </w:tc>
        <w:tc>
          <w:tcPr>
            <w:tcW w:w="712" w:type="pct"/>
            <w:noWrap w:val="0"/>
            <w:vAlign w:val="center"/>
          </w:tcPr>
          <w:p w14:paraId="0A3D1638">
            <w:pPr>
              <w:pStyle w:val="26"/>
              <w:keepNext w:val="0"/>
              <w:keepLines w:val="0"/>
              <w:pageBreakBefore w:val="0"/>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b/>
                <w:bCs/>
                <w:color w:val="auto"/>
                <w:kern w:val="2"/>
                <w:sz w:val="21"/>
                <w:szCs w:val="21"/>
              </w:rPr>
            </w:pPr>
            <w:bookmarkStart w:id="37" w:name="_Toc1607"/>
            <w:r>
              <w:rPr>
                <w:rFonts w:hint="default" w:ascii="Times New Roman" w:hAnsi="Times New Roman" w:cs="Times New Roman"/>
                <w:b/>
                <w:bCs/>
                <w:color w:val="auto"/>
                <w:kern w:val="2"/>
                <w:sz w:val="21"/>
                <w:szCs w:val="21"/>
              </w:rPr>
              <w:t>验收要求</w:t>
            </w:r>
            <w:bookmarkEnd w:id="37"/>
          </w:p>
        </w:tc>
      </w:tr>
      <w:tr w14:paraId="05F837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3" w:type="pct"/>
            <w:noWrap w:val="0"/>
            <w:vAlign w:val="center"/>
          </w:tcPr>
          <w:p w14:paraId="5D30837E">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陆生生态</w:t>
            </w:r>
          </w:p>
        </w:tc>
        <w:tc>
          <w:tcPr>
            <w:tcW w:w="1565" w:type="pct"/>
            <w:noWrap w:val="0"/>
            <w:vAlign w:val="center"/>
          </w:tcPr>
          <w:p w14:paraId="1269B8B5">
            <w:pPr>
              <w:adjustRightInd w:val="0"/>
              <w:snapToGrid w:val="0"/>
              <w:jc w:val="center"/>
              <w:rPr>
                <w:rFonts w:hint="default" w:ascii="Times New Roman" w:hAnsi="Times New Roman" w:cs="Times New Roman"/>
                <w:color w:val="auto"/>
                <w:sz w:val="21"/>
                <w:szCs w:val="21"/>
              </w:rPr>
            </w:pPr>
            <w:r>
              <w:rPr>
                <w:rFonts w:hint="eastAsia"/>
                <w:color w:val="auto"/>
                <w:sz w:val="21"/>
                <w:szCs w:val="21"/>
                <w:highlight w:val="none"/>
              </w:rPr>
              <w:t>严格控制施工面积、规划行驶路线、减少植被破坏、场地平整、施工结束后拆除建构筑物、植被恢复；合理计划施工期、施工时间</w:t>
            </w:r>
          </w:p>
        </w:tc>
        <w:tc>
          <w:tcPr>
            <w:tcW w:w="1048" w:type="pct"/>
            <w:noWrap w:val="0"/>
            <w:vAlign w:val="center"/>
          </w:tcPr>
          <w:p w14:paraId="54B2105B">
            <w:pPr>
              <w:pStyle w:val="59"/>
              <w:spacing w:before="78" w:line="220" w:lineRule="auto"/>
              <w:ind w:left="114" w:leftChars="0"/>
              <w:rPr>
                <w:rFonts w:hint="default" w:ascii="Times New Roman" w:hAnsi="Times New Roman" w:cs="Times New Roman"/>
                <w:color w:val="auto"/>
                <w:sz w:val="21"/>
                <w:szCs w:val="21"/>
              </w:rPr>
            </w:pPr>
            <w:r>
              <w:rPr>
                <w:rFonts w:hint="eastAsia"/>
                <w:color w:val="auto"/>
                <w:sz w:val="21"/>
                <w:szCs w:val="21"/>
                <w:highlight w:val="none"/>
                <w:lang w:eastAsia="zh-CN"/>
              </w:rPr>
              <w:t>控制施工占地、场地平整、施工结束后拆除建构筑物、植被恢复；合理计划施工期、施工时间</w:t>
            </w:r>
          </w:p>
        </w:tc>
        <w:tc>
          <w:tcPr>
            <w:tcW w:w="1010" w:type="pct"/>
            <w:noWrap w:val="0"/>
            <w:vAlign w:val="center"/>
          </w:tcPr>
          <w:p w14:paraId="050FAABF">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color w:val="auto"/>
                <w:sz w:val="21"/>
                <w:szCs w:val="21"/>
                <w:lang w:val="en-US"/>
              </w:rPr>
            </w:pPr>
            <w:r>
              <w:rPr>
                <w:rFonts w:hint="eastAsia" w:cs="Times New Roman"/>
                <w:color w:val="auto"/>
                <w:sz w:val="21"/>
                <w:szCs w:val="21"/>
                <w:lang w:val="en-US" w:eastAsia="zh-CN"/>
              </w:rPr>
              <w:t>/</w:t>
            </w:r>
          </w:p>
        </w:tc>
        <w:tc>
          <w:tcPr>
            <w:tcW w:w="712" w:type="pct"/>
            <w:noWrap w:val="0"/>
            <w:vAlign w:val="center"/>
          </w:tcPr>
          <w:p w14:paraId="525122F4">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r>
      <w:tr w14:paraId="2F6BB5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3" w:type="pct"/>
            <w:noWrap w:val="0"/>
            <w:vAlign w:val="center"/>
          </w:tcPr>
          <w:p w14:paraId="2C0E808C">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水生生态</w:t>
            </w:r>
          </w:p>
        </w:tc>
        <w:tc>
          <w:tcPr>
            <w:tcW w:w="1565" w:type="pct"/>
            <w:noWrap w:val="0"/>
            <w:vAlign w:val="center"/>
          </w:tcPr>
          <w:p w14:paraId="2BCCC8A1">
            <w:pPr>
              <w:pStyle w:val="59"/>
              <w:spacing w:line="233" w:lineRule="auto"/>
              <w:jc w:val="center"/>
              <w:rPr>
                <w:rFonts w:hint="default" w:ascii="Times New Roman" w:hAnsi="Times New Roman" w:cs="Times New Roman"/>
                <w:color w:val="auto"/>
                <w:sz w:val="21"/>
                <w:szCs w:val="21"/>
              </w:rPr>
            </w:pPr>
            <w:r>
              <w:rPr>
                <w:rFonts w:ascii="Times New Roman" w:hAnsi="Times New Roman" w:cs="Times New Roman"/>
                <w:color w:val="auto"/>
                <w:spacing w:val="-2"/>
                <w:sz w:val="21"/>
                <w:szCs w:val="21"/>
                <w:highlight w:val="none"/>
              </w:rPr>
              <w:t>不得利用非施工侧河道布置施工机械、设备，禁</w:t>
            </w:r>
            <w:r>
              <w:rPr>
                <w:rFonts w:ascii="Times New Roman" w:hAnsi="Times New Roman" w:cs="Times New Roman"/>
                <w:color w:val="auto"/>
                <w:spacing w:val="-1"/>
                <w:sz w:val="21"/>
                <w:szCs w:val="21"/>
                <w:highlight w:val="none"/>
              </w:rPr>
              <w:t>止采挖施工范围以外河床</w:t>
            </w:r>
            <w:r>
              <w:rPr>
                <w:rFonts w:hint="eastAsia" w:ascii="Times New Roman" w:hAnsi="Times New Roman" w:cs="Times New Roman"/>
                <w:color w:val="auto"/>
                <w:spacing w:val="-1"/>
                <w:sz w:val="21"/>
                <w:szCs w:val="21"/>
                <w:highlight w:val="none"/>
                <w:lang w:eastAsia="zh-CN"/>
              </w:rPr>
              <w:t>；</w:t>
            </w:r>
            <w:r>
              <w:rPr>
                <w:rFonts w:ascii="Times New Roman" w:hAnsi="Times New Roman" w:cs="Times New Roman"/>
                <w:color w:val="auto"/>
                <w:spacing w:val="-2"/>
                <w:sz w:val="21"/>
                <w:szCs w:val="21"/>
                <w:highlight w:val="none"/>
              </w:rPr>
              <w:t>及时恢复河床原貌</w:t>
            </w:r>
            <w:r>
              <w:rPr>
                <w:rFonts w:hint="eastAsia" w:ascii="Times New Roman" w:hAnsi="Times New Roman" w:cs="Times New Roman"/>
                <w:color w:val="auto"/>
                <w:spacing w:val="-2"/>
                <w:sz w:val="21"/>
                <w:szCs w:val="21"/>
                <w:highlight w:val="none"/>
                <w:lang w:eastAsia="zh-CN"/>
              </w:rPr>
              <w:t>；</w:t>
            </w:r>
            <w:r>
              <w:rPr>
                <w:rFonts w:ascii="Times New Roman" w:hAnsi="Times New Roman" w:cs="Times New Roman"/>
                <w:color w:val="auto"/>
                <w:spacing w:val="-1"/>
                <w:sz w:val="21"/>
                <w:szCs w:val="21"/>
                <w:highlight w:val="none"/>
              </w:rPr>
              <w:t>禁止捕捞</w:t>
            </w:r>
            <w:r>
              <w:rPr>
                <w:rFonts w:hint="eastAsia" w:ascii="Times New Roman" w:hAnsi="Times New Roman" w:cs="Times New Roman"/>
                <w:color w:val="auto"/>
                <w:spacing w:val="-1"/>
                <w:sz w:val="21"/>
                <w:szCs w:val="21"/>
                <w:highlight w:val="none"/>
                <w:lang w:eastAsia="zh-CN"/>
              </w:rPr>
              <w:t>；</w:t>
            </w:r>
            <w:r>
              <w:rPr>
                <w:rFonts w:ascii="Times New Roman" w:hAnsi="Times New Roman" w:cs="Times New Roman"/>
                <w:color w:val="auto"/>
                <w:spacing w:val="-2"/>
                <w:sz w:val="21"/>
                <w:szCs w:val="21"/>
                <w:highlight w:val="none"/>
              </w:rPr>
              <w:t>禁止向河内排放污染物</w:t>
            </w:r>
          </w:p>
        </w:tc>
        <w:tc>
          <w:tcPr>
            <w:tcW w:w="1048" w:type="pct"/>
            <w:noWrap w:val="0"/>
            <w:vAlign w:val="center"/>
          </w:tcPr>
          <w:p w14:paraId="1FA958F9">
            <w:pPr>
              <w:pStyle w:val="59"/>
              <w:jc w:val="center"/>
              <w:rPr>
                <w:rFonts w:hint="default" w:ascii="Times New Roman" w:hAnsi="Times New Roman" w:cs="Times New Roman"/>
                <w:color w:val="auto"/>
                <w:sz w:val="21"/>
                <w:szCs w:val="21"/>
              </w:rPr>
            </w:pPr>
            <w:r>
              <w:rPr>
                <w:color w:val="auto"/>
                <w:spacing w:val="-2"/>
                <w:sz w:val="21"/>
                <w:szCs w:val="21"/>
                <w:highlight w:val="none"/>
              </w:rPr>
              <w:t>河流水生生态环境</w:t>
            </w:r>
            <w:r>
              <w:rPr>
                <w:color w:val="auto"/>
                <w:spacing w:val="-3"/>
                <w:sz w:val="21"/>
                <w:szCs w:val="21"/>
                <w:highlight w:val="none"/>
              </w:rPr>
              <w:t>得到恢复</w:t>
            </w:r>
          </w:p>
        </w:tc>
        <w:tc>
          <w:tcPr>
            <w:tcW w:w="1010" w:type="pct"/>
            <w:noWrap w:val="0"/>
            <w:vAlign w:val="center"/>
          </w:tcPr>
          <w:p w14:paraId="391A9F84">
            <w:pPr>
              <w:adjustRightInd w:val="0"/>
              <w:snapToGrid w:val="0"/>
              <w:jc w:val="center"/>
              <w:rPr>
                <w:rFonts w:hint="default" w:ascii="Times New Roman" w:hAnsi="Times New Roman" w:cs="Times New Roman"/>
                <w:color w:val="auto"/>
                <w:sz w:val="21"/>
                <w:szCs w:val="21"/>
              </w:rPr>
            </w:pPr>
            <w:r>
              <w:rPr>
                <w:rFonts w:hint="eastAsia" w:ascii="宋体" w:hAnsi="宋体" w:cs="宋体"/>
                <w:color w:val="auto"/>
                <w:sz w:val="21"/>
                <w:szCs w:val="21"/>
                <w:highlight w:val="none"/>
              </w:rPr>
              <w:t>/</w:t>
            </w:r>
          </w:p>
        </w:tc>
        <w:tc>
          <w:tcPr>
            <w:tcW w:w="712" w:type="pct"/>
            <w:noWrap w:val="0"/>
            <w:vAlign w:val="center"/>
          </w:tcPr>
          <w:p w14:paraId="40CB8C48">
            <w:pPr>
              <w:adjustRightInd w:val="0"/>
              <w:snapToGrid w:val="0"/>
              <w:jc w:val="center"/>
              <w:rPr>
                <w:rFonts w:hint="default" w:ascii="Times New Roman" w:hAnsi="Times New Roman" w:cs="Times New Roman"/>
                <w:color w:val="auto"/>
                <w:sz w:val="21"/>
                <w:szCs w:val="21"/>
              </w:rPr>
            </w:pPr>
            <w:r>
              <w:rPr>
                <w:rFonts w:hint="eastAsia" w:ascii="宋体" w:hAnsi="宋体" w:cs="宋体"/>
                <w:color w:val="auto"/>
                <w:sz w:val="21"/>
                <w:szCs w:val="21"/>
                <w:highlight w:val="none"/>
              </w:rPr>
              <w:t>/</w:t>
            </w:r>
          </w:p>
        </w:tc>
      </w:tr>
      <w:tr w14:paraId="60B093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3" w:type="pct"/>
            <w:noWrap w:val="0"/>
            <w:vAlign w:val="center"/>
          </w:tcPr>
          <w:p w14:paraId="231B88BD">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地表水</w:t>
            </w:r>
          </w:p>
          <w:p w14:paraId="28E5F2AD">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环境</w:t>
            </w:r>
          </w:p>
        </w:tc>
        <w:tc>
          <w:tcPr>
            <w:tcW w:w="1565" w:type="pct"/>
            <w:noWrap w:val="0"/>
            <w:vAlign w:val="center"/>
          </w:tcPr>
          <w:p w14:paraId="1EE87EFE">
            <w:pPr>
              <w:adjustRightInd w:val="0"/>
              <w:snapToGrid w:val="0"/>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highlight w:val="none"/>
                <w:lang w:val="en-US" w:eastAsia="zh-CN"/>
              </w:rPr>
              <w:t>本项目生活区租用民房，排水依托民房现有</w:t>
            </w:r>
            <w:r>
              <w:rPr>
                <w:rFonts w:hint="eastAsia" w:ascii="Times New Roman" w:hAnsi="Times New Roman" w:eastAsia="宋体" w:cs="Times New Roman"/>
                <w:color w:val="auto"/>
                <w:sz w:val="21"/>
                <w:szCs w:val="21"/>
                <w:highlight w:val="none"/>
                <w:lang w:val="en-US" w:eastAsia="zh-CN"/>
              </w:rPr>
              <w:t>排水</w:t>
            </w:r>
            <w:r>
              <w:rPr>
                <w:rFonts w:hint="default" w:ascii="Times New Roman" w:hAnsi="Times New Roman" w:eastAsia="宋体" w:cs="Times New Roman"/>
                <w:color w:val="auto"/>
                <w:sz w:val="21"/>
                <w:szCs w:val="21"/>
                <w:highlight w:val="none"/>
                <w:lang w:val="en-US" w:eastAsia="zh-CN"/>
              </w:rPr>
              <w:t>设施，故本项目不在施工现场设置生活区</w:t>
            </w:r>
            <w:r>
              <w:rPr>
                <w:rFonts w:hint="eastAsia" w:ascii="宋体" w:hAnsi="宋体" w:cs="宋体"/>
                <w:color w:val="auto"/>
                <w:sz w:val="21"/>
                <w:szCs w:val="21"/>
                <w:highlight w:val="none"/>
              </w:rPr>
              <w:t>；混凝土搅拌系统废水及车辆冲洗废水经沉淀池处理后，用于</w:t>
            </w:r>
            <w:r>
              <w:rPr>
                <w:rFonts w:hint="eastAsia" w:ascii="宋体" w:hAnsi="宋体" w:cs="宋体"/>
                <w:color w:val="auto"/>
                <w:sz w:val="21"/>
                <w:szCs w:val="21"/>
                <w:highlight w:val="none"/>
                <w:lang w:eastAsia="zh-CN"/>
              </w:rPr>
              <w:t>施工生产和洒水抑尘</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施工现场设置移动环保卫生间，定期委托相关环卫部门收集处置，不外排</w:t>
            </w:r>
            <w:r>
              <w:rPr>
                <w:rFonts w:hint="eastAsia" w:ascii="宋体" w:hAnsi="宋体" w:cs="宋体"/>
                <w:color w:val="auto"/>
                <w:sz w:val="21"/>
                <w:szCs w:val="21"/>
                <w:highlight w:val="none"/>
              </w:rPr>
              <w:t>。</w:t>
            </w:r>
          </w:p>
        </w:tc>
        <w:tc>
          <w:tcPr>
            <w:tcW w:w="1048" w:type="pct"/>
            <w:noWrap w:val="0"/>
            <w:vAlign w:val="center"/>
          </w:tcPr>
          <w:p w14:paraId="15068F36">
            <w:pPr>
              <w:adjustRightInd w:val="0"/>
              <w:snapToGrid w:val="0"/>
              <w:jc w:val="center"/>
              <w:rPr>
                <w:rFonts w:hint="default" w:ascii="Times New Roman" w:hAnsi="Times New Roman" w:cs="Times New Roman"/>
                <w:color w:val="auto"/>
                <w:sz w:val="21"/>
                <w:szCs w:val="21"/>
              </w:rPr>
            </w:pPr>
            <w:r>
              <w:rPr>
                <w:rFonts w:ascii="宋体" w:hAnsi="宋体" w:cs="宋体"/>
                <w:color w:val="auto"/>
                <w:sz w:val="21"/>
                <w:szCs w:val="21"/>
                <w:highlight w:val="none"/>
              </w:rPr>
              <w:t>落实相关措施，废水无乱排现象。</w:t>
            </w:r>
          </w:p>
        </w:tc>
        <w:tc>
          <w:tcPr>
            <w:tcW w:w="1010" w:type="pct"/>
            <w:noWrap w:val="0"/>
            <w:vAlign w:val="center"/>
          </w:tcPr>
          <w:p w14:paraId="6FBED169">
            <w:pPr>
              <w:adjustRightInd w:val="0"/>
              <w:snapToGrid w:val="0"/>
              <w:jc w:val="center"/>
              <w:rPr>
                <w:rFonts w:hint="default" w:ascii="Times New Roman" w:hAnsi="Times New Roman" w:eastAsia="宋体" w:cs="Times New Roman"/>
                <w:color w:val="auto"/>
                <w:sz w:val="21"/>
                <w:szCs w:val="21"/>
                <w:lang w:val="en-US" w:eastAsia="zh-CN"/>
              </w:rPr>
            </w:pPr>
            <w:r>
              <w:rPr>
                <w:rFonts w:hint="eastAsia" w:ascii="宋体" w:hAnsi="宋体" w:cs="宋体"/>
                <w:color w:val="auto"/>
                <w:sz w:val="21"/>
                <w:szCs w:val="21"/>
                <w:highlight w:val="none"/>
              </w:rPr>
              <w:t>/</w:t>
            </w:r>
          </w:p>
        </w:tc>
        <w:tc>
          <w:tcPr>
            <w:tcW w:w="712" w:type="pct"/>
            <w:noWrap w:val="0"/>
            <w:vAlign w:val="center"/>
          </w:tcPr>
          <w:p w14:paraId="4A1D367F">
            <w:pPr>
              <w:adjustRightInd w:val="0"/>
              <w:snapToGrid w:val="0"/>
              <w:jc w:val="center"/>
              <w:rPr>
                <w:rFonts w:hint="default" w:ascii="Times New Roman" w:hAnsi="Times New Roman" w:eastAsia="宋体" w:cs="Times New Roman"/>
                <w:color w:val="auto"/>
                <w:sz w:val="21"/>
                <w:szCs w:val="21"/>
                <w:lang w:val="en-US" w:eastAsia="zh-CN"/>
              </w:rPr>
            </w:pPr>
            <w:r>
              <w:rPr>
                <w:rFonts w:hint="eastAsia" w:ascii="宋体" w:hAnsi="宋体" w:cs="宋体"/>
                <w:color w:val="auto"/>
                <w:sz w:val="21"/>
                <w:szCs w:val="21"/>
                <w:highlight w:val="none"/>
              </w:rPr>
              <w:t>/</w:t>
            </w:r>
          </w:p>
        </w:tc>
      </w:tr>
      <w:tr w14:paraId="19C091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3" w:type="pct"/>
            <w:noWrap w:val="0"/>
            <w:vAlign w:val="center"/>
          </w:tcPr>
          <w:p w14:paraId="773A3E15">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地下水及土壤环境</w:t>
            </w:r>
          </w:p>
        </w:tc>
        <w:tc>
          <w:tcPr>
            <w:tcW w:w="1565" w:type="pct"/>
            <w:noWrap w:val="0"/>
            <w:vAlign w:val="center"/>
          </w:tcPr>
          <w:p w14:paraId="7F36FB0A">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1048" w:type="pct"/>
            <w:noWrap w:val="0"/>
            <w:vAlign w:val="center"/>
          </w:tcPr>
          <w:p w14:paraId="52F09E48">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1010" w:type="pct"/>
            <w:noWrap w:val="0"/>
            <w:vAlign w:val="center"/>
          </w:tcPr>
          <w:p w14:paraId="262DEBDD">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712" w:type="pct"/>
            <w:noWrap w:val="0"/>
            <w:vAlign w:val="center"/>
          </w:tcPr>
          <w:p w14:paraId="5A49E2BD">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r w14:paraId="2AA048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3" w:type="pct"/>
            <w:noWrap w:val="0"/>
            <w:vAlign w:val="center"/>
          </w:tcPr>
          <w:p w14:paraId="03263B1B">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声环境</w:t>
            </w:r>
          </w:p>
        </w:tc>
        <w:tc>
          <w:tcPr>
            <w:tcW w:w="1565" w:type="pct"/>
            <w:noWrap w:val="0"/>
            <w:vAlign w:val="center"/>
          </w:tcPr>
          <w:p w14:paraId="686DCF06">
            <w:pPr>
              <w:keepNext w:val="0"/>
              <w:keepLines w:val="0"/>
              <w:pageBreakBefore w:val="0"/>
              <w:widowControl/>
              <w:kinsoku/>
              <w:wordWrap/>
              <w:overflowPunct w:val="0"/>
              <w:topLinePunct w:val="0"/>
              <w:autoSpaceDE/>
              <w:autoSpaceDN/>
              <w:bidi w:val="0"/>
              <w:spacing w:line="240" w:lineRule="auto"/>
              <w:ind w:left="0" w:leftChars="0" w:right="0" w:rightChars="0" w:firstLine="0"/>
              <w:textAlignment w:val="auto"/>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kern w:val="0"/>
                <w:sz w:val="21"/>
                <w:szCs w:val="21"/>
                <w:lang w:bidi="ar"/>
              </w:rPr>
              <w:t>优先选用低噪声设备，固定类机械设备基础减震，夜间禁止施工</w:t>
            </w:r>
          </w:p>
        </w:tc>
        <w:tc>
          <w:tcPr>
            <w:tcW w:w="1048" w:type="pct"/>
            <w:noWrap w:val="0"/>
            <w:vAlign w:val="center"/>
          </w:tcPr>
          <w:p w14:paraId="3A245369">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《建筑施工噪声排放标准》（GB12523-2025）</w:t>
            </w:r>
          </w:p>
        </w:tc>
        <w:tc>
          <w:tcPr>
            <w:tcW w:w="1010" w:type="pct"/>
            <w:noWrap w:val="0"/>
            <w:vAlign w:val="center"/>
          </w:tcPr>
          <w:p w14:paraId="076C8993">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712" w:type="pct"/>
            <w:noWrap w:val="0"/>
            <w:vAlign w:val="center"/>
          </w:tcPr>
          <w:p w14:paraId="520D1224">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r>
      <w:tr w14:paraId="079B9D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3" w:type="pct"/>
            <w:noWrap w:val="0"/>
            <w:vAlign w:val="center"/>
          </w:tcPr>
          <w:p w14:paraId="39D9296F">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振动</w:t>
            </w:r>
          </w:p>
        </w:tc>
        <w:tc>
          <w:tcPr>
            <w:tcW w:w="1565" w:type="pct"/>
            <w:noWrap w:val="0"/>
            <w:vAlign w:val="center"/>
          </w:tcPr>
          <w:p w14:paraId="1D7F2DCC">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1048" w:type="pct"/>
            <w:noWrap w:val="0"/>
            <w:vAlign w:val="center"/>
          </w:tcPr>
          <w:p w14:paraId="7241A7EC">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1010" w:type="pct"/>
            <w:noWrap w:val="0"/>
            <w:vAlign w:val="center"/>
          </w:tcPr>
          <w:p w14:paraId="02479BDE">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712" w:type="pct"/>
            <w:noWrap w:val="0"/>
            <w:vAlign w:val="center"/>
          </w:tcPr>
          <w:p w14:paraId="624DBB60">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r w14:paraId="49D6B2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3" w:type="pct"/>
            <w:noWrap w:val="0"/>
            <w:vAlign w:val="center"/>
          </w:tcPr>
          <w:p w14:paraId="0427643B">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大气环境</w:t>
            </w:r>
          </w:p>
        </w:tc>
        <w:tc>
          <w:tcPr>
            <w:tcW w:w="1565" w:type="pct"/>
            <w:tcBorders>
              <w:bottom w:val="single" w:color="000000" w:sz="4" w:space="0"/>
            </w:tcBorders>
            <w:noWrap w:val="0"/>
            <w:vAlign w:val="center"/>
          </w:tcPr>
          <w:p w14:paraId="00D224D8">
            <w:pPr>
              <w:keepNext w:val="0"/>
              <w:keepLines w:val="0"/>
              <w:pageBreakBefore w:val="0"/>
              <w:widowControl/>
              <w:kinsoku/>
              <w:wordWrap/>
              <w:overflowPunct w:val="0"/>
              <w:topLinePunct w:val="0"/>
              <w:autoSpaceDE/>
              <w:autoSpaceDN/>
              <w:bidi w:val="0"/>
              <w:spacing w:line="240" w:lineRule="auto"/>
              <w:ind w:left="0" w:leftChars="0" w:right="0" w:rightChars="0" w:firstLine="0"/>
              <w:textAlignment w:val="auto"/>
              <w:rPr>
                <w:rFonts w:hint="eastAsia" w:ascii="Times New Roman" w:hAnsi="Times New Roman" w:eastAsia="宋体" w:cs="Times New Roman"/>
                <w:color w:val="auto"/>
                <w:sz w:val="21"/>
                <w:szCs w:val="21"/>
                <w:lang w:eastAsia="zh-CN"/>
              </w:rPr>
            </w:pPr>
            <w:r>
              <w:rPr>
                <w:rFonts w:hint="default" w:ascii="Times New Roman" w:hAnsi="Times New Roman" w:cs="Times New Roman"/>
                <w:color w:val="auto"/>
                <w:kern w:val="0"/>
                <w:sz w:val="21"/>
                <w:szCs w:val="21"/>
                <w:lang w:bidi="ar"/>
              </w:rPr>
              <w:t>围挡、围栏设施、定时洒水、加强</w:t>
            </w:r>
            <w:r>
              <w:rPr>
                <w:rFonts w:hint="default" w:ascii="Times New Roman" w:hAnsi="Times New Roman" w:cs="Times New Roman"/>
                <w:color w:val="auto"/>
                <w:sz w:val="21"/>
                <w:szCs w:val="21"/>
              </w:rPr>
              <w:t>物料防尘管理措施、及时清运施工垃圾、车辆运输时覆盖帆布等</w:t>
            </w:r>
            <w:r>
              <w:rPr>
                <w:rFonts w:hint="eastAsia" w:cs="Times New Roman"/>
                <w:color w:val="auto"/>
                <w:sz w:val="21"/>
                <w:szCs w:val="21"/>
                <w:lang w:eastAsia="zh-CN"/>
              </w:rPr>
              <w:t>。</w:t>
            </w:r>
          </w:p>
        </w:tc>
        <w:tc>
          <w:tcPr>
            <w:tcW w:w="1048" w:type="pct"/>
            <w:tcBorders>
              <w:bottom w:val="single" w:color="000000" w:sz="4" w:space="0"/>
            </w:tcBorders>
            <w:noWrap w:val="0"/>
            <w:vAlign w:val="center"/>
          </w:tcPr>
          <w:p w14:paraId="7534161A">
            <w:pPr>
              <w:keepNext w:val="0"/>
              <w:keepLines w:val="0"/>
              <w:pageBreakBefore w:val="0"/>
              <w:widowControl/>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《大气污染物综合排放标准》（GB16297-1996）</w:t>
            </w:r>
          </w:p>
        </w:tc>
        <w:tc>
          <w:tcPr>
            <w:tcW w:w="1010" w:type="pct"/>
            <w:tcBorders>
              <w:bottom w:val="single" w:color="000000" w:sz="4" w:space="0"/>
            </w:tcBorders>
            <w:noWrap w:val="0"/>
            <w:vAlign w:val="center"/>
          </w:tcPr>
          <w:p w14:paraId="4DCE75BB">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712" w:type="pct"/>
            <w:tcBorders>
              <w:bottom w:val="single" w:color="000000" w:sz="4" w:space="0"/>
            </w:tcBorders>
            <w:noWrap w:val="0"/>
            <w:vAlign w:val="center"/>
          </w:tcPr>
          <w:p w14:paraId="3B7786FE">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396406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3" w:type="pct"/>
            <w:noWrap w:val="0"/>
            <w:vAlign w:val="center"/>
          </w:tcPr>
          <w:p w14:paraId="7D59165B">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固体废物</w:t>
            </w:r>
          </w:p>
        </w:tc>
        <w:tc>
          <w:tcPr>
            <w:tcW w:w="1565" w:type="pct"/>
            <w:noWrap w:val="0"/>
            <w:vAlign w:val="center"/>
          </w:tcPr>
          <w:p w14:paraId="7A85392F">
            <w:pPr>
              <w:adjustRightInd w:val="0"/>
              <w:snapToGrid w:val="0"/>
              <w:jc w:val="center"/>
              <w:rPr>
                <w:rFonts w:hint="default" w:ascii="Times New Roman" w:hAnsi="Times New Roman" w:cs="Times New Roman"/>
                <w:color w:val="auto"/>
                <w:sz w:val="21"/>
                <w:szCs w:val="21"/>
              </w:rPr>
            </w:pPr>
            <w:r>
              <w:rPr>
                <w:rFonts w:hint="eastAsia" w:ascii="宋体" w:hAnsi="宋体" w:cs="宋体"/>
                <w:color w:val="auto"/>
                <w:sz w:val="21"/>
                <w:szCs w:val="21"/>
                <w:highlight w:val="none"/>
                <w:lang w:val="en-US" w:eastAsia="zh-CN"/>
              </w:rPr>
              <w:t>本项目无弃土；</w:t>
            </w:r>
            <w:r>
              <w:rPr>
                <w:rFonts w:hint="eastAsia" w:ascii="宋体" w:hAnsi="宋体" w:cs="宋体"/>
                <w:color w:val="auto"/>
                <w:sz w:val="21"/>
                <w:szCs w:val="21"/>
                <w:highlight w:val="none"/>
              </w:rPr>
              <w:t>建筑垃圾</w:t>
            </w:r>
            <w:r>
              <w:rPr>
                <w:color w:val="auto"/>
                <w:sz w:val="21"/>
                <w:szCs w:val="21"/>
                <w:highlight w:val="none"/>
              </w:rPr>
              <w:t>应进行分类收集、分类管理，能够回收利用的尽量回收综合利用；对于不能回收利用的</w:t>
            </w:r>
            <w:r>
              <w:rPr>
                <w:rFonts w:hint="eastAsia" w:ascii="宋体" w:hAnsi="宋体" w:cs="宋体"/>
                <w:color w:val="auto"/>
                <w:sz w:val="21"/>
                <w:szCs w:val="21"/>
                <w:highlight w:val="none"/>
              </w:rPr>
              <w:t>收集后送县建筑垃圾填埋场填埋处置；</w:t>
            </w:r>
            <w:r>
              <w:rPr>
                <w:rFonts w:hint="eastAsia" w:ascii="宋体" w:hAnsi="宋体" w:cs="宋体"/>
                <w:color w:val="auto"/>
                <w:sz w:val="21"/>
                <w:szCs w:val="21"/>
                <w:highlight w:val="none"/>
                <w:lang w:eastAsia="zh-CN"/>
              </w:rPr>
              <w:t>本项目生活垃圾收集后运至</w:t>
            </w:r>
            <w:r>
              <w:rPr>
                <w:rFonts w:hint="eastAsia" w:ascii="宋体" w:hAnsi="宋体" w:cs="宋体"/>
                <w:color w:val="auto"/>
                <w:sz w:val="21"/>
                <w:szCs w:val="21"/>
                <w:highlight w:val="none"/>
                <w:lang w:val="en-US" w:eastAsia="zh-CN"/>
              </w:rPr>
              <w:t>县生活垃圾填埋场。</w:t>
            </w:r>
          </w:p>
        </w:tc>
        <w:tc>
          <w:tcPr>
            <w:tcW w:w="1048" w:type="pct"/>
            <w:noWrap w:val="0"/>
            <w:vAlign w:val="center"/>
          </w:tcPr>
          <w:p w14:paraId="4A0123B5">
            <w:pPr>
              <w:adjustRightInd w:val="0"/>
              <w:snapToGrid w:val="0"/>
              <w:jc w:val="center"/>
              <w:rPr>
                <w:rFonts w:hint="default" w:ascii="Times New Roman" w:hAnsi="Times New Roman" w:cs="Times New Roman"/>
                <w:color w:val="auto"/>
                <w:sz w:val="21"/>
                <w:szCs w:val="21"/>
              </w:rPr>
            </w:pPr>
            <w:r>
              <w:rPr>
                <w:rFonts w:hint="eastAsia" w:ascii="宋体" w:hAnsi="宋体" w:cs="宋体"/>
                <w:color w:val="auto"/>
                <w:sz w:val="21"/>
                <w:szCs w:val="21"/>
                <w:highlight w:val="none"/>
              </w:rPr>
              <w:t>建筑垃圾外运处置，无工程弃土</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生活垃圾</w:t>
            </w:r>
            <w:r>
              <w:rPr>
                <w:rFonts w:ascii="宋体" w:hAnsi="宋体" w:cs="宋体"/>
                <w:color w:val="auto"/>
                <w:sz w:val="21"/>
                <w:szCs w:val="21"/>
                <w:highlight w:val="none"/>
              </w:rPr>
              <w:t>，无乱堆、乱丢、乱弃现象。</w:t>
            </w:r>
          </w:p>
        </w:tc>
        <w:tc>
          <w:tcPr>
            <w:tcW w:w="1010" w:type="pct"/>
            <w:noWrap w:val="0"/>
            <w:vAlign w:val="center"/>
          </w:tcPr>
          <w:p w14:paraId="726CB3A9">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color w:val="auto"/>
                <w:sz w:val="21"/>
                <w:szCs w:val="21"/>
                <w:lang w:val="en-US"/>
              </w:rPr>
            </w:pPr>
            <w:r>
              <w:rPr>
                <w:rFonts w:hint="eastAsia" w:cs="Times New Roman"/>
                <w:color w:val="auto"/>
                <w:sz w:val="21"/>
                <w:szCs w:val="21"/>
                <w:lang w:val="en-US" w:eastAsia="zh-CN"/>
              </w:rPr>
              <w:t>/</w:t>
            </w:r>
          </w:p>
        </w:tc>
        <w:tc>
          <w:tcPr>
            <w:tcW w:w="712" w:type="pct"/>
            <w:noWrap w:val="0"/>
            <w:vAlign w:val="center"/>
          </w:tcPr>
          <w:p w14:paraId="0AC325E2">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r>
      <w:tr w14:paraId="6C52C2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3" w:type="pct"/>
            <w:noWrap w:val="0"/>
            <w:vAlign w:val="center"/>
          </w:tcPr>
          <w:p w14:paraId="19071D12">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电磁环境</w:t>
            </w:r>
          </w:p>
        </w:tc>
        <w:tc>
          <w:tcPr>
            <w:tcW w:w="1565" w:type="pct"/>
            <w:noWrap w:val="0"/>
            <w:vAlign w:val="center"/>
          </w:tcPr>
          <w:p w14:paraId="45CC0E93">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1048" w:type="pct"/>
            <w:noWrap w:val="0"/>
            <w:vAlign w:val="center"/>
          </w:tcPr>
          <w:p w14:paraId="72CAD477">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1010" w:type="pct"/>
            <w:noWrap w:val="0"/>
            <w:vAlign w:val="center"/>
          </w:tcPr>
          <w:p w14:paraId="3DE5B8D3">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712" w:type="pct"/>
            <w:noWrap w:val="0"/>
            <w:vAlign w:val="center"/>
          </w:tcPr>
          <w:p w14:paraId="61B6F2AD">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r w14:paraId="22D291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3" w:type="pct"/>
            <w:noWrap w:val="0"/>
            <w:vAlign w:val="center"/>
          </w:tcPr>
          <w:p w14:paraId="507D4E32">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环境风险</w:t>
            </w:r>
          </w:p>
        </w:tc>
        <w:tc>
          <w:tcPr>
            <w:tcW w:w="1565" w:type="pct"/>
            <w:noWrap w:val="0"/>
            <w:vAlign w:val="center"/>
          </w:tcPr>
          <w:p w14:paraId="34BD364A">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1048" w:type="pct"/>
            <w:noWrap w:val="0"/>
            <w:vAlign w:val="center"/>
          </w:tcPr>
          <w:p w14:paraId="0912EE20">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1010" w:type="pct"/>
            <w:noWrap w:val="0"/>
            <w:vAlign w:val="center"/>
          </w:tcPr>
          <w:p w14:paraId="52C631C3">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712" w:type="pct"/>
            <w:noWrap w:val="0"/>
            <w:vAlign w:val="center"/>
          </w:tcPr>
          <w:p w14:paraId="37DBC54E">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r>
      <w:tr w14:paraId="6E7B6D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663" w:type="pct"/>
            <w:vMerge w:val="restart"/>
            <w:noWrap w:val="0"/>
            <w:vAlign w:val="center"/>
          </w:tcPr>
          <w:p w14:paraId="288EA33E">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环境监测</w:t>
            </w:r>
          </w:p>
        </w:tc>
        <w:tc>
          <w:tcPr>
            <w:tcW w:w="2667" w:type="dxa"/>
            <w:noWrap w:val="0"/>
            <w:vAlign w:val="center"/>
          </w:tcPr>
          <w:p w14:paraId="414B814F">
            <w:pPr>
              <w:pStyle w:val="59"/>
              <w:ind w:left="-105" w:leftChars="-50" w:right="-105" w:rightChars="-50"/>
              <w:jc w:val="center"/>
              <w:rPr>
                <w:rFonts w:hint="default" w:ascii="Times New Roman" w:hAnsi="Times New Roman" w:eastAsia="宋体" w:cs="Times New Roman"/>
                <w:color w:val="auto"/>
                <w:sz w:val="21"/>
                <w:szCs w:val="21"/>
                <w:lang w:eastAsia="zh-CN"/>
              </w:rPr>
            </w:pPr>
            <w:r>
              <w:rPr>
                <w:rFonts w:ascii="Times New Roman" w:hAnsi="Times New Roman" w:eastAsia="Times New Roman" w:cs="Times New Roman"/>
                <w:color w:val="auto"/>
                <w:spacing w:val="-4"/>
                <w:sz w:val="21"/>
                <w:szCs w:val="21"/>
                <w:highlight w:val="none"/>
              </w:rPr>
              <w:t>TSP</w:t>
            </w:r>
            <w:r>
              <w:rPr>
                <w:rFonts w:hint="eastAsia"/>
                <w:color w:val="auto"/>
                <w:spacing w:val="-4"/>
                <w:sz w:val="21"/>
                <w:szCs w:val="21"/>
                <w:highlight w:val="none"/>
              </w:rPr>
              <w:t>、</w:t>
            </w:r>
            <w:r>
              <w:rPr>
                <w:rFonts w:ascii="Times New Roman" w:hAnsi="Times New Roman" w:eastAsia="Times New Roman" w:cs="Times New Roman"/>
                <w:color w:val="auto"/>
                <w:spacing w:val="-4"/>
                <w:sz w:val="21"/>
                <w:szCs w:val="21"/>
                <w:highlight w:val="none"/>
              </w:rPr>
              <w:t>PM</w:t>
            </w:r>
            <w:r>
              <w:rPr>
                <w:rFonts w:ascii="Times New Roman" w:hAnsi="Times New Roman" w:eastAsia="Times New Roman" w:cs="Times New Roman"/>
                <w:color w:val="auto"/>
                <w:spacing w:val="-4"/>
                <w:position w:val="-1"/>
                <w:sz w:val="21"/>
                <w:szCs w:val="21"/>
                <w:highlight w:val="none"/>
                <w:vertAlign w:val="subscript"/>
              </w:rPr>
              <w:t>10</w:t>
            </w:r>
            <w:r>
              <w:rPr>
                <w:rFonts w:hint="eastAsia"/>
                <w:color w:val="auto"/>
                <w:spacing w:val="-4"/>
                <w:sz w:val="21"/>
                <w:szCs w:val="21"/>
                <w:highlight w:val="none"/>
              </w:rPr>
              <w:t>监测</w:t>
            </w:r>
          </w:p>
        </w:tc>
        <w:tc>
          <w:tcPr>
            <w:tcW w:w="1786" w:type="dxa"/>
            <w:noWrap w:val="0"/>
            <w:vAlign w:val="center"/>
          </w:tcPr>
          <w:p w14:paraId="03DD59BC">
            <w:pPr>
              <w:pStyle w:val="59"/>
              <w:ind w:left="-105" w:leftChars="-50" w:right="-105" w:rightChars="-50"/>
              <w:jc w:val="center"/>
              <w:rPr>
                <w:rFonts w:hint="eastAsia"/>
                <w:color w:val="auto"/>
                <w:sz w:val="21"/>
                <w:szCs w:val="21"/>
                <w:highlight w:val="none"/>
              </w:rPr>
            </w:pPr>
            <w:r>
              <w:rPr>
                <w:rFonts w:hint="eastAsia"/>
                <w:color w:val="auto"/>
                <w:spacing w:val="-2"/>
                <w:sz w:val="21"/>
                <w:szCs w:val="21"/>
                <w:highlight w:val="none"/>
              </w:rPr>
              <w:t>《大气污染物综合</w:t>
            </w:r>
          </w:p>
          <w:p w14:paraId="0F9A376E">
            <w:pPr>
              <w:pStyle w:val="59"/>
              <w:ind w:left="-105" w:leftChars="-50" w:right="-105" w:rightChars="-50"/>
              <w:jc w:val="center"/>
              <w:rPr>
                <w:rFonts w:hint="eastAsia"/>
                <w:color w:val="auto"/>
                <w:sz w:val="21"/>
                <w:szCs w:val="21"/>
                <w:highlight w:val="none"/>
              </w:rPr>
            </w:pPr>
            <w:r>
              <w:rPr>
                <w:rFonts w:hint="eastAsia"/>
                <w:color w:val="auto"/>
                <w:spacing w:val="-2"/>
                <w:sz w:val="21"/>
                <w:szCs w:val="21"/>
                <w:highlight w:val="none"/>
              </w:rPr>
              <w:t>排放标准》</w:t>
            </w:r>
          </w:p>
          <w:p w14:paraId="33343C74">
            <w:pPr>
              <w:ind w:left="-105" w:leftChars="-50" w:right="-105" w:rightChars="-50"/>
              <w:jc w:val="center"/>
              <w:rPr>
                <w:rFonts w:hint="default" w:ascii="Times New Roman" w:hAnsi="Times New Roman" w:cs="Times New Roman"/>
                <w:color w:val="auto"/>
                <w:sz w:val="21"/>
                <w:szCs w:val="21"/>
              </w:rPr>
            </w:pPr>
            <w:r>
              <w:rPr>
                <w:rFonts w:eastAsia="Times New Roman"/>
                <w:color w:val="auto"/>
                <w:spacing w:val="-1"/>
                <w:sz w:val="21"/>
                <w:szCs w:val="21"/>
                <w:highlight w:val="none"/>
              </w:rPr>
              <w:t>GB16297-1996</w:t>
            </w:r>
          </w:p>
        </w:tc>
        <w:tc>
          <w:tcPr>
            <w:tcW w:w="1010" w:type="pct"/>
            <w:noWrap w:val="0"/>
            <w:vAlign w:val="center"/>
          </w:tcPr>
          <w:p w14:paraId="0121F135">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color w:val="auto"/>
                <w:sz w:val="21"/>
                <w:szCs w:val="21"/>
              </w:rPr>
            </w:pPr>
            <w:r>
              <w:rPr>
                <w:rFonts w:hint="eastAsia" w:cs="Times New Roman"/>
                <w:color w:val="auto"/>
                <w:sz w:val="21"/>
                <w:szCs w:val="21"/>
                <w:lang w:val="en-US" w:eastAsia="zh-CN"/>
              </w:rPr>
              <w:t>/</w:t>
            </w:r>
          </w:p>
        </w:tc>
        <w:tc>
          <w:tcPr>
            <w:tcW w:w="712" w:type="pct"/>
            <w:noWrap w:val="0"/>
            <w:vAlign w:val="center"/>
          </w:tcPr>
          <w:p w14:paraId="2F21119B">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color w:val="auto"/>
                <w:sz w:val="21"/>
                <w:szCs w:val="21"/>
              </w:rPr>
            </w:pPr>
            <w:r>
              <w:rPr>
                <w:rFonts w:hint="eastAsia" w:cs="Times New Roman"/>
                <w:color w:val="auto"/>
                <w:sz w:val="21"/>
                <w:szCs w:val="21"/>
                <w:lang w:val="en-US" w:eastAsia="zh-CN"/>
              </w:rPr>
              <w:t>/</w:t>
            </w:r>
          </w:p>
        </w:tc>
      </w:tr>
      <w:tr w14:paraId="3DE105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2" w:hRule="atLeast"/>
          <w:jc w:val="center"/>
        </w:trPr>
        <w:tc>
          <w:tcPr>
            <w:tcW w:w="663" w:type="pct"/>
            <w:vMerge w:val="continue"/>
            <w:noWrap w:val="0"/>
            <w:vAlign w:val="center"/>
          </w:tcPr>
          <w:p w14:paraId="2EDB9FEA">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color w:val="auto"/>
                <w:sz w:val="21"/>
                <w:szCs w:val="21"/>
              </w:rPr>
            </w:pPr>
          </w:p>
        </w:tc>
        <w:tc>
          <w:tcPr>
            <w:tcW w:w="2667" w:type="dxa"/>
            <w:noWrap w:val="0"/>
            <w:vAlign w:val="center"/>
          </w:tcPr>
          <w:p w14:paraId="39DD8E6C">
            <w:pPr>
              <w:pStyle w:val="59"/>
              <w:ind w:left="-105" w:leftChars="-50" w:right="-105" w:rightChars="-50"/>
              <w:jc w:val="center"/>
              <w:rPr>
                <w:rFonts w:hint="default" w:ascii="Times New Roman" w:hAnsi="Times New Roman" w:eastAsia="宋体" w:cs="Times New Roman"/>
                <w:color w:val="auto"/>
                <w:sz w:val="21"/>
                <w:szCs w:val="21"/>
                <w:lang w:eastAsia="zh-CN"/>
              </w:rPr>
            </w:pPr>
            <w:r>
              <w:rPr>
                <w:rFonts w:hint="eastAsia"/>
                <w:color w:val="auto"/>
                <w:spacing w:val="-6"/>
                <w:sz w:val="21"/>
                <w:szCs w:val="21"/>
                <w:highlight w:val="none"/>
              </w:rPr>
              <w:t>噪声监测</w:t>
            </w:r>
          </w:p>
        </w:tc>
        <w:tc>
          <w:tcPr>
            <w:tcW w:w="1786" w:type="dxa"/>
            <w:noWrap w:val="0"/>
            <w:vAlign w:val="center"/>
          </w:tcPr>
          <w:p w14:paraId="13B311F5">
            <w:pPr>
              <w:pStyle w:val="59"/>
              <w:ind w:left="-105" w:leftChars="-50" w:right="-105" w:rightChars="-50" w:firstLine="92" w:firstLineChars="0"/>
              <w:jc w:val="center"/>
              <w:rPr>
                <w:rFonts w:hint="default" w:ascii="Times New Roman" w:hAnsi="Times New Roman" w:cs="Times New Roman"/>
                <w:color w:val="auto"/>
                <w:sz w:val="21"/>
                <w:szCs w:val="21"/>
              </w:rPr>
            </w:pPr>
            <w:r>
              <w:rPr>
                <w:rFonts w:hint="eastAsia"/>
                <w:color w:val="auto"/>
                <w:spacing w:val="-2"/>
                <w:sz w:val="21"/>
                <w:szCs w:val="21"/>
                <w:highlight w:val="none"/>
              </w:rPr>
              <w:t>《建筑施工噪声排放标准</w:t>
            </w:r>
            <w:r>
              <w:rPr>
                <w:rFonts w:hint="eastAsia"/>
                <w:color w:val="auto"/>
                <w:spacing w:val="8"/>
                <w:sz w:val="21"/>
                <w:szCs w:val="21"/>
                <w:highlight w:val="none"/>
              </w:rPr>
              <w:t>》</w:t>
            </w:r>
            <w:r>
              <w:rPr>
                <w:rFonts w:hint="eastAsia"/>
                <w:color w:val="auto"/>
                <w:spacing w:val="-4"/>
                <w:sz w:val="21"/>
                <w:szCs w:val="21"/>
                <w:highlight w:val="none"/>
              </w:rPr>
              <w:t>（</w:t>
            </w:r>
            <w:r>
              <w:rPr>
                <w:rFonts w:ascii="Times New Roman" w:hAnsi="Times New Roman" w:eastAsia="Times New Roman" w:cs="Times New Roman"/>
                <w:color w:val="auto"/>
                <w:spacing w:val="-4"/>
                <w:sz w:val="21"/>
                <w:szCs w:val="21"/>
                <w:highlight w:val="none"/>
              </w:rPr>
              <w:t>GB12523</w:t>
            </w:r>
            <w:r>
              <w:rPr>
                <w:rFonts w:hint="eastAsia" w:ascii="Times New Roman" w:hAnsi="Times New Roman" w:cs="Times New Roman"/>
                <w:color w:val="auto"/>
                <w:spacing w:val="-4"/>
                <w:sz w:val="21"/>
                <w:szCs w:val="21"/>
                <w:highlight w:val="none"/>
                <w:lang w:eastAsia="zh-CN"/>
              </w:rPr>
              <w:t>-</w:t>
            </w:r>
            <w:r>
              <w:rPr>
                <w:rFonts w:ascii="Times New Roman" w:hAnsi="Times New Roman" w:eastAsia="Times New Roman" w:cs="Times New Roman"/>
                <w:color w:val="auto"/>
                <w:spacing w:val="-4"/>
                <w:sz w:val="21"/>
                <w:szCs w:val="21"/>
                <w:highlight w:val="none"/>
              </w:rPr>
              <w:t>20</w:t>
            </w:r>
            <w:r>
              <w:rPr>
                <w:rFonts w:hint="eastAsia" w:eastAsia="宋体" w:cs="Times New Roman"/>
                <w:color w:val="auto"/>
                <w:spacing w:val="-4"/>
                <w:sz w:val="21"/>
                <w:szCs w:val="21"/>
                <w:highlight w:val="none"/>
                <w:lang w:val="en-US" w:eastAsia="zh-CN"/>
              </w:rPr>
              <w:t>25</w:t>
            </w:r>
            <w:r>
              <w:rPr>
                <w:rFonts w:hint="eastAsia"/>
                <w:color w:val="auto"/>
                <w:spacing w:val="-4"/>
                <w:sz w:val="21"/>
                <w:szCs w:val="21"/>
                <w:highlight w:val="none"/>
              </w:rPr>
              <w:t>）</w:t>
            </w:r>
          </w:p>
        </w:tc>
        <w:tc>
          <w:tcPr>
            <w:tcW w:w="1010" w:type="pct"/>
            <w:noWrap w:val="0"/>
            <w:vAlign w:val="center"/>
          </w:tcPr>
          <w:p w14:paraId="22449881">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color w:val="auto"/>
                <w:sz w:val="21"/>
                <w:szCs w:val="21"/>
              </w:rPr>
            </w:pPr>
            <w:r>
              <w:rPr>
                <w:rFonts w:hint="eastAsia" w:cs="Times New Roman"/>
                <w:color w:val="auto"/>
                <w:sz w:val="21"/>
                <w:szCs w:val="21"/>
                <w:lang w:val="en-US" w:eastAsia="zh-CN"/>
              </w:rPr>
              <w:t>/</w:t>
            </w:r>
          </w:p>
        </w:tc>
        <w:tc>
          <w:tcPr>
            <w:tcW w:w="712" w:type="pct"/>
            <w:noWrap w:val="0"/>
            <w:vAlign w:val="center"/>
          </w:tcPr>
          <w:p w14:paraId="7F2E6D70">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color w:val="auto"/>
                <w:sz w:val="21"/>
                <w:szCs w:val="21"/>
              </w:rPr>
            </w:pPr>
            <w:r>
              <w:rPr>
                <w:rFonts w:hint="eastAsia" w:cs="Times New Roman"/>
                <w:color w:val="auto"/>
                <w:sz w:val="21"/>
                <w:szCs w:val="21"/>
                <w:lang w:val="en-US" w:eastAsia="zh-CN"/>
              </w:rPr>
              <w:t>/</w:t>
            </w:r>
          </w:p>
        </w:tc>
      </w:tr>
      <w:tr w14:paraId="6ED958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663" w:type="pct"/>
            <w:vMerge w:val="continue"/>
            <w:noWrap w:val="0"/>
            <w:vAlign w:val="center"/>
          </w:tcPr>
          <w:p w14:paraId="2AC737A2">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color w:val="auto"/>
                <w:sz w:val="21"/>
                <w:szCs w:val="21"/>
              </w:rPr>
            </w:pPr>
          </w:p>
        </w:tc>
        <w:tc>
          <w:tcPr>
            <w:tcW w:w="2667" w:type="dxa"/>
            <w:noWrap w:val="0"/>
            <w:vAlign w:val="center"/>
          </w:tcPr>
          <w:p w14:paraId="38245533">
            <w:pPr>
              <w:pStyle w:val="59"/>
              <w:ind w:left="-105" w:leftChars="-50" w:right="-105" w:rightChars="-50"/>
              <w:jc w:val="center"/>
              <w:rPr>
                <w:rFonts w:hint="default" w:ascii="Times New Roman" w:hAnsi="Times New Roman" w:eastAsia="宋体" w:cs="Times New Roman"/>
                <w:color w:val="auto"/>
                <w:sz w:val="21"/>
                <w:szCs w:val="21"/>
                <w:lang w:eastAsia="zh-CN"/>
              </w:rPr>
            </w:pPr>
            <w:r>
              <w:rPr>
                <w:rFonts w:hint="eastAsia"/>
                <w:color w:val="auto"/>
                <w:spacing w:val="-6"/>
                <w:sz w:val="21"/>
                <w:szCs w:val="21"/>
                <w:highlight w:val="none"/>
                <w:lang w:val="en-US" w:eastAsia="zh-CN"/>
              </w:rPr>
              <w:t>生态环境监测</w:t>
            </w:r>
          </w:p>
        </w:tc>
        <w:tc>
          <w:tcPr>
            <w:tcW w:w="1786" w:type="dxa"/>
            <w:noWrap w:val="0"/>
            <w:vAlign w:val="center"/>
          </w:tcPr>
          <w:p w14:paraId="57F1517E">
            <w:pPr>
              <w:bidi w:val="0"/>
              <w:jc w:val="center"/>
              <w:rPr>
                <w:rFonts w:hint="default" w:ascii="Times New Roman" w:hAnsi="Times New Roman" w:cs="Times New Roman"/>
                <w:color w:val="auto"/>
                <w:sz w:val="21"/>
                <w:szCs w:val="21"/>
              </w:rPr>
            </w:pPr>
            <w:r>
              <w:rPr>
                <w:rFonts w:hint="eastAsia" w:ascii="Times New Roman" w:hAnsi="Times New Roman" w:eastAsia="宋体" w:cs="Times New Roman"/>
                <w:b w:val="0"/>
                <w:bCs/>
                <w:color w:val="auto"/>
                <w:kern w:val="2"/>
                <w:sz w:val="21"/>
                <w:szCs w:val="21"/>
                <w:highlight w:val="none"/>
                <w:vertAlign w:val="baseline"/>
                <w:lang w:val="en-US" w:eastAsia="zh-CN" w:bidi="ar"/>
              </w:rPr>
              <w:t>场地恢复及植被恢复情况较好</w:t>
            </w:r>
          </w:p>
        </w:tc>
        <w:tc>
          <w:tcPr>
            <w:tcW w:w="1010" w:type="pct"/>
            <w:noWrap w:val="0"/>
            <w:vAlign w:val="center"/>
          </w:tcPr>
          <w:p w14:paraId="0500F41F">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color w:val="auto"/>
                <w:sz w:val="21"/>
                <w:szCs w:val="21"/>
              </w:rPr>
            </w:pPr>
            <w:r>
              <w:rPr>
                <w:rFonts w:hint="eastAsia" w:cs="Times New Roman"/>
                <w:color w:val="auto"/>
                <w:sz w:val="21"/>
                <w:szCs w:val="21"/>
                <w:lang w:val="en-US" w:eastAsia="zh-CN"/>
              </w:rPr>
              <w:t>/</w:t>
            </w:r>
          </w:p>
        </w:tc>
        <w:tc>
          <w:tcPr>
            <w:tcW w:w="712" w:type="pct"/>
            <w:noWrap w:val="0"/>
            <w:vAlign w:val="center"/>
          </w:tcPr>
          <w:p w14:paraId="0AAAB27C">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color w:val="auto"/>
                <w:sz w:val="21"/>
                <w:szCs w:val="21"/>
              </w:rPr>
            </w:pPr>
            <w:r>
              <w:rPr>
                <w:rFonts w:hint="eastAsia" w:cs="Times New Roman"/>
                <w:color w:val="auto"/>
                <w:sz w:val="21"/>
                <w:szCs w:val="21"/>
                <w:lang w:val="en-US" w:eastAsia="zh-CN"/>
              </w:rPr>
              <w:t>/</w:t>
            </w:r>
          </w:p>
        </w:tc>
      </w:tr>
      <w:tr w14:paraId="43A655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3" w:type="pct"/>
            <w:noWrap w:val="0"/>
            <w:vAlign w:val="center"/>
          </w:tcPr>
          <w:p w14:paraId="566D91AF">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其他</w:t>
            </w:r>
          </w:p>
        </w:tc>
        <w:tc>
          <w:tcPr>
            <w:tcW w:w="1565" w:type="pct"/>
            <w:noWrap w:val="0"/>
            <w:vAlign w:val="center"/>
          </w:tcPr>
          <w:p w14:paraId="68B0B95F">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1048" w:type="pct"/>
            <w:noWrap w:val="0"/>
            <w:vAlign w:val="center"/>
          </w:tcPr>
          <w:p w14:paraId="69794F2E">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1010" w:type="pct"/>
            <w:noWrap w:val="0"/>
            <w:vAlign w:val="center"/>
          </w:tcPr>
          <w:p w14:paraId="24666796">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712" w:type="pct"/>
            <w:noWrap w:val="0"/>
            <w:vAlign w:val="center"/>
          </w:tcPr>
          <w:p w14:paraId="4199C8F1">
            <w:pPr>
              <w:keepNext w:val="0"/>
              <w:keepLines w:val="0"/>
              <w:pageBreakBefore w:val="0"/>
              <w:kinsoku/>
              <w:wordWrap/>
              <w:overflowPunct w:val="0"/>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bl>
    <w:p w14:paraId="477B9540">
      <w:pPr>
        <w:pStyle w:val="26"/>
        <w:spacing w:before="0" w:beforeAutospacing="0" w:line="14" w:lineRule="auto"/>
        <w:jc w:val="center"/>
        <w:outlineLvl w:val="9"/>
        <w:rPr>
          <w:rFonts w:hint="default" w:ascii="Times New Roman" w:hAnsi="Times New Roman" w:cs="Times New Roman"/>
          <w:snapToGrid w:val="0"/>
          <w:color w:val="auto"/>
        </w:rPr>
      </w:pPr>
      <w:r>
        <w:rPr>
          <w:rFonts w:hint="default" w:ascii="Times New Roman" w:hAnsi="Times New Roman" w:cs="Times New Roman"/>
          <w:snapToGrid w:val="0"/>
          <w:color w:val="auto"/>
        </w:rPr>
        <w:br w:type="page"/>
      </w:r>
    </w:p>
    <w:p w14:paraId="3BDC4E1C">
      <w:pPr>
        <w:pStyle w:val="26"/>
        <w:spacing w:before="192" w:beforeLines="80" w:beforeAutospacing="0"/>
        <w:jc w:val="center"/>
        <w:outlineLvl w:val="0"/>
        <w:rPr>
          <w:rFonts w:hint="default" w:ascii="Times New Roman" w:hAnsi="Times New Roman" w:cs="Times New Roman"/>
          <w:b/>
          <w:bCs/>
          <w:snapToGrid w:val="0"/>
          <w:color w:val="auto"/>
          <w:sz w:val="30"/>
          <w:szCs w:val="30"/>
        </w:rPr>
      </w:pPr>
      <w:bookmarkStart w:id="38" w:name="_Toc29925"/>
      <w:bookmarkStart w:id="39" w:name="_Toc5988"/>
      <w:r>
        <w:rPr>
          <w:rFonts w:hint="default" w:ascii="Times New Roman" w:hAnsi="Times New Roman" w:cs="Times New Roman"/>
          <w:b/>
          <w:bCs/>
          <w:snapToGrid w:val="0"/>
          <w:color w:val="auto"/>
          <w:sz w:val="30"/>
          <w:szCs w:val="30"/>
        </w:rPr>
        <w:t>七、结论</w:t>
      </w:r>
      <w:bookmarkEnd w:id="38"/>
      <w:bookmarkEnd w:id="39"/>
    </w:p>
    <w:tbl>
      <w:tblPr>
        <w:tblStyle w:val="2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9B062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48" w:hRule="atLeast"/>
          <w:jc w:val="center"/>
        </w:trPr>
        <w:tc>
          <w:tcPr>
            <w:tcW w:w="5000" w:type="pct"/>
            <w:noWrap w:val="0"/>
            <w:vAlign w:val="top"/>
          </w:tcPr>
          <w:p w14:paraId="42D8E5DC">
            <w:pPr>
              <w:adjustRightInd w:val="0"/>
              <w:snapToGrid w:val="0"/>
              <w:spacing w:before="120" w:beforeLines="50" w:line="360" w:lineRule="auto"/>
              <w:ind w:firstLine="480" w:firstLineChars="200"/>
              <w:jc w:val="both"/>
              <w:rPr>
                <w:rFonts w:hint="default" w:ascii="Times New Roman" w:hAnsi="Times New Roman" w:cs="Times New Roman"/>
                <w:color w:val="auto"/>
                <w:kern w:val="0"/>
                <w:sz w:val="24"/>
              </w:rPr>
            </w:pPr>
            <w:r>
              <w:rPr>
                <w:rFonts w:hint="default" w:ascii="Times New Roman" w:hAnsi="Times New Roman" w:cs="Times New Roman"/>
                <w:color w:val="auto"/>
                <w:kern w:val="0"/>
                <w:sz w:val="24"/>
              </w:rPr>
              <w:t>建设单位在严格落实本评价报告提出的各项污染防治措施及环保要求、污染物可达标排放，本项目对周围环境质量影响较小，符合国家、地方的环保标准，从环保角度来看，本项目的建设是可行的。</w:t>
            </w:r>
          </w:p>
          <w:p w14:paraId="722444FF">
            <w:pPr>
              <w:adjustRightInd w:val="0"/>
              <w:snapToGrid w:val="0"/>
              <w:spacing w:line="360" w:lineRule="auto"/>
              <w:ind w:firstLine="315"/>
              <w:jc w:val="both"/>
              <w:rPr>
                <w:rFonts w:hint="default" w:ascii="Times New Roman" w:hAnsi="Times New Roman" w:cs="Times New Roman"/>
                <w:color w:val="auto"/>
                <w:sz w:val="24"/>
              </w:rPr>
            </w:pPr>
          </w:p>
        </w:tc>
      </w:tr>
    </w:tbl>
    <w:p w14:paraId="0BAB2939">
      <w:pPr>
        <w:rPr>
          <w:rFonts w:hint="default" w:ascii="Times New Roman" w:hAnsi="Times New Roman" w:cs="Times New Roman"/>
          <w:color w:val="auto"/>
          <w:lang w:eastAsia="zh-CN"/>
        </w:rPr>
      </w:pPr>
    </w:p>
    <w:sectPr>
      <w:footerReference r:id="rId7" w:type="default"/>
      <w:pgSz w:w="11906" w:h="16838"/>
      <w:pgMar w:top="1440" w:right="1800" w:bottom="1440" w:left="1800" w:header="851" w:footer="1077"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rial Black">
    <w:panose1 w:val="020B0A04020102020204"/>
    <w:charset w:val="00"/>
    <w:family w:val="swiss"/>
    <w:pitch w:val="default"/>
    <w:sig w:usb0="A00002AF" w:usb1="400078FB" w:usb2="00000000" w:usb3="00000000" w:csb0="6000009F" w:csb1="DFD70000"/>
  </w:font>
  <w:font w:name="华文中宋">
    <w:panose1 w:val="02010600040101010101"/>
    <w:charset w:val="86"/>
    <w:family w:val="auto"/>
    <w:pitch w:val="default"/>
    <w:sig w:usb0="00000287" w:usb1="080F0000" w:usb2="00000000" w:usb3="00000000" w:csb0="0004009F" w:csb1="DFD7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957D9">
    <w:pPr>
      <w:pStyle w:val="19"/>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3CE18">
    <w:pPr>
      <w:pStyle w:val="19"/>
      <w:framePr w:wrap="around" w:vAnchor="text" w:hAnchor="margin" w:xAlign="outside" w:y="1"/>
      <w:rPr>
        <w:rStyle w:val="33"/>
      </w:rPr>
    </w:pPr>
    <w:r>
      <w:fldChar w:fldCharType="begin"/>
    </w:r>
    <w:r>
      <w:rPr>
        <w:rStyle w:val="33"/>
      </w:rPr>
      <w:instrText xml:space="preserve">PAGE  </w:instrText>
    </w:r>
    <w:r>
      <w:fldChar w:fldCharType="end"/>
    </w:r>
  </w:p>
  <w:p w14:paraId="77BFC5F5">
    <w:pPr>
      <w:pStyle w:val="1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533BB">
    <w:pPr>
      <w:pStyle w:val="19"/>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BF7C8">
    <w:pPr>
      <w:pStyle w:val="19"/>
      <w:ind w:right="360"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8E1FD2">
                          <w:pPr>
                            <w:pStyle w:val="19"/>
                          </w:pPr>
                          <w:r>
                            <w:t>第</w:t>
                          </w:r>
                          <w:r>
                            <w:fldChar w:fldCharType="begin"/>
                          </w:r>
                          <w:r>
                            <w:instrText xml:space="preserve"> PAGE  \* MERGEFORMAT </w:instrText>
                          </w:r>
                          <w:r>
                            <w:fldChar w:fldCharType="separate"/>
                          </w:r>
                          <w:r>
                            <w:t>1</w:t>
                          </w:r>
                          <w:r>
                            <w:fldChar w:fldCharType="end"/>
                          </w:r>
                          <w:r>
                            <w:t>页共</w:t>
                          </w:r>
                          <w:r>
                            <w:rPr>
                              <w:rFonts w:hint="eastAsia"/>
                              <w:lang w:val="en-US" w:eastAsia="zh-CN"/>
                            </w:rPr>
                            <w:t>75</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508E1FD2">
                    <w:pPr>
                      <w:pStyle w:val="19"/>
                    </w:pPr>
                    <w:r>
                      <w:t>第</w:t>
                    </w:r>
                    <w:r>
                      <w:fldChar w:fldCharType="begin"/>
                    </w:r>
                    <w:r>
                      <w:instrText xml:space="preserve"> PAGE  \* MERGEFORMAT </w:instrText>
                    </w:r>
                    <w:r>
                      <w:fldChar w:fldCharType="separate"/>
                    </w:r>
                    <w:r>
                      <w:t>1</w:t>
                    </w:r>
                    <w:r>
                      <w:fldChar w:fldCharType="end"/>
                    </w:r>
                    <w:r>
                      <w:t>页共</w:t>
                    </w:r>
                    <w:r>
                      <w:rPr>
                        <w:rFonts w:hint="eastAsia"/>
                        <w:lang w:val="en-US" w:eastAsia="zh-CN"/>
                      </w:rPr>
                      <w:t>75</w:t>
                    </w:r>
                    <w:r>
                      <w:t>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C2886">
    <w:pPr>
      <w:pStyle w:val="19"/>
      <w:ind w:right="360" w:firstLine="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79BDF3">
                          <w:pPr>
                            <w:pStyle w:val="19"/>
                          </w:pPr>
                          <w:r>
                            <w:t>第</w:t>
                          </w:r>
                          <w:r>
                            <w:fldChar w:fldCharType="begin"/>
                          </w:r>
                          <w:r>
                            <w:instrText xml:space="preserve"> PAGE  \* MERGEFORMAT </w:instrText>
                          </w:r>
                          <w:r>
                            <w:fldChar w:fldCharType="separate"/>
                          </w:r>
                          <w:r>
                            <w:t>57</w:t>
                          </w:r>
                          <w:r>
                            <w:fldChar w:fldCharType="end"/>
                          </w:r>
                          <w:r>
                            <w:t>页共</w:t>
                          </w:r>
                          <w:r>
                            <w:rPr>
                              <w:rFonts w:hint="eastAsia"/>
                              <w:lang w:val="en-US" w:eastAsia="zh-CN"/>
                            </w:rPr>
                            <w:t>75</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5A79BDF3">
                    <w:pPr>
                      <w:pStyle w:val="19"/>
                    </w:pPr>
                    <w:r>
                      <w:t>第</w:t>
                    </w:r>
                    <w:r>
                      <w:fldChar w:fldCharType="begin"/>
                    </w:r>
                    <w:r>
                      <w:instrText xml:space="preserve"> PAGE  \* MERGEFORMAT </w:instrText>
                    </w:r>
                    <w:r>
                      <w:fldChar w:fldCharType="separate"/>
                    </w:r>
                    <w:r>
                      <w:t>57</w:t>
                    </w:r>
                    <w:r>
                      <w:fldChar w:fldCharType="end"/>
                    </w:r>
                    <w:r>
                      <w:t>页共</w:t>
                    </w:r>
                    <w:r>
                      <w:rPr>
                        <w:rFonts w:hint="eastAsia"/>
                        <w:lang w:val="en-US" w:eastAsia="zh-CN"/>
                      </w:rPr>
                      <w:t>75</w:t>
                    </w:r>
                    <w:r>
                      <w:t>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B74CE8"/>
    <w:multiLevelType w:val="singleLevel"/>
    <w:tmpl w:val="ADB74CE8"/>
    <w:lvl w:ilvl="0" w:tentative="0">
      <w:start w:val="1"/>
      <w:numFmt w:val="decimal"/>
      <w:suff w:val="nothing"/>
      <w:lvlText w:val="（%1）"/>
      <w:lvlJc w:val="left"/>
    </w:lvl>
  </w:abstractNum>
  <w:abstractNum w:abstractNumId="1">
    <w:nsid w:val="BA441E71"/>
    <w:multiLevelType w:val="multilevel"/>
    <w:tmpl w:val="BA441E71"/>
    <w:lvl w:ilvl="0" w:tentative="0">
      <w:start w:val="1"/>
      <w:numFmt w:val="decimal"/>
      <w:suff w:val="nothing"/>
      <w:lvlText w:val="（%1）"/>
      <w:lvlJc w:val="left"/>
    </w:lvl>
    <w:lvl w:ilvl="1" w:tentative="0">
      <w:start w:val="1"/>
      <w:numFmt w:val="decimalEnclosedCircleChinese"/>
      <w:lvlText w:val="%2"/>
      <w:lvlJc w:val="left"/>
      <w:pPr>
        <w:tabs>
          <w:tab w:val="left" w:pos="840"/>
        </w:tabs>
        <w:ind w:left="840" w:leftChars="0" w:hanging="420" w:firstLineChars="0"/>
      </w:pPr>
      <w:rPr>
        <w:rFonts w:hint="default"/>
      </w:rPr>
    </w:lvl>
    <w:lvl w:ilvl="2" w:tentative="0">
      <w:start w:val="1"/>
      <w:numFmt w:val="decimal"/>
      <w:lvlText w:val="%3)"/>
      <w:lvlJc w:val="left"/>
      <w:pPr>
        <w:tabs>
          <w:tab w:val="left" w:pos="1260"/>
        </w:tabs>
        <w:ind w:left="1260" w:leftChars="0" w:hanging="420" w:firstLineChars="0"/>
      </w:pPr>
      <w:rPr>
        <w:rFonts w:hint="default"/>
      </w:rPr>
    </w:lvl>
    <w:lvl w:ilvl="3" w:tentative="0">
      <w:start w:val="1"/>
      <w:numFmt w:val="lowerLetter"/>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2">
    <w:nsid w:val="CF425A69"/>
    <w:multiLevelType w:val="singleLevel"/>
    <w:tmpl w:val="CF425A69"/>
    <w:lvl w:ilvl="0" w:tentative="0">
      <w:start w:val="1"/>
      <w:numFmt w:val="decimal"/>
      <w:suff w:val="nothing"/>
      <w:lvlText w:val="%1．"/>
      <w:lvlJc w:val="left"/>
      <w:pPr>
        <w:ind w:left="0" w:firstLine="400"/>
      </w:pPr>
      <w:rPr>
        <w:rFonts w:hint="default"/>
        <w:b/>
        <w:bCs/>
        <w:sz w:val="24"/>
        <w:szCs w:val="24"/>
      </w:rPr>
    </w:lvl>
  </w:abstractNum>
  <w:abstractNum w:abstractNumId="3">
    <w:nsid w:val="DC194C91"/>
    <w:multiLevelType w:val="singleLevel"/>
    <w:tmpl w:val="DC194C91"/>
    <w:lvl w:ilvl="0" w:tentative="0">
      <w:start w:val="1"/>
      <w:numFmt w:val="decimal"/>
      <w:suff w:val="nothing"/>
      <w:lvlText w:val="%1．"/>
      <w:lvlJc w:val="left"/>
      <w:pPr>
        <w:ind w:left="0" w:firstLine="400"/>
      </w:pPr>
      <w:rPr>
        <w:rFonts w:hint="default"/>
        <w:b/>
        <w:bCs/>
        <w:sz w:val="24"/>
        <w:szCs w:val="24"/>
      </w:rPr>
    </w:lvl>
  </w:abstractNum>
  <w:abstractNum w:abstractNumId="4">
    <w:nsid w:val="09DEBCD9"/>
    <w:multiLevelType w:val="multilevel"/>
    <w:tmpl w:val="09DEBCD9"/>
    <w:lvl w:ilvl="0" w:tentative="0">
      <w:start w:val="1"/>
      <w:numFmt w:val="decimal"/>
      <w:suff w:val="nothing"/>
      <w:lvlText w:val="（%1）"/>
      <w:lvlJc w:val="left"/>
    </w:lvl>
    <w:lvl w:ilvl="1" w:tentative="0">
      <w:start w:val="1"/>
      <w:numFmt w:val="decimalEnclosedCircleChinese"/>
      <w:lvlText w:val="%2"/>
      <w:lvlJc w:val="left"/>
      <w:pPr>
        <w:tabs>
          <w:tab w:val="left" w:pos="840"/>
        </w:tabs>
        <w:ind w:left="840" w:leftChars="0" w:hanging="420" w:firstLineChars="0"/>
      </w:pPr>
      <w:rPr>
        <w:rFonts w:hint="default"/>
      </w:rPr>
    </w:lvl>
    <w:lvl w:ilvl="2" w:tentative="0">
      <w:start w:val="1"/>
      <w:numFmt w:val="decimal"/>
      <w:lvlText w:val="%3)"/>
      <w:lvlJc w:val="left"/>
      <w:pPr>
        <w:tabs>
          <w:tab w:val="left" w:pos="1260"/>
        </w:tabs>
        <w:ind w:left="1260" w:leftChars="0" w:hanging="420" w:firstLineChars="0"/>
      </w:pPr>
      <w:rPr>
        <w:rFonts w:hint="default"/>
      </w:rPr>
    </w:lvl>
    <w:lvl w:ilvl="3" w:tentative="0">
      <w:start w:val="1"/>
      <w:numFmt w:val="lowerLetter"/>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5">
    <w:nsid w:val="232D41B7"/>
    <w:multiLevelType w:val="singleLevel"/>
    <w:tmpl w:val="232D41B7"/>
    <w:lvl w:ilvl="0" w:tentative="0">
      <w:start w:val="1"/>
      <w:numFmt w:val="decimal"/>
      <w:suff w:val="nothing"/>
      <w:lvlText w:val="%1．"/>
      <w:lvlJc w:val="left"/>
      <w:pPr>
        <w:ind w:left="0" w:firstLine="400"/>
      </w:pPr>
      <w:rPr>
        <w:rFonts w:hint="default"/>
        <w:b/>
        <w:bCs/>
        <w:sz w:val="24"/>
        <w:szCs w:val="24"/>
      </w:rPr>
    </w:lvl>
  </w:abstractNum>
  <w:abstractNum w:abstractNumId="6">
    <w:nsid w:val="2693AA9E"/>
    <w:multiLevelType w:val="singleLevel"/>
    <w:tmpl w:val="2693AA9E"/>
    <w:lvl w:ilvl="0" w:tentative="0">
      <w:start w:val="1"/>
      <w:numFmt w:val="decimal"/>
      <w:suff w:val="nothing"/>
      <w:lvlText w:val="%1．"/>
      <w:lvlJc w:val="left"/>
      <w:pPr>
        <w:ind w:left="0" w:firstLine="400"/>
      </w:pPr>
      <w:rPr>
        <w:rFonts w:hint="default"/>
        <w:b/>
        <w:bCs/>
        <w:sz w:val="24"/>
        <w:szCs w:val="24"/>
      </w:rPr>
    </w:lvl>
  </w:abstractNum>
  <w:abstractNum w:abstractNumId="7">
    <w:nsid w:val="3514137F"/>
    <w:multiLevelType w:val="singleLevel"/>
    <w:tmpl w:val="3514137F"/>
    <w:lvl w:ilvl="0" w:tentative="0">
      <w:start w:val="1"/>
      <w:numFmt w:val="decimal"/>
      <w:suff w:val="nothing"/>
      <w:lvlText w:val="%1．"/>
      <w:lvlJc w:val="left"/>
      <w:pPr>
        <w:ind w:left="0" w:firstLine="400"/>
      </w:pPr>
      <w:rPr>
        <w:rFonts w:hint="default"/>
        <w:b/>
        <w:bCs/>
        <w:sz w:val="24"/>
        <w:szCs w:val="24"/>
      </w:rPr>
    </w:lvl>
  </w:abstractNum>
  <w:abstractNum w:abstractNumId="8">
    <w:nsid w:val="35E02121"/>
    <w:multiLevelType w:val="singleLevel"/>
    <w:tmpl w:val="35E02121"/>
    <w:lvl w:ilvl="0" w:tentative="0">
      <w:start w:val="1"/>
      <w:numFmt w:val="decimal"/>
      <w:suff w:val="nothing"/>
      <w:lvlText w:val="%1．"/>
      <w:lvlJc w:val="left"/>
      <w:pPr>
        <w:ind w:left="0" w:firstLine="400"/>
      </w:pPr>
      <w:rPr>
        <w:rFonts w:hint="default"/>
        <w:b/>
        <w:bCs/>
        <w:sz w:val="24"/>
        <w:szCs w:val="24"/>
      </w:rPr>
    </w:lvl>
  </w:abstractNum>
  <w:abstractNum w:abstractNumId="9">
    <w:nsid w:val="3F5106C1"/>
    <w:multiLevelType w:val="singleLevel"/>
    <w:tmpl w:val="3F5106C1"/>
    <w:lvl w:ilvl="0" w:tentative="0">
      <w:start w:val="1"/>
      <w:numFmt w:val="decimal"/>
      <w:suff w:val="nothing"/>
      <w:lvlText w:val="%1．"/>
      <w:lvlJc w:val="left"/>
      <w:pPr>
        <w:ind w:left="0" w:firstLine="400"/>
      </w:pPr>
      <w:rPr>
        <w:rFonts w:hint="default"/>
        <w:b/>
        <w:bCs/>
        <w:sz w:val="24"/>
        <w:szCs w:val="24"/>
      </w:rPr>
    </w:lvl>
  </w:abstractNum>
  <w:abstractNum w:abstractNumId="10">
    <w:nsid w:val="417DEFE5"/>
    <w:multiLevelType w:val="multilevel"/>
    <w:tmpl w:val="417DEFE5"/>
    <w:lvl w:ilvl="0" w:tentative="0">
      <w:start w:val="1"/>
      <w:numFmt w:val="decimal"/>
      <w:pStyle w:val="2"/>
      <w:lvlText w:val="%1."/>
      <w:lvlJc w:val="left"/>
      <w:pPr>
        <w:ind w:left="432" w:hanging="432"/>
      </w:pPr>
      <w:rPr>
        <w:rFonts w:hint="default"/>
      </w:rPr>
    </w:lvl>
    <w:lvl w:ilvl="1" w:tentative="0">
      <w:start w:val="1"/>
      <w:numFmt w:val="decimal"/>
      <w:pStyle w:val="3"/>
      <w:lvlText w:val="%1.%2."/>
      <w:lvlJc w:val="left"/>
      <w:pPr>
        <w:ind w:left="575" w:hanging="575"/>
      </w:pPr>
      <w:rPr>
        <w:rFonts w:hint="default"/>
      </w:rPr>
    </w:lvl>
    <w:lvl w:ilvl="2" w:tentative="0">
      <w:start w:val="1"/>
      <w:numFmt w:val="decimal"/>
      <w:pStyle w:val="4"/>
      <w:lvlText w:val="%1.%2.%3."/>
      <w:lvlJc w:val="left"/>
      <w:pPr>
        <w:ind w:left="720" w:hanging="720"/>
      </w:pPr>
      <w:rPr>
        <w:rFonts w:hint="default"/>
      </w:rPr>
    </w:lvl>
    <w:lvl w:ilvl="3" w:tentative="0">
      <w:start w:val="1"/>
      <w:numFmt w:val="decimal"/>
      <w:pStyle w:val="5"/>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abstractNum w:abstractNumId="11">
    <w:nsid w:val="448FB365"/>
    <w:multiLevelType w:val="multilevel"/>
    <w:tmpl w:val="448FB365"/>
    <w:lvl w:ilvl="0" w:tentative="0">
      <w:start w:val="1"/>
      <w:numFmt w:val="decimal"/>
      <w:suff w:val="nothing"/>
      <w:lvlText w:val="（%1）"/>
      <w:lvlJc w:val="left"/>
      <w:pPr>
        <w:ind w:left="0" w:firstLine="420"/>
      </w:pPr>
      <w:rPr>
        <w:rFonts w:hint="default"/>
      </w:rPr>
    </w:lvl>
    <w:lvl w:ilvl="1" w:tentative="0">
      <w:start w:val="1"/>
      <w:numFmt w:val="decimalEnclosedCircleChinese"/>
      <w:lvlText w:val="%2"/>
      <w:lvlJc w:val="left"/>
      <w:pPr>
        <w:tabs>
          <w:tab w:val="left" w:pos="840"/>
        </w:tabs>
        <w:ind w:left="1260" w:hanging="420"/>
      </w:pPr>
      <w:rPr>
        <w:rFonts w:hint="default"/>
      </w:rPr>
    </w:lvl>
    <w:lvl w:ilvl="2" w:tentative="0">
      <w:start w:val="1"/>
      <w:numFmt w:val="decimal"/>
      <w:lvlText w:val="%3)"/>
      <w:lvlJc w:val="left"/>
      <w:pPr>
        <w:tabs>
          <w:tab w:val="left" w:pos="1260"/>
        </w:tabs>
        <w:ind w:left="1680" w:hanging="420"/>
      </w:pPr>
      <w:rPr>
        <w:rFonts w:hint="default"/>
      </w:rPr>
    </w:lvl>
    <w:lvl w:ilvl="3" w:tentative="0">
      <w:start w:val="1"/>
      <w:numFmt w:val="lowerLetter"/>
      <w:lvlText w:val="%4."/>
      <w:lvlJc w:val="left"/>
      <w:pPr>
        <w:tabs>
          <w:tab w:val="left" w:pos="1680"/>
        </w:tabs>
        <w:ind w:left="2100" w:hanging="420"/>
      </w:pPr>
      <w:rPr>
        <w:rFonts w:hint="default"/>
      </w:rPr>
    </w:lvl>
    <w:lvl w:ilvl="4" w:tentative="0">
      <w:start w:val="1"/>
      <w:numFmt w:val="lowerLetter"/>
      <w:lvlText w:val="%5)"/>
      <w:lvlJc w:val="left"/>
      <w:pPr>
        <w:tabs>
          <w:tab w:val="left" w:pos="2100"/>
        </w:tabs>
        <w:ind w:left="2520" w:hanging="420"/>
      </w:pPr>
      <w:rPr>
        <w:rFonts w:hint="default"/>
      </w:rPr>
    </w:lvl>
    <w:lvl w:ilvl="5" w:tentative="0">
      <w:start w:val="1"/>
      <w:numFmt w:val="lowerRoman"/>
      <w:lvlText w:val="%6."/>
      <w:lvlJc w:val="left"/>
      <w:pPr>
        <w:tabs>
          <w:tab w:val="left" w:pos="2520"/>
        </w:tabs>
        <w:ind w:left="2940" w:hanging="420"/>
      </w:pPr>
      <w:rPr>
        <w:rFonts w:hint="default"/>
      </w:rPr>
    </w:lvl>
    <w:lvl w:ilvl="6" w:tentative="0">
      <w:start w:val="1"/>
      <w:numFmt w:val="lowerRoman"/>
      <w:lvlText w:val="%7)"/>
      <w:lvlJc w:val="left"/>
      <w:pPr>
        <w:tabs>
          <w:tab w:val="left" w:pos="2940"/>
        </w:tabs>
        <w:ind w:left="3360" w:hanging="420"/>
      </w:pPr>
      <w:rPr>
        <w:rFonts w:hint="default"/>
      </w:rPr>
    </w:lvl>
    <w:lvl w:ilvl="7" w:tentative="0">
      <w:start w:val="1"/>
      <w:numFmt w:val="lowerLetter"/>
      <w:lvlText w:val="%8."/>
      <w:lvlJc w:val="left"/>
      <w:pPr>
        <w:tabs>
          <w:tab w:val="left" w:pos="3360"/>
        </w:tabs>
        <w:ind w:left="3780" w:hanging="420"/>
      </w:pPr>
      <w:rPr>
        <w:rFonts w:hint="default"/>
      </w:rPr>
    </w:lvl>
    <w:lvl w:ilvl="8" w:tentative="0">
      <w:start w:val="1"/>
      <w:numFmt w:val="lowerLetter"/>
      <w:lvlText w:val="%9)"/>
      <w:lvlJc w:val="left"/>
      <w:pPr>
        <w:tabs>
          <w:tab w:val="left" w:pos="3780"/>
        </w:tabs>
        <w:ind w:left="4200" w:hanging="420"/>
      </w:pPr>
      <w:rPr>
        <w:rFonts w:hint="default"/>
      </w:rPr>
    </w:lvl>
  </w:abstractNum>
  <w:abstractNum w:abstractNumId="12">
    <w:nsid w:val="47ED5DA0"/>
    <w:multiLevelType w:val="singleLevel"/>
    <w:tmpl w:val="47ED5DA0"/>
    <w:lvl w:ilvl="0" w:tentative="0">
      <w:start w:val="1"/>
      <w:numFmt w:val="decimal"/>
      <w:suff w:val="nothing"/>
      <w:lvlText w:val="（%1）"/>
      <w:lvlJc w:val="left"/>
      <w:rPr>
        <w:rFonts w:hint="default" w:ascii="Times New Roman" w:hAnsi="Times New Roman" w:cs="Times New Roman"/>
        <w:sz w:val="24"/>
        <w:szCs w:val="24"/>
      </w:rPr>
    </w:lvl>
  </w:abstractNum>
  <w:abstractNum w:abstractNumId="13">
    <w:nsid w:val="76A28979"/>
    <w:multiLevelType w:val="singleLevel"/>
    <w:tmpl w:val="76A28979"/>
    <w:lvl w:ilvl="0" w:tentative="0">
      <w:start w:val="1"/>
      <w:numFmt w:val="decimal"/>
      <w:suff w:val="nothing"/>
      <w:lvlText w:val="%1．"/>
      <w:lvlJc w:val="left"/>
      <w:pPr>
        <w:ind w:left="0" w:firstLine="400"/>
      </w:pPr>
      <w:rPr>
        <w:rFonts w:hint="default"/>
        <w:b/>
        <w:bCs/>
        <w:sz w:val="24"/>
        <w:szCs w:val="24"/>
      </w:rPr>
    </w:lvl>
  </w:abstractNum>
  <w:abstractNum w:abstractNumId="14">
    <w:nsid w:val="795BE456"/>
    <w:multiLevelType w:val="singleLevel"/>
    <w:tmpl w:val="795BE456"/>
    <w:lvl w:ilvl="0" w:tentative="0">
      <w:start w:val="3"/>
      <w:numFmt w:val="decimal"/>
      <w:suff w:val="nothing"/>
      <w:lvlText w:val="（%1）"/>
      <w:lvlJc w:val="left"/>
    </w:lvl>
  </w:abstractNum>
  <w:abstractNum w:abstractNumId="15">
    <w:nsid w:val="7D955747"/>
    <w:multiLevelType w:val="multilevel"/>
    <w:tmpl w:val="7D955747"/>
    <w:lvl w:ilvl="0" w:tentative="0">
      <w:start w:val="1"/>
      <w:numFmt w:val="chineseCounting"/>
      <w:suff w:val="nothing"/>
      <w:lvlText w:val="（%1）"/>
      <w:lvlJc w:val="left"/>
      <w:pPr>
        <w:ind w:left="0" w:firstLine="400"/>
      </w:pPr>
      <w:rPr>
        <w:rFonts w:hint="eastAsia"/>
      </w:rPr>
    </w:lvl>
    <w:lvl w:ilvl="1" w:tentative="0">
      <w:start w:val="1"/>
      <w:numFmt w:val="decimal"/>
      <w:suff w:val="nothing"/>
      <w:lvlText w:val="%2．"/>
      <w:lvlJc w:val="left"/>
      <w:pPr>
        <w:ind w:left="0" w:firstLine="400"/>
      </w:pPr>
      <w:rPr>
        <w:rFonts w:hint="eastAsia"/>
      </w:rPr>
    </w:lvl>
    <w:lvl w:ilvl="2" w:tentative="0">
      <w:start w:val="1"/>
      <w:numFmt w:val="decimal"/>
      <w:suff w:val="nothing"/>
      <w:lvlText w:val="（%3）"/>
      <w:lvlJc w:val="left"/>
      <w:pPr>
        <w:ind w:left="0" w:firstLine="402"/>
      </w:pPr>
      <w:rPr>
        <w:rFonts w:hint="eastAsia"/>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upp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num w:numId="1">
    <w:abstractNumId w:val="10"/>
  </w:num>
  <w:num w:numId="2">
    <w:abstractNumId w:val="5"/>
  </w:num>
  <w:num w:numId="3">
    <w:abstractNumId w:val="14"/>
  </w:num>
  <w:num w:numId="4">
    <w:abstractNumId w:val="6"/>
  </w:num>
  <w:num w:numId="5">
    <w:abstractNumId w:val="4"/>
  </w:num>
  <w:num w:numId="6">
    <w:abstractNumId w:val="8"/>
  </w:num>
  <w:num w:numId="7">
    <w:abstractNumId w:val="3"/>
  </w:num>
  <w:num w:numId="8">
    <w:abstractNumId w:val="9"/>
  </w:num>
  <w:num w:numId="9">
    <w:abstractNumId w:val="7"/>
  </w:num>
  <w:num w:numId="10">
    <w:abstractNumId w:val="12"/>
  </w:num>
  <w:num w:numId="11">
    <w:abstractNumId w:val="13"/>
  </w:num>
  <w:num w:numId="12">
    <w:abstractNumId w:val="15"/>
  </w:num>
  <w:num w:numId="13">
    <w:abstractNumId w:val="1"/>
  </w:num>
  <w:num w:numId="14">
    <w:abstractNumId w:val="0"/>
  </w:num>
  <w:num w:numId="15">
    <w:abstractNumId w:val="11"/>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0C3FC9"/>
    <w:rsid w:val="000273CC"/>
    <w:rsid w:val="000F3528"/>
    <w:rsid w:val="00116973"/>
    <w:rsid w:val="001E2F52"/>
    <w:rsid w:val="002C61F7"/>
    <w:rsid w:val="002F128F"/>
    <w:rsid w:val="0035198B"/>
    <w:rsid w:val="004C4EDD"/>
    <w:rsid w:val="005A0FB6"/>
    <w:rsid w:val="006B14F4"/>
    <w:rsid w:val="006B4F71"/>
    <w:rsid w:val="007A6F63"/>
    <w:rsid w:val="007C0387"/>
    <w:rsid w:val="00AB1812"/>
    <w:rsid w:val="00B32474"/>
    <w:rsid w:val="00C55A9D"/>
    <w:rsid w:val="00D5063D"/>
    <w:rsid w:val="00E13486"/>
    <w:rsid w:val="01001B5E"/>
    <w:rsid w:val="01080A12"/>
    <w:rsid w:val="01252608"/>
    <w:rsid w:val="01305281"/>
    <w:rsid w:val="01341B75"/>
    <w:rsid w:val="01395070"/>
    <w:rsid w:val="0147778C"/>
    <w:rsid w:val="014D1D6F"/>
    <w:rsid w:val="01A050EF"/>
    <w:rsid w:val="01A114F3"/>
    <w:rsid w:val="01A87AFF"/>
    <w:rsid w:val="01AA6604"/>
    <w:rsid w:val="01B464A4"/>
    <w:rsid w:val="01C71AFB"/>
    <w:rsid w:val="01C7267B"/>
    <w:rsid w:val="01CA3F1A"/>
    <w:rsid w:val="01EC3E90"/>
    <w:rsid w:val="020967F0"/>
    <w:rsid w:val="020E6AD8"/>
    <w:rsid w:val="024506A0"/>
    <w:rsid w:val="025A704C"/>
    <w:rsid w:val="025F0B06"/>
    <w:rsid w:val="026B3007"/>
    <w:rsid w:val="02775E4F"/>
    <w:rsid w:val="0297204E"/>
    <w:rsid w:val="02A953FA"/>
    <w:rsid w:val="02BA3F8E"/>
    <w:rsid w:val="02C10E79"/>
    <w:rsid w:val="02CB5403"/>
    <w:rsid w:val="02FA25DD"/>
    <w:rsid w:val="030F76AC"/>
    <w:rsid w:val="03137F71"/>
    <w:rsid w:val="03196F07"/>
    <w:rsid w:val="033E696D"/>
    <w:rsid w:val="03500781"/>
    <w:rsid w:val="035829D1"/>
    <w:rsid w:val="03632E30"/>
    <w:rsid w:val="036F3C68"/>
    <w:rsid w:val="037C40F0"/>
    <w:rsid w:val="03841893"/>
    <w:rsid w:val="038D2B62"/>
    <w:rsid w:val="038F0F77"/>
    <w:rsid w:val="038F1A7B"/>
    <w:rsid w:val="03925EFB"/>
    <w:rsid w:val="03A26EFC"/>
    <w:rsid w:val="03C52BEB"/>
    <w:rsid w:val="03C67D6B"/>
    <w:rsid w:val="03F80913"/>
    <w:rsid w:val="040504DD"/>
    <w:rsid w:val="041026B2"/>
    <w:rsid w:val="04405814"/>
    <w:rsid w:val="04501303"/>
    <w:rsid w:val="04561A95"/>
    <w:rsid w:val="046046C1"/>
    <w:rsid w:val="04671F17"/>
    <w:rsid w:val="046D6604"/>
    <w:rsid w:val="047A1C27"/>
    <w:rsid w:val="049820AD"/>
    <w:rsid w:val="049F67BB"/>
    <w:rsid w:val="04A4119D"/>
    <w:rsid w:val="04AC7907"/>
    <w:rsid w:val="04AE774F"/>
    <w:rsid w:val="04C44C81"/>
    <w:rsid w:val="04C954B6"/>
    <w:rsid w:val="04CA439E"/>
    <w:rsid w:val="04ED064B"/>
    <w:rsid w:val="05114EDC"/>
    <w:rsid w:val="0521288B"/>
    <w:rsid w:val="05230F0A"/>
    <w:rsid w:val="05280493"/>
    <w:rsid w:val="053171B4"/>
    <w:rsid w:val="053D7FEC"/>
    <w:rsid w:val="057810E3"/>
    <w:rsid w:val="057F6DC9"/>
    <w:rsid w:val="0599432F"/>
    <w:rsid w:val="05D610DF"/>
    <w:rsid w:val="05E75EEA"/>
    <w:rsid w:val="06112117"/>
    <w:rsid w:val="063876A4"/>
    <w:rsid w:val="067E2CDC"/>
    <w:rsid w:val="06965E6A"/>
    <w:rsid w:val="069845E6"/>
    <w:rsid w:val="069E3612"/>
    <w:rsid w:val="06E447B4"/>
    <w:rsid w:val="06F7755F"/>
    <w:rsid w:val="07060306"/>
    <w:rsid w:val="071A149F"/>
    <w:rsid w:val="07465DF0"/>
    <w:rsid w:val="074B3407"/>
    <w:rsid w:val="07576E4D"/>
    <w:rsid w:val="07691ADF"/>
    <w:rsid w:val="077E79BD"/>
    <w:rsid w:val="07A01A45"/>
    <w:rsid w:val="07A71A5E"/>
    <w:rsid w:val="07AB36D5"/>
    <w:rsid w:val="07B54D24"/>
    <w:rsid w:val="07CD4764"/>
    <w:rsid w:val="07F86FD0"/>
    <w:rsid w:val="080B2B96"/>
    <w:rsid w:val="081B102B"/>
    <w:rsid w:val="084367D4"/>
    <w:rsid w:val="0854453D"/>
    <w:rsid w:val="086724C2"/>
    <w:rsid w:val="088E5CA1"/>
    <w:rsid w:val="08964B56"/>
    <w:rsid w:val="08AC6F2B"/>
    <w:rsid w:val="08B1373D"/>
    <w:rsid w:val="08BB636A"/>
    <w:rsid w:val="08C37623"/>
    <w:rsid w:val="08D12032"/>
    <w:rsid w:val="08FA50E4"/>
    <w:rsid w:val="090E0B90"/>
    <w:rsid w:val="09526CCE"/>
    <w:rsid w:val="0960323B"/>
    <w:rsid w:val="096E3588"/>
    <w:rsid w:val="09906FB0"/>
    <w:rsid w:val="09A31262"/>
    <w:rsid w:val="09A3577C"/>
    <w:rsid w:val="09B039F5"/>
    <w:rsid w:val="09B64076"/>
    <w:rsid w:val="09CC417C"/>
    <w:rsid w:val="09D26061"/>
    <w:rsid w:val="09DE4A06"/>
    <w:rsid w:val="0A0C3321"/>
    <w:rsid w:val="0A124DEA"/>
    <w:rsid w:val="0A20096D"/>
    <w:rsid w:val="0A300E42"/>
    <w:rsid w:val="0A3474B2"/>
    <w:rsid w:val="0A924546"/>
    <w:rsid w:val="0AB44ED8"/>
    <w:rsid w:val="0ADD339A"/>
    <w:rsid w:val="0ADD5EF2"/>
    <w:rsid w:val="0AFB246A"/>
    <w:rsid w:val="0B21104E"/>
    <w:rsid w:val="0B3A2110"/>
    <w:rsid w:val="0B512FB6"/>
    <w:rsid w:val="0BAD4690"/>
    <w:rsid w:val="0BB974D9"/>
    <w:rsid w:val="0BD2782B"/>
    <w:rsid w:val="0BD40DA4"/>
    <w:rsid w:val="0BED7182"/>
    <w:rsid w:val="0C087B18"/>
    <w:rsid w:val="0C2506CA"/>
    <w:rsid w:val="0C497D73"/>
    <w:rsid w:val="0C50423D"/>
    <w:rsid w:val="0C686809"/>
    <w:rsid w:val="0C7158E4"/>
    <w:rsid w:val="0C943AA2"/>
    <w:rsid w:val="0CAD19F6"/>
    <w:rsid w:val="0CB70393"/>
    <w:rsid w:val="0CB952B6"/>
    <w:rsid w:val="0CCF0636"/>
    <w:rsid w:val="0CEA0937"/>
    <w:rsid w:val="0CFB767D"/>
    <w:rsid w:val="0D126C01"/>
    <w:rsid w:val="0D132C19"/>
    <w:rsid w:val="0D1F7A00"/>
    <w:rsid w:val="0D38442D"/>
    <w:rsid w:val="0D4C612B"/>
    <w:rsid w:val="0D5D20E6"/>
    <w:rsid w:val="0D710CA8"/>
    <w:rsid w:val="0D7D0092"/>
    <w:rsid w:val="0D86163D"/>
    <w:rsid w:val="0D8D616E"/>
    <w:rsid w:val="0D984A85"/>
    <w:rsid w:val="0DA02EFC"/>
    <w:rsid w:val="0DFD5FDB"/>
    <w:rsid w:val="0E056A05"/>
    <w:rsid w:val="0E06277D"/>
    <w:rsid w:val="0E317079"/>
    <w:rsid w:val="0E4B0190"/>
    <w:rsid w:val="0E540C3E"/>
    <w:rsid w:val="0E5B4877"/>
    <w:rsid w:val="0E782F04"/>
    <w:rsid w:val="0E7E7133"/>
    <w:rsid w:val="0E8004E8"/>
    <w:rsid w:val="0E811F50"/>
    <w:rsid w:val="0E8B4A92"/>
    <w:rsid w:val="0E9037CB"/>
    <w:rsid w:val="0EAD0BA0"/>
    <w:rsid w:val="0ED308B1"/>
    <w:rsid w:val="0EE62F86"/>
    <w:rsid w:val="0F102B00"/>
    <w:rsid w:val="0F184516"/>
    <w:rsid w:val="0F1F58A5"/>
    <w:rsid w:val="0F292D68"/>
    <w:rsid w:val="0F3A17D8"/>
    <w:rsid w:val="0F3A448D"/>
    <w:rsid w:val="0F4B48EC"/>
    <w:rsid w:val="0F5A5680"/>
    <w:rsid w:val="0F5B4C3E"/>
    <w:rsid w:val="0F601A19"/>
    <w:rsid w:val="0F652790"/>
    <w:rsid w:val="0F670FFA"/>
    <w:rsid w:val="0F690D4A"/>
    <w:rsid w:val="0FBF2FB7"/>
    <w:rsid w:val="0FCD5301"/>
    <w:rsid w:val="0FD3668F"/>
    <w:rsid w:val="0FD53874"/>
    <w:rsid w:val="0FD91EF8"/>
    <w:rsid w:val="0FFC0270"/>
    <w:rsid w:val="100030EB"/>
    <w:rsid w:val="1018371F"/>
    <w:rsid w:val="10287917"/>
    <w:rsid w:val="10376C1E"/>
    <w:rsid w:val="103D7805"/>
    <w:rsid w:val="103E61FE"/>
    <w:rsid w:val="105B0B5E"/>
    <w:rsid w:val="10765998"/>
    <w:rsid w:val="107C6D27"/>
    <w:rsid w:val="107F288F"/>
    <w:rsid w:val="108160EB"/>
    <w:rsid w:val="10972A06"/>
    <w:rsid w:val="10B020EE"/>
    <w:rsid w:val="10BF7A6B"/>
    <w:rsid w:val="10C04E65"/>
    <w:rsid w:val="10C55FD8"/>
    <w:rsid w:val="10E4370F"/>
    <w:rsid w:val="10EF12A7"/>
    <w:rsid w:val="11017C87"/>
    <w:rsid w:val="11095D21"/>
    <w:rsid w:val="111F404A"/>
    <w:rsid w:val="112852FE"/>
    <w:rsid w:val="11324A81"/>
    <w:rsid w:val="11643580"/>
    <w:rsid w:val="11743932"/>
    <w:rsid w:val="11BC7F56"/>
    <w:rsid w:val="11BD7880"/>
    <w:rsid w:val="11CB1987"/>
    <w:rsid w:val="11EC2E97"/>
    <w:rsid w:val="11FA6155"/>
    <w:rsid w:val="1209283C"/>
    <w:rsid w:val="121D1E44"/>
    <w:rsid w:val="122356AC"/>
    <w:rsid w:val="12372F05"/>
    <w:rsid w:val="12413D84"/>
    <w:rsid w:val="12577104"/>
    <w:rsid w:val="125A6BF4"/>
    <w:rsid w:val="12641821"/>
    <w:rsid w:val="12B20DBB"/>
    <w:rsid w:val="12B72298"/>
    <w:rsid w:val="12BC6158"/>
    <w:rsid w:val="12C00E0F"/>
    <w:rsid w:val="12E806A4"/>
    <w:rsid w:val="12EA441C"/>
    <w:rsid w:val="12EC1C84"/>
    <w:rsid w:val="12EC6328"/>
    <w:rsid w:val="12FB03D7"/>
    <w:rsid w:val="12FB2185"/>
    <w:rsid w:val="13001549"/>
    <w:rsid w:val="1303728B"/>
    <w:rsid w:val="13313DF9"/>
    <w:rsid w:val="134C0C32"/>
    <w:rsid w:val="139775C4"/>
    <w:rsid w:val="13A66595"/>
    <w:rsid w:val="13BA0895"/>
    <w:rsid w:val="13BB1914"/>
    <w:rsid w:val="13CF0694"/>
    <w:rsid w:val="13CF471A"/>
    <w:rsid w:val="13E56991"/>
    <w:rsid w:val="13FD017F"/>
    <w:rsid w:val="141A663B"/>
    <w:rsid w:val="14215C1B"/>
    <w:rsid w:val="142851FC"/>
    <w:rsid w:val="142C244C"/>
    <w:rsid w:val="143F42F3"/>
    <w:rsid w:val="144C1BDA"/>
    <w:rsid w:val="14515DD5"/>
    <w:rsid w:val="14531E2D"/>
    <w:rsid w:val="145C4FD4"/>
    <w:rsid w:val="14624D7D"/>
    <w:rsid w:val="14880CF3"/>
    <w:rsid w:val="14AB2494"/>
    <w:rsid w:val="14DC7D94"/>
    <w:rsid w:val="14E82BDD"/>
    <w:rsid w:val="14F74019"/>
    <w:rsid w:val="14FA380C"/>
    <w:rsid w:val="15023C9F"/>
    <w:rsid w:val="1508751E"/>
    <w:rsid w:val="15190FE8"/>
    <w:rsid w:val="152864CC"/>
    <w:rsid w:val="154A73F4"/>
    <w:rsid w:val="155D421D"/>
    <w:rsid w:val="15BB5BFB"/>
    <w:rsid w:val="15BE749A"/>
    <w:rsid w:val="15C947BC"/>
    <w:rsid w:val="15D466AF"/>
    <w:rsid w:val="160E21CF"/>
    <w:rsid w:val="162D642C"/>
    <w:rsid w:val="16331C36"/>
    <w:rsid w:val="1643306B"/>
    <w:rsid w:val="166149F5"/>
    <w:rsid w:val="16656AFC"/>
    <w:rsid w:val="16684628"/>
    <w:rsid w:val="166D15EC"/>
    <w:rsid w:val="16726C02"/>
    <w:rsid w:val="16DD0170"/>
    <w:rsid w:val="16EA04FD"/>
    <w:rsid w:val="170D2487"/>
    <w:rsid w:val="17315F09"/>
    <w:rsid w:val="17325312"/>
    <w:rsid w:val="175005C5"/>
    <w:rsid w:val="17985750"/>
    <w:rsid w:val="17A728DB"/>
    <w:rsid w:val="17B15508"/>
    <w:rsid w:val="17B51E7E"/>
    <w:rsid w:val="17C27715"/>
    <w:rsid w:val="17D50129"/>
    <w:rsid w:val="17EA27C8"/>
    <w:rsid w:val="17EF371C"/>
    <w:rsid w:val="17FD60AF"/>
    <w:rsid w:val="18027DA3"/>
    <w:rsid w:val="182D2B46"/>
    <w:rsid w:val="18416158"/>
    <w:rsid w:val="184B4C79"/>
    <w:rsid w:val="189A41EE"/>
    <w:rsid w:val="189D00F6"/>
    <w:rsid w:val="18B30A11"/>
    <w:rsid w:val="18B96776"/>
    <w:rsid w:val="18C11390"/>
    <w:rsid w:val="18D45952"/>
    <w:rsid w:val="18EB2C9C"/>
    <w:rsid w:val="18F040F9"/>
    <w:rsid w:val="18F405DA"/>
    <w:rsid w:val="191915B7"/>
    <w:rsid w:val="193463F1"/>
    <w:rsid w:val="193E726F"/>
    <w:rsid w:val="19521D97"/>
    <w:rsid w:val="19630A84"/>
    <w:rsid w:val="197C38F4"/>
    <w:rsid w:val="19836A30"/>
    <w:rsid w:val="199476C8"/>
    <w:rsid w:val="19A5109C"/>
    <w:rsid w:val="19C7485E"/>
    <w:rsid w:val="19E31364"/>
    <w:rsid w:val="19FB6F0E"/>
    <w:rsid w:val="1A0E09F0"/>
    <w:rsid w:val="1A155F40"/>
    <w:rsid w:val="1A323A0D"/>
    <w:rsid w:val="1A4621B2"/>
    <w:rsid w:val="1A466C29"/>
    <w:rsid w:val="1A6E7580"/>
    <w:rsid w:val="1A7867B1"/>
    <w:rsid w:val="1A8213DE"/>
    <w:rsid w:val="1A8962C8"/>
    <w:rsid w:val="1A903AFB"/>
    <w:rsid w:val="1A907657"/>
    <w:rsid w:val="1ACD76BE"/>
    <w:rsid w:val="1ACF330A"/>
    <w:rsid w:val="1AE856E5"/>
    <w:rsid w:val="1AF20311"/>
    <w:rsid w:val="1AF35961"/>
    <w:rsid w:val="1AF44089"/>
    <w:rsid w:val="1B03607B"/>
    <w:rsid w:val="1B1E55A1"/>
    <w:rsid w:val="1B2A2D62"/>
    <w:rsid w:val="1B434A71"/>
    <w:rsid w:val="1B490617"/>
    <w:rsid w:val="1B6D1746"/>
    <w:rsid w:val="1B6D1F0E"/>
    <w:rsid w:val="1B79633D"/>
    <w:rsid w:val="1B920E49"/>
    <w:rsid w:val="1BBD091F"/>
    <w:rsid w:val="1BCC0B62"/>
    <w:rsid w:val="1BF80966"/>
    <w:rsid w:val="1BFF73B7"/>
    <w:rsid w:val="1C01619F"/>
    <w:rsid w:val="1C095610"/>
    <w:rsid w:val="1C197E29"/>
    <w:rsid w:val="1C200EAE"/>
    <w:rsid w:val="1C2F10F1"/>
    <w:rsid w:val="1C312C45"/>
    <w:rsid w:val="1C473F2F"/>
    <w:rsid w:val="1C4E6617"/>
    <w:rsid w:val="1C6B4699"/>
    <w:rsid w:val="1C821221"/>
    <w:rsid w:val="1C8B27CB"/>
    <w:rsid w:val="1CA4563B"/>
    <w:rsid w:val="1CB97944"/>
    <w:rsid w:val="1CC3154D"/>
    <w:rsid w:val="1CD21C01"/>
    <w:rsid w:val="1CD22DC8"/>
    <w:rsid w:val="1CDD0B4D"/>
    <w:rsid w:val="1CFD2F9D"/>
    <w:rsid w:val="1D077978"/>
    <w:rsid w:val="1D0E1CA5"/>
    <w:rsid w:val="1D1A3B4F"/>
    <w:rsid w:val="1D2030BF"/>
    <w:rsid w:val="1D331864"/>
    <w:rsid w:val="1D5670A8"/>
    <w:rsid w:val="1D70551D"/>
    <w:rsid w:val="1D8A14F0"/>
    <w:rsid w:val="1D976F4E"/>
    <w:rsid w:val="1D980EA9"/>
    <w:rsid w:val="1DA358F3"/>
    <w:rsid w:val="1DA46C53"/>
    <w:rsid w:val="1DB34A30"/>
    <w:rsid w:val="1DC323E3"/>
    <w:rsid w:val="1DCA2E80"/>
    <w:rsid w:val="1DE01993"/>
    <w:rsid w:val="1E033DED"/>
    <w:rsid w:val="1E151943"/>
    <w:rsid w:val="1E236A34"/>
    <w:rsid w:val="1E3C67A3"/>
    <w:rsid w:val="1E5B1377"/>
    <w:rsid w:val="1E635082"/>
    <w:rsid w:val="1E857F22"/>
    <w:rsid w:val="1E877D62"/>
    <w:rsid w:val="1E8C282B"/>
    <w:rsid w:val="1E8F7803"/>
    <w:rsid w:val="1EA96F39"/>
    <w:rsid w:val="1F144534"/>
    <w:rsid w:val="1F187AED"/>
    <w:rsid w:val="1F264A2D"/>
    <w:rsid w:val="1F9951FF"/>
    <w:rsid w:val="1F9A2BCE"/>
    <w:rsid w:val="1F9C3F83"/>
    <w:rsid w:val="1FBB33C8"/>
    <w:rsid w:val="1FC6467C"/>
    <w:rsid w:val="1FD75D28"/>
    <w:rsid w:val="1FE56F16"/>
    <w:rsid w:val="1FE83A91"/>
    <w:rsid w:val="1FEE64E2"/>
    <w:rsid w:val="200870E6"/>
    <w:rsid w:val="200C3EF7"/>
    <w:rsid w:val="200C59D1"/>
    <w:rsid w:val="20120B0E"/>
    <w:rsid w:val="20174376"/>
    <w:rsid w:val="202D3B9A"/>
    <w:rsid w:val="20380B7A"/>
    <w:rsid w:val="20542ED4"/>
    <w:rsid w:val="206A26F8"/>
    <w:rsid w:val="20EE157B"/>
    <w:rsid w:val="210D7225"/>
    <w:rsid w:val="211D776A"/>
    <w:rsid w:val="214375ED"/>
    <w:rsid w:val="214C004F"/>
    <w:rsid w:val="216058A9"/>
    <w:rsid w:val="21793170"/>
    <w:rsid w:val="217B4CDE"/>
    <w:rsid w:val="218B6DCA"/>
    <w:rsid w:val="218D0888"/>
    <w:rsid w:val="2190618E"/>
    <w:rsid w:val="219F36A8"/>
    <w:rsid w:val="21B3155B"/>
    <w:rsid w:val="21C81DCC"/>
    <w:rsid w:val="21C910B4"/>
    <w:rsid w:val="21D50045"/>
    <w:rsid w:val="21E14C3C"/>
    <w:rsid w:val="21F032CF"/>
    <w:rsid w:val="221E19EC"/>
    <w:rsid w:val="221E7C3E"/>
    <w:rsid w:val="22396C74"/>
    <w:rsid w:val="22813D29"/>
    <w:rsid w:val="228B1B14"/>
    <w:rsid w:val="228C2DF9"/>
    <w:rsid w:val="22981651"/>
    <w:rsid w:val="229C4BB4"/>
    <w:rsid w:val="22B8169F"/>
    <w:rsid w:val="22D35427"/>
    <w:rsid w:val="22DA1DB7"/>
    <w:rsid w:val="22FE46DD"/>
    <w:rsid w:val="232304AB"/>
    <w:rsid w:val="23270D74"/>
    <w:rsid w:val="232946DA"/>
    <w:rsid w:val="232A43C0"/>
    <w:rsid w:val="233D257C"/>
    <w:rsid w:val="2364787B"/>
    <w:rsid w:val="2374694C"/>
    <w:rsid w:val="23A418A2"/>
    <w:rsid w:val="23B91729"/>
    <w:rsid w:val="23BD17E3"/>
    <w:rsid w:val="23C9261C"/>
    <w:rsid w:val="23F32A04"/>
    <w:rsid w:val="241430A6"/>
    <w:rsid w:val="244B3216"/>
    <w:rsid w:val="245B0CD5"/>
    <w:rsid w:val="24653902"/>
    <w:rsid w:val="24715D06"/>
    <w:rsid w:val="248B01F1"/>
    <w:rsid w:val="24B85758"/>
    <w:rsid w:val="24C0767C"/>
    <w:rsid w:val="24C148B0"/>
    <w:rsid w:val="24CF6FCD"/>
    <w:rsid w:val="24E74595"/>
    <w:rsid w:val="24F66C50"/>
    <w:rsid w:val="24FD10B9"/>
    <w:rsid w:val="251315B0"/>
    <w:rsid w:val="251C461B"/>
    <w:rsid w:val="251C78A5"/>
    <w:rsid w:val="251E409E"/>
    <w:rsid w:val="25292B82"/>
    <w:rsid w:val="253D4AB1"/>
    <w:rsid w:val="25501C64"/>
    <w:rsid w:val="255F65A3"/>
    <w:rsid w:val="257A20DC"/>
    <w:rsid w:val="257A33DD"/>
    <w:rsid w:val="257C6AEB"/>
    <w:rsid w:val="25A52A6B"/>
    <w:rsid w:val="25D56865"/>
    <w:rsid w:val="25DD396C"/>
    <w:rsid w:val="2604714B"/>
    <w:rsid w:val="26364C6D"/>
    <w:rsid w:val="263F5D82"/>
    <w:rsid w:val="265359DC"/>
    <w:rsid w:val="26663961"/>
    <w:rsid w:val="2666570F"/>
    <w:rsid w:val="26DA3F62"/>
    <w:rsid w:val="26E90667"/>
    <w:rsid w:val="26F62F37"/>
    <w:rsid w:val="27333F5E"/>
    <w:rsid w:val="27400656"/>
    <w:rsid w:val="27653DF7"/>
    <w:rsid w:val="276F1A45"/>
    <w:rsid w:val="279A7D67"/>
    <w:rsid w:val="27B626C7"/>
    <w:rsid w:val="27C834FC"/>
    <w:rsid w:val="280C3FC9"/>
    <w:rsid w:val="282D51B1"/>
    <w:rsid w:val="282E756E"/>
    <w:rsid w:val="28757E8C"/>
    <w:rsid w:val="288B6294"/>
    <w:rsid w:val="28A6273B"/>
    <w:rsid w:val="28BF3E24"/>
    <w:rsid w:val="28C17575"/>
    <w:rsid w:val="28DF17A9"/>
    <w:rsid w:val="29077E9F"/>
    <w:rsid w:val="290A2CCA"/>
    <w:rsid w:val="291474C8"/>
    <w:rsid w:val="292B0388"/>
    <w:rsid w:val="293D309F"/>
    <w:rsid w:val="29415831"/>
    <w:rsid w:val="294778BF"/>
    <w:rsid w:val="295B3526"/>
    <w:rsid w:val="29602BB5"/>
    <w:rsid w:val="298B3FCA"/>
    <w:rsid w:val="2996630C"/>
    <w:rsid w:val="29995DFC"/>
    <w:rsid w:val="29CA2D09"/>
    <w:rsid w:val="29D54FEB"/>
    <w:rsid w:val="29F8727E"/>
    <w:rsid w:val="2A043BBD"/>
    <w:rsid w:val="2A0E5798"/>
    <w:rsid w:val="2A2102CB"/>
    <w:rsid w:val="2A391AB9"/>
    <w:rsid w:val="2ABF13A7"/>
    <w:rsid w:val="2AE74AF2"/>
    <w:rsid w:val="2AE80DE9"/>
    <w:rsid w:val="2B084FE7"/>
    <w:rsid w:val="2B1478F6"/>
    <w:rsid w:val="2B3D5DB9"/>
    <w:rsid w:val="2B404781"/>
    <w:rsid w:val="2B4D6E9E"/>
    <w:rsid w:val="2B595843"/>
    <w:rsid w:val="2B6366C1"/>
    <w:rsid w:val="2B7B1C0B"/>
    <w:rsid w:val="2B7B1F76"/>
    <w:rsid w:val="2B960845"/>
    <w:rsid w:val="2BE76FCF"/>
    <w:rsid w:val="2C09584A"/>
    <w:rsid w:val="2C0D087E"/>
    <w:rsid w:val="2C1661C4"/>
    <w:rsid w:val="2C183950"/>
    <w:rsid w:val="2C1C3440"/>
    <w:rsid w:val="2C286CBB"/>
    <w:rsid w:val="2C4B5AD3"/>
    <w:rsid w:val="2C5C1A8E"/>
    <w:rsid w:val="2C752B50"/>
    <w:rsid w:val="2C8763E0"/>
    <w:rsid w:val="2C9E7BC7"/>
    <w:rsid w:val="2CD77367"/>
    <w:rsid w:val="2CEA52EC"/>
    <w:rsid w:val="2D0312D3"/>
    <w:rsid w:val="2D0637A8"/>
    <w:rsid w:val="2D1265F1"/>
    <w:rsid w:val="2D287BC3"/>
    <w:rsid w:val="2D2F71A3"/>
    <w:rsid w:val="2D5704A8"/>
    <w:rsid w:val="2D595FCE"/>
    <w:rsid w:val="2D6B7AAF"/>
    <w:rsid w:val="2D83129D"/>
    <w:rsid w:val="2D894942"/>
    <w:rsid w:val="2DF06932"/>
    <w:rsid w:val="2E204D3E"/>
    <w:rsid w:val="2E402CEA"/>
    <w:rsid w:val="2E424FF6"/>
    <w:rsid w:val="2E570CC9"/>
    <w:rsid w:val="2E5A3DBC"/>
    <w:rsid w:val="2E6D7F83"/>
    <w:rsid w:val="2E6F330A"/>
    <w:rsid w:val="2E922BF6"/>
    <w:rsid w:val="2EEB70FA"/>
    <w:rsid w:val="2EFA733D"/>
    <w:rsid w:val="2F1C04D2"/>
    <w:rsid w:val="2F4308A5"/>
    <w:rsid w:val="2F5A7DDB"/>
    <w:rsid w:val="2F6F4C6C"/>
    <w:rsid w:val="2F8B1F7E"/>
    <w:rsid w:val="2F9D630E"/>
    <w:rsid w:val="2FC66097"/>
    <w:rsid w:val="2FD858D0"/>
    <w:rsid w:val="2FE36A1D"/>
    <w:rsid w:val="2FE77451"/>
    <w:rsid w:val="301D74C3"/>
    <w:rsid w:val="30393E95"/>
    <w:rsid w:val="3046275B"/>
    <w:rsid w:val="304D0FA9"/>
    <w:rsid w:val="305667F5"/>
    <w:rsid w:val="307622C1"/>
    <w:rsid w:val="309C1A0D"/>
    <w:rsid w:val="30B575EE"/>
    <w:rsid w:val="30C916BD"/>
    <w:rsid w:val="30CF1791"/>
    <w:rsid w:val="30D50061"/>
    <w:rsid w:val="30D862EC"/>
    <w:rsid w:val="30DD7592"/>
    <w:rsid w:val="30E57CC3"/>
    <w:rsid w:val="31230DCD"/>
    <w:rsid w:val="31322DBE"/>
    <w:rsid w:val="313668AB"/>
    <w:rsid w:val="314761A3"/>
    <w:rsid w:val="31530A22"/>
    <w:rsid w:val="315E0057"/>
    <w:rsid w:val="31662A68"/>
    <w:rsid w:val="3166515D"/>
    <w:rsid w:val="3168491E"/>
    <w:rsid w:val="31772EC7"/>
    <w:rsid w:val="318B0720"/>
    <w:rsid w:val="31AB491E"/>
    <w:rsid w:val="31D71BB7"/>
    <w:rsid w:val="31E06CBE"/>
    <w:rsid w:val="31E85B72"/>
    <w:rsid w:val="32220A03"/>
    <w:rsid w:val="322F72FD"/>
    <w:rsid w:val="324234D5"/>
    <w:rsid w:val="3268280F"/>
    <w:rsid w:val="326F125E"/>
    <w:rsid w:val="32861A63"/>
    <w:rsid w:val="32892EB1"/>
    <w:rsid w:val="328C6723"/>
    <w:rsid w:val="329D378B"/>
    <w:rsid w:val="32BA306B"/>
    <w:rsid w:val="32BE0726"/>
    <w:rsid w:val="32DA195F"/>
    <w:rsid w:val="32E7407C"/>
    <w:rsid w:val="32F10A57"/>
    <w:rsid w:val="32FC5B42"/>
    <w:rsid w:val="32FD564D"/>
    <w:rsid w:val="331949C8"/>
    <w:rsid w:val="332364E3"/>
    <w:rsid w:val="335F2223"/>
    <w:rsid w:val="339D76A0"/>
    <w:rsid w:val="33AA52CB"/>
    <w:rsid w:val="33B61BE4"/>
    <w:rsid w:val="33C4712A"/>
    <w:rsid w:val="33C66680"/>
    <w:rsid w:val="33CC276C"/>
    <w:rsid w:val="33CD5020"/>
    <w:rsid w:val="33D4063A"/>
    <w:rsid w:val="33D52499"/>
    <w:rsid w:val="33E10ACB"/>
    <w:rsid w:val="34303C0B"/>
    <w:rsid w:val="34313F39"/>
    <w:rsid w:val="3453266A"/>
    <w:rsid w:val="34555ECA"/>
    <w:rsid w:val="34563267"/>
    <w:rsid w:val="346314E0"/>
    <w:rsid w:val="34657EA4"/>
    <w:rsid w:val="347D6A46"/>
    <w:rsid w:val="34814E5E"/>
    <w:rsid w:val="348469BF"/>
    <w:rsid w:val="34AF2977"/>
    <w:rsid w:val="34B453EB"/>
    <w:rsid w:val="34FA1E45"/>
    <w:rsid w:val="34FA3BF3"/>
    <w:rsid w:val="3514751A"/>
    <w:rsid w:val="351A6043"/>
    <w:rsid w:val="353F37D3"/>
    <w:rsid w:val="35414F6E"/>
    <w:rsid w:val="35702107"/>
    <w:rsid w:val="358D4A67"/>
    <w:rsid w:val="35DE4BD9"/>
    <w:rsid w:val="35EB19AF"/>
    <w:rsid w:val="35F72828"/>
    <w:rsid w:val="36201D3A"/>
    <w:rsid w:val="3632560E"/>
    <w:rsid w:val="36356EAC"/>
    <w:rsid w:val="36370DB2"/>
    <w:rsid w:val="363B2715"/>
    <w:rsid w:val="36435A6D"/>
    <w:rsid w:val="364A5420"/>
    <w:rsid w:val="36820BD0"/>
    <w:rsid w:val="36BB3856"/>
    <w:rsid w:val="36E061C9"/>
    <w:rsid w:val="36ED393B"/>
    <w:rsid w:val="36FC06D5"/>
    <w:rsid w:val="3720190B"/>
    <w:rsid w:val="374E0226"/>
    <w:rsid w:val="375A7528"/>
    <w:rsid w:val="37682226"/>
    <w:rsid w:val="37765445"/>
    <w:rsid w:val="377C4D93"/>
    <w:rsid w:val="377D1455"/>
    <w:rsid w:val="3784633D"/>
    <w:rsid w:val="378B4569"/>
    <w:rsid w:val="378C4F44"/>
    <w:rsid w:val="37A20571"/>
    <w:rsid w:val="37BA1D5F"/>
    <w:rsid w:val="37BE14C0"/>
    <w:rsid w:val="37C624B2"/>
    <w:rsid w:val="37CA6B96"/>
    <w:rsid w:val="37CB7AC8"/>
    <w:rsid w:val="37CF18B8"/>
    <w:rsid w:val="37FA0F09"/>
    <w:rsid w:val="38042FDA"/>
    <w:rsid w:val="38141050"/>
    <w:rsid w:val="382D2E86"/>
    <w:rsid w:val="384564E0"/>
    <w:rsid w:val="384D4981"/>
    <w:rsid w:val="38613F89"/>
    <w:rsid w:val="38897ECE"/>
    <w:rsid w:val="38D73514"/>
    <w:rsid w:val="38F32C46"/>
    <w:rsid w:val="39027461"/>
    <w:rsid w:val="39294E48"/>
    <w:rsid w:val="394352BA"/>
    <w:rsid w:val="396509C3"/>
    <w:rsid w:val="39673821"/>
    <w:rsid w:val="39763A64"/>
    <w:rsid w:val="398375FF"/>
    <w:rsid w:val="39903E56"/>
    <w:rsid w:val="39975BA6"/>
    <w:rsid w:val="399F4E45"/>
    <w:rsid w:val="39CB39E5"/>
    <w:rsid w:val="39D569DC"/>
    <w:rsid w:val="39DA2245"/>
    <w:rsid w:val="39DB5415"/>
    <w:rsid w:val="39E3559D"/>
    <w:rsid w:val="3A3F1455"/>
    <w:rsid w:val="3A5B3385"/>
    <w:rsid w:val="3A71268C"/>
    <w:rsid w:val="3A881DEF"/>
    <w:rsid w:val="3A8E0B3B"/>
    <w:rsid w:val="3A9746CD"/>
    <w:rsid w:val="3A983149"/>
    <w:rsid w:val="3AA21D55"/>
    <w:rsid w:val="3AB31FC8"/>
    <w:rsid w:val="3AB57F4E"/>
    <w:rsid w:val="3B0B7552"/>
    <w:rsid w:val="3B253993"/>
    <w:rsid w:val="3B384E25"/>
    <w:rsid w:val="3B561BAD"/>
    <w:rsid w:val="3B5D44F4"/>
    <w:rsid w:val="3B6C3370"/>
    <w:rsid w:val="3BF05D4F"/>
    <w:rsid w:val="3BF07FBA"/>
    <w:rsid w:val="3C045356"/>
    <w:rsid w:val="3C1732DC"/>
    <w:rsid w:val="3C2C6CFD"/>
    <w:rsid w:val="3C335C3C"/>
    <w:rsid w:val="3C552516"/>
    <w:rsid w:val="3C616C4D"/>
    <w:rsid w:val="3C6E527F"/>
    <w:rsid w:val="3C9B118B"/>
    <w:rsid w:val="3C9F7ACB"/>
    <w:rsid w:val="3CE732AA"/>
    <w:rsid w:val="3CE75344"/>
    <w:rsid w:val="3D0221DE"/>
    <w:rsid w:val="3D2A5291"/>
    <w:rsid w:val="3D4225DB"/>
    <w:rsid w:val="3D4A6972"/>
    <w:rsid w:val="3D85696B"/>
    <w:rsid w:val="3D8E75CE"/>
    <w:rsid w:val="3DA60DBB"/>
    <w:rsid w:val="3DAE1A1E"/>
    <w:rsid w:val="3DF8713D"/>
    <w:rsid w:val="3E2148E6"/>
    <w:rsid w:val="3E573E64"/>
    <w:rsid w:val="3E732AC0"/>
    <w:rsid w:val="3E772758"/>
    <w:rsid w:val="3E843743"/>
    <w:rsid w:val="3E9F1660"/>
    <w:rsid w:val="3EA01CAF"/>
    <w:rsid w:val="3EBC67D0"/>
    <w:rsid w:val="3ED437FA"/>
    <w:rsid w:val="3EE9440D"/>
    <w:rsid w:val="3F0B413C"/>
    <w:rsid w:val="3F1461F9"/>
    <w:rsid w:val="3F2F3423"/>
    <w:rsid w:val="3F3D66CD"/>
    <w:rsid w:val="3F4B7F0F"/>
    <w:rsid w:val="3F67457A"/>
    <w:rsid w:val="3F703557"/>
    <w:rsid w:val="3F746048"/>
    <w:rsid w:val="3F746C97"/>
    <w:rsid w:val="3F8205BE"/>
    <w:rsid w:val="3F9D7F9C"/>
    <w:rsid w:val="3FAA4467"/>
    <w:rsid w:val="3FC512A1"/>
    <w:rsid w:val="3FC76DC7"/>
    <w:rsid w:val="3FED73CA"/>
    <w:rsid w:val="400A145A"/>
    <w:rsid w:val="40124B96"/>
    <w:rsid w:val="403326AF"/>
    <w:rsid w:val="404550EB"/>
    <w:rsid w:val="40490124"/>
    <w:rsid w:val="404B3C32"/>
    <w:rsid w:val="40707320"/>
    <w:rsid w:val="407A237F"/>
    <w:rsid w:val="408D1DBF"/>
    <w:rsid w:val="408E0724"/>
    <w:rsid w:val="409B4DCD"/>
    <w:rsid w:val="40A6437A"/>
    <w:rsid w:val="40A84E4B"/>
    <w:rsid w:val="40A86BF9"/>
    <w:rsid w:val="40B717D3"/>
    <w:rsid w:val="40B732E0"/>
    <w:rsid w:val="40BC08F6"/>
    <w:rsid w:val="40C33A32"/>
    <w:rsid w:val="40DA0D7C"/>
    <w:rsid w:val="40E243D7"/>
    <w:rsid w:val="40E63BC5"/>
    <w:rsid w:val="40FB5855"/>
    <w:rsid w:val="41036525"/>
    <w:rsid w:val="410C28BC"/>
    <w:rsid w:val="411C6E87"/>
    <w:rsid w:val="41222415"/>
    <w:rsid w:val="414C5861"/>
    <w:rsid w:val="417A7D2A"/>
    <w:rsid w:val="418F3431"/>
    <w:rsid w:val="41FA176A"/>
    <w:rsid w:val="423435B8"/>
    <w:rsid w:val="4258464E"/>
    <w:rsid w:val="425D7EB7"/>
    <w:rsid w:val="427E2307"/>
    <w:rsid w:val="428471F1"/>
    <w:rsid w:val="42B42080"/>
    <w:rsid w:val="42B60D1B"/>
    <w:rsid w:val="42D263AC"/>
    <w:rsid w:val="42F779C3"/>
    <w:rsid w:val="43002ED1"/>
    <w:rsid w:val="43041134"/>
    <w:rsid w:val="430D78DE"/>
    <w:rsid w:val="431D0562"/>
    <w:rsid w:val="431E13F4"/>
    <w:rsid w:val="43252782"/>
    <w:rsid w:val="433429C6"/>
    <w:rsid w:val="43362BE2"/>
    <w:rsid w:val="43486471"/>
    <w:rsid w:val="4359067E"/>
    <w:rsid w:val="43616E7D"/>
    <w:rsid w:val="436634C5"/>
    <w:rsid w:val="4392221B"/>
    <w:rsid w:val="43A044FF"/>
    <w:rsid w:val="43A318F9"/>
    <w:rsid w:val="43A86F10"/>
    <w:rsid w:val="43C875B2"/>
    <w:rsid w:val="43D16466"/>
    <w:rsid w:val="43DA644B"/>
    <w:rsid w:val="43E73EDC"/>
    <w:rsid w:val="43E819D5"/>
    <w:rsid w:val="43EB4717"/>
    <w:rsid w:val="43F77E57"/>
    <w:rsid w:val="44231DF0"/>
    <w:rsid w:val="44307631"/>
    <w:rsid w:val="4439400C"/>
    <w:rsid w:val="44442C83"/>
    <w:rsid w:val="445B539D"/>
    <w:rsid w:val="445E4335"/>
    <w:rsid w:val="445F1CC4"/>
    <w:rsid w:val="446B6541"/>
    <w:rsid w:val="447E681D"/>
    <w:rsid w:val="44942A12"/>
    <w:rsid w:val="44AC4FC7"/>
    <w:rsid w:val="44AD5AB7"/>
    <w:rsid w:val="44BD26E5"/>
    <w:rsid w:val="44BD4C3D"/>
    <w:rsid w:val="4504286C"/>
    <w:rsid w:val="45196317"/>
    <w:rsid w:val="45246E6C"/>
    <w:rsid w:val="452B429C"/>
    <w:rsid w:val="45366C08"/>
    <w:rsid w:val="455A06DD"/>
    <w:rsid w:val="456F5F37"/>
    <w:rsid w:val="45790B64"/>
    <w:rsid w:val="458A2D71"/>
    <w:rsid w:val="459534C4"/>
    <w:rsid w:val="45EA6E49"/>
    <w:rsid w:val="460A190A"/>
    <w:rsid w:val="46270A22"/>
    <w:rsid w:val="462F1B6A"/>
    <w:rsid w:val="46A21160"/>
    <w:rsid w:val="46B06807"/>
    <w:rsid w:val="46B40F3C"/>
    <w:rsid w:val="46BF588E"/>
    <w:rsid w:val="46C71DA3"/>
    <w:rsid w:val="46F54B62"/>
    <w:rsid w:val="46FA0D88"/>
    <w:rsid w:val="47022DDB"/>
    <w:rsid w:val="47213261"/>
    <w:rsid w:val="473531B0"/>
    <w:rsid w:val="47431429"/>
    <w:rsid w:val="477912EF"/>
    <w:rsid w:val="477D340C"/>
    <w:rsid w:val="47841F54"/>
    <w:rsid w:val="47B57E4D"/>
    <w:rsid w:val="47B73BC5"/>
    <w:rsid w:val="47BE6D02"/>
    <w:rsid w:val="47C36A0E"/>
    <w:rsid w:val="47C84024"/>
    <w:rsid w:val="47D772EC"/>
    <w:rsid w:val="47E510B7"/>
    <w:rsid w:val="47F46C1C"/>
    <w:rsid w:val="48021647"/>
    <w:rsid w:val="48082673"/>
    <w:rsid w:val="482079BC"/>
    <w:rsid w:val="482F53D6"/>
    <w:rsid w:val="48391D37"/>
    <w:rsid w:val="48393FC4"/>
    <w:rsid w:val="485B6C46"/>
    <w:rsid w:val="4866384A"/>
    <w:rsid w:val="486A50DB"/>
    <w:rsid w:val="486F26F2"/>
    <w:rsid w:val="48712F45"/>
    <w:rsid w:val="487B4BF3"/>
    <w:rsid w:val="487F0B87"/>
    <w:rsid w:val="48912668"/>
    <w:rsid w:val="48914416"/>
    <w:rsid w:val="48A22E75"/>
    <w:rsid w:val="48A51C70"/>
    <w:rsid w:val="48AD2F65"/>
    <w:rsid w:val="48BD345D"/>
    <w:rsid w:val="48DB1EBA"/>
    <w:rsid w:val="48DD53FB"/>
    <w:rsid w:val="48E64762"/>
    <w:rsid w:val="48EA42C6"/>
    <w:rsid w:val="48FE28A6"/>
    <w:rsid w:val="49042270"/>
    <w:rsid w:val="492359B6"/>
    <w:rsid w:val="49311755"/>
    <w:rsid w:val="493D634C"/>
    <w:rsid w:val="495D77D3"/>
    <w:rsid w:val="495E29B8"/>
    <w:rsid w:val="49813EF8"/>
    <w:rsid w:val="49867716"/>
    <w:rsid w:val="4989333F"/>
    <w:rsid w:val="49C76AE6"/>
    <w:rsid w:val="49D56585"/>
    <w:rsid w:val="49FC7FB5"/>
    <w:rsid w:val="4A0D148A"/>
    <w:rsid w:val="4A1264D9"/>
    <w:rsid w:val="4A3036E1"/>
    <w:rsid w:val="4A3F2F5D"/>
    <w:rsid w:val="4A410842"/>
    <w:rsid w:val="4A4A0D21"/>
    <w:rsid w:val="4A653674"/>
    <w:rsid w:val="4A673681"/>
    <w:rsid w:val="4A6E581C"/>
    <w:rsid w:val="4A7F68A7"/>
    <w:rsid w:val="4A834233"/>
    <w:rsid w:val="4A8423CD"/>
    <w:rsid w:val="4A875AD1"/>
    <w:rsid w:val="4A9401EE"/>
    <w:rsid w:val="4AE051E1"/>
    <w:rsid w:val="4AFD2237"/>
    <w:rsid w:val="4B3D2633"/>
    <w:rsid w:val="4B524331"/>
    <w:rsid w:val="4B5A7CCA"/>
    <w:rsid w:val="4B922D11"/>
    <w:rsid w:val="4B9506C1"/>
    <w:rsid w:val="4B9F28EF"/>
    <w:rsid w:val="4BAB1C93"/>
    <w:rsid w:val="4BAC12E9"/>
    <w:rsid w:val="4BAF77E3"/>
    <w:rsid w:val="4BB17792"/>
    <w:rsid w:val="4BBC29B0"/>
    <w:rsid w:val="4BBF225F"/>
    <w:rsid w:val="4BC56FCC"/>
    <w:rsid w:val="4BF40E3E"/>
    <w:rsid w:val="4C1A4723"/>
    <w:rsid w:val="4C237A7B"/>
    <w:rsid w:val="4C43011D"/>
    <w:rsid w:val="4C4D3F50"/>
    <w:rsid w:val="4C520360"/>
    <w:rsid w:val="4C6B00A8"/>
    <w:rsid w:val="4C701E77"/>
    <w:rsid w:val="4C72630D"/>
    <w:rsid w:val="4C776080"/>
    <w:rsid w:val="4C7C0669"/>
    <w:rsid w:val="4C9A3914"/>
    <w:rsid w:val="4C9D15DC"/>
    <w:rsid w:val="4CAF57B3"/>
    <w:rsid w:val="4CB570C4"/>
    <w:rsid w:val="4CC34DBA"/>
    <w:rsid w:val="4CC528E0"/>
    <w:rsid w:val="4CD54770"/>
    <w:rsid w:val="4CF15DE9"/>
    <w:rsid w:val="4CF84A64"/>
    <w:rsid w:val="4CFA3536"/>
    <w:rsid w:val="4D184DB9"/>
    <w:rsid w:val="4D395E7C"/>
    <w:rsid w:val="4D40640B"/>
    <w:rsid w:val="4D61529C"/>
    <w:rsid w:val="4D807B2F"/>
    <w:rsid w:val="4D8F5481"/>
    <w:rsid w:val="4DBE5CAD"/>
    <w:rsid w:val="4DDA72CC"/>
    <w:rsid w:val="4DDE00FE"/>
    <w:rsid w:val="4DE962E2"/>
    <w:rsid w:val="4DED20EF"/>
    <w:rsid w:val="4DFF1C65"/>
    <w:rsid w:val="4E001E00"/>
    <w:rsid w:val="4E0452F6"/>
    <w:rsid w:val="4E2D4BE1"/>
    <w:rsid w:val="4E2F2707"/>
    <w:rsid w:val="4E5403C0"/>
    <w:rsid w:val="4E577323"/>
    <w:rsid w:val="4E883785"/>
    <w:rsid w:val="4EA07BA7"/>
    <w:rsid w:val="4EC2494C"/>
    <w:rsid w:val="4ECA2430"/>
    <w:rsid w:val="4EE0713C"/>
    <w:rsid w:val="4EE564A3"/>
    <w:rsid w:val="4EEA2AD2"/>
    <w:rsid w:val="4F1B0EDE"/>
    <w:rsid w:val="4F6E725F"/>
    <w:rsid w:val="4F740500"/>
    <w:rsid w:val="4F934F18"/>
    <w:rsid w:val="4F960564"/>
    <w:rsid w:val="4FB8672C"/>
    <w:rsid w:val="4FC43323"/>
    <w:rsid w:val="4FC74BC1"/>
    <w:rsid w:val="4FD54158"/>
    <w:rsid w:val="4FE30917"/>
    <w:rsid w:val="500D4CCA"/>
    <w:rsid w:val="501F435C"/>
    <w:rsid w:val="5027330E"/>
    <w:rsid w:val="503C1837"/>
    <w:rsid w:val="503C735D"/>
    <w:rsid w:val="504723BC"/>
    <w:rsid w:val="5075328B"/>
    <w:rsid w:val="50835C26"/>
    <w:rsid w:val="509251CF"/>
    <w:rsid w:val="50AF4CDE"/>
    <w:rsid w:val="50AF7B2F"/>
    <w:rsid w:val="50C64E79"/>
    <w:rsid w:val="50CA6717"/>
    <w:rsid w:val="50D91050"/>
    <w:rsid w:val="50DC2766"/>
    <w:rsid w:val="50ED0658"/>
    <w:rsid w:val="50F03A56"/>
    <w:rsid w:val="510B7F1B"/>
    <w:rsid w:val="51316796"/>
    <w:rsid w:val="51334917"/>
    <w:rsid w:val="5139564B"/>
    <w:rsid w:val="51452242"/>
    <w:rsid w:val="51473C5A"/>
    <w:rsid w:val="51805293"/>
    <w:rsid w:val="51864860"/>
    <w:rsid w:val="51915487"/>
    <w:rsid w:val="51A258E6"/>
    <w:rsid w:val="51BA0C5F"/>
    <w:rsid w:val="51BD44CE"/>
    <w:rsid w:val="51C07B1A"/>
    <w:rsid w:val="52023B18"/>
    <w:rsid w:val="52151C14"/>
    <w:rsid w:val="5217598C"/>
    <w:rsid w:val="521B7081"/>
    <w:rsid w:val="52235AA1"/>
    <w:rsid w:val="52291B63"/>
    <w:rsid w:val="523A289F"/>
    <w:rsid w:val="5246001F"/>
    <w:rsid w:val="525C7843"/>
    <w:rsid w:val="528079D5"/>
    <w:rsid w:val="52BD6B2D"/>
    <w:rsid w:val="52C118CB"/>
    <w:rsid w:val="52C74B5B"/>
    <w:rsid w:val="52E64B7D"/>
    <w:rsid w:val="52E75AB2"/>
    <w:rsid w:val="530435E9"/>
    <w:rsid w:val="536B7291"/>
    <w:rsid w:val="536D782E"/>
    <w:rsid w:val="537D1A12"/>
    <w:rsid w:val="53890B0C"/>
    <w:rsid w:val="53923E52"/>
    <w:rsid w:val="53A44F5A"/>
    <w:rsid w:val="53C402D2"/>
    <w:rsid w:val="53C421A6"/>
    <w:rsid w:val="53C953AC"/>
    <w:rsid w:val="53CF0730"/>
    <w:rsid w:val="53D07F45"/>
    <w:rsid w:val="53EB70D0"/>
    <w:rsid w:val="53F006E8"/>
    <w:rsid w:val="540229FA"/>
    <w:rsid w:val="54161C73"/>
    <w:rsid w:val="543547EF"/>
    <w:rsid w:val="543C0AB5"/>
    <w:rsid w:val="545207D2"/>
    <w:rsid w:val="5474356A"/>
    <w:rsid w:val="54947768"/>
    <w:rsid w:val="54DA2D1D"/>
    <w:rsid w:val="54DC110F"/>
    <w:rsid w:val="55144405"/>
    <w:rsid w:val="55350158"/>
    <w:rsid w:val="553C190A"/>
    <w:rsid w:val="553D42F4"/>
    <w:rsid w:val="554A7FBB"/>
    <w:rsid w:val="555A181E"/>
    <w:rsid w:val="556A70BB"/>
    <w:rsid w:val="557A6155"/>
    <w:rsid w:val="558E065B"/>
    <w:rsid w:val="55911EF9"/>
    <w:rsid w:val="55B17114"/>
    <w:rsid w:val="55C220B3"/>
    <w:rsid w:val="55CD79BC"/>
    <w:rsid w:val="55DF4A23"/>
    <w:rsid w:val="55E53FF3"/>
    <w:rsid w:val="55EB160A"/>
    <w:rsid w:val="55F36710"/>
    <w:rsid w:val="55FC1EE9"/>
    <w:rsid w:val="5612303A"/>
    <w:rsid w:val="56234114"/>
    <w:rsid w:val="562C4BF8"/>
    <w:rsid w:val="563F3E20"/>
    <w:rsid w:val="566969D2"/>
    <w:rsid w:val="566F250E"/>
    <w:rsid w:val="568455BA"/>
    <w:rsid w:val="568C7EF3"/>
    <w:rsid w:val="569E48CE"/>
    <w:rsid w:val="56A67499"/>
    <w:rsid w:val="56AB0D99"/>
    <w:rsid w:val="56C45044"/>
    <w:rsid w:val="56D54068"/>
    <w:rsid w:val="56E11498"/>
    <w:rsid w:val="570D0312"/>
    <w:rsid w:val="5716766C"/>
    <w:rsid w:val="572A4F61"/>
    <w:rsid w:val="57521214"/>
    <w:rsid w:val="5774562F"/>
    <w:rsid w:val="578E4942"/>
    <w:rsid w:val="57970536"/>
    <w:rsid w:val="57A02449"/>
    <w:rsid w:val="57A74D3D"/>
    <w:rsid w:val="57B974E6"/>
    <w:rsid w:val="57BC3869"/>
    <w:rsid w:val="57CE11E3"/>
    <w:rsid w:val="57DE6F4C"/>
    <w:rsid w:val="57E26A3C"/>
    <w:rsid w:val="57E7388C"/>
    <w:rsid w:val="57EA769F"/>
    <w:rsid w:val="58070251"/>
    <w:rsid w:val="580C6D7B"/>
    <w:rsid w:val="58306D10"/>
    <w:rsid w:val="588C15CC"/>
    <w:rsid w:val="58AA1192"/>
    <w:rsid w:val="58B27195"/>
    <w:rsid w:val="58BA7E6C"/>
    <w:rsid w:val="58BC54DF"/>
    <w:rsid w:val="58FE255D"/>
    <w:rsid w:val="59013595"/>
    <w:rsid w:val="590429E2"/>
    <w:rsid w:val="591E0A5B"/>
    <w:rsid w:val="591F15CA"/>
    <w:rsid w:val="593B4656"/>
    <w:rsid w:val="594554D5"/>
    <w:rsid w:val="59464DA9"/>
    <w:rsid w:val="594A4899"/>
    <w:rsid w:val="59561B9F"/>
    <w:rsid w:val="597C07CB"/>
    <w:rsid w:val="59A73A9A"/>
    <w:rsid w:val="59B461B6"/>
    <w:rsid w:val="59BA3FF2"/>
    <w:rsid w:val="59BA4513"/>
    <w:rsid w:val="59C30A7F"/>
    <w:rsid w:val="59D423B5"/>
    <w:rsid w:val="59E074F3"/>
    <w:rsid w:val="59F321FC"/>
    <w:rsid w:val="59FA62BF"/>
    <w:rsid w:val="5A2F6381"/>
    <w:rsid w:val="5A373014"/>
    <w:rsid w:val="5A3B2434"/>
    <w:rsid w:val="5A494B51"/>
    <w:rsid w:val="5A606760"/>
    <w:rsid w:val="5AA21B93"/>
    <w:rsid w:val="5AA33012"/>
    <w:rsid w:val="5ACB22C3"/>
    <w:rsid w:val="5AD43EEF"/>
    <w:rsid w:val="5AD7215D"/>
    <w:rsid w:val="5AEE394A"/>
    <w:rsid w:val="5AF51E05"/>
    <w:rsid w:val="5B1645F9"/>
    <w:rsid w:val="5B1C4013"/>
    <w:rsid w:val="5B215ACE"/>
    <w:rsid w:val="5B261F28"/>
    <w:rsid w:val="5B2D4472"/>
    <w:rsid w:val="5B3204AE"/>
    <w:rsid w:val="5B34049B"/>
    <w:rsid w:val="5B3C70FF"/>
    <w:rsid w:val="5B3E21DC"/>
    <w:rsid w:val="5B5D7E1A"/>
    <w:rsid w:val="5B6065F6"/>
    <w:rsid w:val="5B6339F0"/>
    <w:rsid w:val="5B667984"/>
    <w:rsid w:val="5B7D3AD4"/>
    <w:rsid w:val="5B920779"/>
    <w:rsid w:val="5BA23FE5"/>
    <w:rsid w:val="5BCE7A03"/>
    <w:rsid w:val="5BE75443"/>
    <w:rsid w:val="5C1473E0"/>
    <w:rsid w:val="5C207B33"/>
    <w:rsid w:val="5C361105"/>
    <w:rsid w:val="5C56756F"/>
    <w:rsid w:val="5C5C3190"/>
    <w:rsid w:val="5C6E4D42"/>
    <w:rsid w:val="5C872A07"/>
    <w:rsid w:val="5CCB7A9F"/>
    <w:rsid w:val="5CD728E8"/>
    <w:rsid w:val="5CE13802"/>
    <w:rsid w:val="5CE47462"/>
    <w:rsid w:val="5CE57130"/>
    <w:rsid w:val="5CEB4A45"/>
    <w:rsid w:val="5CFE60C6"/>
    <w:rsid w:val="5D0668AC"/>
    <w:rsid w:val="5D3A4C25"/>
    <w:rsid w:val="5D4A1E7A"/>
    <w:rsid w:val="5D5958B4"/>
    <w:rsid w:val="5D916F3A"/>
    <w:rsid w:val="5D9724E6"/>
    <w:rsid w:val="5DA14CA4"/>
    <w:rsid w:val="5DC21912"/>
    <w:rsid w:val="5DCC7F73"/>
    <w:rsid w:val="5DD62B9F"/>
    <w:rsid w:val="5DE05969"/>
    <w:rsid w:val="5DEA664B"/>
    <w:rsid w:val="5DFB763C"/>
    <w:rsid w:val="5E033269"/>
    <w:rsid w:val="5E086AD1"/>
    <w:rsid w:val="5E622685"/>
    <w:rsid w:val="5E824AD5"/>
    <w:rsid w:val="5E83629B"/>
    <w:rsid w:val="5E8F2D4E"/>
    <w:rsid w:val="5E9B5A83"/>
    <w:rsid w:val="5EBB200E"/>
    <w:rsid w:val="5EBC105D"/>
    <w:rsid w:val="5EC724E8"/>
    <w:rsid w:val="5ED846F5"/>
    <w:rsid w:val="5EE017FC"/>
    <w:rsid w:val="5F021772"/>
    <w:rsid w:val="5F0E0117"/>
    <w:rsid w:val="5F571ABE"/>
    <w:rsid w:val="5F5930E0"/>
    <w:rsid w:val="5F700DD2"/>
    <w:rsid w:val="5F740E47"/>
    <w:rsid w:val="5F8108E9"/>
    <w:rsid w:val="5FBA204D"/>
    <w:rsid w:val="5FCE450D"/>
    <w:rsid w:val="5FCE4D99"/>
    <w:rsid w:val="5FD75E47"/>
    <w:rsid w:val="5FE04939"/>
    <w:rsid w:val="5FE12603"/>
    <w:rsid w:val="6008100A"/>
    <w:rsid w:val="60163727"/>
    <w:rsid w:val="60234553"/>
    <w:rsid w:val="60363DC9"/>
    <w:rsid w:val="603F29C1"/>
    <w:rsid w:val="605D58D7"/>
    <w:rsid w:val="605E6E7C"/>
    <w:rsid w:val="606E6ABD"/>
    <w:rsid w:val="60771CEC"/>
    <w:rsid w:val="607B5C80"/>
    <w:rsid w:val="607C1252"/>
    <w:rsid w:val="60A8771C"/>
    <w:rsid w:val="60AB42A2"/>
    <w:rsid w:val="60AE7E03"/>
    <w:rsid w:val="60B90BF4"/>
    <w:rsid w:val="60BB7E2A"/>
    <w:rsid w:val="610C6665"/>
    <w:rsid w:val="611115F9"/>
    <w:rsid w:val="6118702B"/>
    <w:rsid w:val="611C2337"/>
    <w:rsid w:val="61293DF3"/>
    <w:rsid w:val="6133294F"/>
    <w:rsid w:val="614610F4"/>
    <w:rsid w:val="61742A83"/>
    <w:rsid w:val="61796CB2"/>
    <w:rsid w:val="617D1968"/>
    <w:rsid w:val="61AB4343"/>
    <w:rsid w:val="61C35BF9"/>
    <w:rsid w:val="61DF3FED"/>
    <w:rsid w:val="61DF6CF6"/>
    <w:rsid w:val="61E814E9"/>
    <w:rsid w:val="61ED6709"/>
    <w:rsid w:val="62001A0A"/>
    <w:rsid w:val="62083543"/>
    <w:rsid w:val="620B6285"/>
    <w:rsid w:val="6210426E"/>
    <w:rsid w:val="621A6DD3"/>
    <w:rsid w:val="62326812"/>
    <w:rsid w:val="62377985"/>
    <w:rsid w:val="62422518"/>
    <w:rsid w:val="624F1172"/>
    <w:rsid w:val="62612C54"/>
    <w:rsid w:val="626F711E"/>
    <w:rsid w:val="62710E5F"/>
    <w:rsid w:val="627E55B4"/>
    <w:rsid w:val="62860415"/>
    <w:rsid w:val="628C1A7E"/>
    <w:rsid w:val="629578F8"/>
    <w:rsid w:val="629E7A04"/>
    <w:rsid w:val="62A3501A"/>
    <w:rsid w:val="62BB6808"/>
    <w:rsid w:val="62C01E93"/>
    <w:rsid w:val="62ED4E82"/>
    <w:rsid w:val="630C2BBF"/>
    <w:rsid w:val="631C2DE5"/>
    <w:rsid w:val="63273E9D"/>
    <w:rsid w:val="634A36E8"/>
    <w:rsid w:val="634B514E"/>
    <w:rsid w:val="634E7C3F"/>
    <w:rsid w:val="63770981"/>
    <w:rsid w:val="63836F3A"/>
    <w:rsid w:val="638C790B"/>
    <w:rsid w:val="639840F5"/>
    <w:rsid w:val="639C0744"/>
    <w:rsid w:val="63C17E4E"/>
    <w:rsid w:val="63C67883"/>
    <w:rsid w:val="63CB65D6"/>
    <w:rsid w:val="63D52998"/>
    <w:rsid w:val="64012005"/>
    <w:rsid w:val="64104931"/>
    <w:rsid w:val="64287ECD"/>
    <w:rsid w:val="6436389A"/>
    <w:rsid w:val="643C6CB2"/>
    <w:rsid w:val="64680AA0"/>
    <w:rsid w:val="646903C9"/>
    <w:rsid w:val="646A4CD8"/>
    <w:rsid w:val="648469BC"/>
    <w:rsid w:val="648C220A"/>
    <w:rsid w:val="64970BAF"/>
    <w:rsid w:val="64A043B8"/>
    <w:rsid w:val="64A55079"/>
    <w:rsid w:val="64B251B8"/>
    <w:rsid w:val="64B74DAD"/>
    <w:rsid w:val="64CA6E23"/>
    <w:rsid w:val="64CC2606"/>
    <w:rsid w:val="64CD21AB"/>
    <w:rsid w:val="64D25036"/>
    <w:rsid w:val="64E20C5E"/>
    <w:rsid w:val="64FF0C2E"/>
    <w:rsid w:val="65047D7F"/>
    <w:rsid w:val="650520CD"/>
    <w:rsid w:val="65053D6A"/>
    <w:rsid w:val="65395466"/>
    <w:rsid w:val="653D4140"/>
    <w:rsid w:val="653E4CDE"/>
    <w:rsid w:val="656D3445"/>
    <w:rsid w:val="6578453C"/>
    <w:rsid w:val="659155FE"/>
    <w:rsid w:val="659F5F6D"/>
    <w:rsid w:val="65B94FC0"/>
    <w:rsid w:val="65BA6903"/>
    <w:rsid w:val="65D33518"/>
    <w:rsid w:val="65DF0E05"/>
    <w:rsid w:val="65EE2A50"/>
    <w:rsid w:val="65FA69A9"/>
    <w:rsid w:val="65FF1D4D"/>
    <w:rsid w:val="66024CEF"/>
    <w:rsid w:val="66202B8F"/>
    <w:rsid w:val="662A132F"/>
    <w:rsid w:val="66660838"/>
    <w:rsid w:val="66794A10"/>
    <w:rsid w:val="66B71094"/>
    <w:rsid w:val="66BB0B84"/>
    <w:rsid w:val="66C33EDD"/>
    <w:rsid w:val="66D32372"/>
    <w:rsid w:val="66D366D7"/>
    <w:rsid w:val="66D3685A"/>
    <w:rsid w:val="66D82907"/>
    <w:rsid w:val="670151B2"/>
    <w:rsid w:val="670A38BA"/>
    <w:rsid w:val="670C7632"/>
    <w:rsid w:val="6718068C"/>
    <w:rsid w:val="67220C03"/>
    <w:rsid w:val="67226E55"/>
    <w:rsid w:val="677F6056"/>
    <w:rsid w:val="6788081E"/>
    <w:rsid w:val="679141EB"/>
    <w:rsid w:val="67A27F96"/>
    <w:rsid w:val="67DF722C"/>
    <w:rsid w:val="67F179E5"/>
    <w:rsid w:val="68092C9C"/>
    <w:rsid w:val="683E1F97"/>
    <w:rsid w:val="68430AED"/>
    <w:rsid w:val="6861575B"/>
    <w:rsid w:val="6864524C"/>
    <w:rsid w:val="68664B20"/>
    <w:rsid w:val="6871574C"/>
    <w:rsid w:val="687C724F"/>
    <w:rsid w:val="68822802"/>
    <w:rsid w:val="689E42BA"/>
    <w:rsid w:val="68C652EE"/>
    <w:rsid w:val="68E5638C"/>
    <w:rsid w:val="68E85E7D"/>
    <w:rsid w:val="68F42334"/>
    <w:rsid w:val="69056D5A"/>
    <w:rsid w:val="690F6F65"/>
    <w:rsid w:val="691E296E"/>
    <w:rsid w:val="691F21A2"/>
    <w:rsid w:val="692C3FBB"/>
    <w:rsid w:val="6933534A"/>
    <w:rsid w:val="69652C31"/>
    <w:rsid w:val="69670B4F"/>
    <w:rsid w:val="69733998"/>
    <w:rsid w:val="697F233D"/>
    <w:rsid w:val="698414AB"/>
    <w:rsid w:val="699D0A15"/>
    <w:rsid w:val="699F46A1"/>
    <w:rsid w:val="69A578CA"/>
    <w:rsid w:val="69B64C2B"/>
    <w:rsid w:val="69BD4C13"/>
    <w:rsid w:val="69CA7330"/>
    <w:rsid w:val="69EA32AA"/>
    <w:rsid w:val="69ED4FB2"/>
    <w:rsid w:val="6A1B06CD"/>
    <w:rsid w:val="6A276D16"/>
    <w:rsid w:val="6A450888"/>
    <w:rsid w:val="6A5A380F"/>
    <w:rsid w:val="6A7177BA"/>
    <w:rsid w:val="6A7A0D56"/>
    <w:rsid w:val="6A8F4802"/>
    <w:rsid w:val="6A975464"/>
    <w:rsid w:val="6AA61D8A"/>
    <w:rsid w:val="6AF01018"/>
    <w:rsid w:val="6B030D4C"/>
    <w:rsid w:val="6B054A88"/>
    <w:rsid w:val="6B655563"/>
    <w:rsid w:val="6B6A0DCB"/>
    <w:rsid w:val="6B851761"/>
    <w:rsid w:val="6B9D4CFC"/>
    <w:rsid w:val="6BBD0EFB"/>
    <w:rsid w:val="6BD2397F"/>
    <w:rsid w:val="6BD27AB8"/>
    <w:rsid w:val="6BD85D34"/>
    <w:rsid w:val="6BE44084"/>
    <w:rsid w:val="6C0C3C30"/>
    <w:rsid w:val="6C1D5E3D"/>
    <w:rsid w:val="6C220D8D"/>
    <w:rsid w:val="6C256AA0"/>
    <w:rsid w:val="6C3B7BA1"/>
    <w:rsid w:val="6C3F65A7"/>
    <w:rsid w:val="6C465394"/>
    <w:rsid w:val="6C4C227F"/>
    <w:rsid w:val="6C4E3951"/>
    <w:rsid w:val="6C7041BF"/>
    <w:rsid w:val="6C870A40"/>
    <w:rsid w:val="6CAD71C1"/>
    <w:rsid w:val="6CFA7F2C"/>
    <w:rsid w:val="6D0019E7"/>
    <w:rsid w:val="6D15087C"/>
    <w:rsid w:val="6D1E3C1B"/>
    <w:rsid w:val="6D5D0BE7"/>
    <w:rsid w:val="6D8D6F9D"/>
    <w:rsid w:val="6D9A2F35"/>
    <w:rsid w:val="6DAE53F9"/>
    <w:rsid w:val="6DAF2A8F"/>
    <w:rsid w:val="6E0077C5"/>
    <w:rsid w:val="6E29269D"/>
    <w:rsid w:val="6E4224F5"/>
    <w:rsid w:val="6E6407EF"/>
    <w:rsid w:val="6E697118"/>
    <w:rsid w:val="6E6C605B"/>
    <w:rsid w:val="6E837D5D"/>
    <w:rsid w:val="6E85604E"/>
    <w:rsid w:val="6E9D5D62"/>
    <w:rsid w:val="6EA168B2"/>
    <w:rsid w:val="6EBC7B8F"/>
    <w:rsid w:val="6ED0363B"/>
    <w:rsid w:val="6ED84CA2"/>
    <w:rsid w:val="6EFC4430"/>
    <w:rsid w:val="6EFE45C9"/>
    <w:rsid w:val="6F473DBE"/>
    <w:rsid w:val="6F891B0C"/>
    <w:rsid w:val="6F8C57B4"/>
    <w:rsid w:val="6F926156"/>
    <w:rsid w:val="6F96218E"/>
    <w:rsid w:val="6F983F70"/>
    <w:rsid w:val="6FA93B24"/>
    <w:rsid w:val="6FC41D71"/>
    <w:rsid w:val="6FD607DD"/>
    <w:rsid w:val="6FEC03DF"/>
    <w:rsid w:val="70294DB1"/>
    <w:rsid w:val="70311EB7"/>
    <w:rsid w:val="70480FAF"/>
    <w:rsid w:val="704F058F"/>
    <w:rsid w:val="707A1AB0"/>
    <w:rsid w:val="7084648B"/>
    <w:rsid w:val="70AD70EB"/>
    <w:rsid w:val="70BA7641"/>
    <w:rsid w:val="70C81FB9"/>
    <w:rsid w:val="70C94DEE"/>
    <w:rsid w:val="70E24F2A"/>
    <w:rsid w:val="71105F71"/>
    <w:rsid w:val="71301EB0"/>
    <w:rsid w:val="71562C1B"/>
    <w:rsid w:val="716B13F9"/>
    <w:rsid w:val="718D75C1"/>
    <w:rsid w:val="71C922DD"/>
    <w:rsid w:val="71CB0748"/>
    <w:rsid w:val="71D23226"/>
    <w:rsid w:val="71D60F68"/>
    <w:rsid w:val="71D92806"/>
    <w:rsid w:val="71E64695"/>
    <w:rsid w:val="71ED286D"/>
    <w:rsid w:val="71F65166"/>
    <w:rsid w:val="71FC3D99"/>
    <w:rsid w:val="720A713E"/>
    <w:rsid w:val="72493B56"/>
    <w:rsid w:val="726E2F4F"/>
    <w:rsid w:val="72715DBD"/>
    <w:rsid w:val="727442DD"/>
    <w:rsid w:val="72AB74A5"/>
    <w:rsid w:val="72BF1FCE"/>
    <w:rsid w:val="72C139C6"/>
    <w:rsid w:val="72C62D8B"/>
    <w:rsid w:val="72C74980"/>
    <w:rsid w:val="72D60AF4"/>
    <w:rsid w:val="72EC1B99"/>
    <w:rsid w:val="730D6C0C"/>
    <w:rsid w:val="73164BEE"/>
    <w:rsid w:val="732857F3"/>
    <w:rsid w:val="73353469"/>
    <w:rsid w:val="73361B49"/>
    <w:rsid w:val="734C0F73"/>
    <w:rsid w:val="7355410F"/>
    <w:rsid w:val="73612AB3"/>
    <w:rsid w:val="73705C26"/>
    <w:rsid w:val="739D7C77"/>
    <w:rsid w:val="73A40BF2"/>
    <w:rsid w:val="73BC6D60"/>
    <w:rsid w:val="73D019E7"/>
    <w:rsid w:val="73E159A2"/>
    <w:rsid w:val="74077AAC"/>
    <w:rsid w:val="74143DE2"/>
    <w:rsid w:val="74192A57"/>
    <w:rsid w:val="7423420D"/>
    <w:rsid w:val="74295F71"/>
    <w:rsid w:val="742F4960"/>
    <w:rsid w:val="74664226"/>
    <w:rsid w:val="748A603A"/>
    <w:rsid w:val="749B1FF5"/>
    <w:rsid w:val="74D11E81"/>
    <w:rsid w:val="75065B7F"/>
    <w:rsid w:val="752D3F1E"/>
    <w:rsid w:val="753326F4"/>
    <w:rsid w:val="754602FA"/>
    <w:rsid w:val="755A763E"/>
    <w:rsid w:val="755D1591"/>
    <w:rsid w:val="75647671"/>
    <w:rsid w:val="756D3991"/>
    <w:rsid w:val="75862CA5"/>
    <w:rsid w:val="75906A9D"/>
    <w:rsid w:val="759A405B"/>
    <w:rsid w:val="75D9146A"/>
    <w:rsid w:val="75EA6D90"/>
    <w:rsid w:val="75F145C2"/>
    <w:rsid w:val="75F9331B"/>
    <w:rsid w:val="760C6600"/>
    <w:rsid w:val="760D04BC"/>
    <w:rsid w:val="7610529E"/>
    <w:rsid w:val="761F0029"/>
    <w:rsid w:val="761F01EE"/>
    <w:rsid w:val="76232CDF"/>
    <w:rsid w:val="762A586E"/>
    <w:rsid w:val="762F092F"/>
    <w:rsid w:val="763149BF"/>
    <w:rsid w:val="76320737"/>
    <w:rsid w:val="764B35A7"/>
    <w:rsid w:val="764C17F9"/>
    <w:rsid w:val="764C5480"/>
    <w:rsid w:val="766B05BB"/>
    <w:rsid w:val="766D176F"/>
    <w:rsid w:val="76A258BD"/>
    <w:rsid w:val="76AA4771"/>
    <w:rsid w:val="76B33626"/>
    <w:rsid w:val="76BB7FA4"/>
    <w:rsid w:val="76DB0DCF"/>
    <w:rsid w:val="76DD54BE"/>
    <w:rsid w:val="77026A79"/>
    <w:rsid w:val="772207AC"/>
    <w:rsid w:val="772939C2"/>
    <w:rsid w:val="77304C77"/>
    <w:rsid w:val="77343F30"/>
    <w:rsid w:val="773B361B"/>
    <w:rsid w:val="7743794A"/>
    <w:rsid w:val="77534E09"/>
    <w:rsid w:val="77713434"/>
    <w:rsid w:val="77740F29"/>
    <w:rsid w:val="77893BA9"/>
    <w:rsid w:val="77A00454"/>
    <w:rsid w:val="77A15B74"/>
    <w:rsid w:val="77BE0BAA"/>
    <w:rsid w:val="78324A1E"/>
    <w:rsid w:val="784C1F84"/>
    <w:rsid w:val="78646412"/>
    <w:rsid w:val="7866291A"/>
    <w:rsid w:val="786A065C"/>
    <w:rsid w:val="788A77FE"/>
    <w:rsid w:val="78931961"/>
    <w:rsid w:val="78A3591C"/>
    <w:rsid w:val="78DB6E64"/>
    <w:rsid w:val="78EC72C3"/>
    <w:rsid w:val="78FB12B4"/>
    <w:rsid w:val="790F6B0E"/>
    <w:rsid w:val="79187CFE"/>
    <w:rsid w:val="791F31F5"/>
    <w:rsid w:val="79336CA0"/>
    <w:rsid w:val="79415ED0"/>
    <w:rsid w:val="795A5158"/>
    <w:rsid w:val="79A851F6"/>
    <w:rsid w:val="79AB4A88"/>
    <w:rsid w:val="79D378EE"/>
    <w:rsid w:val="79E93803"/>
    <w:rsid w:val="79EA1A55"/>
    <w:rsid w:val="7A066163"/>
    <w:rsid w:val="7A1B7E60"/>
    <w:rsid w:val="7A304F8E"/>
    <w:rsid w:val="7A3C1B84"/>
    <w:rsid w:val="7A64168E"/>
    <w:rsid w:val="7A70182E"/>
    <w:rsid w:val="7A74131E"/>
    <w:rsid w:val="7A8157E9"/>
    <w:rsid w:val="7A897A50"/>
    <w:rsid w:val="7A8B0BA1"/>
    <w:rsid w:val="7A992B33"/>
    <w:rsid w:val="7A9D09C9"/>
    <w:rsid w:val="7AA664FD"/>
    <w:rsid w:val="7AB0282F"/>
    <w:rsid w:val="7AD26961"/>
    <w:rsid w:val="7AF03942"/>
    <w:rsid w:val="7AF449C4"/>
    <w:rsid w:val="7B1249F7"/>
    <w:rsid w:val="7B204C45"/>
    <w:rsid w:val="7B24133B"/>
    <w:rsid w:val="7B2745E3"/>
    <w:rsid w:val="7B436059"/>
    <w:rsid w:val="7B4A02D1"/>
    <w:rsid w:val="7B5315B8"/>
    <w:rsid w:val="7B615D46"/>
    <w:rsid w:val="7B7610C6"/>
    <w:rsid w:val="7B87251F"/>
    <w:rsid w:val="7B8726D4"/>
    <w:rsid w:val="7BA30286"/>
    <w:rsid w:val="7BC04D1F"/>
    <w:rsid w:val="7BC93671"/>
    <w:rsid w:val="7BD31CA7"/>
    <w:rsid w:val="7BDF0A19"/>
    <w:rsid w:val="7BE86FD9"/>
    <w:rsid w:val="7BF32349"/>
    <w:rsid w:val="7C1E3C37"/>
    <w:rsid w:val="7C2823C0"/>
    <w:rsid w:val="7C7E289D"/>
    <w:rsid w:val="7C7E6484"/>
    <w:rsid w:val="7C7F3FAA"/>
    <w:rsid w:val="7CC90BBB"/>
    <w:rsid w:val="7CCF4F32"/>
    <w:rsid w:val="7CD442F6"/>
    <w:rsid w:val="7CD73DE6"/>
    <w:rsid w:val="7CD824D6"/>
    <w:rsid w:val="7CF577D7"/>
    <w:rsid w:val="7D0270B5"/>
    <w:rsid w:val="7D0821F2"/>
    <w:rsid w:val="7D0F1A31"/>
    <w:rsid w:val="7D152EC3"/>
    <w:rsid w:val="7D170ECC"/>
    <w:rsid w:val="7D1E3EA3"/>
    <w:rsid w:val="7D2C6397"/>
    <w:rsid w:val="7D3354C1"/>
    <w:rsid w:val="7D48697A"/>
    <w:rsid w:val="7D7718E6"/>
    <w:rsid w:val="7DA834E4"/>
    <w:rsid w:val="7DD470F5"/>
    <w:rsid w:val="7DDB3462"/>
    <w:rsid w:val="7DDC6A1D"/>
    <w:rsid w:val="7DE40569"/>
    <w:rsid w:val="7E015288"/>
    <w:rsid w:val="7E2272E3"/>
    <w:rsid w:val="7E3239CA"/>
    <w:rsid w:val="7E83478B"/>
    <w:rsid w:val="7E97390A"/>
    <w:rsid w:val="7E9A5A22"/>
    <w:rsid w:val="7E9F26E2"/>
    <w:rsid w:val="7EAF501B"/>
    <w:rsid w:val="7EB75C7D"/>
    <w:rsid w:val="7ED00AED"/>
    <w:rsid w:val="7EE36A72"/>
    <w:rsid w:val="7EE97F06"/>
    <w:rsid w:val="7F21759B"/>
    <w:rsid w:val="7F2257ED"/>
    <w:rsid w:val="7F38184C"/>
    <w:rsid w:val="7F442685"/>
    <w:rsid w:val="7F4734A5"/>
    <w:rsid w:val="7F4F235A"/>
    <w:rsid w:val="7F565496"/>
    <w:rsid w:val="7F5D4E94"/>
    <w:rsid w:val="7F6404F2"/>
    <w:rsid w:val="7F6A2CF0"/>
    <w:rsid w:val="7F7818B1"/>
    <w:rsid w:val="7F8204DC"/>
    <w:rsid w:val="7F8C710A"/>
    <w:rsid w:val="7F8E2E82"/>
    <w:rsid w:val="7FA06711"/>
    <w:rsid w:val="7FE24F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spacing w:beforeLines="0" w:beforeAutospacing="0" w:afterLines="0" w:afterAutospacing="0" w:line="360" w:lineRule="auto"/>
      <w:ind w:left="432" w:hanging="432" w:firstLineChars="0"/>
      <w:jc w:val="left"/>
      <w:outlineLvl w:val="0"/>
    </w:pPr>
    <w:rPr>
      <w:rFonts w:ascii="Times New Roman" w:hAnsi="Times New Roman" w:eastAsia="宋体" w:cs="Times New Roman"/>
      <w:b/>
      <w:kern w:val="44"/>
      <w:sz w:val="30"/>
      <w:szCs w:val="28"/>
      <w:vertAlign w:val="baseline"/>
    </w:rPr>
  </w:style>
  <w:style w:type="paragraph" w:styleId="3">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575" w:hanging="575"/>
      <w:outlineLvl w:val="1"/>
    </w:pPr>
    <w:rPr>
      <w:rFonts w:ascii="Arial" w:hAnsi="Arial" w:eastAsia="黑体"/>
      <w:b/>
      <w:sz w:val="32"/>
    </w:rPr>
  </w:style>
  <w:style w:type="paragraph" w:styleId="4">
    <w:name w:val="heading 3"/>
    <w:basedOn w:val="1"/>
    <w:next w:val="1"/>
    <w:semiHidden/>
    <w:unhideWhenUsed/>
    <w:qFormat/>
    <w:uiPriority w:val="0"/>
    <w:pPr>
      <w:keepNext/>
      <w:keepLines/>
      <w:numPr>
        <w:ilvl w:val="2"/>
        <w:numId w:val="1"/>
      </w:numPr>
      <w:spacing w:before="260" w:beforeLines="0" w:beforeAutospacing="0" w:afterLines="0" w:afterAutospacing="0" w:line="360" w:lineRule="auto"/>
      <w:ind w:left="0" w:firstLine="0" w:firstLineChars="0"/>
      <w:outlineLvl w:val="2"/>
    </w:pPr>
    <w:rPr>
      <w:rFonts w:ascii="Times New Roman" w:hAnsi="Times New Roman" w:eastAsia="宋体" w:cs="Times New Roman"/>
      <w:b/>
      <w:sz w:val="28"/>
      <w:szCs w:val="28"/>
      <w:vertAlign w:val="superscript"/>
    </w:rPr>
  </w:style>
  <w:style w:type="paragraph" w:styleId="5">
    <w:name w:val="heading 4"/>
    <w:basedOn w:val="1"/>
    <w:next w:val="1"/>
    <w:link w:val="35"/>
    <w:semiHidden/>
    <w:unhideWhenUsed/>
    <w:qFormat/>
    <w:uiPriority w:val="0"/>
    <w:pPr>
      <w:keepNext/>
      <w:keepLines/>
      <w:numPr>
        <w:ilvl w:val="3"/>
        <w:numId w:val="1"/>
      </w:numPr>
      <w:tabs>
        <w:tab w:val="left" w:pos="0"/>
      </w:tabs>
      <w:adjustRightInd w:val="0"/>
      <w:spacing w:line="240" w:lineRule="auto"/>
      <w:ind w:left="864" w:hanging="864"/>
      <w:textAlignment w:val="baseline"/>
      <w:outlineLvl w:val="3"/>
    </w:pPr>
    <w:rPr>
      <w:rFonts w:ascii="Times New Roman" w:hAnsi="Times New Roman" w:eastAsia="宋体" w:cs="Times New Roman"/>
      <w:b/>
      <w:kern w:val="0"/>
      <w:sz w:val="24"/>
      <w:szCs w:val="24"/>
    </w:rPr>
  </w:style>
  <w:style w:type="paragraph" w:styleId="6">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1008" w:hanging="1008"/>
      <w:outlineLvl w:val="4"/>
    </w:pPr>
    <w:rPr>
      <w:b/>
      <w:sz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51" w:hanging="1151"/>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96" w:hanging="1296"/>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31">
    <w:name w:val="Default Paragraph Font"/>
    <w:semiHidden/>
    <w:qFormat/>
    <w:uiPriority w:val="0"/>
  </w:style>
  <w:style w:type="table" w:default="1" w:styleId="29">
    <w:name w:val="Normal Table"/>
    <w:semiHidden/>
    <w:qFormat/>
    <w:uiPriority w:val="0"/>
    <w:tblPr>
      <w:tblCellMar>
        <w:top w:w="0" w:type="dxa"/>
        <w:left w:w="108" w:type="dxa"/>
        <w:bottom w:w="0" w:type="dxa"/>
        <w:right w:w="108" w:type="dxa"/>
      </w:tblCellMar>
    </w:tblPr>
  </w:style>
  <w:style w:type="paragraph" w:styleId="11">
    <w:name w:val="Normal Indent"/>
    <w:basedOn w:val="1"/>
    <w:next w:val="1"/>
    <w:qFormat/>
    <w:uiPriority w:val="0"/>
    <w:pPr>
      <w:ind w:firstLine="420" w:firstLineChars="200"/>
    </w:pPr>
    <w:rPr>
      <w:rFonts w:eastAsia="宋体"/>
      <w:kern w:val="2"/>
      <w:sz w:val="21"/>
      <w:szCs w:val="24"/>
      <w:lang w:val="en-US" w:eastAsia="zh-CN" w:bidi="ar-SA"/>
    </w:rPr>
  </w:style>
  <w:style w:type="paragraph" w:styleId="12">
    <w:name w:val="caption"/>
    <w:basedOn w:val="1"/>
    <w:next w:val="1"/>
    <w:unhideWhenUsed/>
    <w:qFormat/>
    <w:uiPriority w:val="0"/>
    <w:pPr>
      <w:spacing w:line="240" w:lineRule="auto"/>
      <w:ind w:firstLine="0" w:firstLineChars="0"/>
      <w:jc w:val="center"/>
    </w:pPr>
    <w:rPr>
      <w:rFonts w:ascii="Times New Roman" w:hAnsi="Times New Roman" w:eastAsia="宋体"/>
      <w:b/>
      <w:sz w:val="21"/>
      <w:szCs w:val="21"/>
    </w:rPr>
  </w:style>
  <w:style w:type="paragraph" w:styleId="13">
    <w:name w:val="annotation text"/>
    <w:basedOn w:val="1"/>
    <w:qFormat/>
    <w:uiPriority w:val="0"/>
    <w:pPr>
      <w:jc w:val="left"/>
    </w:pPr>
  </w:style>
  <w:style w:type="paragraph" w:styleId="14">
    <w:name w:val="Body Text"/>
    <w:basedOn w:val="1"/>
    <w:next w:val="15"/>
    <w:qFormat/>
    <w:uiPriority w:val="0"/>
    <w:pPr>
      <w:widowControl/>
      <w:snapToGrid w:val="0"/>
      <w:spacing w:before="60" w:after="160" w:line="259" w:lineRule="auto"/>
      <w:ind w:right="113"/>
    </w:pPr>
    <w:rPr>
      <w:kern w:val="0"/>
      <w:sz w:val="18"/>
      <w:szCs w:val="18"/>
    </w:rPr>
  </w:style>
  <w:style w:type="paragraph" w:styleId="15">
    <w:name w:val="Body Text 2"/>
    <w:basedOn w:val="1"/>
    <w:qFormat/>
    <w:uiPriority w:val="0"/>
    <w:pPr>
      <w:spacing w:after="120" w:line="480" w:lineRule="auto"/>
    </w:pPr>
  </w:style>
  <w:style w:type="paragraph" w:styleId="16">
    <w:name w:val="Body Text Indent"/>
    <w:basedOn w:val="1"/>
    <w:next w:val="17"/>
    <w:semiHidden/>
    <w:qFormat/>
    <w:uiPriority w:val="0"/>
    <w:pPr>
      <w:spacing w:after="120"/>
      <w:ind w:left="420" w:leftChars="200"/>
    </w:pPr>
  </w:style>
  <w:style w:type="paragraph" w:styleId="17">
    <w:name w:val="Balloon Text"/>
    <w:basedOn w:val="1"/>
    <w:semiHidden/>
    <w:qFormat/>
    <w:uiPriority w:val="0"/>
    <w:rPr>
      <w:sz w:val="18"/>
      <w:szCs w:val="18"/>
    </w:rPr>
  </w:style>
  <w:style w:type="paragraph" w:styleId="18">
    <w:name w:val="Block Text"/>
    <w:basedOn w:val="1"/>
    <w:unhideWhenUsed/>
    <w:qFormat/>
    <w:uiPriority w:val="99"/>
    <w:pPr>
      <w:spacing w:after="120"/>
      <w:ind w:left="1440" w:leftChars="700" w:right="1440" w:rightChars="700"/>
    </w:pPr>
  </w:style>
  <w:style w:type="paragraph" w:styleId="19">
    <w:name w:val="footer"/>
    <w:basedOn w:val="1"/>
    <w:qFormat/>
    <w:uiPriority w:val="0"/>
    <w:pPr>
      <w:tabs>
        <w:tab w:val="center" w:pos="4153"/>
        <w:tab w:val="right" w:pos="8306"/>
      </w:tabs>
      <w:snapToGrid w:val="0"/>
      <w:jc w:val="left"/>
    </w:pPr>
    <w:rPr>
      <w:sz w:val="18"/>
      <w:szCs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toc 1"/>
    <w:basedOn w:val="1"/>
    <w:next w:val="1"/>
    <w:qFormat/>
    <w:uiPriority w:val="39"/>
    <w:pPr>
      <w:tabs>
        <w:tab w:val="left" w:pos="420"/>
        <w:tab w:val="right" w:leader="dot" w:pos="8303"/>
      </w:tabs>
    </w:pPr>
    <w:rPr>
      <w:rFonts w:ascii="仿宋_GB2312" w:hAnsi="Arial Black" w:eastAsia="仿宋_GB2312"/>
      <w:sz w:val="28"/>
      <w:szCs w:val="20"/>
    </w:rPr>
  </w:style>
  <w:style w:type="paragraph" w:styleId="22">
    <w:name w:val="index heading"/>
    <w:basedOn w:val="1"/>
    <w:next w:val="23"/>
    <w:qFormat/>
    <w:uiPriority w:val="0"/>
    <w:rPr>
      <w:szCs w:val="20"/>
    </w:rPr>
  </w:style>
  <w:style w:type="paragraph" w:styleId="23">
    <w:name w:val="index 1"/>
    <w:basedOn w:val="1"/>
    <w:next w:val="1"/>
    <w:qFormat/>
    <w:uiPriority w:val="0"/>
    <w:rPr>
      <w:szCs w:val="20"/>
    </w:rPr>
  </w:style>
  <w:style w:type="paragraph" w:styleId="24">
    <w:name w:val="List"/>
    <w:basedOn w:val="1"/>
    <w:next w:val="1"/>
    <w:qFormat/>
    <w:uiPriority w:val="99"/>
    <w:pPr>
      <w:autoSpaceDE w:val="0"/>
      <w:autoSpaceDN w:val="0"/>
      <w:adjustRightInd w:val="0"/>
      <w:ind w:left="420" w:hanging="420"/>
      <w:jc w:val="left"/>
      <w:textAlignment w:val="baseline"/>
    </w:pPr>
    <w:rPr>
      <w:rFonts w:ascii="宋体"/>
      <w:sz w:val="34"/>
    </w:rPr>
  </w:style>
  <w:style w:type="paragraph" w:styleId="25">
    <w:name w:val="table of figures"/>
    <w:basedOn w:val="1"/>
    <w:next w:val="1"/>
    <w:qFormat/>
    <w:uiPriority w:val="0"/>
    <w:pPr>
      <w:ind w:left="200" w:leftChars="200" w:hanging="200" w:hangingChars="200"/>
    </w:pPr>
    <w:rPr>
      <w:rFonts w:ascii="Calibri" w:hAnsi="Calibri" w:eastAsia="宋体" w:cs="Times New Roman"/>
      <w:szCs w:val="24"/>
    </w:rPr>
  </w:style>
  <w:style w:type="paragraph" w:styleId="26">
    <w:name w:val="Normal (Web)"/>
    <w:basedOn w:val="1"/>
    <w:qFormat/>
    <w:uiPriority w:val="0"/>
    <w:pPr>
      <w:widowControl/>
      <w:spacing w:before="100" w:beforeAutospacing="1" w:after="100" w:afterAutospacing="1"/>
      <w:jc w:val="left"/>
    </w:pPr>
    <w:rPr>
      <w:rFonts w:ascii="宋体" w:hAnsi="宋体"/>
      <w:kern w:val="0"/>
      <w:sz w:val="24"/>
    </w:rPr>
  </w:style>
  <w:style w:type="paragraph" w:styleId="27">
    <w:name w:val="Body Text First Indent"/>
    <w:basedOn w:val="14"/>
    <w:next w:val="1"/>
    <w:qFormat/>
    <w:uiPriority w:val="0"/>
    <w:pPr>
      <w:spacing w:after="120"/>
      <w:ind w:firstLine="420" w:firstLineChars="100"/>
    </w:pPr>
    <w:rPr>
      <w:sz w:val="21"/>
    </w:rPr>
  </w:style>
  <w:style w:type="paragraph" w:styleId="28">
    <w:name w:val="Body Text First Indent 2"/>
    <w:basedOn w:val="16"/>
    <w:next w:val="14"/>
    <w:qFormat/>
    <w:uiPriority w:val="0"/>
    <w:pPr>
      <w:ind w:firstLine="420"/>
    </w:pPr>
    <w:rPr>
      <w:rFonts w:eastAsia="华文中宋"/>
      <w:sz w:val="24"/>
    </w:rPr>
  </w:style>
  <w:style w:type="table" w:styleId="30">
    <w:name w:val="Table Grid"/>
    <w:basedOn w:val="29"/>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basedOn w:val="31"/>
    <w:qFormat/>
    <w:uiPriority w:val="0"/>
    <w:rPr>
      <w:b/>
    </w:rPr>
  </w:style>
  <w:style w:type="character" w:styleId="33">
    <w:name w:val="page number"/>
    <w:qFormat/>
    <w:uiPriority w:val="0"/>
  </w:style>
  <w:style w:type="character" w:styleId="34">
    <w:name w:val="Hyperlink"/>
    <w:basedOn w:val="31"/>
    <w:qFormat/>
    <w:uiPriority w:val="0"/>
    <w:rPr>
      <w:color w:val="0000FF"/>
      <w:u w:val="single"/>
    </w:rPr>
  </w:style>
  <w:style w:type="character" w:customStyle="1" w:styleId="35">
    <w:name w:val="标题 4 Char"/>
    <w:link w:val="5"/>
    <w:qFormat/>
    <w:uiPriority w:val="0"/>
    <w:rPr>
      <w:rFonts w:ascii="Times New Roman" w:hAnsi="Times New Roman" w:eastAsia="宋体"/>
      <w:b/>
      <w:sz w:val="24"/>
      <w:szCs w:val="24"/>
      <w:lang w:val="en-US" w:eastAsia="zh-CN" w:bidi="ar-SA"/>
    </w:rPr>
  </w:style>
  <w:style w:type="paragraph" w:customStyle="1" w:styleId="36">
    <w:name w:val="表头"/>
    <w:basedOn w:val="37"/>
    <w:next w:val="1"/>
    <w:qFormat/>
    <w:uiPriority w:val="0"/>
    <w:pPr>
      <w:adjustRightInd w:val="0"/>
      <w:snapToGrid w:val="0"/>
      <w:spacing w:line="440" w:lineRule="atLeast"/>
      <w:ind w:firstLine="480" w:firstLineChars="200"/>
      <w:textAlignment w:val="baseline"/>
    </w:pPr>
    <w:rPr>
      <w:rFonts w:ascii="黑体" w:eastAsia="黑体"/>
      <w:color w:val="000000"/>
      <w:kern w:val="0"/>
      <w:sz w:val="24"/>
    </w:rPr>
  </w:style>
  <w:style w:type="paragraph" w:customStyle="1" w:styleId="37">
    <w:name w:val="表格"/>
    <w:basedOn w:val="11"/>
    <w:next w:val="1"/>
    <w:qFormat/>
    <w:uiPriority w:val="0"/>
    <w:pPr>
      <w:spacing w:line="0" w:lineRule="atLeast"/>
      <w:jc w:val="center"/>
    </w:pPr>
    <w:rPr>
      <w:rFonts w:eastAsia="仿宋_GB2312"/>
    </w:rPr>
  </w:style>
  <w:style w:type="paragraph" w:customStyle="1" w:styleId="38">
    <w:name w:val="No Spacing"/>
    <w:qFormat/>
    <w:uiPriority w:val="0"/>
    <w:pPr>
      <w:widowControl w:val="0"/>
      <w:jc w:val="center"/>
    </w:pPr>
    <w:rPr>
      <w:rFonts w:ascii="宋体" w:hAnsi="Times New Roman" w:eastAsia="宋体" w:cs="Times New Roman"/>
      <w:kern w:val="2"/>
      <w:sz w:val="24"/>
      <w:lang w:val="en-US" w:eastAsia="zh-CN" w:bidi="ar-SA"/>
    </w:rPr>
  </w:style>
  <w:style w:type="paragraph" w:customStyle="1" w:styleId="39">
    <w:name w:val="300"/>
    <w:basedOn w:val="1"/>
    <w:qFormat/>
    <w:uiPriority w:val="0"/>
    <w:pPr>
      <w:keepNext/>
      <w:keepLines/>
      <w:adjustRightInd w:val="0"/>
      <w:spacing w:line="600" w:lineRule="exact"/>
      <w:outlineLvl w:val="2"/>
    </w:pPr>
    <w:rPr>
      <w:b/>
      <w:bCs/>
      <w:sz w:val="28"/>
      <w:szCs w:val="24"/>
    </w:rPr>
  </w:style>
  <w:style w:type="paragraph" w:customStyle="1" w:styleId="40">
    <w:name w:val="样式 首行缩进:  2 字符1"/>
    <w:basedOn w:val="1"/>
    <w:qFormat/>
    <w:uiPriority w:val="0"/>
    <w:pPr>
      <w:spacing w:before="120" w:line="400" w:lineRule="exact"/>
      <w:ind w:firstLine="200" w:firstLineChars="200"/>
    </w:pPr>
    <w:rPr>
      <w:rFonts w:ascii="宋体"/>
      <w:sz w:val="24"/>
      <w:szCs w:val="20"/>
    </w:rPr>
  </w:style>
  <w:style w:type="paragraph" w:customStyle="1" w:styleId="41">
    <w:name w:val="表 头"/>
    <w:basedOn w:val="1"/>
    <w:qFormat/>
    <w:uiPriority w:val="0"/>
    <w:pPr>
      <w:adjustRightInd w:val="0"/>
      <w:spacing w:before="120" w:after="120" w:line="360" w:lineRule="atLeast"/>
      <w:jc w:val="center"/>
    </w:pPr>
    <w:rPr>
      <w:rFonts w:ascii="宋体" w:hAnsi="宋体" w:eastAsia="黑体"/>
      <w:spacing w:val="10"/>
      <w:kern w:val="0"/>
      <w:sz w:val="24"/>
      <w:szCs w:val="20"/>
    </w:rPr>
  </w:style>
  <w:style w:type="paragraph" w:customStyle="1" w:styleId="42">
    <w:name w:val="报告表正文"/>
    <w:basedOn w:val="43"/>
    <w:qFormat/>
    <w:uiPriority w:val="0"/>
    <w:pPr>
      <w:adjustRightInd w:val="0"/>
      <w:spacing w:line="312" w:lineRule="auto"/>
      <w:ind w:left="113" w:right="113" w:firstLine="482"/>
      <w:jc w:val="left"/>
    </w:pPr>
    <w:rPr>
      <w:rFonts w:ascii="宋体" w:hAnsi="宋体"/>
      <w:kern w:val="0"/>
      <w:sz w:val="24"/>
    </w:rPr>
  </w:style>
  <w:style w:type="paragraph" w:customStyle="1" w:styleId="43">
    <w:name w:val="报告正文"/>
    <w:basedOn w:val="44"/>
    <w:qFormat/>
    <w:uiPriority w:val="0"/>
    <w:pPr>
      <w:widowControl w:val="0"/>
      <w:snapToGrid w:val="0"/>
      <w:spacing w:line="360" w:lineRule="auto"/>
      <w:ind w:firstLine="200" w:firstLineChars="200"/>
    </w:pPr>
    <w:rPr>
      <w:rFonts w:ascii="Times New Roman" w:hAnsi="Times New Roman" w:cs="Times New Roman"/>
      <w:snapToGrid w:val="0"/>
      <w:sz w:val="24"/>
      <w:szCs w:val="28"/>
    </w:rPr>
  </w:style>
  <w:style w:type="paragraph" w:customStyle="1" w:styleId="44">
    <w:name w:val="p17"/>
    <w:basedOn w:val="1"/>
    <w:qFormat/>
    <w:uiPriority w:val="0"/>
    <w:pPr>
      <w:widowControl/>
    </w:pPr>
    <w:rPr>
      <w:rFonts w:ascii="宋体" w:hAnsi="宋体" w:cs="宋体"/>
      <w:kern w:val="0"/>
      <w:szCs w:val="21"/>
    </w:rPr>
  </w:style>
  <w:style w:type="paragraph" w:customStyle="1" w:styleId="45">
    <w:name w:val="表格文字"/>
    <w:basedOn w:val="27"/>
    <w:qFormat/>
    <w:uiPriority w:val="0"/>
    <w:pPr>
      <w:spacing w:line="300" w:lineRule="exact"/>
      <w:ind w:hanging="91"/>
      <w:jc w:val="center"/>
    </w:pPr>
    <w:rPr>
      <w:rFonts w:ascii="仿宋_GB2312" w:eastAsia="仿宋_GB2312"/>
      <w:spacing w:val="-16"/>
      <w:szCs w:val="21"/>
    </w:rPr>
  </w:style>
  <w:style w:type="paragraph" w:customStyle="1" w:styleId="46">
    <w:name w:val="正文(首行缩进)"/>
    <w:basedOn w:val="1"/>
    <w:qFormat/>
    <w:uiPriority w:val="0"/>
    <w:pPr>
      <w:adjustRightInd w:val="0"/>
      <w:snapToGrid w:val="0"/>
      <w:spacing w:line="360" w:lineRule="auto"/>
      <w:ind w:firstLine="482" w:firstLineChars="200"/>
    </w:pPr>
    <w:rPr>
      <w:rFonts w:hAnsi="宋体"/>
      <w:b/>
      <w:bCs/>
      <w:color w:val="000000"/>
      <w:sz w:val="24"/>
      <w:szCs w:val="28"/>
    </w:rPr>
  </w:style>
  <w:style w:type="paragraph" w:customStyle="1" w:styleId="47">
    <w:name w:val="正文文本缩进1"/>
    <w:basedOn w:val="1"/>
    <w:qFormat/>
    <w:uiPriority w:val="99"/>
    <w:pPr>
      <w:spacing w:line="320" w:lineRule="exact"/>
      <w:ind w:firstLine="113"/>
      <w:jc w:val="center"/>
    </w:pPr>
    <w:rPr>
      <w:rFonts w:ascii="宋体" w:hAnsi="宋体"/>
      <w:bCs/>
      <w:color w:val="000000"/>
      <w:sz w:val="24"/>
      <w:szCs w:val="28"/>
    </w:rPr>
  </w:style>
  <w:style w:type="character" w:customStyle="1" w:styleId="48">
    <w:name w:val="font31"/>
    <w:basedOn w:val="31"/>
    <w:qFormat/>
    <w:uiPriority w:val="0"/>
    <w:rPr>
      <w:rFonts w:hint="default" w:ascii="Times New Roman" w:hAnsi="Times New Roman" w:cs="Times New Roman"/>
      <w:color w:val="000000"/>
      <w:sz w:val="21"/>
      <w:szCs w:val="21"/>
      <w:u w:val="none"/>
    </w:rPr>
  </w:style>
  <w:style w:type="paragraph" w:customStyle="1" w:styleId="49">
    <w:name w:val="Default"/>
    <w:basedOn w:val="50"/>
    <w:next w:val="1"/>
    <w:qFormat/>
    <w:uiPriority w:val="0"/>
    <w:pPr>
      <w:widowControl w:val="0"/>
      <w:tabs>
        <w:tab w:val="left" w:pos="2760"/>
      </w:tabs>
      <w:autoSpaceDE w:val="0"/>
      <w:autoSpaceDN w:val="0"/>
      <w:adjustRightInd w:val="0"/>
    </w:pPr>
    <w:rPr>
      <w:rFonts w:ascii="宋体" w:cs="宋体"/>
      <w:color w:val="000000"/>
      <w:sz w:val="24"/>
      <w:szCs w:val="24"/>
      <w:lang w:val="en-US" w:eastAsia="zh-CN" w:bidi="ar-SA"/>
    </w:rPr>
  </w:style>
  <w:style w:type="paragraph" w:customStyle="1" w:styleId="50">
    <w:name w:val="纯文本1"/>
    <w:basedOn w:val="1"/>
    <w:qFormat/>
    <w:uiPriority w:val="0"/>
    <w:pPr>
      <w:tabs>
        <w:tab w:val="left" w:pos="2760"/>
      </w:tabs>
      <w:adjustRightInd w:val="0"/>
    </w:pPr>
    <w:rPr>
      <w:rFonts w:ascii="宋体" w:hAnsi="Courier New"/>
      <w:szCs w:val="20"/>
    </w:rPr>
  </w:style>
  <w:style w:type="character" w:customStyle="1" w:styleId="51">
    <w:name w:val="font41"/>
    <w:basedOn w:val="31"/>
    <w:qFormat/>
    <w:uiPriority w:val="0"/>
    <w:rPr>
      <w:rFonts w:ascii="宋体" w:hAnsi="宋体" w:eastAsia="宋体" w:cs="宋体"/>
      <w:color w:val="989800"/>
      <w:sz w:val="14"/>
      <w:szCs w:val="14"/>
      <w:u w:val="none"/>
    </w:rPr>
  </w:style>
  <w:style w:type="paragraph" w:customStyle="1" w:styleId="52">
    <w:name w:val="正文 小四 行距: 1.5 倍行距"/>
    <w:basedOn w:val="1"/>
    <w:qFormat/>
    <w:uiPriority w:val="0"/>
    <w:pPr>
      <w:spacing w:line="360" w:lineRule="auto"/>
      <w:ind w:firstLine="480" w:firstLineChars="200"/>
    </w:pPr>
    <w:rPr>
      <w:rFonts w:cs="宋体"/>
      <w:sz w:val="24"/>
      <w:szCs w:val="20"/>
    </w:rPr>
  </w:style>
  <w:style w:type="paragraph" w:customStyle="1" w:styleId="53">
    <w:name w:val="p0"/>
    <w:basedOn w:val="1"/>
    <w:qFormat/>
    <w:uiPriority w:val="0"/>
    <w:pPr>
      <w:widowControl/>
    </w:pPr>
    <w:rPr>
      <w:kern w:val="0"/>
      <w:szCs w:val="21"/>
    </w:rPr>
  </w:style>
  <w:style w:type="paragraph" w:customStyle="1" w:styleId="54">
    <w:name w:val="_Style 115"/>
    <w:basedOn w:val="16"/>
    <w:next w:val="28"/>
    <w:qFormat/>
    <w:uiPriority w:val="0"/>
    <w:pPr>
      <w:adjustRightInd/>
      <w:snapToGrid/>
      <w:spacing w:line="360" w:lineRule="auto"/>
      <w:ind w:firstLine="420"/>
      <w:jc w:val="both"/>
    </w:pPr>
    <w:rPr>
      <w:kern w:val="0"/>
      <w:sz w:val="24"/>
      <w:szCs w:val="24"/>
    </w:rPr>
  </w:style>
  <w:style w:type="character" w:customStyle="1" w:styleId="55">
    <w:name w:val="font21"/>
    <w:basedOn w:val="31"/>
    <w:qFormat/>
    <w:uiPriority w:val="0"/>
    <w:rPr>
      <w:rFonts w:hint="eastAsia" w:ascii="宋体" w:hAnsi="宋体" w:eastAsia="宋体" w:cs="宋体"/>
      <w:color w:val="000000"/>
      <w:sz w:val="21"/>
      <w:szCs w:val="21"/>
      <w:u w:val="none"/>
    </w:rPr>
  </w:style>
  <w:style w:type="paragraph" w:customStyle="1" w:styleId="56">
    <w:name w:val="样式 正文缩进正文缩进2正文缩进 Char Char正文缩进 Char Char Char Char正文缩进 Char ..."/>
    <w:basedOn w:val="11"/>
    <w:qFormat/>
    <w:uiPriority w:val="0"/>
    <w:pPr>
      <w:spacing w:line="360" w:lineRule="auto"/>
      <w:ind w:firstLine="200"/>
    </w:pPr>
    <w:rPr>
      <w:rFonts w:cs="宋体"/>
      <w:sz w:val="24"/>
    </w:rPr>
  </w:style>
  <w:style w:type="paragraph" w:customStyle="1" w:styleId="57">
    <w:name w:val="文本"/>
    <w:basedOn w:val="1"/>
    <w:qFormat/>
    <w:uiPriority w:val="0"/>
    <w:pPr>
      <w:adjustRightInd w:val="0"/>
      <w:snapToGrid w:val="0"/>
      <w:spacing w:line="360" w:lineRule="auto"/>
      <w:ind w:firstLine="480" w:firstLineChars="200"/>
      <w:jc w:val="left"/>
    </w:pPr>
    <w:rPr>
      <w:sz w:val="24"/>
      <w:szCs w:val="24"/>
    </w:rPr>
  </w:style>
  <w:style w:type="table" w:customStyle="1" w:styleId="58">
    <w:name w:val="Table Normal"/>
    <w:semiHidden/>
    <w:unhideWhenUsed/>
    <w:qFormat/>
    <w:uiPriority w:val="0"/>
    <w:tblPr>
      <w:tblCellMar>
        <w:top w:w="0" w:type="dxa"/>
        <w:left w:w="0" w:type="dxa"/>
        <w:bottom w:w="0" w:type="dxa"/>
        <w:right w:w="0" w:type="dxa"/>
      </w:tblCellMar>
    </w:tblPr>
  </w:style>
  <w:style w:type="paragraph" w:customStyle="1" w:styleId="59">
    <w:name w:val="Table Text"/>
    <w:basedOn w:val="1"/>
    <w:semiHidden/>
    <w:qFormat/>
    <w:uiPriority w:val="0"/>
    <w:rPr>
      <w:rFonts w:ascii="Times New Roman" w:hAnsi="Times New Roman" w:eastAsia="Times New Roman" w:cs="Times New Roman"/>
      <w:sz w:val="22"/>
      <w:szCs w:val="22"/>
      <w:lang w:val="en-US" w:eastAsia="en-US" w:bidi="ar-SA"/>
    </w:rPr>
  </w:style>
  <w:style w:type="paragraph" w:customStyle="1" w:styleId="60">
    <w:name w:val="WPSOffice手动目录 1"/>
    <w:qFormat/>
    <w:uiPriority w:val="0"/>
    <w:pPr>
      <w:ind w:leftChars="0"/>
    </w:pPr>
    <w:rPr>
      <w:rFonts w:ascii="Times New Roman" w:hAnsi="Times New Roman" w:eastAsia="宋体" w:cs="Times New Roman"/>
      <w:sz w:val="20"/>
      <w:szCs w:val="20"/>
    </w:rPr>
  </w:style>
  <w:style w:type="paragraph" w:customStyle="1" w:styleId="61">
    <w:name w:val="表格内"/>
    <w:basedOn w:val="1"/>
    <w:qFormat/>
    <w:uiPriority w:val="99"/>
    <w:pPr>
      <w:adjustRightInd w:val="0"/>
      <w:spacing w:line="240" w:lineRule="atLeast"/>
      <w:jc w:val="center"/>
      <w:textAlignment w:val="baseline"/>
    </w:pPr>
    <w:rPr>
      <w:rFonts w:ascii="宋体"/>
      <w:kern w:val="0"/>
      <w:sz w:val="28"/>
      <w:szCs w:val="20"/>
    </w:rPr>
  </w:style>
  <w:style w:type="paragraph" w:customStyle="1" w:styleId="62">
    <w:name w:val="ae正文zzzzzzzz"/>
    <w:basedOn w:val="1"/>
    <w:qFormat/>
    <w:uiPriority w:val="0"/>
    <w:rPr>
      <w:rFonts w:cs="宋体"/>
      <w:szCs w:val="20"/>
    </w:rPr>
  </w:style>
  <w:style w:type="paragraph" w:customStyle="1" w:styleId="63">
    <w:name w:val="表中文字"/>
    <w:basedOn w:val="1"/>
    <w:qFormat/>
    <w:uiPriority w:val="0"/>
    <w:pPr>
      <w:adjustRightInd w:val="0"/>
      <w:snapToGrid w:val="0"/>
      <w:spacing w:line="240" w:lineRule="auto"/>
      <w:ind w:firstLine="0" w:firstLineChars="0"/>
      <w:jc w:val="center"/>
    </w:pPr>
    <w:rPr>
      <w:rFonts w:ascii="Times New Roman" w:hAnsi="Times New Roman" w:cs="Times New Roman"/>
      <w:sz w:val="21"/>
      <w:szCs w:val="24"/>
      <w:lang w:val="zh-CN"/>
    </w:rPr>
  </w:style>
  <w:style w:type="paragraph" w:customStyle="1" w:styleId="64">
    <w:name w:val="表格 5号"/>
    <w:basedOn w:val="1"/>
    <w:next w:val="1"/>
    <w:autoRedefine/>
    <w:qFormat/>
    <w:uiPriority w:val="0"/>
    <w:pPr>
      <w:adjustRightInd w:val="0"/>
      <w:snapToGrid w:val="0"/>
      <w:spacing w:line="240" w:lineRule="auto"/>
      <w:ind w:firstLine="0" w:firstLineChars="0"/>
      <w:jc w:val="center"/>
    </w:pPr>
    <w:rPr>
      <w:rFonts w:hint="eastAsia" w:ascii="Times New Roman" w:hAnsi="Times New Roman" w:eastAsia="宋体"/>
      <w:kern w:val="0"/>
      <w:sz w:val="21"/>
      <w:szCs w:val="20"/>
    </w:rPr>
  </w:style>
  <w:style w:type="paragraph" w:customStyle="1" w:styleId="65">
    <w:name w:val="Table Paragraph"/>
    <w:basedOn w:val="1"/>
    <w:qFormat/>
    <w:uiPriority w:val="1"/>
    <w:pPr>
      <w:jc w:val="center"/>
    </w:pPr>
    <w:rPr>
      <w:rFonts w:ascii="宋体" w:hAnsi="宋体" w:eastAsia="宋体" w:cs="宋体"/>
      <w:lang w:val="zh-CN" w:eastAsia="zh-CN" w:bidi="zh-CN"/>
    </w:rPr>
  </w:style>
</w:style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