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Version="0" StyleName="" SelectedStyle=""/>
</file>

<file path=customXml\item2.xml><?xml version="1.0" encoding="utf-8"?>
<contractReview xmlns="http://schemas.wps.cn/vas-ai-hub/contract-review">
  <reviewItems>
    <reviewItem>
      <errorID>4131bf59-53ea-4868-9ec3-05643ca291c8</errorID>
      <errorWord>，</errorWord>
      <group>L1_Format</group>
      <groupName>格式问题</groupName>
      <ability>L2_HalfPunc_CN</ability>
      <abilityName>全半角问题</abilityName>
      <candidateList>
        <item>, </item>
      </candidateList>
      <explain>文本全半角错误。</explain>
      <paraID>138CA716</paraID>
      <start>15</start>
      <end>16</end>
      <status>unmodified</status>
      <modifiedWord/>
      <trackRevisions>false</trackRevisions>
    </reviewItem>
    <reviewItem>
      <errorID>d86f93f9-2bc4-4544-9598-1e0a970554c9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7E8A8910</paraID>
      <start>0</start>
      <end>2</end>
      <status>unmodified</status>
      <modifiedWord/>
      <trackRevisions>false</trackRevisions>
    </reviewItem>
    <reviewItem>
      <errorID>be2deeea-ee1b-4740-9a6f-ed161e227b51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7E8A8910</paraID>
      <start>24</start>
      <end>25</end>
      <status>unmodified</status>
      <modifiedWord/>
      <trackRevisions>false</trackRevisions>
    </reviewItem>
    <reviewItem>
      <errorID>9b24704c-d071-4b81-b5b5-4dd753704c5b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23B93941</paraID>
      <start>0</start>
      <end>2</end>
      <status>unmodified</status>
      <modifiedWord/>
      <trackRevisions>false</trackRevisions>
    </reviewItem>
    <reviewItem>
      <errorID>f1c5d45e-7a49-44fe-be24-d9147b4acc47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23B93941</paraID>
      <start>31</start>
      <end>32</end>
      <status>unmodified</status>
      <modifiedWord/>
      <trackRevisions>false</trackRevisions>
    </reviewItem>
    <reviewItem>
      <errorID>ad601c40-e5bb-41ce-b41d-4e34a7d8bfe2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7BFB3146</paraID>
      <start>0</start>
      <end>2</end>
      <status>unmodified</status>
      <modifiedWord/>
      <trackRevisions>false</trackRevisions>
    </reviewItem>
    <reviewItem>
      <errorID>390263e5-7deb-4a14-b53e-604f3086f590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7BFB3146</paraID>
      <start>33</start>
      <end>34</end>
      <status>unmodified</status>
      <modifiedWord/>
      <trackRevisions>false</trackRevisions>
    </reviewItem>
    <reviewItem>
      <errorID>bbe98992-43bb-4efe-9547-07eb303d37c0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46BC5BF7</paraID>
      <start>35</start>
      <end>36</end>
      <status>unmodified</status>
      <modifiedWord/>
      <trackRevisions>false</trackRevisions>
    </reviewItem>
    <reviewItem>
      <errorID>cc619bc8-ad39-4655-81da-a9109bbc2bff</errorID>
      <errorWord>[2022]124号</errorWord>
      <group>L1_Knowledge</group>
      <groupName>知识性问题</groupName>
      <ability>L2_Knowledge</ability>
      <abilityName>其他知识</abilityName>
      <candidateList>
        <item>〔2022〕124号</item>
      </candidateList>
      <explain>发文字号格式错误。</explain>
      <paraID>46BC5BF7</paraID>
      <start>59</start>
      <end>69</end>
      <status>unmodified</status>
      <modifiedWord/>
      <trackRevisions>false</trackRevisions>
    </reviewItem>
    <reviewItem>
      <errorID>7337797d-2fa6-4c4a-94ff-4e268e80c6ff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4320E839</paraID>
      <start>0</start>
      <end>2</end>
      <status>unmodified</status>
      <modifiedWord/>
      <trackRevisions>false</trackRevisions>
    </reviewItem>
    <reviewItem>
      <errorID>2f7b3a78-9529-4068-aa27-d2e7a9db664b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4320E839</paraID>
      <start>40</start>
      <end>41</end>
      <status>unmodified</status>
      <modifiedWord/>
      <trackRevisions>false</trackRevisions>
    </reviewItem>
    <reviewItem>
      <errorID>765e2f40-dc52-4b0d-85ca-2f62fea2791d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385017D9</paraID>
      <start>42</start>
      <end>43</end>
      <status>unmodified</status>
      <modifiedWord/>
      <trackRevisions>false</trackRevisions>
    </reviewItem>
    <reviewItem>
      <errorID>eda2f03f-a159-472c-b54a-2ea4cba8366f</errorID>
      <errorWord>[2023]40号</errorWord>
      <group>L1_Knowledge</group>
      <groupName>知识性问题</groupName>
      <ability>L2_Knowledge</ability>
      <abilityName>其他知识</abilityName>
      <candidateList>
        <item>〔2023〕40号</item>
      </candidateList>
      <explain>发文字号格式错误。</explain>
      <paraID>385017D9</paraID>
      <start>68</start>
      <end>77</end>
      <status>unmodified</status>
      <modifiedWord/>
      <trackRevisions>false</trackRevisions>
    </reviewItem>
    <reviewItem>
      <errorID>1f5b90c2-afe7-49c6-8757-edc2daf035c5</errorID>
      <errorWord>勘察开发</errorWord>
      <group>L1_Word</group>
      <groupName>字词问题</groupName>
      <ability>L2_Typo</ability>
      <abilityName>字词错误</abilityName>
      <candidateList>
        <item>勘查开发</item>
      </candidateList>
      <explain/>
      <paraID>2627E3D2</paraID>
      <start>92</start>
      <end>96</end>
      <status>unmodified</status>
      <modifiedWord/>
      <trackRevisions>false</trackRevisions>
    </reviewItem>
    <reviewItem>
      <errorID>75a0b540-fe00-4408-b0dc-38c62ce53f7c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2627E3D2</paraID>
      <start>148</start>
      <end>149</end>
      <status>unmodified</status>
      <modifiedWord/>
      <trackRevisions>false</trackRevisions>
    </reviewItem>
    <reviewItem>
      <errorID>c4537092-2edc-4b40-ac1e-99b3e86c475f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635BB0A0</paraID>
      <start>30</start>
      <end>31</end>
      <status>unmodified</status>
      <modifiedWord/>
      <trackRevisions>false</trackRevisions>
    </reviewItem>
    <reviewItem>
      <errorID>39bce7f8-158f-4979-8d36-d769a6fe92d0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17D27EF1</paraID>
      <start>23</start>
      <end>24</end>
      <status>unmodified</status>
      <modifiedWord/>
      <trackRevisions>false</trackRevisions>
    </reviewItem>
    <reviewItem>
      <errorID>a9da411b-ed76-4cde-a6f9-da158fed445e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15CB00F</paraID>
      <start>26</start>
      <end>27</end>
      <status>unmodified</status>
      <modifiedWord/>
      <trackRevisions>false</trackRevisions>
    </reviewItem>
    <reviewItem>
      <errorID>6372d50c-02df-4b8d-be16-0b9ad9a95b7f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13845DF5</paraID>
      <start>58</start>
      <end>59</end>
      <status>unmodified</status>
      <modifiedWord/>
      <trackRevisions>false</trackRevisions>
    </reviewItem>
    <reviewItem>
      <errorID>91201769-799a-486e-a3e7-5e7889910938</errorID>
      <errorWord>生态优先，绿色发展</errorWord>
      <group>L1_Political</group>
      <groupName>政治性问题</groupName>
      <ability>L2_Unpolitical</ability>
      <abilityName>政治敏感错误</abilityName>
      <candidateList>
        <item>生态优先、绿色发展</item>
      </candidateList>
      <explain/>
      <paraID>18285853</paraID>
      <start>5</start>
      <end>14</end>
      <status>unmodified</status>
      <modifiedWord/>
      <trackRevisions>false</trackRevisions>
    </reviewItem>
    <reviewItem>
      <errorID>a367c17e-ba94-4a36-91b7-5d50c1023edc</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12234594</paraID>
      <start>209</start>
      <end>218</end>
      <status>unmodified</status>
      <modifiedWord/>
      <trackRevisions>false</trackRevisions>
    </reviewItem>
    <reviewItem>
      <errorID>2e4b93f2-0ef2-4fdd-b7b2-945f5ab6d1d8</errorID>
      <errorWord>生态环境保护监测</errorWord>
      <group>L1_Political</group>
      <groupName>政治性问题</groupName>
      <ability>L2_Keyword</ability>
      <abilityName>固定表述</abilityName>
      <candidateList>
        <item>生态环境保护督察</item>
      </candidateList>
      <explain>词汇“生态环境保护督察”在特定场景下为固定表述形式，请确认此处的“生态环境保护监测”是否存在不当。</explain>
      <paraID>4DD4A071</paraID>
      <start>5</start>
      <end>13</end>
      <status>unmodified</status>
      <modifiedWord/>
      <trackRevisions>false</trackRevisions>
    </reviewItem>
    <reviewItem>
      <errorID>bb096b69-c8da-4876-9dae-49a80b476e62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F3FB77D</paraID>
      <start>30</start>
      <end>31</end>
      <status>unmodified</status>
      <modifiedWord/>
      <trackRevisions>false</trackRevisions>
    </reviewItem>
    <reviewItem>
      <errorID>8bf6ec6a-24f3-4b76-8cb8-6d9e8a44c525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392B7F9A</paraID>
      <start>55</start>
      <end>56</end>
      <status>unmodified</status>
      <modifiedWord/>
      <trackRevisions>false</trackRevisions>
    </reviewItem>
    <reviewItem>
      <errorID>cd4f6098-bb0b-499a-ad27-181f710b9e18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3D497919</paraID>
      <start>72</start>
      <end>73</end>
      <status>unmodified</status>
      <modifiedWord/>
      <trackRevisions>false</trackRevisions>
    </reviewItem>
    <reviewItem>
      <errorID>2e9c1b89-b47e-4c22-a72b-84d7284ba7d7</errorID>
      <errorWord>[2023]第7号</errorWord>
      <group>L1_Knowledge</group>
      <groupName>知识性问题</groupName>
      <ability>L2_Knowledge</ability>
      <abilityName>其他知识</abilityName>
      <candidateList>
        <item>〔2023〕7号</item>
      </candidateList>
      <explain>发文字号格式错误。</explain>
      <paraID>4D7BE367</paraID>
      <start>34</start>
      <end>43</end>
      <status>unmodified</status>
      <modifiedWord/>
      <trackRevisions>false</trackRevisions>
    </reviewItem>
    <reviewItem>
      <errorID>4321e481-015c-4f8d-a4b3-6c50af2d5688</errorID>
      <errorWord>[2021]162号</errorWord>
      <group>L1_Knowledge</group>
      <groupName>知识性问题</groupName>
      <ability>L2_Knowledge</ability>
      <abilityName>其他知识</abilityName>
      <candidateList>
        <item>〔2021〕162号</item>
      </candidateList>
      <explain>发文字号格式错误。</explain>
      <paraID>31E04659</paraID>
      <start>59</start>
      <end>69</end>
      <status>unmodified</status>
      <modifiedWord/>
      <trackRevisions>false</trackRevisions>
    </reviewItem>
    <reviewItem>
      <errorID>1971ddeb-4c9d-4ad6-947e-d9793794d62b</errorID>
      <errorWord>[2021]162号</errorWord>
      <group>L1_Knowledge</group>
      <groupName>知识性问题</groupName>
      <ability>L2_Knowledge</ability>
      <abilityName>其他知识</abilityName>
      <candidateList>
        <item>〔2021〕162号</item>
      </candidateList>
      <explain>发文字号格式错误。</explain>
      <paraID>31E04659</paraID>
      <start>89</start>
      <end>99</end>
      <status>unmodified</status>
      <modifiedWord/>
      <trackRevisions>false</trackRevisions>
    </reviewItem>
    <reviewItem>
      <errorID>a64487ba-3417-4644-8cb8-204bb200fad6</errorID>
      <errorWord>[2021]162号</errorWord>
      <group>L1_Knowledge</group>
      <groupName>知识性问题</groupName>
      <ability>L2_Knowledge</ability>
      <abilityName>其他知识</abilityName>
      <candidateList>
        <item>〔2021〕162号</item>
      </candidateList>
      <explain>发文字号格式错误。</explain>
      <paraID> 3F79EB3</paraID>
      <start>29</start>
      <end>39</end>
      <status>unmodified</status>
      <modifiedWord/>
      <trackRevisions>false</trackRevisions>
    </reviewItem>
    <reviewItem>
      <errorID>0d1d396c-0043-4e56-b1ae-f8371f9f7cb8</errorID>
      <errorWord>[2021]</errorWord>
      <group>L1_Punc</group>
      <groupName>标点问题</groupName>
      <ability>L2_Punc_CN</ability>
      <abilityName>标点符号问题</abilityName>
      <candidateList>
        <item>〔2021〕</item>
      </candidateList>
      <explain/>
      <paraID>25C71EA8</paraID>
      <start>5</start>
      <end>11</end>
      <status>unmodified</status>
      <modifiedWord/>
      <trackRevisions>false</trackRevisions>
    </reviewItem>
    <reviewItem>
      <errorID>f9c70d28-81b3-498b-9c9e-bcaf588a8f1f</errorID>
      <errorWord>[2024]157号</errorWord>
      <group>L1_Knowledge</group>
      <groupName>知识性问题</groupName>
      <ability>L2_Knowledge</ability>
      <abilityName>其他知识</abilityName>
      <candidateList>
        <item>〔2024〕157号</item>
      </candidateList>
      <explain>发文字号格式错误。</explain>
      <paraID>5FFEC50D</paraID>
      <start>32</start>
      <end>42</end>
      <status>unmodified</status>
      <modifiedWord/>
      <trackRevisions>false</trackRevisions>
    </reviewItem>
    <reviewItem>
      <errorID>6e9d2940-be11-4428-9b46-4f0aefe79dea</errorID>
      <errorWord>[2024]157号</errorWord>
      <group>L1_Knowledge</group>
      <groupName>知识性问题</groupName>
      <ability>L2_Knowledge</ability>
      <abilityName>其他知识</abilityName>
      <candidateList>
        <item>〔2024〕157号</item>
      </candidateList>
      <explain>发文字号格式错误。</explain>
      <paraID>4BDA7709</paraID>
      <start>10</start>
      <end>20</end>
      <status>unmodified</status>
      <modifiedWord/>
      <trackRevisions>false</trackRevisions>
    </reviewItem>
    <reviewItem>
      <errorID>d650b170-0272-4463-8600-130e733246ea</errorID>
      <errorWord>[2024]157号</errorWord>
      <group>L1_Knowledge</group>
      <groupName>知识性问题</groupName>
      <ability>L2_Knowledge</ability>
      <abilityName>其他知识</abilityName>
      <candidateList>
        <item>〔2024〕157号</item>
      </candidateList>
      <explain>发文字号格式错误。</explain>
      <paraID>17158304</paraID>
      <start>30</start>
      <end>40</end>
      <status>unmodified</status>
      <modifiedWord/>
      <trackRevisions>false</trackRevisions>
    </reviewItem>
    <reviewItem>
      <errorID>8d45d9c8-4a4e-4ff1-8dbf-225e31c03ebc</errorID>
      <errorWord>[2024]157号</errorWord>
      <group>L1_Knowledge</group>
      <groupName>知识性问题</groupName>
      <ability>L2_Knowledge</ability>
      <abilityName>其他知识</abilityName>
      <candidateList>
        <item>〔2024〕157号</item>
      </candidateList>
      <explain>发文字号格式错误。</explain>
      <paraID>2F4FF5C3</paraID>
      <start>5</start>
      <end>15</end>
      <status>unmodified</status>
      <modifiedWord/>
      <trackRevisions>false</trackRevisions>
    </reviewItem>
    <reviewItem>
      <errorID>79306a86-e50e-4f69-85e4-6f529ca83037</errorID>
      <errorWord>[2023]第7号</errorWord>
      <group>L1_Knowledge</group>
      <groupName>知识性问题</groupName>
      <ability>L2_Knowledge</ability>
      <abilityName>其他知识</abilityName>
      <candidateList>
        <item>〔2023〕7号</item>
      </candidateList>
      <explain>发文字号格式错误。</explain>
      <paraID>654D4ACC</paraID>
      <start>36</start>
      <end>45</end>
      <status>unmodified</status>
      <modifiedWord/>
      <trackRevisions>false</trackRevisions>
    </reviewItem>
    <reviewItem>
      <errorID>73f8b2d3-c126-4577-9186-bb00c98d110b</errorID>
      <errorWord>[2025]466号</errorWord>
      <group>L1_Knowledge</group>
      <groupName>知识性问题</groupName>
      <ability>L2_Knowledge</ability>
      <abilityName>其他知识</abilityName>
      <candidateList>
        <item>〔2025〕466号</item>
      </candidateList>
      <explain>发文字号格式错误。</explain>
      <paraID>654D4ACC</paraID>
      <start>82</start>
      <end>92</end>
      <status>unmodified</status>
      <modifiedWord/>
      <trackRevisions>false</trackRevisions>
    </reviewItem>
    <reviewItem>
      <errorID>e79c9000-5c49-42b5-aef9-04bb0a62da95</errorID>
      <errorWord>-</errorWord>
      <group>L1_Format</group>
      <groupName>格式问题</groupName>
      <ability>L2_HalfPunc_CN</ability>
      <abilityName>全半角问题</abilityName>
      <candidateList>
        <item>－</item>
      </candidateList>
      <explain>文本全半角错误。</explain>
      <paraID>543CFC30</paraID>
      <start>70</start>
      <end>71</end>
      <status>unmodified</status>
      <modifiedWord/>
      <trackRevisions>false</trackRevisions>
    </reviewItem>
    <reviewItem>
      <errorID>6948c850-cf1a-4cea-b339-2646129e3c20</errorID>
      <errorWord>[2023]第7号</errorWord>
      <group>L1_Knowledge</group>
      <groupName>知识性问题</groupName>
      <ability>L2_Knowledge</ability>
      <abilityName>其他知识</abilityName>
      <candidateList>
        <item>〔2023〕7号</item>
      </candidateList>
      <explain>发文字号格式错误。</explain>
      <paraID>42A3AF54</paraID>
      <start>47</start>
      <end>56</end>
      <status>unmodified</status>
      <modifiedWord/>
      <trackRevisions>false</trackRevisions>
    </reviewItem>
    <reviewItem>
      <errorID>4be98ceb-6289-4ea4-b235-e00b1ca238eb</errorID>
      <errorWord>上线</errorWord>
      <group>L1_Word</group>
      <groupName>字词问题</groupName>
      <ability>L2_Typo</ability>
      <abilityName>字词错误</abilityName>
      <candidateList>
        <item>上限</item>
      </candidateList>
      <explain/>
      <paraID>793FCF33</paraID>
      <start>12</start>
      <end>14</end>
      <status>unmodified</status>
      <modifiedWord/>
      <trackRevisions>false</trackRevisions>
    </reviewItem>
    <reviewItem>
      <errorID>7c32f5ba-12fe-498f-88e3-ad74c42a7073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3A176302</paraID>
      <start>0</start>
      <end>2</end>
      <status>unmodified</status>
      <modifiedWord/>
      <trackRevisions>false</trackRevisions>
    </reviewItem>
    <reviewItem>
      <errorID>a93c909b-2371-43d0-a257-b1291d39f3e4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236DD262</paraID>
      <start>0</start>
      <end>2</end>
      <status>unmodified</status>
      <modifiedWord/>
      <trackRevisions>false</trackRevisions>
    </reviewItem>
    <reviewItem>
      <errorID>affaf263-9474-4fd2-a05b-69f370eb579b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2E3E0417</paraID>
      <start>0</start>
      <end>2</end>
      <status>unmodified</status>
      <modifiedWord/>
      <trackRevisions>false</trackRevisions>
    </reviewItem>
    <reviewItem>
      <errorID>2c2c8d10-b2e4-4dc6-8ecc-68f107087974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1C2FC152</paraID>
      <start>0</start>
      <end>2</end>
      <status>unmodified</status>
      <modifiedWord/>
      <trackRevisions>false</trackRevisions>
    </reviewItem>
    <reviewItem>
      <errorID>37757ad5-3658-4fb6-b6a3-ac0e2a5925d4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6F182DE5</paraID>
      <start>0</start>
      <end>2</end>
      <status>unmodified</status>
      <modifiedWord/>
      <trackRevisions>false</trackRevisions>
    </reviewItem>
    <reviewItem>
      <errorID>de64ffef-8b2a-4de8-9817-92f6d58602a4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3F104AD6</paraID>
      <start>0</start>
      <end>2</end>
      <status>unmodified</status>
      <modifiedWord/>
      <trackRevisions>false</trackRevisions>
    </reviewItem>
    <reviewItem>
      <errorID>d1c4b552-e9b9-4d7c-8e2a-e70a6a76dd81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6BB6C1BA</paraID>
      <start>0</start>
      <end>2</end>
      <status>unmodified</status>
      <modifiedWord/>
      <trackRevisions>false</trackRevisions>
    </reviewItem>
    <reviewItem>
      <errorID>4eb79c7c-d4de-4cd8-ab4b-4e03e1bed91c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5D32F0C8</paraID>
      <start>0</start>
      <end>2</end>
      <status>unmodified</status>
      <modifiedWord/>
      <trackRevisions>false</trackRevisions>
    </reviewItem>
    <reviewItem>
      <errorID>3769adbf-8a88-4272-8c67-503b6e4082b6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64C1E5F</paraID>
      <start>0</start>
      <end>2</end>
      <status>unmodified</status>
      <modifiedWord/>
      <trackRevisions>false</trackRevisions>
    </reviewItem>
    <reviewItem>
      <errorID>cefde216-0c53-48d3-92a0-92aa758eaa70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3135E3B3</paraID>
      <start>0</start>
      <end>2</end>
      <status>unmodified</status>
      <modifiedWord/>
      <trackRevisions>false</trackRevisions>
    </reviewItem>
    <reviewItem>
      <errorID>07c93853-40fe-4c94-a2d0-9b9fe682cf67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8A53EDF</paraID>
      <start>0</start>
      <end>2</end>
      <status>unmodified</status>
      <modifiedWord/>
      <trackRevisions>false</trackRevisions>
    </reviewItem>
    <reviewItem>
      <errorID>50d43175-eafb-4104-bd56-8b4731a091f1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73B24C98</paraID>
      <start>0</start>
      <end>2</end>
      <status>unmodified</status>
      <modifiedWord/>
      <trackRevisions>false</trackRevisions>
    </reviewItem>
    <reviewItem>
      <errorID>c1770ce3-7c34-4ab0-a91e-39473c304d8f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7C7AB94C</paraID>
      <start>0</start>
      <end>2</end>
      <status>unmodified</status>
      <modifiedWord/>
      <trackRevisions>false</trackRevisions>
    </reviewItem>
    <reviewItem>
      <errorID>8ea15d91-98dd-4937-a320-5a0a046a9506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13402915</paraID>
      <start>0</start>
      <end>2</end>
      <status>unmodified</status>
      <modifiedWord/>
      <trackRevisions>false</trackRevisions>
    </reviewItem>
    <reviewItem>
      <errorID>8c0faaf2-23f9-4c16-9fa0-68c2ef31886e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1F74BCFC</paraID>
      <start>0</start>
      <end>2</end>
      <status>unmodified</status>
      <modifiedWord/>
      <trackRevisions>false</trackRevisions>
    </reviewItem>
    <reviewItem>
      <errorID>f8b38349-2712-4836-9b29-104b8cbcae64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5C82C56B</paraID>
      <start>0</start>
      <end>2</end>
      <status>unmodified</status>
      <modifiedWord/>
      <trackRevisions>false</trackRevisions>
    </reviewItem>
    <reviewItem>
      <errorID>06e93b05-7336-4df6-9e28-8ff4f4f91784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25CEA470</paraID>
      <start>0</start>
      <end>2</end>
      <status>unmodified</status>
      <modifiedWord/>
      <trackRevisions>false</trackRevisions>
    </reviewItem>
    <reviewItem>
      <errorID>2a952251-94e4-4fdf-abd6-d93b79f3aedf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38734BB</paraID>
      <start>0</start>
      <end>2</end>
      <status>unmodified</status>
      <modifiedWord/>
      <trackRevisions>false</trackRevisions>
    </reviewItem>
    <reviewItem>
      <errorID>2c4fd56d-154f-42ac-861b-fb997befb006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74FEADD1</paraID>
      <start>0</start>
      <end>2</end>
      <status>unmodified</status>
      <modifiedWord/>
      <trackRevisions>false</trackRevisions>
    </reviewItem>
    <reviewItem>
      <errorID>c64c1d1b-1590-4d41-9d38-569d0706e372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695F1A7E</paraID>
      <start>0</start>
      <end>2</end>
      <status>unmodified</status>
      <modifiedWord/>
      <trackRevisions>false</trackRevisions>
    </reviewItem>
    <reviewItem>
      <errorID>ed932c83-73f1-4569-af76-586523c104ee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883F73</paraID>
      <start>0</start>
      <end>2</end>
      <status>unmodified</status>
      <modifiedWord/>
      <trackRevisions>false</trackRevisions>
    </reviewItem>
    <reviewItem>
      <errorID>ffa213c8-1c6e-4fdd-ab61-db1a86f09dd4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6B42EDD3</paraID>
      <start>0</start>
      <end>2</end>
      <status>unmodified</status>
      <modifiedWord/>
      <trackRevisions>false</trackRevisions>
    </reviewItem>
    <reviewItem>
      <errorID>ae574112-7a34-4480-8382-eee7152a85f7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1AA9B89</paraID>
      <start>0</start>
      <end>2</end>
      <status>unmodified</status>
      <modifiedWord/>
      <trackRevisions>false</trackRevisions>
    </reviewItem>
    <reviewItem>
      <errorID>72958691-984d-4c77-8061-917687fe5637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91D8F32</paraID>
      <start>0</start>
      <end>2</end>
      <status>unmodified</status>
      <modifiedWord/>
      <trackRevisions>false</trackRevisions>
    </reviewItem>
    <reviewItem>
      <errorID>b0ac6ba8-3919-4fe7-b532-8fada919e32f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4EA9ADA6</paraID>
      <start>0</start>
      <end>2</end>
      <status>unmodified</status>
      <modifiedWord/>
      <trackRevisions>false</trackRevisions>
    </reviewItem>
    <reviewItem>
      <errorID>0e1ce351-a3b1-47d2-a6bd-5085b6bfbcd9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4E6EBAE2</paraID>
      <start>0</start>
      <end>2</end>
      <status>unmodified</status>
      <modifiedWord/>
      <trackRevisions>false</trackRevisions>
    </reviewItem>
    <reviewItem>
      <errorID>d7927107-6f5d-45fc-9c4b-07f0a70a9f39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4E8D9A5B</paraID>
      <start>0</start>
      <end>2</end>
      <status>unmodified</status>
      <modifiedWord/>
      <trackRevisions>false</trackRevisions>
    </reviewItem>
    <reviewItem>
      <errorID>e13af651-1077-41e4-9666-f2d253cc6112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29677E69</paraID>
      <start>0</start>
      <end>2</end>
      <status>unmodified</status>
      <modifiedWord/>
      <trackRevisions>false</trackRevisions>
    </reviewItem>
    <reviewItem>
      <errorID>54cb9346-8968-4460-889d-c3255b92160f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2694476</paraID>
      <start>0</start>
      <end>2</end>
      <status>unmodified</status>
      <modifiedWord/>
      <trackRevisions>false</trackRevisions>
    </reviewItem>
    <reviewItem>
      <errorID>b5742888-5064-4611-b322-d67733356809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4BA28960</paraID>
      <start>0</start>
      <end>2</end>
      <status>unmodified</status>
      <modifiedWord/>
      <trackRevisions>false</trackRevisions>
    </reviewItem>
    <reviewItem>
      <errorID>c4e22645-fe0f-4640-a0cb-af844e2a20b8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2ED26F2A</paraID>
      <start>0</start>
      <end>2</end>
      <status>unmodified</status>
      <modifiedWord/>
      <trackRevisions>false</trackRevisions>
    </reviewItem>
    <reviewItem>
      <errorID>3b0deaf7-5e66-4941-9b2d-bef789ae63c3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59FF7A6B</paraID>
      <start>0</start>
      <end>2</end>
      <status>unmodified</status>
      <modifiedWord/>
      <trackRevisions>false</trackRevisions>
    </reviewItem>
    <reviewItem>
      <errorID>807af2d4-f303-48a4-ab2a-4b6d89805ed0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220C0D8E</paraID>
      <start>0</start>
      <end>2</end>
      <status>unmodified</status>
      <modifiedWord/>
      <trackRevisions>false</trackRevisions>
    </reviewItem>
    <reviewItem>
      <errorID>6861fc7d-c24c-4a92-b6ec-f5e56e868da9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1A0D966B</paraID>
      <start>0</start>
      <end>2</end>
      <status>unmodified</status>
      <modifiedWord/>
      <trackRevisions>false</trackRevisions>
    </reviewItem>
    <reviewItem>
      <errorID>4f5eca03-2d44-47f4-969a-eec90d934a1c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16503900</paraID>
      <start>0</start>
      <end>2</end>
      <status>unmodified</status>
      <modifiedWord/>
      <trackRevisions>false</trackRevisions>
    </reviewItem>
    <reviewItem>
      <errorID>89918230-bb2f-4363-b590-3ad00b50f072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1EA77C56</paraID>
      <start>0</start>
      <end>2</end>
      <status>unmodified</status>
      <modifiedWord/>
      <trackRevisions>false</trackRevisions>
    </reviewItem>
    <reviewItem>
      <errorID>54b14729-dd95-43a5-a9dc-b80afa5925f1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1A599FB9</paraID>
      <start>0</start>
      <end>2</end>
      <status>unmodified</status>
      <modifiedWord/>
      <trackRevisions>false</trackRevisions>
    </reviewItem>
    <reviewItem>
      <errorID>d08d6ce2-5269-4c29-a345-e0d0449ea0a3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4FFB7126</paraID>
      <start>0</start>
      <end>2</end>
      <status>unmodified</status>
      <modifiedWord/>
      <trackRevisions>false</trackRevisions>
    </reviewItem>
    <reviewItem>
      <errorID>04c0b770-9980-4bc1-ab11-48b7a21faeda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35E6E696</paraID>
      <start>0</start>
      <end>2</end>
      <status>unmodified</status>
      <modifiedWord/>
      <trackRevisions>false</trackRevisions>
    </reviewItem>
    <reviewItem>
      <errorID>2abc7878-8420-4700-aea1-4367371ce461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7EA6CBA8</paraID>
      <start>0</start>
      <end>2</end>
      <status>unmodified</status>
      <modifiedWord/>
      <trackRevisions>false</trackRevisions>
    </reviewItem>
    <reviewItem>
      <errorID>e1b9fc8f-5f7a-4ad2-8e7a-6d98b7f8f1dd</errorID>
      <errorWord>上线</errorWord>
      <group>L1_Word</group>
      <groupName>字词问题</groupName>
      <ability>L2_Typo</ability>
      <abilityName>字词错误</abilityName>
      <candidateList>
        <item>上限</item>
      </candidateList>
      <explain/>
      <paraID>5FDFD7DA</paraID>
      <start>30</start>
      <end>32</end>
      <status>unmodified</status>
      <modifiedWord/>
      <trackRevisions>false</trackRevisions>
    </reviewItem>
    <reviewItem>
      <errorID>a1409f0d-2a8a-418d-b52b-111a1c894b85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627F301</paraID>
      <start>0</start>
      <end>2</end>
      <status>unmodified</status>
      <modifiedWord/>
      <trackRevisions>false</trackRevisions>
    </reviewItem>
    <reviewItem>
      <errorID>0e349cde-eeaa-4229-b8c3-953d4d32a1a1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6A8F942E</paraID>
      <start>0</start>
      <end>2</end>
      <status>unmodified</status>
      <modifiedWord/>
      <trackRevisions>false</trackRevisions>
    </reviewItem>
    <reviewItem>
      <errorID>94922157-bdb6-4620-a19e-91d4a52f7089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21349D27</paraID>
      <start>0</start>
      <end>2</end>
      <status>unmodified</status>
      <modifiedWord/>
      <trackRevisions>false</trackRevisions>
    </reviewItem>
    <reviewItem>
      <errorID>4ca3dfae-6426-436c-b502-bab672a49ef8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39C531AD</paraID>
      <start>0</start>
      <end>2</end>
      <status>unmodified</status>
      <modifiedWord/>
      <trackRevisions>false</trackRevisions>
    </reviewItem>
    <reviewItem>
      <errorID>a47d361c-899d-4d65-8887-bf25e08eca15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15004EC0</paraID>
      <start>0</start>
      <end>2</end>
      <status>unmodified</status>
      <modifiedWord/>
      <trackRevisions>false</trackRevisions>
    </reviewItem>
    <reviewItem>
      <errorID>961d042f-2eba-489d-9244-26f49fd008ae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47D9C99B</paraID>
      <start>0</start>
      <end>2</end>
      <status>unmodified</status>
      <modifiedWord/>
      <trackRevisions>false</trackRevisions>
    </reviewItem>
    <reviewItem>
      <errorID>b7ba841f-2e7c-4906-90d9-ea02c00dc513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3F9645B3</paraID>
      <start>0</start>
      <end>2</end>
      <status>unmodified</status>
      <modifiedWord/>
      <trackRevisions>false</trackRevisions>
    </reviewItem>
    <reviewItem>
      <errorID>c3c1de57-f6e3-4b2e-9350-6cebc6772485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2FCB85C</paraID>
      <start>0</start>
      <end>2</end>
      <status>unmodified</status>
      <modifiedWord/>
      <trackRevisions>false</trackRevisions>
    </reviewItem>
    <reviewItem>
      <errorID>b6a28565-eff0-4913-b4f5-df7724484d15</errorID>
      <errorWord>[2023]第7号</errorWord>
      <group>L1_Knowledge</group>
      <groupName>知识性问题</groupName>
      <ability>L2_Knowledge</ability>
      <abilityName>其他知识</abilityName>
      <candidateList>
        <item>〔2023〕7号</item>
      </candidateList>
      <explain>发文字号格式错误。</explain>
      <paraID>14F99E90</paraID>
      <start>34</start>
      <end>43</end>
      <status>unmodified</status>
      <modifiedWord/>
      <trackRevisions>false</trackRevisions>
    </reviewItem>
    <reviewItem>
      <errorID>d758a9a2-1f96-40a8-8d55-d9fde5ef8c6d</errorID>
      <errorWord>-</errorWord>
      <group>L1_Format</group>
      <groupName>格式问题</groupName>
      <ability>L2_HalfPunc_CN</ability>
      <abilityName>全半角问题</abilityName>
      <candidateList>
        <item>－</item>
      </candidateList>
      <explain>文本全半角错误。</explain>
      <paraID>14F99E90</paraID>
      <start>160</start>
      <end>161</end>
      <status>unmodified</status>
      <modifiedWord/>
      <trackRevisions>false</trackRevisions>
    </reviewItem>
    <reviewItem>
      <errorID>7b4300ad-b6bc-4733-aa81-1dffbc88a562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5C338473</paraID>
      <start>0</start>
      <end>2</end>
      <status>unmodified</status>
      <modifiedWord/>
      <trackRevisions>false</trackRevisions>
    </reviewItem>
    <reviewItem>
      <errorID>88d73be0-fe3b-4511-9dd8-f1c45314ea51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3F6D0CB0</paraID>
      <start>0</start>
      <end>2</end>
      <status>unmodified</status>
      <modifiedWord/>
      <trackRevisions>false</trackRevisions>
    </reviewItem>
    <reviewItem>
      <errorID>bc9cf5c0-257d-412e-b67f-e9649c2858e9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558C9EC4</paraID>
      <start>0</start>
      <end>2</end>
      <status>unmodified</status>
      <modifiedWord/>
      <trackRevisions>false</trackRevisions>
    </reviewItem>
    <reviewItem>
      <errorID>ff75ae66-6ea3-40cf-8baa-edee318fddc6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74B25757</paraID>
      <start>0</start>
      <end>2</end>
      <status>unmodified</status>
      <modifiedWord/>
      <trackRevisions>false</trackRevisions>
    </reviewItem>
    <reviewItem>
      <errorID>687409b7-e6fd-4c5b-8ded-db1420a4b36a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73A07257</paraID>
      <start>0</start>
      <end>2</end>
      <status>unmodified</status>
      <modifiedWord/>
      <trackRevisions>false</trackRevisions>
    </reviewItem>
    <reviewItem>
      <errorID>306c63fc-6470-47d2-a93c-7764e0a74b10</errorID>
      <errorWord>[2019]910号</errorWord>
      <group>L1_Knowledge</group>
      <groupName>知识性问题</groupName>
      <ability>L2_Knowledge</ability>
      <abilityName>其他知识</abilityName>
      <candidateList>
        <item>〔2019〕910号</item>
      </candidateList>
      <explain>发文字号格式错误。</explain>
      <paraID>123C4033</paraID>
      <start>7</start>
      <end>17</end>
      <status>unmodified</status>
      <modifiedWord/>
      <trackRevisions>false</trackRevisions>
    </reviewItem>
    <reviewItem>
      <errorID>ec505b69-7a6b-48c7-8244-0d685e78302e</errorID>
      <errorWord>[2019]910号</errorWord>
      <group>L1_Knowledge</group>
      <groupName>知识性问题</groupName>
      <ability>L2_Knowledge</ability>
      <abilityName>其他知识</abilityName>
      <candidateList>
        <item>〔2019〕910号</item>
      </candidateList>
      <explain>发文字号格式错误。</explain>
      <paraID>2C7792E9</paraID>
      <start>37</start>
      <end>47</end>
      <status>unmodified</status>
      <modifiedWord/>
      <trackRevisions>false</trackRevisions>
    </reviewItem>
    <reviewItem>
      <errorID>e4f04b7d-03f7-4dd3-b1ec-b288ead585e2</errorID>
      <errorWord>[2019]910号</errorWord>
      <group>L1_Knowledge</group>
      <groupName>知识性问题</groupName>
      <ability>L2_Knowledge</ability>
      <abilityName>其他知识</abilityName>
      <candidateList>
        <item>〔2019〕910号</item>
      </candidateList>
      <explain>发文字号格式错误。</explain>
      <paraID> 24BB8D5</paraID>
      <start>30</start>
      <end>40</end>
      <status>unmodified</status>
      <modifiedWord/>
      <trackRevisions>false</trackRevisions>
    </reviewItem>
    <reviewItem>
      <errorID>2ed52045-ecfb-4401-aecf-eb38a9f160f1</errorID>
      <errorWord>[2019]910号</errorWord>
      <group>L1_Knowledge</group>
      <groupName>知识性问题</groupName>
      <ability>L2_Knowledge</ability>
      <abilityName>其他知识</abilityName>
      <candidateList>
        <item>〔2019〕910号</item>
      </candidateList>
      <explain>发文字号格式错误。</explain>
      <paraID>17D1ADD6</paraID>
      <start>33</start>
      <end>43</end>
      <status>unmodified</status>
      <modifiedWord/>
      <trackRevisions>false</trackRevisions>
    </reviewItem>
    <reviewItem>
      <errorID>3fa5e463-189e-463b-aec1-6421a9ec19e8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65BAB481</paraID>
      <start>121</start>
      <end>124</end>
      <status>unmodified</status>
      <modifiedWord/>
      <trackRevisions>false</trackRevisions>
    </reviewItem>
    <reviewItem>
      <errorID>03bfd30c-564d-476c-b42a-efd51a45590a</errorID>
      <errorWord>管线应</errorWord>
      <group>L1_Word</group>
      <groupName>字词问题</groupName>
      <ability>L2_Typo</ability>
      <abilityName>字词错误</abilityName>
      <candidateList>
        <item>管线</item>
      </candidateList>
      <explain/>
      <paraID>589E737A</paraID>
      <start>151</start>
      <end>154</end>
      <status>unmodified</status>
      <modifiedWord/>
      <trackRevisions>false</trackRevisions>
    </reviewItem>
    <reviewItem>
      <errorID>ba4750aa-7f0e-4fed-90d8-73f13cd942a0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6D88562C</paraID>
      <start>22</start>
      <end>23</end>
      <status>unmodified</status>
      <modifiedWord/>
      <trackRevisions>false</trackRevisions>
    </reviewItem>
    <reviewItem>
      <errorID>5a8bb9a8-fd8c-4a49-951b-591fe99e1a85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225EC0FC</paraID>
      <start>25</start>
      <end>26</end>
      <status>unmodified</status>
      <modifiedWord/>
      <trackRevisions>false</trackRevisions>
    </reviewItem>
    <reviewItem>
      <errorID>2f397154-6f29-4fe0-b565-1f81863362b3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281E45B6</paraID>
      <start>48</start>
      <end>49</end>
      <status>unmodified</status>
      <modifiedWord/>
      <trackRevisions>false</trackRevisions>
    </reviewItem>
    <reviewItem>
      <errorID>74068581-d00a-4b5e-bcfa-c5b286ccca55</errorID>
      <errorWord>，</errorWord>
      <group>L1_Word</group>
      <groupName>字词问题</groupName>
      <ability>L2_Typo</ability>
      <abilityName>字词错误</abilityName>
      <candidateList>
        <item>，从</item>
      </candidateList>
      <explain/>
      <paraID>6865EFD3</paraID>
      <start>97</start>
      <end>98</end>
      <status>unmodified</status>
      <modifiedWord/>
      <trackRevisions>false</trackRevisions>
    </reviewItem>
    <reviewItem>
      <errorID>313629e5-050f-4bb8-a3cf-37c4fb4b98c2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68FB4C91</paraID>
      <start>177</start>
      <end>180</end>
      <status>unmodified</status>
      <modifiedWord/>
      <trackRevisions>false</trackRevisions>
    </reviewItem>
    <reviewItem>
      <errorID>e880bdc8-7a6e-4140-bdfc-93376e73a617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6F48E87</paraID>
      <start>71</start>
      <end>74</end>
      <status>unmodified</status>
      <modifiedWord/>
      <trackRevisions>false</trackRevisions>
    </reviewItem>
    <reviewItem>
      <errorID>8925fd8c-9ba9-43d0-8386-e156359d4069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6C849A65</paraID>
      <start>42</start>
      <end>43</end>
      <status>unmodified</status>
      <modifiedWord/>
      <trackRevisions>false</trackRevisions>
    </reviewItem>
    <reviewItem>
      <errorID>6cc8b32f-850b-454b-be1e-7890f6c4298a</errorID>
      <errorWord>[2010]863号</errorWord>
      <group>L1_Knowledge</group>
      <groupName>知识性问题</groupName>
      <ability>L2_Knowledge</ability>
      <abilityName>其他知识</abilityName>
      <candidateList>
        <item>〔2010〕863号</item>
      </candidateList>
      <explain>发文字号格式错误。</explain>
      <paraID>3E402BF2</paraID>
      <start>70</start>
      <end>80</end>
      <status>unmodified</status>
      <modifiedWord/>
      <trackRevisions>false</trackRevisions>
    </reviewItem>
    <reviewItem>
      <errorID>79217c0b-e5dc-481d-9b72-6034170e9fb6</errorID>
      <errorWord>[2012]939号</errorWord>
      <group>L1_Knowledge</group>
      <groupName>知识性问题</groupName>
      <ability>L2_Knowledge</ability>
      <abilityName>其他知识</abilityName>
      <candidateList>
        <item>〔2012〕939号</item>
      </candidateList>
      <explain>发文字号格式错误。</explain>
      <paraID>3E402BF2</paraID>
      <start>108</start>
      <end>118</end>
      <status>unmodified</status>
      <modifiedWord/>
      <trackRevisions>false</trackRevisions>
    </reviewItem>
    <reviewItem>
      <errorID>64a93fcb-6eb0-4136-8ec3-44fb8abf204a</errorID>
      <errorWord>[2017]192号</errorWord>
      <group>L1_Knowledge</group>
      <groupName>知识性问题</groupName>
      <ability>L2_Knowledge</ability>
      <abilityName>其他知识</abilityName>
      <candidateList>
        <item>〔2017〕192号</item>
      </candidateList>
      <explain>发文字号格式错误。</explain>
      <paraID>6177AD47</paraID>
      <start>166</start>
      <end>176</end>
      <status>unmodified</status>
      <modifiedWord/>
      <trackRevisions>false</trackRevisions>
    </reviewItem>
    <reviewItem>
      <errorID>590663e7-08c5-4d8c-8a75-f60c29b76bd3</errorID>
      <errorWord>[2019]150号</errorWord>
      <group>L1_Knowledge</group>
      <groupName>知识性问题</groupName>
      <ability>L2_Knowledge</ability>
      <abilityName>其他知识</abilityName>
      <candidateList>
        <item>〔2019〕150号</item>
      </candidateList>
      <explain>发文字号格式错误。</explain>
      <paraID>6177AD47</paraID>
      <start>202</start>
      <end>212</end>
      <status>unmodified</status>
      <modifiedWord/>
      <trackRevisions>false</trackRevisions>
    </reviewItem>
    <reviewItem>
      <errorID>b31b7846-dc7c-48d7-9355-889728043147</errorID>
      <errorWord>，</errorWord>
      <group>L1_Format</group>
      <groupName>格式问题</groupName>
      <ability>L2_HalfPunc_CN</ability>
      <abilityName>全半角问题</abilityName>
      <candidateList>
        <item>,</item>
      </candidateList>
      <explain>文本全半角错误。</explain>
      <paraID>526C253E</paraID>
      <start>14</start>
      <end>15</end>
      <status>unmodified</status>
      <modifiedWord/>
      <trackRevisions>false</trackRevisions>
    </reviewItem>
    <reviewItem>
      <errorID>74f265e5-901c-46ed-b6b1-238e04cbbe3f</errorID>
      <errorWord>（</errorWord>
      <group>L1_Format</group>
      <groupName>格式问题</groupName>
      <ability>L2_HalfPunc_CN</ability>
      <abilityName>全半角问题</abilityName>
      <candidateList>
        <item>(</item>
      </candidateList>
      <explain>文本全半角错误。</explain>
      <paraID> 23A290D</paraID>
      <start>0</start>
      <end>1</end>
      <status>unmodified</status>
      <modifiedWord/>
      <trackRevisions>false</trackRevisions>
    </reviewItem>
    <reviewItem>
      <errorID>cf32ee8e-21a7-40fb-b96d-f8162ffbc321</errorID>
      <errorWord>）</errorWord>
      <group>L1_Format</group>
      <groupName>格式问题</groupName>
      <ability>L2_HalfPunc_CN</ability>
      <abilityName>全半角问题</abilityName>
      <candidateList>
        <item>)</item>
      </candidateList>
      <explain>文本全半角错误。</explain>
      <paraID> 23A290D</paraID>
      <start>3</start>
      <end>4</end>
      <status>unmodified</status>
      <modifiedWord/>
      <trackRevisions>false</trackRevisions>
    </reviewItem>
    <reviewItem>
      <errorID>3de80b70-4d57-4fec-a2f5-010bec96cd6a</errorID>
      <errorWord>（</errorWord>
      <group>L1_Format</group>
      <groupName>格式问题</groupName>
      <ability>L2_HalfPunc_CN</ability>
      <abilityName>全半角问题</abilityName>
      <candidateList>
        <item>(</item>
      </candidateList>
      <explain>文本全半角错误。</explain>
      <paraID>6491D44A</paraID>
      <start>0</start>
      <end>1</end>
      <status>unmodified</status>
      <modifiedWord/>
      <trackRevisions>false</trackRevisions>
    </reviewItem>
    <reviewItem>
      <errorID>5bbf365a-35b8-4927-9e53-6f750e19acde</errorID>
      <errorWord>）</errorWord>
      <group>L1_Format</group>
      <groupName>格式问题</groupName>
      <ability>L2_HalfPunc_CN</ability>
      <abilityName>全半角问题</abilityName>
      <candidateList>
        <item>)</item>
      </candidateList>
      <explain>文本全半角错误。</explain>
      <paraID>6491D44A</paraID>
      <start>2</start>
      <end>3</end>
      <status>unmodified</status>
      <modifiedWord/>
      <trackRevisions>false</trackRevisions>
    </reviewItem>
    <reviewItem>
      <errorID>6a15b8b2-1920-45dd-934f-a7d8ebb9cc13</errorID>
      <errorWord>（</errorWord>
      <group>L1_Format</group>
      <groupName>格式问题</groupName>
      <ability>L2_HalfPunc_CN</ability>
      <abilityName>全半角问题</abilityName>
      <candidateList>
        <item>(</item>
      </candidateList>
      <explain>文本全半角错误。</explain>
      <paraID>2C5DC501</paraID>
      <start>0</start>
      <end>1</end>
      <status>unmodified</status>
      <modifiedWord/>
      <trackRevisions>false</trackRevisions>
    </reviewItem>
    <reviewItem>
      <errorID>3195d6aa-1bdc-4bbf-b989-8ed6b554b081</errorID>
      <errorWord>）</errorWord>
      <group>L1_Format</group>
      <groupName>格式问题</groupName>
      <ability>L2_HalfPunc_CN</ability>
      <abilityName>全半角问题</abilityName>
      <candidateList>
        <item>)</item>
      </candidateList>
      <explain>文本全半角错误。</explain>
      <paraID>2C5DC501</paraID>
      <start>3</start>
      <end>4</end>
      <status>unmodified</status>
      <modifiedWord/>
      <trackRevisions>false</trackRevisions>
    </reviewItem>
    <reviewItem>
      <errorID>3b59ab4b-4d12-4c86-9166-977c1a383c3b</errorID>
      <errorWord>（</errorWord>
      <group>L1_Format</group>
      <groupName>格式问题</groupName>
      <ability>L2_HalfPunc_CN</ability>
      <abilityName>全半角问题</abilityName>
      <candidateList>
        <item>(</item>
      </candidateList>
      <explain>文本全半角错误。</explain>
      <paraID>3145FED6</paraID>
      <start>0</start>
      <end>1</end>
      <status>unmodified</status>
      <modifiedWord/>
      <trackRevisions>false</trackRevisions>
    </reviewItem>
    <reviewItem>
      <errorID>e4d6a2d2-4c86-40b4-9cc3-18a5d98d4239</errorID>
      <errorWord>）</errorWord>
      <group>L1_Format</group>
      <groupName>格式问题</groupName>
      <ability>L2_HalfPunc_CN</ability>
      <abilityName>全半角问题</abilityName>
      <candidateList>
        <item>)</item>
      </candidateList>
      <explain>文本全半角错误。</explain>
      <paraID>3145FED6</paraID>
      <start>2</start>
      <end>3</end>
      <status>unmodified</status>
      <modifiedWord/>
      <trackRevisions>false</trackRevisions>
    </reviewItem>
    <reviewItem>
      <errorID>4af95c54-5a31-4b38-9b14-15579fbce4c8</errorID>
      <errorWord>（</errorWord>
      <group>L1_Format</group>
      <groupName>格式问题</groupName>
      <ability>L2_HalfPunc_CN</ability>
      <abilityName>全半角问题</abilityName>
      <candidateList>
        <item>(</item>
      </candidateList>
      <explain>文本全半角错误。</explain>
      <paraID>3B439E01</paraID>
      <start>0</start>
      <end>1</end>
      <status>unmodified</status>
      <modifiedWord/>
      <trackRevisions>false</trackRevisions>
    </reviewItem>
    <reviewItem>
      <errorID>32cd24ce-3ea7-489a-9c1a-a3309e549f06</errorID>
      <errorWord>）</errorWord>
      <group>L1_Format</group>
      <groupName>格式问题</groupName>
      <ability>L2_HalfPunc_CN</ability>
      <abilityName>全半角问题</abilityName>
      <candidateList>
        <item>)</item>
      </candidateList>
      <explain>文本全半角错误。</explain>
      <paraID>3B439E01</paraID>
      <start>2</start>
      <end>3</end>
      <status>unmodified</status>
      <modifiedWord/>
      <trackRevisions>false</trackRevisions>
    </reviewItem>
    <reviewItem>
      <errorID>0cd4388e-c710-4f4b-89dc-5e4f20af4ad6</errorID>
      <errorWord>～</errorWord>
      <group>L1_Format</group>
      <groupName>格式问题</groupName>
      <ability>L2_HalfPunc_CN</ability>
      <abilityName>全半角问题</abilityName>
      <candidateList>
        <item>~</item>
      </candidateList>
      <explain>文本全半角错误。</explain>
      <paraID>2B922893</paraID>
      <start>1</start>
      <end>2</end>
      <status>unmodified</status>
      <modifiedWord/>
      <trackRevisions>false</trackRevisions>
    </reviewItem>
    <reviewItem>
      <errorID>a01c8ff3-8d69-48d8-9237-583d0ecd4266</errorID>
      <errorWord>～</errorWord>
      <group>L1_Format</group>
      <groupName>格式问题</groupName>
      <ability>L2_HalfPunc_CN</ability>
      <abilityName>全半角问题</abilityName>
      <candidateList>
        <item>~</item>
      </candidateList>
      <explain>文本全半角错误。</explain>
      <paraID>5B32571E</paraID>
      <start>4</start>
      <end>5</end>
      <status>unmodified</status>
      <modifiedWord/>
      <trackRevisions>false</trackRevisions>
    </reviewItem>
    <reviewItem>
      <errorID>adc94dc9-d3bb-4787-8473-2f1e15760528</errorID>
      <errorWord>～</errorWord>
      <group>L1_Format</group>
      <groupName>格式问题</groupName>
      <ability>L2_HalfPunc_CN</ability>
      <abilityName>全半角问题</abilityName>
      <candidateList>
        <item>~</item>
      </candidateList>
      <explain>文本全半角错误。</explain>
      <paraID>6569BEDD</paraID>
      <start>4</start>
      <end>5</end>
      <status>unmodified</status>
      <modifiedWord/>
      <trackRevisions>false</trackRevisions>
    </reviewItem>
    <reviewItem>
      <errorID>8e6c49dd-06af-496c-a6f7-c9185782b2a0</errorID>
      <errorWord>（</errorWord>
      <group>L1_Format</group>
      <groupName>格式问题</groupName>
      <ability>L2_HalfPunc_CN</ability>
      <abilityName>全半角问题</abilityName>
      <candidateList>
        <item>(</item>
      </candidateList>
      <explain>文本全半角错误。</explain>
      <paraID>3BEF601B</paraID>
      <start>10</start>
      <end>11</end>
      <status>unmodified</status>
      <modifiedWord/>
      <trackRevisions>false</trackRevisions>
    </reviewItem>
    <reviewItem>
      <errorID>0df56969-5301-4b5b-9f93-fea426daceb4</errorID>
      <errorWord>）</errorWord>
      <group>L1_Format</group>
      <groupName>格式问题</groupName>
      <ability>L2_HalfPunc_CN</ability>
      <abilityName>全半角问题</abilityName>
      <candidateList>
        <item>)</item>
      </candidateList>
      <explain>文本全半角错误。</explain>
      <paraID>3BEF601B</paraID>
      <start>13</start>
      <end>14</end>
      <status>unmodified</status>
      <modifiedWord/>
      <trackRevisions>false</trackRevisions>
    </reviewItem>
    <reviewItem>
      <errorID>c32456bf-0dd1-4a0c-a1e2-d290acd5e805</errorID>
      <errorWord>（</errorWord>
      <group>L1_Format</group>
      <groupName>格式问题</groupName>
      <ability>L2_HalfPunc_CN</ability>
      <abilityName>全半角问题</abilityName>
      <candidateList>
        <item>(</item>
      </candidateList>
      <explain>文本全半角错误。</explain>
      <paraID> 8437DE9</paraID>
      <start>0</start>
      <end>1</end>
      <status>unmodified</status>
      <modifiedWord/>
      <trackRevisions>false</trackRevisions>
    </reviewItem>
    <reviewItem>
      <errorID>aa785509-a14b-4bd8-8aac-8e46bffefd29</errorID>
      <errorWord>）</errorWord>
      <group>L1_Format</group>
      <groupName>格式问题</groupName>
      <ability>L2_HalfPunc_CN</ability>
      <abilityName>全半角问题</abilityName>
      <candidateList>
        <item>)</item>
      </candidateList>
      <explain>文本全半角错误。</explain>
      <paraID> 8437DE9</paraID>
      <start>6</start>
      <end>7</end>
      <status>unmodified</status>
      <modifiedWord/>
      <trackRevisions>false</trackRevisions>
    </reviewItem>
    <reviewItem>
      <errorID>df06cffd-a97e-4d00-afac-d04a3be2bf68</errorID>
      <errorWord>（</errorWord>
      <group>L1_Format</group>
      <groupName>格式问题</groupName>
      <ability>L2_HalfPunc_CN</ability>
      <abilityName>全半角问题</abilityName>
      <candidateList>
        <item>(</item>
      </candidateList>
      <explain>文本全半角错误。</explain>
      <paraID>1F4E44DA</paraID>
      <start>0</start>
      <end>1</end>
      <status>unmodified</status>
      <modifiedWord/>
      <trackRevisions>false</trackRevisions>
    </reviewItem>
    <reviewItem>
      <errorID>941facc9-1105-4be4-9ab9-672ee642ebee</errorID>
      <errorWord>）</errorWord>
      <group>L1_Format</group>
      <groupName>格式问题</groupName>
      <ability>L2_HalfPunc_CN</ability>
      <abilityName>全半角问题</abilityName>
      <candidateList>
        <item>)</item>
      </candidateList>
      <explain>文本全半角错误。</explain>
      <paraID>1F4E44DA</paraID>
      <start>8</start>
      <end>9</end>
      <status>unmodified</status>
      <modifiedWord/>
      <trackRevisions>false</trackRevisions>
    </reviewItem>
    <reviewItem>
      <errorID>b9662b36-5819-4b85-9298-21dbbe26bb50</errorID>
      <errorWord>～</errorWord>
      <group>L1_Format</group>
      <groupName>格式问题</groupName>
      <ability>L2_HalfPunc_CN</ability>
      <abilityName>全半角问题</abilityName>
      <candidateList>
        <item>~</item>
      </candidateList>
      <explain>文本全半角错误。</explain>
      <paraID>392F1FFF</paraID>
      <start>1</start>
      <end>2</end>
      <status>unmodified</status>
      <modifiedWord/>
      <trackRevisions>false</trackRevisions>
    </reviewItem>
    <reviewItem>
      <errorID>ba510799-b194-46ff-a46a-dac16d9a8d04</errorID>
      <errorWord>～</errorWord>
      <group>L1_Format</group>
      <groupName>格式问题</groupName>
      <ability>L2_HalfPunc_CN</ability>
      <abilityName>全半角问题</abilityName>
      <candidateList>
        <item>~</item>
      </candidateList>
      <explain>文本全半角错误。</explain>
      <paraID>38D66300</paraID>
      <start>2</start>
      <end>3</end>
      <status>unmodified</status>
      <modifiedWord/>
      <trackRevisions>false</trackRevisions>
    </reviewItem>
    <reviewItem>
      <errorID>f89229f9-110a-42cd-82ab-2e00474f5680</errorID>
      <errorWord>～</errorWord>
      <group>L1_Format</group>
      <groupName>格式问题</groupName>
      <ability>L2_HalfPunc_CN</ability>
      <abilityName>全半角问题</abilityName>
      <candidateList>
        <item>~</item>
      </candidateList>
      <explain>文本全半角错误。</explain>
      <paraID>3B1CA55D</paraID>
      <start>4</start>
      <end>5</end>
      <status>unmodified</status>
      <modifiedWord/>
      <trackRevisions>false</trackRevisions>
    </reviewItem>
    <reviewItem>
      <errorID>51959406-6786-4fde-b81e-4731bdf0131c</errorID>
      <errorWord>～</errorWord>
      <group>L1_Format</group>
      <groupName>格式问题</groupName>
      <ability>L2_HalfPunc_CN</ability>
      <abilityName>全半角问题</abilityName>
      <candidateList>
        <item>~</item>
      </candidateList>
      <explain>文本全半角错误。</explain>
      <paraID>4E06A5C5</paraID>
      <start>4</start>
      <end>5</end>
      <status>unmodified</status>
      <modifiedWord/>
      <trackRevisions>false</trackRevisions>
    </reviewItem>
    <reviewItem>
      <errorID>6cac2e43-82a8-44a3-8da1-165f6d0bb2a8</errorID>
      <errorWord>～</errorWord>
      <group>L1_Format</group>
      <groupName>格式问题</groupName>
      <ability>L2_HalfPunc_CN</ability>
      <abilityName>全半角问题</abilityName>
      <candidateList>
        <item>~</item>
      </candidateList>
      <explain>文本全半角错误。</explain>
      <paraID>3A618AF0</paraID>
      <start>4</start>
      <end>5</end>
      <status>unmodified</status>
      <modifiedWord/>
      <trackRevisions>false</trackRevisions>
    </reviewItem>
    <reviewItem>
      <errorID>80a133b5-0c6a-449a-b829-8c61685f7fdd</errorID>
      <errorWord>（</errorWord>
      <group>L1_Format</group>
      <groupName>格式问题</groupName>
      <ability>L2_HalfPunc_CN</ability>
      <abilityName>全半角问题</abilityName>
      <candidateList>
        <item>(</item>
      </candidateList>
      <explain>文本全半角错误。</explain>
      <paraID>3F164731</paraID>
      <start>0</start>
      <end>1</end>
      <status>unmodified</status>
      <modifiedWord/>
      <trackRevisions>false</trackRevisions>
    </reviewItem>
    <reviewItem>
      <errorID>18ce6e3a-81bb-43f1-a29c-359ebfbe78ae</errorID>
      <errorWord>）</errorWord>
      <group>L1_Format</group>
      <groupName>格式问题</groupName>
      <ability>L2_HalfPunc_CN</ability>
      <abilityName>全半角问题</abilityName>
      <candidateList>
        <item>)</item>
      </candidateList>
      <explain>文本全半角错误。</explain>
      <paraID>3F164731</paraID>
      <start>2</start>
      <end>3</end>
      <status>unmodified</status>
      <modifiedWord/>
      <trackRevisions>false</trackRevisions>
    </reviewItem>
    <reviewItem>
      <errorID>e38223f7-c2f0-4d39-b07c-53bce320b9b0</errorID>
      <errorWord>（</errorWord>
      <group>L1_Format</group>
      <groupName>格式问题</groupName>
      <ability>L2_HalfPunc_CN</ability>
      <abilityName>全半角问题</abilityName>
      <candidateList>
        <item>(</item>
      </candidateList>
      <explain>文本全半角错误。</explain>
      <paraID>55C961D4</paraID>
      <start>0</start>
      <end>1</end>
      <status>unmodified</status>
      <modifiedWord/>
      <trackRevisions>false</trackRevisions>
    </reviewItem>
    <reviewItem>
      <errorID>ade556eb-c892-4e7b-88cb-5a361e152bca</errorID>
      <errorWord>）</errorWord>
      <group>L1_Format</group>
      <groupName>格式问题</groupName>
      <ability>L2_HalfPunc_CN</ability>
      <abilityName>全半角问题</abilityName>
      <candidateList>
        <item>)</item>
      </candidateList>
      <explain>文本全半角错误。</explain>
      <paraID>55C961D4</paraID>
      <start>2</start>
      <end>3</end>
      <status>unmodified</status>
      <modifiedWord/>
      <trackRevisions>false</trackRevisions>
    </reviewItem>
    <reviewItem>
      <errorID>40f25407-07a0-489a-bb85-ed04e74acffe</errorID>
      <errorWord>（</errorWord>
      <group>L1_Format</group>
      <groupName>格式问题</groupName>
      <ability>L2_HalfPunc_CN</ability>
      <abilityName>全半角问题</abilityName>
      <candidateList>
        <item>(</item>
      </candidateList>
      <explain>文本全半角错误。</explain>
      <paraID>772A4809</paraID>
      <start>0</start>
      <end>1</end>
      <status>unmodified</status>
      <modifiedWord/>
      <trackRevisions>false</trackRevisions>
    </reviewItem>
    <reviewItem>
      <errorID>1ab80b38-536a-42cb-894a-af9fd52ec22b</errorID>
      <errorWord>）</errorWord>
      <group>L1_Format</group>
      <groupName>格式问题</groupName>
      <ability>L2_HalfPunc_CN</ability>
      <abilityName>全半角问题</abilityName>
      <candidateList>
        <item>)</item>
      </candidateList>
      <explain>文本全半角错误。</explain>
      <paraID>772A4809</paraID>
      <start>2</start>
      <end>3</end>
      <status>unmodified</status>
      <modifiedWord/>
      <trackRevisions>false</trackRevisions>
    </reviewItem>
    <reviewItem>
      <errorID>d968d81e-8da0-47f2-b666-06decc7a116d</errorID>
      <errorWord>（</errorWord>
      <group>L1_Format</group>
      <groupName>格式问题</groupName>
      <ability>L2_HalfPunc_CN</ability>
      <abilityName>全半角问题</abilityName>
      <candidateList>
        <item>(</item>
      </candidateList>
      <explain>文本全半角错误。</explain>
      <paraID>3717C48D</paraID>
      <start>0</start>
      <end>1</end>
      <status>unmodified</status>
      <modifiedWord/>
      <trackRevisions>false</trackRevisions>
    </reviewItem>
    <reviewItem>
      <errorID>7d7d5bbd-7b71-4de3-9a4f-f0253f405b09</errorID>
      <errorWord>）</errorWord>
      <group>L1_Format</group>
      <groupName>格式问题</groupName>
      <ability>L2_HalfPunc_CN</ability>
      <abilityName>全半角问题</abilityName>
      <candidateList>
        <item>)</item>
      </candidateList>
      <explain>文本全半角错误。</explain>
      <paraID>3717C48D</paraID>
      <start>2</start>
      <end>3</end>
      <status>unmodified</status>
      <modifiedWord/>
      <trackRevisions>false</trackRevisions>
    </reviewItem>
    <reviewItem>
      <errorID>3b24db5f-9107-46fd-9d24-077137fbc661</errorID>
      <errorWord>（</errorWord>
      <group>L1_Format</group>
      <groupName>格式问题</groupName>
      <ability>L2_HalfPunc_CN</ability>
      <abilityName>全半角问题</abilityName>
      <candidateList>
        <item>(</item>
      </candidateList>
      <explain>文本全半角错误。</explain>
      <paraID>79AB799B</paraID>
      <start>0</start>
      <end>1</end>
      <status>unmodified</status>
      <modifiedWord/>
      <trackRevisions>false</trackRevisions>
    </reviewItem>
    <reviewItem>
      <errorID>cf8ccba9-0b1d-4b78-ba88-2a958a5bb28a</errorID>
      <errorWord>）</errorWord>
      <group>L1_Format</group>
      <groupName>格式问题</groupName>
      <ability>L2_HalfPunc_CN</ability>
      <abilityName>全半角问题</abilityName>
      <candidateList>
        <item>)</item>
      </candidateList>
      <explain>文本全半角错误。</explain>
      <paraID>79AB799B</paraID>
      <start>3</start>
      <end>4</end>
      <status>unmodified</status>
      <modifiedWord/>
      <trackRevisions>false</trackRevisions>
    </reviewItem>
    <reviewItem>
      <errorID>1d1b5bdc-0725-4c9a-a766-dbae515db6ea</errorID>
      <errorWord>（</errorWord>
      <group>L1_Format</group>
      <groupName>格式问题</groupName>
      <ability>L2_HalfPunc_CN</ability>
      <abilityName>全半角问题</abilityName>
      <candidateList>
        <item>(</item>
      </candidateList>
      <explain>文本全半角错误。</explain>
      <paraID>748832FC</paraID>
      <start>0</start>
      <end>1</end>
      <status>unmodified</status>
      <modifiedWord/>
      <trackRevisions>false</trackRevisions>
    </reviewItem>
    <reviewItem>
      <errorID>e74c26a1-20f5-4bfe-a6e1-861cc31c8f9b</errorID>
      <errorWord>）</errorWord>
      <group>L1_Format</group>
      <groupName>格式问题</groupName>
      <ability>L2_HalfPunc_CN</ability>
      <abilityName>全半角问题</abilityName>
      <candidateList>
        <item>)</item>
      </candidateList>
      <explain>文本全半角错误。</explain>
      <paraID>748832FC</paraID>
      <start>2</start>
      <end>3</end>
      <status>unmodified</status>
      <modifiedWord/>
      <trackRevisions>false</trackRevisions>
    </reviewItem>
    <reviewItem>
      <errorID>7fef4cdb-5a43-4edf-b6a1-d9fee8d03d98</errorID>
      <errorWord>（</errorWord>
      <group>L1_Format</group>
      <groupName>格式问题</groupName>
      <ability>L2_HalfPunc_CN</ability>
      <abilityName>全半角问题</abilityName>
      <candidateList>
        <item>(</item>
      </candidateList>
      <explain>文本全半角错误。</explain>
      <paraID>7855AC7E</paraID>
      <start>0</start>
      <end>1</end>
      <status>unmodified</status>
      <modifiedWord/>
      <trackRevisions>false</trackRevisions>
    </reviewItem>
    <reviewItem>
      <errorID>06860757-aa01-4afb-bea3-86037ee05928</errorID>
      <errorWord>）</errorWord>
      <group>L1_Format</group>
      <groupName>格式问题</groupName>
      <ability>L2_HalfPunc_CN</ability>
      <abilityName>全半角问题</abilityName>
      <candidateList>
        <item>)</item>
      </candidateList>
      <explain>文本全半角错误。</explain>
      <paraID>7855AC7E</paraID>
      <start>2</start>
      <end>3</end>
      <status>unmodified</status>
      <modifiedWord/>
      <trackRevisions>false</trackRevisions>
    </reviewItem>
    <reviewItem>
      <errorID>fc72a799-4b57-4f6b-952b-e54af6a5d84f</errorID>
      <errorWord>（</errorWord>
      <group>L1_Format</group>
      <groupName>格式问题</groupName>
      <ability>L2_HalfPunc_CN</ability>
      <abilityName>全半角问题</abilityName>
      <candidateList>
        <item>(</item>
      </candidateList>
      <explain>文本全半角错误。</explain>
      <paraID>4ECB7C97</paraID>
      <start>0</start>
      <end>1</end>
      <status>unmodified</status>
      <modifiedWord/>
      <trackRevisions>false</trackRevisions>
    </reviewItem>
    <reviewItem>
      <errorID>39d492a4-0900-4e2b-b6c9-ff8dc4b9e732</errorID>
      <errorWord>）</errorWord>
      <group>L1_Format</group>
      <groupName>格式问题</groupName>
      <ability>L2_HalfPunc_CN</ability>
      <abilityName>全半角问题</abilityName>
      <candidateList>
        <item>)</item>
      </candidateList>
      <explain>文本全半角错误。</explain>
      <paraID>4ECB7C97</paraID>
      <start>6</start>
      <end>7</end>
      <status>unmodified</status>
      <modifiedWord/>
      <trackRevisions>false</trackRevisions>
    </reviewItem>
    <reviewItem>
      <errorID>9483552f-00f6-45d2-9b71-647cb5a55f62</errorID>
      <errorWord>（</errorWord>
      <group>L1_Format</group>
      <groupName>格式问题</groupName>
      <ability>L2_HalfPunc_CN</ability>
      <abilityName>全半角问题</abilityName>
      <candidateList>
        <item>(</item>
      </candidateList>
      <explain>文本全半角错误。</explain>
      <paraID>351AA098</paraID>
      <start>0</start>
      <end>1</end>
      <status>unmodified</status>
      <modifiedWord/>
      <trackRevisions>false</trackRevisions>
    </reviewItem>
    <reviewItem>
      <errorID>ca21a818-d327-4231-91cf-09ae87053393</errorID>
      <errorWord>）</errorWord>
      <group>L1_Format</group>
      <groupName>格式问题</groupName>
      <ability>L2_HalfPunc_CN</ability>
      <abilityName>全半角问题</abilityName>
      <candidateList>
        <item>)</item>
      </candidateList>
      <explain>文本全半角错误。</explain>
      <paraID>351AA098</paraID>
      <start>2</start>
      <end>3</end>
      <status>unmodified</status>
      <modifiedWord/>
      <trackRevisions>false</trackRevisions>
    </reviewItem>
    <reviewItem>
      <errorID>1bbfd444-1e23-459e-8f7f-c6e8af0300a0</errorID>
      <errorWord>～</errorWord>
      <group>L1_Format</group>
      <groupName>格式问题</groupName>
      <ability>L2_HalfPunc_CN</ability>
      <abilityName>全半角问题</abilityName>
      <candidateList>
        <item>~</item>
      </candidateList>
      <explain>文本全半角错误。</explain>
      <paraID> B1E52A3</paraID>
      <start>1</start>
      <end>2</end>
      <status>unmodified</status>
      <modifiedWord/>
      <trackRevisions>false</trackRevisions>
    </reviewItem>
    <reviewItem>
      <errorID>8d2840c4-9524-4e6b-8f87-666df68f9bd8</errorID>
      <errorWord>～</errorWord>
      <group>L1_Format</group>
      <groupName>格式问题</groupName>
      <ability>L2_HalfPunc_CN</ability>
      <abilityName>全半角问题</abilityName>
      <candidateList>
        <item>~</item>
      </candidateList>
      <explain>文本全半角错误。</explain>
      <paraID>6404C721</paraID>
      <start>4</start>
      <end>5</end>
      <status>unmodified</status>
      <modifiedWord/>
      <trackRevisions>false</trackRevisions>
    </reviewItem>
    <reviewItem>
      <errorID>b200686c-c558-43a5-be9a-71e01e155e00</errorID>
      <errorWord>～</errorWord>
      <group>L1_Format</group>
      <groupName>格式问题</groupName>
      <ability>L2_HalfPunc_CN</ability>
      <abilityName>全半角问题</abilityName>
      <candidateList>
        <item>~</item>
      </candidateList>
      <explain>文本全半角错误。</explain>
      <paraID>1E85CAD1</paraID>
      <start>4</start>
      <end>5</end>
      <status>unmodified</status>
      <modifiedWord/>
      <trackRevisions>false</trackRevisions>
    </reviewItem>
    <reviewItem>
      <errorID>25caf370-3950-4688-b32c-367adff184e5</errorID>
      <errorWord>～</errorWord>
      <group>L1_Format</group>
      <groupName>格式问题</groupName>
      <ability>L2_HalfPunc_CN</ability>
      <abilityName>全半角问题</abilityName>
      <candidateList>
        <item>~</item>
      </candidateList>
      <explain>文本全半角错误。</explain>
      <paraID>13D10552</paraID>
      <start>4</start>
      <end>5</end>
      <status>unmodified</status>
      <modifiedWord/>
      <trackRevisions>false</trackRevisions>
    </reviewItem>
    <reviewItem>
      <errorID>c4e558e6-0684-44aa-bf1d-63c69aa2a9a6</errorID>
      <errorWord>～</errorWord>
      <group>L1_Format</group>
      <groupName>格式问题</groupName>
      <ability>L2_HalfPunc_CN</ability>
      <abilityName>全半角问题</abilityName>
      <candidateList>
        <item>~</item>
      </candidateList>
      <explain>文本全半角错误。</explain>
      <paraID>6578D410</paraID>
      <start>4</start>
      <end>5</end>
      <status>unmodified</status>
      <modifiedWord/>
      <trackRevisions>false</trackRevisions>
    </reviewItem>
    <reviewItem>
      <errorID>be814ba6-74c6-48c5-aae0-50a47e2af1c7</errorID>
      <errorWord>～</errorWord>
      <group>L1_Format</group>
      <groupName>格式问题</groupName>
      <ability>L2_HalfPunc_CN</ability>
      <abilityName>全半角问题</abilityName>
      <candidateList>
        <item>~</item>
      </candidateList>
      <explain>文本全半角错误。</explain>
      <paraID>5B05D5D1</paraID>
      <start>4</start>
      <end>5</end>
      <status>unmodified</status>
      <modifiedWord/>
      <trackRevisions>false</trackRevisions>
    </reviewItem>
    <reviewItem>
      <errorID>2e8a6ede-3663-48f4-9eec-2f99ebf90c09</errorID>
      <errorWord>[2010]863号</errorWord>
      <group>L1_Knowledge</group>
      <groupName>知识性问题</groupName>
      <ability>L2_Knowledge</ability>
      <abilityName>其他知识</abilityName>
      <candidateList>
        <item>〔2010〕863号</item>
      </candidateList>
      <explain>发文字号格式错误。</explain>
      <paraID>2F6CEAA8</paraID>
      <start>29</start>
      <end>39</end>
      <status>unmodified</status>
      <modifiedWord/>
      <trackRevisions>false</trackRevisions>
    </reviewItem>
    <reviewItem>
      <errorID>0256e2fe-da0f-4a1c-913c-e0e41550576e</errorID>
      <errorWord>[2012]939号</errorWord>
      <group>L1_Knowledge</group>
      <groupName>知识性问题</groupName>
      <ability>L2_Knowledge</ability>
      <abilityName>其他知识</abilityName>
      <candidateList>
        <item>〔2012〕939号</item>
      </candidateList>
      <explain>发文字号格式错误。</explain>
      <paraID>2F6CEAA8</paraID>
      <start>67</start>
      <end>77</end>
      <status>unmodified</status>
      <modifiedWord/>
      <trackRevisions>false</trackRevisions>
    </reviewItem>
    <reviewItem>
      <errorID>f3650fa1-f975-4fb8-905b-2b66c2cf922d</errorID>
      <errorWord>于于</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31055326</paraID>
      <start>34</start>
      <end>36</end>
      <status>unmodified</status>
      <modifiedWord/>
      <trackRevisions>false</trackRevisions>
    </reviewItem>
    <reviewItem>
      <errorID>8ccee3a7-2f8d-4599-9b69-12aae60d9534</errorID>
      <errorWord>[2017]192号</errorWord>
      <group>L1_Knowledge</group>
      <groupName>知识性问题</groupName>
      <ability>L2_Knowledge</ability>
      <abilityName>其他知识</abilityName>
      <candidateList>
        <item>〔2017〕192号</item>
      </candidateList>
      <explain>发文字号格式错误。</explain>
      <paraID>693D6CA8</paraID>
      <start>56</start>
      <end>66</end>
      <status>unmodified</status>
      <modifiedWord/>
      <trackRevisions>false</trackRevisions>
    </reviewItem>
    <reviewItem>
      <errorID>d655c29f-c539-4bcf-b3f6-2ee32ed9c3b9</errorID>
      <errorWord>[2019]150号</errorWord>
      <group>L1_Knowledge</group>
      <groupName>知识性问题</groupName>
      <ability>L2_Knowledge</ability>
      <abilityName>其他知识</abilityName>
      <candidateList>
        <item>〔2019〕150号</item>
      </candidateList>
      <explain>发文字号格式错误。</explain>
      <paraID>693D6CA8</paraID>
      <start>92</start>
      <end>102</end>
      <status>unmodified</status>
      <modifiedWord/>
      <trackRevisions>false</trackRevisions>
    </reviewItem>
    <reviewItem>
      <errorID>fe01459d-126e-4b8a-bea7-b0f6f7fdff83</errorID>
      <errorWord>数</errorWord>
      <group>L1_Word</group>
      <groupName>字词问题</groupName>
      <ability>L2_Typo</ability>
      <abilityName>字词错误</abilityName>
      <candidateList>
        <item>数为</item>
      </candidateList>
      <explain/>
      <paraID>3D2EF343</paraID>
      <start>43</start>
      <end>45</end>
      <status>modified</status>
      <modifiedWord>数为</modifiedWord>
      <trackRevisions>false</trackRevisions>
    </reviewItem>
    <reviewItem>
      <errorID>b7855348-e7fe-487b-89b2-e558f5fb2837</errorID>
      <errorWord>布</errorWord>
      <group>L1_Word</group>
      <groupName>字词问题</groupName>
      <ability>L2_Typo</ability>
      <abilityName>字词错误</abilityName>
      <candidateList>
        <item>不</item>
      </candidateList>
      <explain/>
      <paraID>6D27F7B7</paraID>
      <start>0</start>
      <end>1</end>
      <status>unmodified</status>
      <modifiedWord/>
      <trackRevisions>false</trackRevisions>
    </reviewItem>
    <reviewItem>
      <errorID>cf396d46-07f7-4fd6-9856-0bb91760ffff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76529BFD</paraID>
      <start>0</start>
      <end>2</end>
      <status>unmodified</status>
      <modifiedWord/>
      <trackRevisions>false</trackRevisions>
    </reviewItem>
    <reviewItem>
      <errorID>f1a9e2a0-edfc-4ffc-a422-9d9050196d96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634141A1</paraID>
      <start>0</start>
      <end>2</end>
      <status>unmodified</status>
      <modifiedWord/>
      <trackRevisions>false</trackRevisions>
    </reviewItem>
    <reviewItem>
      <errorID>74275b14-6944-4a52-83ef-652b10cb9ec7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73631721</paraID>
      <start>0</start>
      <end>2</end>
      <status>unmodified</status>
      <modifiedWord/>
      <trackRevisions>false</trackRevisions>
    </reviewItem>
    <reviewItem>
      <errorID>e0bd5ff4-4a47-4a1b-b936-b562a4830527</errorID>
      <errorWord>玻璃表土</errorWord>
      <group>L1_Word</group>
      <groupName>字词问题</groupName>
      <ability>L2_Typo</ability>
      <abilityName>字词错误</abilityName>
      <candidateList>
        <item>剥离表土</item>
      </candidateList>
      <explain/>
      <paraID>2D8904BB</paraID>
      <start>19</start>
      <end>23</end>
      <status>unmodified</status>
      <modifiedWord/>
      <trackRevisions>false</trackRevisions>
    </reviewItem>
    <reviewItem>
      <errorID>7226a5f6-33d3-4632-b9c6-66e88281dd4f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2055F136</paraID>
      <start>0</start>
      <end>2</end>
      <status>unmodified</status>
      <modifiedWord/>
      <trackRevisions>false</trackRevisions>
    </reviewItem>
    <reviewItem>
      <errorID>b97b0d75-c811-491d-b413-54233f4d37a2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192931F1</paraID>
      <start>57</start>
      <end>60</end>
      <status>unmodified</status>
      <modifiedWord/>
      <trackRevisions>false</trackRevisions>
    </reviewItem>
    <reviewItem>
      <errorID>00490260-bb21-45a0-bb44-d6d39d7dbf67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5B2283FB</paraID>
      <start>23</start>
      <end>24</end>
      <status>unmodified</status>
      <modifiedWord/>
      <trackRevisions>false</trackRevisions>
    </reviewItem>
    <reviewItem>
      <errorID>22f28deb-e91e-4946-9dc7-c810520792e8</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37F3C9D8</paraID>
      <start>30</start>
      <end>37</end>
      <status>unmodified</status>
      <modifiedWord/>
      <trackRevisions>false</trackRevisions>
    </reviewItem>
    <reviewItem>
      <errorID>9c2d6622-4575-45f0-be65-6778b849a7b6</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 2173C7E</paraID>
      <start>6</start>
      <end>13</end>
      <status>unmodified</status>
      <modifiedWord/>
      <trackRevisions>false</trackRevisions>
    </reviewItem>
    <reviewItem>
      <errorID>09cd00ad-d061-4728-a3d1-7dd1aa4f0862</errorID>
      <errorWord>-</errorWord>
      <group>L1_Format</group>
      <groupName>格式问题</groupName>
      <ability>L2_HalfPunc_CN</ability>
      <abilityName>全半角问题</abilityName>
      <candidateList>
        <item>－</item>
      </candidateList>
      <explain>文本全半角错误。</explain>
      <paraID>6602ADD7</paraID>
      <start>59</start>
      <end>60</end>
      <status>unmodified</status>
      <modifiedWord/>
      <trackRevisions>false</trackRevisions>
    </reviewItem>
    <reviewItem>
      <errorID>4fbfe574-2e8f-4cc4-a79a-7c9a31f2f0e7</errorID>
      <errorWord>布</errorWord>
      <group>L1_Word</group>
      <groupName>字词问题</groupName>
      <ability>L2_Typo</ability>
      <abilityName>字词错误</abilityName>
      <candidateList>
        <item>布的</item>
      </candidateList>
      <explain/>
      <paraID>6602ADD7</paraID>
      <start>118</start>
      <end>119</end>
      <status>unmodified</status>
      <modifiedWord/>
      <trackRevisions>false</trackRevisions>
    </reviewItem>
    <reviewItem>
      <errorID>7be97aa4-848b-43a4-b02d-aeb0b5e5996d</errorID>
      <errorWord>（</errorWord>
      <group>L1_Punc</group>
      <groupName>标点问题</groupName>
      <ability>L2_Punc_CN</ability>
      <abilityName>标点符号问题</abilityName>
      <candidateList/>
      <explain>同一形式括号套用。</explain>
      <paraID>6602ADD7</paraID>
      <start>198</start>
      <end>199</end>
      <status>unmodified</status>
      <modifiedWord/>
      <trackRevisions>false</trackRevisions>
    </reviewItem>
    <reviewItem>
      <errorID>6429a490-0737-44e6-ae78-14463400eea5</errorID>
      <errorWord>）</errorWord>
      <group>L1_Punc</group>
      <groupName>标点问题</groupName>
      <ability>L2_Punc_CN</ability>
      <abilityName>标点符号问题</abilityName>
      <candidateList/>
      <explain>同一形式括号套用。</explain>
      <paraID>6602ADD7</paraID>
      <start>208</start>
      <end>209</end>
      <status>unmodified</status>
      <modifiedWord/>
      <trackRevisions>false</trackRevisions>
    </reviewItem>
    <reviewItem>
      <errorID>ad8afe93-ad82-43ae-b4e4-5e9c616349c3</errorID>
      <errorWord>（</errorWord>
      <group>L1_Punc</group>
      <groupName>标点问题</groupName>
      <ability>L2_Punc_CN</ability>
      <abilityName>标点符号问题</abilityName>
      <candidateList/>
      <explain>同一形式括号套用。</explain>
      <paraID>6602ADD7</paraID>
      <start>263</start>
      <end>264</end>
      <status>unmodified</status>
      <modifiedWord/>
      <trackRevisions>false</trackRevisions>
    </reviewItem>
    <reviewItem>
      <errorID>ea9418e4-9258-49e1-8039-6ec9a398289b</errorID>
      <errorWord>(2023)63号</errorWord>
      <group>L1_Knowledge</group>
      <groupName>知识性问题</groupName>
      <ability>L2_Knowledge</ability>
      <abilityName>其他知识</abilityName>
      <candidateList>
        <item>〔2023〕63号</item>
      </candidateList>
      <explain>发文字号格式错误。</explain>
      <paraID>6602ADD7</paraID>
      <start>267</start>
      <end>276</end>
      <status>unmodified</status>
      <modifiedWord/>
      <trackRevisions>false</trackRevisions>
    </reviewItem>
    <reviewItem>
      <errorID>8dbe7b37-0113-44b6-9dea-b02f5e7030a0</errorID>
      <errorWord>）</errorWord>
      <group>L1_Punc</group>
      <groupName>标点问题</groupName>
      <ability>L2_Punc_CN</ability>
      <abilityName>标点符号问题</abilityName>
      <candidateList/>
      <explain>同一形式括号套用。</explain>
      <paraID>6602ADD7</paraID>
      <start>276</start>
      <end>277</end>
      <status>unmodified</status>
      <modifiedWord/>
      <trackRevisions>false</trackRevisions>
    </reviewItem>
    <reviewItem>
      <errorID>bfc2dcc6-03e0-43f6-b28e-fc23beea7162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3EB0A851</paraID>
      <start>140</start>
      <end>141</end>
      <status>unmodified</status>
      <modifiedWord/>
      <trackRevisions>false</trackRevisions>
    </reviewItem>
    <reviewItem>
      <errorID>7624d213-0a10-492a-87e3-01d897127219</errorID>
      <errorWord>-</errorWord>
      <group>L1_Format</group>
      <groupName>格式问题</groupName>
      <ability>L2_HalfPunc_CN</ability>
      <abilityName>全半角问题</abilityName>
      <candidateList>
        <item>－</item>
      </candidateList>
      <explain>文本全半角错误。</explain>
      <paraID>779A4D59</paraID>
      <start>55</start>
      <end>56</end>
      <status>unmodified</status>
      <modifiedWord/>
      <trackRevisions>false</trackRevisions>
    </reviewItem>
    <reviewItem>
      <errorID>5f4af943-e515-48f7-bbd5-f7887c3de921</errorID>
      <errorWord>单调</errorWord>
      <group>L1_Word</group>
      <groupName>字词问题</groupName>
      <ability>L2_Typo</ability>
      <abilityName>字词错误</abilityName>
      <candidateList>
        <item>单一</item>
      </candidateList>
      <explain/>
      <paraID>4E48ECB6</paraID>
      <start>37</start>
      <end>39</end>
      <status>modified</status>
      <modifiedWord>单一</modifiedWord>
      <trackRevisions>false</trackRevisions>
    </reviewItem>
    <reviewItem>
      <errorID>1b74ba34-1290-48a0-8f1b-3790e35c95e3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2F44AC5B</paraID>
      <start>27</start>
      <end>28</end>
      <status>unmodified</status>
      <modifiedWord/>
      <trackRevisions>false</trackRevisions>
    </reviewItem>
    <reviewItem>
      <errorID>a38f32e1-4d62-4b00-bb69-bee19f666094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3983C57C</paraID>
      <start>0</start>
      <end>2</end>
      <status>unmodified</status>
      <modifiedWord/>
      <trackRevisions>false</trackRevisions>
    </reviewItem>
    <reviewItem>
      <errorID>8c8bf7ea-69b6-4bc6-aade-7b5e25c5146c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5389DFC3</paraID>
      <start>0</start>
      <end>2</end>
      <status>unmodified</status>
      <modifiedWord/>
      <trackRevisions>false</trackRevisions>
    </reviewItem>
    <reviewItem>
      <errorID>e54eecb9-6aca-48d8-b49b-28422272c277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668E709D</paraID>
      <start>23</start>
      <end>24</end>
      <status>unmodified</status>
      <modifiedWord/>
      <trackRevisions>false</trackRevisions>
    </reviewItem>
    <reviewItem>
      <errorID>135c93b6-8d27-44cf-beba-88bef7d1b373</errorID>
      <errorWord>（</errorWord>
      <group>L1_Punc</group>
      <groupName>标点问题</groupName>
      <ability>L2_Punc_CN</ability>
      <abilityName>标点符号问题</abilityName>
      <candidateList/>
      <explain>同一形式括号套用。</explain>
      <paraID>626D5FD6</paraID>
      <start>48</start>
      <end>49</end>
      <status>unmodified</status>
      <modifiedWord/>
      <trackRevisions>false</trackRevisions>
    </reviewItem>
    <reviewItem>
      <errorID>005ecba1-934c-4b47-ba99-7211a3d9443b</errorID>
      <errorWord>）</errorWord>
      <group>L1_Punc</group>
      <groupName>标点问题</groupName>
      <ability>L2_Punc_CN</ability>
      <abilityName>标点符号问题</abilityName>
      <candidateList/>
      <explain>同一形式括号套用。</explain>
      <paraID>626D5FD6</paraID>
      <start>50</start>
      <end>51</end>
      <status>unmodified</status>
      <modifiedWord/>
      <trackRevisions>false</trackRevisions>
    </reviewItem>
    <reviewItem>
      <errorID>e932c684-65dc-45dd-af80-45dd9a9404a9</errorID>
      <errorWord>（</errorWord>
      <group>L1_Punc</group>
      <groupName>标点问题</groupName>
      <ability>L2_Punc_CN</ability>
      <abilityName>标点符号问题</abilityName>
      <candidateList/>
      <explain>同一形式括号套用。</explain>
      <paraID>626D5FD6</paraID>
      <start>58</start>
      <end>59</end>
      <status>unmodified</status>
      <modifiedWord/>
      <trackRevisions>false</trackRevisions>
    </reviewItem>
    <reviewItem>
      <errorID>2a4b304d-9074-4fe6-a25e-edcab61c9523</errorID>
      <errorWord>）</errorWord>
      <group>L1_Punc</group>
      <groupName>标点问题</groupName>
      <ability>L2_Punc_CN</ability>
      <abilityName>标点符号问题</abilityName>
      <candidateList/>
      <explain>同一形式括号套用。</explain>
      <paraID>626D5FD6</paraID>
      <start>60</start>
      <end>61</end>
      <status>unmodified</status>
      <modifiedWord/>
      <trackRevisions>false</trackRevisions>
    </reviewItem>
    <reviewItem>
      <errorID>8a1eebce-86f2-4637-b31c-a118c8f2b97b</errorID>
      <errorWord>[2020]第43号</errorWord>
      <group>L1_Knowledge</group>
      <groupName>知识性问题</groupName>
      <ability>L2_Knowledge</ability>
      <abilityName>其他知识</abilityName>
      <candidateList>
        <item>〔2020〕43号</item>
      </candidateList>
      <explain>发文字号格式错误。</explain>
      <paraID>5E74456A</paraID>
      <start>34</start>
      <end>44</end>
      <status>unmodified</status>
      <modifiedWord/>
      <trackRevisions>false</trackRevisions>
    </reviewItem>
    <reviewItem>
      <errorID>288c61e8-4b8a-444f-90b8-34efedb8821a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7536CD38</paraID>
      <start>0</start>
      <end>2</end>
      <status>unmodified</status>
      <modifiedWord/>
      <trackRevisions>false</trackRevisions>
    </reviewItem>
    <reviewItem>
      <errorID>3645f3ca-eb89-4936-9b9e-1b3ef1e69c2c</errorID>
      <errorWord>国家级</errorWord>
      <group>L1_Word</group>
      <groupName>字词问题</groupName>
      <ability>L2_Typo</ability>
      <abilityName>字词错误</abilityName>
      <candidateList>
        <item>国家</item>
      </candidateList>
      <explain/>
      <paraID>64C853EB</paraID>
      <start>35</start>
      <end>38</end>
      <status>unmodified</status>
      <modifiedWord/>
      <trackRevisions>false</trackRevisions>
    </reviewItem>
    <reviewItem>
      <errorID>8b14dcaa-e425-4ef1-b7d8-57064bf6d741</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219246F4</paraID>
      <start>36</start>
      <end>42</end>
      <status>unmodified</status>
      <modifiedWord/>
      <trackRevisions>false</trackRevisions>
    </reviewItem>
    <reviewItem>
      <errorID>71e3c447-e7da-4cab-9c5b-482d5d5a5341</errorID>
      <errorWord>[2017]34号</errorWord>
      <group>L1_Knowledge</group>
      <groupName>知识性问题</groupName>
      <ability>L2_Knowledge</ability>
      <abilityName>其他知识</abilityName>
      <candidateList>
        <item>〔2017〕34号</item>
      </candidateList>
      <explain>发文字号格式错误。</explain>
      <paraID>6D7B1189</paraID>
      <start>62</start>
      <end>71</end>
      <status>unmodified</status>
      <modifiedWord/>
      <trackRevisions>false</trackRevisions>
    </reviewItem>
    <reviewItem>
      <errorID>056ab122-856b-41af-b38e-e0cb7436e25d</errorID>
      <errorWord>最大程度</errorWord>
      <group>L1_Word</group>
      <groupName>字词问题</groupName>
      <ability>L2_Typo</ability>
      <abilityName>字词错误</abilityName>
      <candidateList>
        <item>最大限度</item>
      </candidateList>
      <explain/>
      <paraID>6D7B1189</paraID>
      <start>127</start>
      <end>131</end>
      <status>unmodified</status>
      <modifiedWord/>
      <trackRevisions>false</trackRevisions>
    </reviewItem>
    <reviewItem>
      <errorID>c3832018-ff1a-446a-a7c4-5dd3399fda52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4F8A622D</paraID>
      <start>0</start>
      <end>2</end>
      <status>unmodified</status>
      <modifiedWord/>
      <trackRevisions>false</trackRevisions>
    </reviewItem>
    <reviewItem>
      <errorID>d8ed5315-da9c-4b8c-90c0-7b03b8abcaa3</errorID>
      <errorWord>-</errorWord>
      <group>L1_Format</group>
      <groupName>格式问题</groupName>
      <ability>L2_HalfPunc_CN</ability>
      <abilityName>全半角问题</abilityName>
      <candidateList>
        <item>－</item>
      </candidateList>
      <explain>文本全半角错误。</explain>
      <paraID>354D1795</paraID>
      <start>6</start>
      <end>7</end>
      <status>unmodified</status>
      <modifiedWord/>
      <trackRevisions>false</trackRevisions>
    </reviewItem>
    <reviewItem>
      <errorID>7176931f-09ad-415f-ad7f-7bc324d7e378</errorID>
      <errorWord>-</errorWord>
      <group>L1_Format</group>
      <groupName>格式问题</groupName>
      <ability>L2_HalfPunc_CN</ability>
      <abilityName>全半角问题</abilityName>
      <candidateList>
        <item>－</item>
      </candidateList>
      <explain>文本全半角错误。</explain>
      <paraID>354D1795</paraID>
      <start>7</start>
      <end>8</end>
      <status>unmodified</status>
      <modifiedWord/>
      <trackRevisions>false</trackRevisions>
    </reviewItem>
    <reviewItem>
      <errorID>aa8b0cc6-9dad-4405-aeed-c200273bc19b</errorID>
      <errorWord>-</errorWord>
      <group>L1_Format</group>
      <groupName>格式问题</groupName>
      <ability>L2_HalfPunc_CN</ability>
      <abilityName>全半角问题</abilityName>
      <candidateList>
        <item>－</item>
      </candidateList>
      <explain>文本全半角错误。</explain>
      <paraID>698E8C30</paraID>
      <start>2</start>
      <end>3</end>
      <status>unmodified</status>
      <modifiedWord/>
      <trackRevisions>false</trackRevisions>
    </reviewItem>
    <reviewItem>
      <errorID>d3f1c010-8ec9-4a7b-8831-f891b1ae10b5</errorID>
      <errorWord>,</errorWord>
      <group>L1_Format</group>
      <groupName>格式问题</groupName>
      <ability>L2_HalfPunc_CN</ability>
      <abilityName>全半角问题</abilityName>
      <candidateList>
        <item>，</item>
      </candidateList>
      <explain>文本全半角错误。</explain>
      <paraID>  B8F8E5</paraID>
      <start>31</start>
      <end>32</end>
      <status>unmodified</status>
      <modifiedWord/>
      <trackRevisions>false</trackRevisions>
    </reviewItem>
    <reviewItem>
      <errorID>97c5788e-a11b-48d5-9458-4693bd154009</errorID>
      <errorWord>-</errorWord>
      <group>L1_Format</group>
      <groupName>格式问题</groupName>
      <ability>L2_HalfPunc_CN</ability>
      <abilityName>全半角问题</abilityName>
      <candidateList>
        <item>－</item>
      </candidateList>
      <explain>文本全半角错误。</explain>
      <paraID>7CA42B09</paraID>
      <start>2</start>
      <end>3</end>
      <status>unmodified</status>
      <modifiedWord/>
      <trackRevisions>false</trackRevisions>
    </reviewItem>
    <reviewItem>
      <errorID>e9077dad-9c32-4abe-9ae7-13663c8ef541</errorID>
      <errorWord>:</errorWord>
      <group>L1_Format</group>
      <groupName>格式问题</groupName>
      <ability>L2_HalfPunc_CN</ability>
      <abilityName>全半角问题</abilityName>
      <candidateList>
        <item>：</item>
      </candidateList>
      <explain>文本全半角错误。</explain>
      <paraID>1604DF24</paraID>
      <start>44</start>
      <end>45</end>
      <status>unmodified</status>
      <modifiedWord/>
      <trackRevisions>false</trackRevisions>
    </reviewItem>
    <reviewItem>
      <errorID>0e1a83b0-8a6d-4a27-8e77-3f7c3ebc381c</errorID>
      <errorWord>[2022]221号</errorWord>
      <group>L1_Knowledge</group>
      <groupName>知识性问题</groupName>
      <ability>L2_Knowledge</ability>
      <abilityName>其他知识</abilityName>
      <candidateList>
        <item>〔2022〕221号</item>
      </candidateList>
      <explain>发文字号格式错误。</explain>
      <paraID>1604DF24</paraID>
      <start>85</start>
      <end>95</end>
      <status>unmodified</status>
      <modifiedWord/>
      <trackRevisions>false</trackRevisions>
    </reviewItem>
    <reviewItem>
      <errorID>f159c0d2-da86-4d3a-beb6-a12d71be4b27</errorID>
      <errorWord>～</errorWord>
      <group>L1_Format</group>
      <groupName>格式问题</groupName>
      <ability>L2_HalfPunc_CN</ability>
      <abilityName>全半角问题</abilityName>
      <candidateList>
        <item>~</item>
      </candidateList>
      <explain>文本全半角错误。</explain>
      <paraID>34EA000C</paraID>
      <start>4</start>
      <end>5</end>
      <status>unmodified</status>
      <modifiedWord/>
      <trackRevisions>false</trackRevisions>
    </reviewItem>
    <reviewItem>
      <errorID>98748f4b-19fc-424c-9728-13f724591636</errorID>
      <errorWord>～</errorWord>
      <group>L1_Format</group>
      <groupName>格式问题</groupName>
      <ability>L2_HalfPunc_CN</ability>
      <abilityName>全半角问题</abilityName>
      <candidateList>
        <item>~</item>
      </candidateList>
      <explain>文本全半角错误。</explain>
      <paraID>700AB15C</paraID>
      <start>4</start>
      <end>5</end>
      <status>unmodified</status>
      <modifiedWord/>
      <trackRevisions>false</trackRevisions>
    </reviewItem>
    <reviewItem>
      <errorID>e484ccdb-0e17-4b57-9f91-606344da7d28</errorID>
      <errorWord>～</errorWord>
      <group>L1_Format</group>
      <groupName>格式问题</groupName>
      <ability>L2_HalfPunc_CN</ability>
      <abilityName>全半角问题</abilityName>
      <candidateList>
        <item>~</item>
      </candidateList>
      <explain>文本全半角错误。</explain>
      <paraID> 36FF5E9</paraID>
      <start>4</start>
      <end>5</end>
      <status>unmodified</status>
      <modifiedWord/>
      <trackRevisions>false</trackRevisions>
    </reviewItem>
    <reviewItem>
      <errorID>eb81048b-5943-45f9-aed3-ac493b2ac58c</errorID>
      <errorWord>～</errorWord>
      <group>L1_Format</group>
      <groupName>格式问题</groupName>
      <ability>L2_HalfPunc_CN</ability>
      <abilityName>全半角问题</abilityName>
      <candidateList>
        <item>~</item>
      </candidateList>
      <explain>文本全半角错误。</explain>
      <paraID> 5E691F0</paraID>
      <start>4</start>
      <end>5</end>
      <status>unmodified</status>
      <modifiedWord/>
      <trackRevisions>false</trackRevisions>
    </reviewItem>
    <reviewItem>
      <errorID>6e32f15c-ff29-498c-8c28-f8b7f69e12a6</errorID>
      <errorWord>～</errorWord>
      <group>L1_Format</group>
      <groupName>格式问题</groupName>
      <ability>L2_HalfPunc_CN</ability>
      <abilityName>全半角问题</abilityName>
      <candidateList>
        <item>~</item>
      </candidateList>
      <explain>文本全半角错误。</explain>
      <paraID>2DFB40DA</paraID>
      <start>4</start>
      <end>5</end>
      <status>unmodified</status>
      <modifiedWord/>
      <trackRevisions>false</trackRevisions>
    </reviewItem>
    <reviewItem>
      <errorID>2401c3e3-be0b-4340-aad2-186e757ef580</errorID>
      <errorWord>～</errorWord>
      <group>L1_Format</group>
      <groupName>格式问题</groupName>
      <ability>L2_HalfPunc_CN</ability>
      <abilityName>全半角问题</abilityName>
      <candidateList>
        <item>~</item>
      </candidateList>
      <explain>文本全半角错误。</explain>
      <paraID>367FA679</paraID>
      <start>4</start>
      <end>5</end>
      <status>unmodified</status>
      <modifiedWord/>
      <trackRevisions>false</trackRevisions>
    </reviewItem>
    <reviewItem>
      <errorID>78c60a76-4f53-4cf1-b4a6-ab6e4389208b</errorID>
      <errorWord>～</errorWord>
      <group>L1_Format</group>
      <groupName>格式问题</groupName>
      <ability>L2_HalfPunc_CN</ability>
      <abilityName>全半角问题</abilityName>
      <candidateList>
        <item>~</item>
      </candidateList>
      <explain>文本全半角错误。</explain>
      <paraID>7E80D0AD</paraID>
      <start>4</start>
      <end>5</end>
      <status>unmodified</status>
      <modifiedWord/>
      <trackRevisions>false</trackRevisions>
    </reviewItem>
    <reviewItem>
      <errorID>359d3f9b-80c4-4999-852e-f35716c0781e</errorID>
      <errorWord>～</errorWord>
      <group>L1_Format</group>
      <groupName>格式问题</groupName>
      <ability>L2_HalfPunc_CN</ability>
      <abilityName>全半角问题</abilityName>
      <candidateList>
        <item>~</item>
      </candidateList>
      <explain>文本全半角错误。</explain>
      <paraID>5240A2E7</paraID>
      <start>4</start>
      <end>5</end>
      <status>unmodified</status>
      <modifiedWord/>
      <trackRevisions>false</trackRevisions>
    </reviewItem>
    <reviewItem>
      <errorID>ce8455b4-de53-4a97-81e0-1330c582b06c</errorID>
      <errorWord>～</errorWord>
      <group>L1_Format</group>
      <groupName>格式问题</groupName>
      <ability>L2_HalfPunc_CN</ability>
      <abilityName>全半角问题</abilityName>
      <candidateList>
        <item>~</item>
      </candidateList>
      <explain>文本全半角错误。</explain>
      <paraID> 43AF22A</paraID>
      <start>4</start>
      <end>5</end>
      <status>unmodified</status>
      <modifiedWord/>
      <trackRevisions>false</trackRevisions>
    </reviewItem>
    <reviewItem>
      <errorID>657a2d25-9905-47d5-a2b9-525ad8fd8796</errorID>
      <errorWord>～</errorWord>
      <group>L1_Format</group>
      <groupName>格式问题</groupName>
      <ability>L2_HalfPunc_CN</ability>
      <abilityName>全半角问题</abilityName>
      <candidateList>
        <item>~</item>
      </candidateList>
      <explain>文本全半角错误。</explain>
      <paraID> 973522B</paraID>
      <start>4</start>
      <end>5</end>
      <status>unmodified</status>
      <modifiedWord/>
      <trackRevisions>false</trackRevisions>
    </reviewItem>
    <reviewItem>
      <errorID>84a53488-8946-4274-a9c5-115cbdd553c2</errorID>
      <errorWord>～</errorWord>
      <group>L1_Format</group>
      <groupName>格式问题</groupName>
      <ability>L2_HalfPunc_CN</ability>
      <abilityName>全半角问题</abilityName>
      <candidateList>
        <item>~</item>
      </candidateList>
      <explain>文本全半角错误。</explain>
      <paraID>4828ABE6</paraID>
      <start>4</start>
      <end>5</end>
      <status>unmodified</status>
      <modifiedWord/>
      <trackRevisions>false</trackRevisions>
    </reviewItem>
    <reviewItem>
      <errorID>103cead8-26f3-4011-8abb-2e6111c616d4</errorID>
      <errorWord>～</errorWord>
      <group>L1_Format</group>
      <groupName>格式问题</groupName>
      <ability>L2_HalfPunc_CN</ability>
      <abilityName>全半角问题</abilityName>
      <candidateList>
        <item>~</item>
      </candidateList>
      <explain>文本全半角错误。</explain>
      <paraID>190019AB</paraID>
      <start>4</start>
      <end>5</end>
      <status>unmodified</status>
      <modifiedWord/>
      <trackRevisions>false</trackRevisions>
    </reviewItem>
    <reviewItem>
      <errorID>00f221b9-c36e-4fbb-9e36-3f6f3d142151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6431CD00</paraID>
      <start>0</start>
      <end>2</end>
      <status>unmodified</status>
      <modifiedWord/>
      <trackRevisions>false</trackRevisions>
    </reviewItem>
    <reviewItem>
      <errorID>c2b867d0-8400-4762-ac9f-9dc7e4b6ca2d</errorID>
      <errorWord>)</errorWord>
      <group>L1_Format</group>
      <groupName>格式问题</groupName>
      <ability>L2_HalfPunc_CN</ability>
      <abilityName>全半角问题</abilityName>
      <candidateList>
        <item>）</item>
      </candidateList>
      <explain>文本全半角错误。</explain>
      <paraID>2B4B8856</paraID>
      <start>130</start>
      <end>131</end>
      <status>unmodified</status>
      <modifiedWord/>
      <trackRevisions>false</trackRevisions>
    </reviewItem>
    <reviewItem>
      <errorID>f28fd3d4-05d7-4d4c-8656-7bfc28744a6e</errorID>
      <errorWord>可行性性</errorWord>
      <group>L1_Knowledge</group>
      <groupName>知识性问题</groupName>
      <ability>L2_Knowledge</ability>
      <abilityName>其他知识</abilityName>
      <candidateList>
        <item>可行性</item>
      </candidateList>
      <explain/>
      <paraID>283DDABA</paraID>
      <start>12</start>
      <end>16</end>
      <status>unmodified</status>
      <modifiedWord/>
      <trackRevisions>false</trackRevisions>
    </reviewItem>
    <reviewItem>
      <errorID>7b8f3727-4645-49ea-8cc0-b76e63334609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7EAAAD7D</paraID>
      <start>107</start>
      <end>108</end>
      <status>unmodified</status>
      <modifiedWord/>
      <trackRevisions>false</trackRevisions>
    </reviewItem>
    <reviewItem>
      <errorID>a83ba10e-dac1-4947-aad0-e3675fbff7ed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35D74962</paraID>
      <start>69</start>
      <end>70</end>
      <status>unmodified</status>
      <modifiedWord/>
      <trackRevisions>false</trackRevisions>
    </reviewItem>
    <reviewItem>
      <errorID>2d8364e6-0965-4d80-acf2-30f04a9deb58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38B812D8</paraID>
      <start>0</start>
      <end>2</end>
      <status>unmodified</status>
      <modifiedWord/>
      <trackRevisions>false</trackRevisions>
    </reviewItem>
    <reviewItem>
      <errorID>c8bf9107-12a5-4a7e-b204-e7a7d17fc2d1</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56DA1AAA</paraID>
      <start>209</start>
      <end>211</end>
      <status>unmodified</status>
      <modifiedWord/>
      <trackRevisions>false</trackRevisions>
    </reviewItem>
    <reviewItem>
      <errorID>8cfbeeeb-78e3-4d4b-a23b-20967ca7777b</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60E926CF</paraID>
      <start>11</start>
      <end>13</end>
      <status>unmodified</status>
      <modifiedWord/>
      <trackRevisions>false</trackRevisions>
    </reviewItem>
    <reviewItem>
      <errorID>36cf8b93-a826-43d9-ac1c-febacdf2fa81</errorID>
      <errorWord>（</errorWord>
      <group>L1_Format</group>
      <groupName>格式问题</groupName>
      <ability>L2_HalfPunc_CN</ability>
      <abilityName>全半角问题</abilityName>
      <candidateList>
        <item>(</item>
      </candidateList>
      <explain>文本全半角错误。</explain>
      <paraID>628AF03D</paraID>
      <start>0</start>
      <end>1</end>
      <status>unmodified</status>
      <modifiedWord/>
      <trackRevisions>false</trackRevisions>
    </reviewItem>
    <reviewItem>
      <errorID>a212300a-1b86-4b8b-9956-b89e89ae1fa4</errorID>
      <errorWord>）</errorWord>
      <group>L1_Format</group>
      <groupName>格式问题</groupName>
      <ability>L2_HalfPunc_CN</ability>
      <abilityName>全半角问题</abilityName>
      <candidateList>
        <item>)</item>
      </candidateList>
      <explain>文本全半角错误。</explain>
      <paraID>628AF03D</paraID>
      <start>7</start>
      <end>8</end>
      <status>unmodified</status>
      <modifiedWord/>
      <trackRevisions>false</trackRevisions>
    </reviewItem>
    <reviewItem>
      <errorID>df6a99d1-3794-4a0d-9342-b8906b52b7c4</errorID>
      <errorWord>(</errorWord>
      <group>L1_Format</group>
      <groupName>格式问题</groupName>
      <ability>L2_HalfPunc_CN</ability>
      <abilityName>全半角问题</abilityName>
      <candidateList>
        <item>（</item>
      </candidateList>
      <explain>文本全半角错误。</explain>
      <paraID> 7EBE05D</paraID>
      <start>141</start>
      <end>142</end>
      <status>unmodified</status>
      <modifiedWord/>
      <trackRevisions>false</trackRevisions>
    </reviewItem>
    <reviewItem>
      <errorID>066d6322-5e92-4808-b179-6a76368de67e</errorID>
      <errorWord>)</errorWord>
      <group>L1_Format</group>
      <groupName>格式问题</groupName>
      <ability>L2_HalfPunc_CN</ability>
      <abilityName>全半角问题</abilityName>
      <candidateList>
        <item>）</item>
      </candidateList>
      <explain>文本全半角错误。</explain>
      <paraID> 7EBE05D</paraID>
      <start>143</start>
      <end>144</end>
      <status>unmodified</status>
      <modifiedWord/>
      <trackRevisions>false</trackRevisions>
    </reviewItem>
    <reviewItem>
      <errorID>b9c1d4f2-ecec-45e9-922c-4f197a96bc18</errorID>
      <errorWord>(</errorWord>
      <group>L1_Format</group>
      <groupName>格式问题</groupName>
      <ability>L2_HalfPunc_CN</ability>
      <abilityName>全半角问题</abilityName>
      <candidateList>
        <item>（</item>
      </candidateList>
      <explain>文本全半角错误。</explain>
      <paraID> 7EBE05D</paraID>
      <start>197</start>
      <end>198</end>
      <status>unmodified</status>
      <modifiedWord/>
      <trackRevisions>false</trackRevisions>
    </reviewItem>
    <reviewItem>
      <errorID>24e0fc45-69e7-4333-a045-21ed821630bc</errorID>
      <errorWord>)</errorWord>
      <group>L1_Format</group>
      <groupName>格式问题</groupName>
      <ability>L2_HalfPunc_CN</ability>
      <abilityName>全半角问题</abilityName>
      <candidateList>
        <item>）</item>
      </candidateList>
      <explain>文本全半角错误。</explain>
      <paraID> 7EBE05D</paraID>
      <start>205</start>
      <end>206</end>
      <status>unmodified</status>
      <modifiedWord/>
      <trackRevisions>false</trackRevisions>
    </reviewItem>
    <reviewItem>
      <errorID>44860072-c7dc-4762-bac2-f4ac0a544ea2</errorID>
      <errorWord>配置</errorWord>
      <group>L1_Word</group>
      <groupName>字词问题</groupName>
      <ability>L2_Typo</ability>
      <abilityName>字词错误</abilityName>
      <candidateList>
        <item>配制</item>
      </candidateList>
      <explain/>
      <paraID>57102222</paraID>
      <start>10</start>
      <end>12</end>
      <status>modified</status>
      <modifiedWord>配制</modifiedWord>
      <trackRevisions>false</trackRevisions>
    </reviewItem>
    <reviewItem>
      <errorID>315c3c88-67a4-40e5-a47a-d70998e25775</errorID>
      <errorWord>(</errorWord>
      <group>L1_Format</group>
      <groupName>格式问题</groupName>
      <ability>L2_HalfPunc_CN</ability>
      <abilityName>全半角问题</abilityName>
      <candidateList>
        <item>（</item>
      </candidateList>
      <explain>文本全半角错误。</explain>
      <paraID>57102222</paraID>
      <start>75</start>
      <end>76</end>
      <status>unmodified</status>
      <modifiedWord/>
      <trackRevisions>false</trackRevisions>
    </reviewItem>
    <reviewItem>
      <errorID>8c0e21e8-b200-480e-9f7e-27096c0521ff</errorID>
      <errorWord>)</errorWord>
      <group>L1_Format</group>
      <groupName>格式问题</groupName>
      <ability>L2_HalfPunc_CN</ability>
      <abilityName>全半角问题</abilityName>
      <candidateList>
        <item>）</item>
      </candidateList>
      <explain>文本全半角错误。</explain>
      <paraID>57102222</paraID>
      <start>82</start>
      <end>83</end>
      <status>unmodified</status>
      <modifiedWord/>
      <trackRevisions>false</trackRevisions>
    </reviewItem>
    <reviewItem>
      <errorID>1b4a1781-b5ac-4c7a-beeb-c7a66f5e37ee</errorID>
      <errorWord>(</errorWord>
      <group>L1_Format</group>
      <groupName>格式问题</groupName>
      <ability>L2_HalfPunc_CN</ability>
      <abilityName>全半角问题</abilityName>
      <candidateList>
        <item>（</item>
      </candidateList>
      <explain>文本全半角错误。</explain>
      <paraID>57102222</paraID>
      <start>84</start>
      <end>85</end>
      <status>unmodified</status>
      <modifiedWord/>
      <trackRevisions>false</trackRevisions>
    </reviewItem>
    <reviewItem>
      <errorID>14cca2ed-4fb9-4d2a-9204-b015d937f35a</errorID>
      <errorWord>)</errorWord>
      <group>L1_Format</group>
      <groupName>格式问题</groupName>
      <ability>L2_HalfPunc_CN</ability>
      <abilityName>全半角问题</abilityName>
      <candidateList>
        <item>）</item>
      </candidateList>
      <explain>文本全半角错误。</explain>
      <paraID>57102222</paraID>
      <start>94</start>
      <end>95</end>
      <status>unmodified</status>
      <modifiedWord/>
      <trackRevisions>false</trackRevisions>
    </reviewItem>
    <reviewItem>
      <errorID>72972224-60e9-4302-b547-0d3278343a19</errorID>
      <errorWord>(</errorWord>
      <group>L1_Format</group>
      <groupName>格式问题</groupName>
      <ability>L2_HalfPunc_CN</ability>
      <abilityName>全半角问题</abilityName>
      <candidateList>
        <item>（</item>
      </candidateList>
      <explain>文本全半角错误。</explain>
      <paraID>57102222</paraID>
      <start>115</start>
      <end>116</end>
      <status>unmodified</status>
      <modifiedWord/>
      <trackRevisions>false</trackRevisions>
    </reviewItem>
    <reviewItem>
      <errorID>e49a6859-5b50-45da-a05d-c3b7e226e236</errorID>
      <errorWord>)</errorWord>
      <group>L1_Format</group>
      <groupName>格式问题</groupName>
      <ability>L2_HalfPunc_CN</ability>
      <abilityName>全半角问题</abilityName>
      <candidateList>
        <item>）</item>
      </candidateList>
      <explain>文本全半角错误。</explain>
      <paraID>57102222</paraID>
      <start>163</start>
      <end>164</end>
      <status>unmodified</status>
      <modifiedWord/>
      <trackRevisions>false</trackRevisions>
    </reviewItem>
    <reviewItem>
      <errorID>f7392314-8064-436e-9396-d7067b8f55e1</errorID>
      <errorWord>,</errorWord>
      <group>L1_Format</group>
      <groupName>格式问题</groupName>
      <ability>L2_HalfPunc_CN</ability>
      <abilityName>全半角问题</abilityName>
      <candidateList>
        <item>，</item>
      </candidateList>
      <explain>文本全半角错误。</explain>
      <paraID>57102222</paraID>
      <start>198</start>
      <end>199</end>
      <status>unmodified</status>
      <modifiedWord/>
      <trackRevisions>false</trackRevisions>
    </reviewItem>
    <reviewItem>
      <errorID>66bd4e07-d092-441f-8cfc-c97e7b18284f</errorID>
      <errorWord>,</errorWord>
      <group>L1_Format</group>
      <groupName>格式问题</groupName>
      <ability>L2_HalfPunc_CN</ability>
      <abilityName>全半角问题</abilityName>
      <candidateList>
        <item>，</item>
      </candidateList>
      <explain>文本全半角错误。</explain>
      <paraID>57102222</paraID>
      <start>213</start>
      <end>214</end>
      <status>unmodified</status>
      <modifiedWord/>
      <trackRevisions>false</trackRevisions>
    </reviewItem>
    <reviewItem>
      <errorID>99016444-5e11-4c07-8440-f7798d5bd8f6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7081D309</paraID>
      <start>88</start>
      <end>89</end>
      <status>unmodified</status>
      <modifiedWord/>
      <trackRevisions>false</trackRevisions>
    </reviewItem>
    <reviewItem>
      <errorID>32d38dc0-f4cd-4577-91e6-13410e1506c3</errorID>
      <errorWord>，</errorWord>
      <group>L1_Format</group>
      <groupName>格式问题</groupName>
      <ability>L2_HalfPunc_CN</ability>
      <abilityName>全半角问题</abilityName>
      <candidateList>
        <item>, </item>
      </candidateList>
      <explain>文本全半角错误。</explain>
      <paraID> C8E2861</paraID>
      <start>1</start>
      <end>2</end>
      <status>unmodified</status>
      <modifiedWord/>
      <trackRevisions>false</trackRevisions>
    </reviewItem>
    <reviewItem>
      <errorID>0e1c787f-afc5-46cf-bf51-f65c99b43d95</errorID>
      <errorWord>，</errorWord>
      <group>L1_Format</group>
      <groupName>格式问题</groupName>
      <ability>L2_HalfPunc_CN</ability>
      <abilityName>全半角问题</abilityName>
      <candidateList>
        <item>, </item>
      </candidateList>
      <explain>文本全半角错误。</explain>
      <paraID>44AFBE6C</paraID>
      <start>1</start>
      <end>2</end>
      <status>unmodified</status>
      <modifiedWord/>
      <trackRevisions>false</trackRevisions>
    </reviewItem>
    <reviewItem>
      <errorID>1eef5b8f-81b3-41f4-9eae-8760eb1a3f13</errorID>
      <errorWord>，</errorWord>
      <group>L1_Format</group>
      <groupName>格式问题</groupName>
      <ability>L2_HalfPunc_CN</ability>
      <abilityName>全半角问题</abilityName>
      <candidateList>
        <item>, </item>
      </candidateList>
      <explain>文本全半角错误。</explain>
      <paraID>2528FD05</paraID>
      <start>1</start>
      <end>2</end>
      <status>unmodified</status>
      <modifiedWord/>
      <trackRevisions>false</trackRevisions>
    </reviewItem>
    <reviewItem>
      <errorID>59ebeea2-f633-4dee-b571-54bd06774e6b</errorID>
      <errorWord>，</errorWord>
      <group>L1_Format</group>
      <groupName>格式问题</groupName>
      <ability>L2_HalfPunc_CN</ability>
      <abilityName>全半角问题</abilityName>
      <candidateList>
        <item>, </item>
      </candidateList>
      <explain>文本全半角错误。</explain>
      <paraID>5FE9B185</paraID>
      <start>1</start>
      <end>2</end>
      <status>unmodified</status>
      <modifiedWord/>
      <trackRevisions>false</trackRevisions>
    </reviewItem>
    <reviewItem>
      <errorID>c9b3e0b3-c36f-42b0-897b-73d8ac462b29</errorID>
      <errorWord>，</errorWord>
      <group>L1_Format</group>
      <groupName>格式问题</groupName>
      <ability>L2_HalfPunc_CN</ability>
      <abilityName>全半角问题</abilityName>
      <candidateList>
        <item>, </item>
      </candidateList>
      <explain>文本全半角错误。</explain>
      <paraID>1F6F6034</paraID>
      <start>1</start>
      <end>2</end>
      <status>unmodified</status>
      <modifiedWord/>
      <trackRevisions>false</trackRevisions>
    </reviewItem>
    <reviewItem>
      <errorID>0c218e48-4091-4e6d-a7fe-69bde72cbfdb</errorID>
      <errorWord>，</errorWord>
      <group>L1_Format</group>
      <groupName>格式问题</groupName>
      <ability>L2_HalfPunc_CN</ability>
      <abilityName>全半角问题</abilityName>
      <candidateList>
        <item>, </item>
      </candidateList>
      <explain>文本全半角错误。</explain>
      <paraID> D825918</paraID>
      <start>1</start>
      <end>2</end>
      <status>unmodified</status>
      <modifiedWord/>
      <trackRevisions>false</trackRevisions>
    </reviewItem>
    <reviewItem>
      <errorID>8ce4dd62-542c-4d87-92d4-b581049e80ab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2078E871</paraID>
      <start>0</start>
      <end>2</end>
      <status>unmodified</status>
      <modifiedWord/>
      <trackRevisions>false</trackRevisions>
    </reviewItem>
    <reviewItem>
      <errorID>5b93a014-dbfe-4b0c-a52a-11ee9b3bb03b</errorID>
      <errorWord>(</errorWord>
      <group>L1_Format</group>
      <groupName>格式问题</groupName>
      <ability>L2_HalfPunc_CN</ability>
      <abilityName>全半角问题</abilityName>
      <candidateList>
        <item>（</item>
      </candidateList>
      <explain>文本全半角错误。</explain>
      <paraID>5979F9BC</paraID>
      <start>161</start>
      <end>162</end>
      <status>unmodified</status>
      <modifiedWord/>
      <trackRevisions>false</trackRevisions>
    </reviewItem>
    <reviewItem>
      <errorID>d88c886b-e2c2-4fea-90db-d815171a6e6f</errorID>
      <errorWord>)</errorWord>
      <group>L1_Format</group>
      <groupName>格式问题</groupName>
      <ability>L2_HalfPunc_CN</ability>
      <abilityName>全半角问题</abilityName>
      <candidateList>
        <item>）</item>
      </candidateList>
      <explain>文本全半角错误。</explain>
      <paraID>5979F9BC</paraID>
      <start>175</start>
      <end>176</end>
      <status>unmodified</status>
      <modifiedWord/>
      <trackRevisions>false</trackRevisions>
    </reviewItem>
    <reviewItem>
      <errorID>81538b51-6f4e-407d-bf22-84c73186508e</errorID>
      <errorWord>(</errorWord>
      <group>L1_Format</group>
      <groupName>格式问题</groupName>
      <ability>L2_HalfPunc_CN</ability>
      <abilityName>全半角问题</abilityName>
      <candidateList>
        <item>（</item>
      </candidateList>
      <explain>文本全半角错误。</explain>
      <paraID>534E45FE</paraID>
      <start>62</start>
      <end>63</end>
      <status>unmodified</status>
      <modifiedWord/>
      <trackRevisions>false</trackRevisions>
    </reviewItem>
    <reviewItem>
      <errorID>b6be7309-1f4c-456c-89a3-4f19223c51e8</errorID>
      <errorWord>)</errorWord>
      <group>L1_Format</group>
      <groupName>格式问题</groupName>
      <ability>L2_HalfPunc_CN</ability>
      <abilityName>全半角问题</abilityName>
      <candidateList>
        <item>）</item>
      </candidateList>
      <explain>文本全半角错误。</explain>
      <paraID>534E45FE</paraID>
      <start>76</start>
      <end>77</end>
      <status>unmodified</status>
      <modifiedWord/>
      <trackRevisions>false</trackRevisions>
    </reviewItem>
    <reviewItem>
      <errorID>2eaa5f29-ff5a-47ca-b7c4-60cf93c00cea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7CDFFEC8</paraID>
      <start>0</start>
      <end>2</end>
      <status>unmodified</status>
      <modifiedWord/>
      <trackRevisions>false</trackRevisions>
    </reviewItem>
    <reviewItem>
      <errorID>d4c7ee8e-628b-4433-9452-0d86ad1ddded</errorID>
      <errorWord>：/</errorWord>
      <group>L1_Punc</group>
      <groupName>标点问题</groupName>
      <ability>L2_Punc_CN</ability>
      <abilityName>标点符号问题</abilityName>
      <candidateList>
        <item>：</item>
      </candidateList>
      <explain/>
      <paraID>5B336A22</paraID>
      <start>5</start>
      <end>7</end>
      <status>unmodified</status>
      <modifiedWord/>
      <trackRevisions>false</trackRevisions>
    </reviewItem>
    <reviewItem>
      <errorID>4a8c4623-d672-4695-90df-98704e7f4a5c</errorID>
      <errorWord>：/</errorWord>
      <group>L1_Punc</group>
      <groupName>标点问题</groupName>
      <ability>L2_Punc_CN</ability>
      <abilityName>标点符号问题</abilityName>
      <candidateList>
        <item>：</item>
      </candidateList>
      <explain/>
      <paraID>5352E6E6</paraID>
      <start>7</start>
      <end>9</end>
      <status>unmodified</status>
      <modifiedWord/>
      <trackRevisions>false</trackRevisions>
    </reviewItem>
    <reviewItem>
      <errorID>a5599ca6-86a1-4a5f-828a-8fe51f0ccca1</errorID>
      <errorWord>：/</errorWord>
      <group>L1_Punc</group>
      <groupName>标点问题</groupName>
      <ability>L2_Punc_CN</ability>
      <abilityName>标点符号问题</abilityName>
      <candidateList>
        <item>：</item>
      </candidateList>
      <explain/>
      <paraID>2E70F905</paraID>
      <start>5</start>
      <end>7</end>
      <status>unmodified</status>
      <modifiedWord/>
      <trackRevisions>false</trackRevisions>
    </reviewItem>
    <reviewItem>
      <errorID>15c066ce-63c1-4ccb-ae17-9b64ab32c73e</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2F07501D</paraID>
      <start>78</start>
      <end>81</end>
      <status>unmodified</status>
      <modifiedWord/>
      <trackRevisions>false</trackRevisions>
    </reviewItem>
    <reviewItem>
      <errorID>d874130f-9356-4528-bad0-817fbb2310c2</errorID>
      <errorWord>（</errorWord>
      <group>L1_Format</group>
      <groupName>格式问题</groupName>
      <ability>L2_HalfPunc_CN</ability>
      <abilityName>全半角问题</abilityName>
      <candidateList>
        <item>(</item>
      </candidateList>
      <explain>文本全半角错误。</explain>
      <paraID>2DCD4B60</paraID>
      <start>2</start>
      <end>3</end>
      <status>unmodified</status>
      <modifiedWord/>
      <trackRevisions>false</trackRevisions>
    </reviewItem>
    <reviewItem>
      <errorID>d4d0aa92-9be8-4bca-ae1a-4f8e11530ba9</errorID>
      <errorWord>）</errorWord>
      <group>L1_Format</group>
      <groupName>格式问题</groupName>
      <ability>L2_HalfPunc_CN</ability>
      <abilityName>全半角问题</abilityName>
      <candidateList>
        <item>)</item>
      </candidateList>
      <explain>文本全半角错误。</explain>
      <paraID>2DCD4B60</paraID>
      <start>4</start>
      <end>5</end>
      <status>unmodified</status>
      <modifiedWord/>
      <trackRevisions>false</trackRevisions>
    </reviewItem>
    <reviewItem>
      <errorID>e5f1c0f7-df1f-4de5-a9a2-d80c73de799d</errorID>
      <errorWord>（</errorWord>
      <group>L1_Format</group>
      <groupName>格式问题</groupName>
      <ability>L2_HalfPunc_CN</ability>
      <abilityName>全半角问题</abilityName>
      <candidateList>
        <item>(</item>
      </candidateList>
      <explain>文本全半角错误。</explain>
      <paraID>37D165E9</paraID>
      <start>2</start>
      <end>3</end>
      <status>unmodified</status>
      <modifiedWord/>
      <trackRevisions>false</trackRevisions>
    </reviewItem>
    <reviewItem>
      <errorID>334864a9-9b39-4b41-8302-558cefeaa63f</errorID>
      <errorWord>）</errorWord>
      <group>L1_Format</group>
      <groupName>格式问题</groupName>
      <ability>L2_HalfPunc_CN</ability>
      <abilityName>全半角问题</abilityName>
      <candidateList>
        <item>)</item>
      </candidateList>
      <explain>文本全半角错误。</explain>
      <paraID>37D165E9</paraID>
      <start>4</start>
      <end>5</end>
      <status>unmodified</status>
      <modifiedWord/>
      <trackRevisions>false</trackRevisions>
    </reviewItem>
    <reviewItem>
      <errorID>444cc58b-3572-4b48-818e-670e8d83b847</errorID>
      <errorWord>粘附</errorWord>
      <group>L1_Word</group>
      <groupName>字词问题</groupName>
      <ability>L2_Alias</ability>
      <abilityName>也作/曾用词</abilityName>
      <candidateList>
        <item>黏附</item>
      </candidateList>
      <explain>词汇[粘附]为不规范表述或旧称，其规范书面表述为[黏附]。</explain>
      <paraID> 2A12C96</paraID>
      <start>26</start>
      <end>28</end>
      <status>unmodified</status>
      <modifiedWord/>
      <trackRevisions>false</trackRevisions>
    </reviewItem>
    <reviewItem>
      <errorID>2b759fe4-7ada-405e-ae98-46292d3064ac</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2432A405</paraID>
      <start>123</start>
      <end>124</end>
      <status>unmodified</status>
      <modifiedWord/>
      <trackRevisions>false</trackRevisions>
    </reviewItem>
    <reviewItem>
      <errorID>f5802c0b-7ab9-4c36-ab9e-213a5d232dc1</errorID>
      <errorWord>（/</errorWord>
      <group>L1_Punc</group>
      <groupName>标点问题</groupName>
      <ability>L2_Punc_CN</ability>
      <abilityName>标点符号问题</abilityName>
      <candidateList>
        <item>（</item>
      </candidateList>
      <explain/>
      <paraID>2A272B3D</paraID>
      <start>0</start>
      <end>2</end>
      <status>unmodified</status>
      <modifiedWord/>
      <trackRevisions>false</trackRevisions>
    </reviewItem>
    <reviewItem>
      <errorID>d8a92aa2-8e1c-46c3-8195-22d33573cf46</errorID>
      <errorWord>（/</errorWord>
      <group>L1_Punc</group>
      <groupName>标点问题</groupName>
      <ability>L2_Punc_CN</ability>
      <abilityName>标点符号问题</abilityName>
      <candidateList>
        <item>（</item>
      </candidateList>
      <explain/>
      <paraID>49A90F70</paraID>
      <start>0</start>
      <end>2</end>
      <status>unmodified</status>
      <modifiedWord/>
      <trackRevisions>false</trackRevisions>
    </reviewItem>
    <reviewItem>
      <errorID>620b403e-5565-43f8-af8e-20e551c72cc3</errorID>
      <errorWord>繁琐</errorWord>
      <group>L1_Word</group>
      <groupName>字词问题</groupName>
      <ability>L2_Typo</ability>
      <abilityName>字词错误</abilityName>
      <candidateList>
        <item>烦琐</item>
      </candidateList>
      <explain/>
      <paraID>5AB4287B</paraID>
      <start>46</start>
      <end>48</end>
      <status>unmodified</status>
      <modifiedWord/>
      <trackRevisions>false</trackRevisions>
    </reviewItem>
    <reviewItem>
      <errorID>351e7af7-c6d1-42e3-9964-fb8ffac84a32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43C50DDF</paraID>
      <start>155</start>
      <end>158</end>
      <status>unmodified</status>
      <modifiedWord/>
      <trackRevisions>false</trackRevisions>
    </reviewItem>
    <reviewItem>
      <errorID>8783a68b-7d89-4fb6-8b9a-82bc7c3e5917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2A17021E</paraID>
      <start>0</start>
      <end>2</end>
      <status>unmodified</status>
      <modifiedWord/>
      <trackRevisions>false</trackRevisions>
    </reviewItem>
    <reviewItem>
      <errorID>df26d9ec-b301-4124-98e8-ab53c8b314cf</errorID>
      <errorWord>期</errorWord>
      <group>L1_Word</group>
      <groupName>字词问题</groupName>
      <ability>L2_Typo</ability>
      <abilityName>字词错误</abilityName>
      <candidateList>
        <item>期间</item>
      </candidateList>
      <explain>〈名〉某个时期里面：农忙～｜春节～｜抗战～。</explain>
      <paraID>4FB8F6B7</paraID>
      <start>2</start>
      <end>3</end>
      <status>unmodified</status>
      <modifiedWord/>
      <trackRevisions>false</trackRevisions>
    </reviewItem>
    <reviewItem>
      <errorID>e7deeb66-293b-4bb0-a578-d5e49c22a070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5DD9EB4</paraID>
      <start>0</start>
      <end>2</end>
      <status>unmodified</status>
      <modifiedWord/>
      <trackRevisions>false</trackRevisions>
    </reviewItem>
    <reviewItem>
      <errorID>109feacb-c49d-412b-a417-0b5461ad3308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77B81574</paraID>
      <start>0</start>
      <end>2</end>
      <status>unmodified</status>
      <modifiedWord/>
      <trackRevisions>false</trackRevisions>
    </reviewItem>
    <reviewItem>
      <errorID>c8d9d080-fd0d-45ec-b347-f983f4a70062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9855B0C</paraID>
      <start>0</start>
      <end>2</end>
      <status>unmodified</status>
      <modifiedWord/>
      <trackRevisions>false</trackRevisions>
    </reviewItem>
    <reviewItem>
      <errorID>f3bcf658-ab9e-44a1-bb3d-5114c7964fa1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6CE642FD</paraID>
      <start>0</start>
      <end>2</end>
      <status>unmodified</status>
      <modifiedWord/>
      <trackRevisions>false</trackRevisions>
    </reviewItem>
    <reviewItem>
      <errorID>7d2e50a9-0f83-4c6d-8fb0-85a961f8f353</errorID>
      <errorWord>[2011]第592号</errorWord>
      <group>L1_Knowledge</group>
      <groupName>知识性问题</groupName>
      <ability>L2_Knowledge</ability>
      <abilityName>其他知识</abilityName>
      <candidateList>
        <item>〔2011〕592号</item>
      </candidateList>
      <explain>发文字号格式错误。</explain>
      <paraID>50C7BAC5</paraID>
      <start>15</start>
      <end>26</end>
      <status>unmodified</status>
      <modifiedWord/>
      <trackRevisions>false</trackRevisions>
    </reviewItem>
    <reviewItem>
      <errorID>362f2ea4-434c-4d08-9f8c-8c0839a64ddf</errorID>
      <errorWord>；</errorWord>
      <group>L1_Word</group>
      <groupName>字词问题</groupName>
      <ability>L2_Typo</ability>
      <abilityName>字词错误</abilityName>
      <candidateList>
        <item>；在</item>
      </candidateList>
      <explain/>
      <paraID> 1A3A68A</paraID>
      <start>45</start>
      <end>46</end>
      <status>unmodified</status>
      <modifiedWord/>
      <trackRevisions>false</trackRevisions>
    </reviewItem>
    <reviewItem>
      <errorID>03952cf1-63eb-4a73-99f7-99f8977174e4</errorID>
      <errorWord>强</errorWord>
      <group>L1_Word</group>
      <groupName>字词问题</groupName>
      <ability>L2_Typo</ability>
      <abilityName>字词错误</abilityName>
      <candidateList>
        <item>强对</item>
      </candidateList>
      <explain/>
      <paraID> 1A3A68A</paraID>
      <start>53</start>
      <end>55</end>
      <status>modified</status>
      <modifiedWord>强对</modifiedWord>
      <trackRevisions>false</trackRevisions>
    </reviewItem>
    <reviewItem>
      <errorID>c2f10cb3-ecbc-4f71-aa22-11fd770d96ed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7E82B39D</paraID>
      <start>4</start>
      <end>5</end>
      <status>modified</status>
      <modifiedWord>地</modifiedWord>
      <trackRevisions>false</trackRevisions>
    </reviewItem>
    <reviewItem>
      <errorID>973422c5-bd35-48b3-93c8-808306275bf4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5C07B745</paraID>
      <start>24</start>
      <end>26</end>
      <status>modified</status>
      <modifiedWord>》《</modifiedWord>
      <trackRevisions>false</trackRevisions>
    </reviewItem>
    <reviewItem>
      <errorID>f8ed3b16-5fb6-4d5c-aa54-6df14c70cc0a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392CEF0</paraID>
      <start>80</start>
      <end>81</end>
      <status>unmodified</status>
      <modifiedWord/>
      <trackRevisions>false</trackRevisions>
    </reviewItem>
    <reviewItem>
      <errorID>a1c94f67-0bf7-44fe-bcdc-e5fa3713fa09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392CEF0</paraID>
      <start>115</start>
      <end>116</end>
      <status>unmodified</status>
      <modifiedWord/>
      <trackRevisions>false</trackRevisions>
    </reviewItem>
    <reviewItem>
      <errorID>cd2689b7-473a-4211-9fac-11afb1ac7b0c</errorID>
      <errorWord>定</errorWord>
      <group>L1_Word</group>
      <groupName>字词问题</groupName>
      <ability>L2_Typo</ability>
      <abilityName>字词错误</abilityName>
      <candidateList>
        <item>定要</item>
      </candidateList>
      <explain/>
      <paraID>  6C97A7</paraID>
      <start>46</start>
      <end>47</end>
      <status>unmodified</status>
      <modifiedWord/>
      <trackRevisions>false</trackRevisions>
    </reviewItem>
    <reviewItem>
      <errorID>5d30858f-4271-4fdc-8210-0ab9ca4484fb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79E20994</paraID>
      <start>0</start>
      <end>2</end>
      <status>unmodified</status>
      <modifiedWord/>
      <trackRevisions>false</trackRevisions>
    </reviewItem>
    <reviewItem>
      <errorID>2d7ea3cf-8129-40d5-b28a-6299713fcb84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59C3F7A5</paraID>
      <start>0</start>
      <end>2</end>
      <status>unmodified</status>
      <modifiedWord/>
      <trackRevisions>false</trackRevisions>
    </reviewItem>
    <reviewItem>
      <errorID>97bb9bfa-48ec-45ab-95b9-365c356115a8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2B2DD6E4</paraID>
      <start>0</start>
      <end>2</end>
      <status>unmodified</status>
      <modifiedWord/>
      <trackRevisions>false</trackRevisions>
    </reviewItem>
    <reviewItem>
      <errorID>86b55228-f567-40be-b5f3-4f2e5ef7661d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2F470A3E</paraID>
      <start>0</start>
      <end>2</end>
      <status>unmodified</status>
      <modifiedWord/>
      <trackRevisions>false</trackRevisions>
    </reviewItem>
    <reviewItem>
      <errorID>d9bd328f-8e62-435a-9176-220c5637af88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3598F723</paraID>
      <start>0</start>
      <end>2</end>
      <status>unmodified</status>
      <modifiedWord/>
      <trackRevisions>false</trackRevisions>
    </reviewItem>
    <reviewItem>
      <errorID>28c0a5d9-de43-4fa0-83c1-c1294d5677f6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431AE6D8</paraID>
      <start>0</start>
      <end>2</end>
      <status>unmodified</status>
      <modifiedWord/>
      <trackRevisions>false</trackRevisions>
    </reviewItem>
    <reviewItem>
      <errorID>66532021-9225-4df4-af92-447b43d5006b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33F3B60B</paraID>
      <start>0</start>
      <end>2</end>
      <status>unmodified</status>
      <modifiedWord/>
      <trackRevisions>false</trackRevisions>
    </reviewItem>
    <reviewItem>
      <errorID>ab3b49d6-ed1e-4c3e-8583-6c60663c945b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53918BAD</paraID>
      <start>0</start>
      <end>2</end>
      <status>unmodified</status>
      <modifiedWord/>
      <trackRevisions>false</trackRevisions>
    </reviewItem>
    <reviewItem>
      <errorID>a966a3a7-6f26-4052-bde5-926e93c14c3b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3AF16C7C</paraID>
      <start>0</start>
      <end>2</end>
      <status>unmodified</status>
      <modifiedWord/>
      <trackRevisions>false</trackRevisions>
    </reviewItem>
    <reviewItem>
      <errorID>0a4f13d4-f783-4c2b-8f2e-308c3fe8d808</errorID>
      <errorWord>(</errorWord>
      <group>L1_Format</group>
      <groupName>格式问题</groupName>
      <ability>L2_HalfPunc_CN</ability>
      <abilityName>全半角问题</abilityName>
      <candidateList>
        <item>（</item>
      </candidateList>
      <explain>文本全半角错误。</explain>
      <paraID>5E25C424</paraID>
      <start>46</start>
      <end>47</end>
      <status>unmodified</status>
      <modifiedWord/>
      <trackRevisions>false</trackRevisions>
    </reviewItem>
    <reviewItem>
      <errorID>fbf6cc23-ecae-4b56-b2a3-5864fcac033d</errorID>
      <errorWord>)</errorWord>
      <group>L1_Format</group>
      <groupName>格式问题</groupName>
      <ability>L2_HalfPunc_CN</ability>
      <abilityName>全半角问题</abilityName>
      <candidateList>
        <item>）</item>
      </candidateList>
      <explain>文本全半角错误。</explain>
      <paraID>5E25C424</paraID>
      <start>60</start>
      <end>61</end>
      <status>unmodified</status>
      <modifiedWord/>
      <trackRevisions>false</trackRevisions>
    </reviewItem>
    <reviewItem>
      <errorID>588a52cb-25f7-430e-9d17-a2958389d7e1</errorID>
      <errorWord>(</errorWord>
      <group>L1_Format</group>
      <groupName>格式问题</groupName>
      <ability>L2_HalfPunc_CN</ability>
      <abilityName>全半角问题</abilityName>
      <candidateList>
        <item>（</item>
      </candidateList>
      <explain>文本全半角错误。</explain>
      <paraID>1BB7F018</paraID>
      <start>62</start>
      <end>63</end>
      <status>unmodified</status>
      <modifiedWord/>
      <trackRevisions>false</trackRevisions>
    </reviewItem>
    <reviewItem>
      <errorID>442b4473-a438-48f1-ad9a-3d8181cfba93</errorID>
      <errorWord>)</errorWord>
      <group>L1_Format</group>
      <groupName>格式问题</groupName>
      <ability>L2_HalfPunc_CN</ability>
      <abilityName>全半角问题</abilityName>
      <candidateList>
        <item>）</item>
      </candidateList>
      <explain>文本全半角错误。</explain>
      <paraID>1BB7F018</paraID>
      <start>76</start>
      <end>77</end>
      <status>unmodified</status>
      <modifiedWord/>
      <trackRevisions>false</trackRevisions>
    </reviewItem>
    <reviewItem>
      <errorID>b911c58b-55dd-483e-971a-9c004eeeaab1</errorID>
      <errorWord>，</errorWord>
      <group>L1_Word</group>
      <groupName>字词问题</groupName>
      <ability>L2_Typo</ability>
      <abilityName>字词错误</abilityName>
      <candidateList>
        <item>，将</item>
      </candidateList>
      <explain/>
      <paraID>22863D44</paraID>
      <start>183</start>
      <end>184</end>
      <status>unmodified</status>
      <modifiedWord/>
      <trackRevisions>false</trackRevisions>
    </reviewItem>
    <reviewItem>
      <errorID>5a93dfb9-1044-40fe-a725-745a7e0b611f</errorID>
      <errorWord>溢散</errorWord>
      <group>L1_Word</group>
      <groupName>字词问题</groupName>
      <ability>L2_Typo</ability>
      <abilityName>字词错误</abilityName>
      <candidateList>
        <item>逸散</item>
      </candidateList>
      <explain/>
      <paraID>31D560D3</paraID>
      <start>26</start>
      <end>28</end>
      <status>unmodified</status>
      <modifiedWord/>
      <trackRevisions>false</trackRevisions>
    </reviewItem>
    <reviewItem>
      <errorID>07dce2aa-c368-4893-97fd-b74984a63a96</errorID>
      <errorWord>流动</errorWord>
      <group>L1_Word</group>
      <groupName>字词问题</groupName>
      <ability>L2_Typo</ability>
      <abilityName>字词错误</abilityName>
      <candidateList>
        <item>流到</item>
      </candidateList>
      <explain/>
      <paraID>52AD225B</paraID>
      <start>93</start>
      <end>95</end>
      <status>unmodified</status>
      <modifiedWord/>
      <trackRevisions>false</trackRevisions>
    </reviewItem>
    <reviewItem>
      <errorID>8b77aa52-3ad4-41d8-9c1e-3c8c2674e975</errorID>
      <errorWord>不断完善的</errorWord>
      <group>L1_Word</group>
      <groupName>字词问题</groupName>
      <ability>L2_Typo</ability>
      <abilityName>字词错误</abilityName>
      <candidateList>
        <item>不断完善</item>
      </candidateList>
      <explain/>
      <paraID>7DE69436</paraID>
      <start>70</start>
      <end>75</end>
      <status>unmodified</status>
      <modifiedWord/>
      <trackRevisions>false</trackRevisions>
    </reviewItem>
    <reviewItem>
      <errorID>97dc4b1b-6c61-43a0-b08e-74ebe003426c</errorID>
      <errorWord>。；</errorWord>
      <group>L1_Punc</group>
      <groupName>标点问题</groupName>
      <ability>L2_Punc_CN</ability>
      <abilityName>标点符号问题</abilityName>
      <candidateList>
        <item>。</item>
      </candidateList>
      <explain/>
      <paraID>2FAA4278</paraID>
      <start>53</start>
      <end>55</end>
      <status>unmodified</status>
      <modifiedWord/>
      <trackRevisions>false</trackRevisions>
    </reviewItem>
    <reviewItem>
      <errorID>8ad4de6c-7e4a-4108-9678-e3ff26400e80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109C7816</paraID>
      <start>162</start>
      <end>165</end>
      <status>unmodified</status>
      <modifiedWord/>
      <trackRevisions>false</trackRevisions>
    </reviewItem>
    <reviewItem>
      <errorID>504d5705-ad3f-4a59-934d-e4e4730f2dc0</errorID>
      <errorWord>[2011]第592号</errorWord>
      <group>L1_Knowledge</group>
      <groupName>知识性问题</groupName>
      <ability>L2_Knowledge</ability>
      <abilityName>其他知识</abilityName>
      <candidateList>
        <item>〔2011〕592号</item>
      </candidateList>
      <explain>发文字号格式错误。</explain>
      <paraID>4300A4E7</paraID>
      <start>127</start>
      <end>138</end>
      <status>unmodified</status>
      <modifiedWord/>
      <trackRevisions>false</trackRevisions>
    </reviewItem>
    <reviewItem>
      <errorID>b3907de9-1a7d-430e-beb1-9a166b68f825</errorID>
      <errorWord>(</errorWord>
      <group>L1_Format</group>
      <groupName>格式问题</groupName>
      <ability>L2_HalfPunc_CN</ability>
      <abilityName>全半角问题</abilityName>
      <candidateList>
        <item>（</item>
      </candidateList>
      <explain>文本全半角错误。</explain>
      <paraID>1EB81336</paraID>
      <start>36</start>
      <end>37</end>
      <status>unmodified</status>
      <modifiedWord/>
      <trackRevisions>false</trackRevisions>
    </reviewItem>
    <reviewItem>
      <errorID>7fd202b8-8099-467b-9e3a-bdcef0b3e493</errorID>
      <errorWord>)</errorWord>
      <group>L1_Format</group>
      <groupName>格式问题</groupName>
      <ability>L2_HalfPunc_CN</ability>
      <abilityName>全半角问题</abilityName>
      <candidateList>
        <item>）</item>
      </candidateList>
      <explain>文本全半角错误。</explain>
      <paraID>1EB81336</paraID>
      <start>50</start>
      <end>51</end>
      <status>unmodified</status>
      <modifiedWord/>
      <trackRevisions>false</trackRevisions>
    </reviewItem>
    <reviewItem>
      <errorID>cb304485-e0b9-4cb9-a855-f681ed56a262</errorID>
      <errorWord>[2020]第43号</errorWord>
      <group>L1_Knowledge</group>
      <groupName>知识性问题</groupName>
      <ability>L2_Knowledge</ability>
      <abilityName>其他知识</abilityName>
      <candidateList>
        <item>〔2020〕43号</item>
      </candidateList>
      <explain>发文字号格式错误。</explain>
      <paraID>2E3D102E</paraID>
      <start>34</start>
      <end>44</end>
      <status>unmodified</status>
      <modifiedWord/>
      <trackRevisions>false</trackRevisions>
    </reviewItem>
    <reviewItem>
      <errorID>b0087b6d-1140-4cf8-869f-419488c95b5c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6424CDEB</paraID>
      <start>42</start>
      <end>43</end>
      <status>unmodified</status>
      <modifiedWord/>
      <trackRevisions>false</trackRevisions>
    </reviewItem>
    <reviewItem>
      <errorID>c7aad7d8-2666-439e-acfe-8961609b550d</errorID>
      <errorWord>［2018］</errorWord>
      <group>L1_Punc</group>
      <groupName>标点问题</groupName>
      <ability>L2_Punc_CN</ability>
      <abilityName>标点符号问题</abilityName>
      <candidateList>
        <item>〔2018〕</item>
      </candidateList>
      <explain/>
      <paraID>13C99AFC</paraID>
      <start>22</start>
      <end>28</end>
      <status>unmodified</status>
      <modifiedWord/>
      <trackRevisions>false</trackRevisions>
    </reviewItem>
    <reviewItem>
      <errorID>bac35fc2-5328-4c01-9038-d1d73ac5d8ac</errorID>
      <errorWord>-</errorWord>
      <group>L1_Format</group>
      <groupName>格式问题</groupName>
      <ability>L2_HalfPunc_CN</ability>
      <abilityName>全半角问题</abilityName>
      <candidateList>
        <item>－</item>
      </candidateList>
      <explain>文本全半角错误。</explain>
      <paraID>7CD61807</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F3248D57-F71C-4CF4-BD5D-28DA33023642}">
  <ds:schemaRefs/>
</ds:datastoreItem>
</file>

<file path=customXml\itemProps2.xml><?xml version="1.0" encoding="utf-8"?>
<ds:datastoreItem xmlns:ds="http://schemas.openxmlformats.org/officeDocument/2006/customXml" ds:itemID="{7dc3a455-f0fb-4bda-ae12-03f329fed414}">
  <ds:schemaRefs/>
</ds:datastoreItem>
</file>

<file path=docProps\app.xml><?xml version="1.0" encoding="utf-8"?>
<Properties xmlns="http://schemas.openxmlformats.org/officeDocument/2006/extended-properties" xmlns:vt="http://schemas.openxmlformats.org/officeDocument/2006/docPropsVTypes">
  <Template>Normal</Template>
  <Pages>114</Pages>
  <Words>23531</Words>
  <Characters>24678</Characters>
  <Lines>592</Lines>
  <Paragraphs>166</Paragraphs>
  <TotalTime>1</TotalTime>
  <ScaleCrop>false</ScaleCrop>
  <LinksUpToDate>false</LinksUpToDate>
  <CharactersWithSpaces>24900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2025-08-16T06:06:00Z</dcterms:created>
  <dc:creator>凯文 柳</dc:creator>
  <cp:lastModifiedBy>暮江平不动</cp:lastModifiedBy>
  <cp:lastPrinted>2016-11-20T01:48:00Z</cp:lastPrinted>
  <dcterms:modified xsi:type="dcterms:W3CDTF">2026-07-15T02:53:58Z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1A1CBAAFBBBB4D408D8DD3E5381E9E40_13</vt:lpwstr>
  </property>
  <property fmtid="{D5CDD505-2E9C-101B-9397-08002B2CF9AE}" pid="4" name="KSOTemplateDocerSaveRecord">
    <vt:lpwstr>eyJoZGlkIjoiOTZlNTdiMjE2ODJhY2NjMzk4MjBlZGVlNmIzODEwOTMiLCJ1c2VySWQiOiI0MjM3ODgwNDAifQ==</vt:lpwstr>
  </property>
</Properti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8" Type="http://schemas.openxmlformats.org/officeDocument/2006/relationships/fontTable" Target="fontTable.xml"/><Relationship Id="rId57" Type="http://schemas.microsoft.com/office/2006/relationships/keyMapCustomizations" Target="customizations.xml"/><Relationship Id="rId56" Type="http://schemas.openxmlformats.org/officeDocument/2006/relationships/customXml" Target="../customXml/item2.xml"/><Relationship Id="rId55" Type="http://schemas.openxmlformats.org/officeDocument/2006/relationships/customXml" Target="../customXml/item1.xml"/><Relationship Id="rId54" Type="http://schemas.openxmlformats.org/officeDocument/2006/relationships/numbering" Target="numbering.xml"/><Relationship Id="rId53" Type="http://schemas.openxmlformats.org/officeDocument/2006/relationships/image" Target="media/image39.jpeg"/><Relationship Id="rId52" Type="http://schemas.openxmlformats.org/officeDocument/2006/relationships/image" Target="media/image38.jpeg"/><Relationship Id="rId51" Type="http://schemas.openxmlformats.org/officeDocument/2006/relationships/image" Target="media/image37.jpeg"/><Relationship Id="rId50" Type="http://schemas.openxmlformats.org/officeDocument/2006/relationships/image" Target="media/image36.jpeg"/><Relationship Id="rId5" Type="http://schemas.openxmlformats.org/officeDocument/2006/relationships/header" Target="header1.xml"/><Relationship Id="rId49" Type="http://schemas.openxmlformats.org/officeDocument/2006/relationships/image" Target="media/image35.jpeg"/><Relationship Id="rId48" Type="http://schemas.openxmlformats.org/officeDocument/2006/relationships/image" Target="media/image34.jpeg"/><Relationship Id="rId47" Type="http://schemas.openxmlformats.org/officeDocument/2006/relationships/image" Target="media/image33.emf"/><Relationship Id="rId46" Type="http://schemas.openxmlformats.org/officeDocument/2006/relationships/oleObject" Target="embeddings/oleObject7.bin"/><Relationship Id="rId45" Type="http://schemas.openxmlformats.org/officeDocument/2006/relationships/image" Target="media/image32.emf"/><Relationship Id="rId44" Type="http://schemas.openxmlformats.org/officeDocument/2006/relationships/oleObject" Target="embeddings/oleObject6.bin"/><Relationship Id="rId43" Type="http://schemas.openxmlformats.org/officeDocument/2006/relationships/image" Target="media/image31.emf"/><Relationship Id="rId42" Type="http://schemas.openxmlformats.org/officeDocument/2006/relationships/oleObject" Target="embeddings/oleObject5.bin"/><Relationship Id="rId41" Type="http://schemas.openxmlformats.org/officeDocument/2006/relationships/image" Target="media/image30.emf"/><Relationship Id="rId40" Type="http://schemas.openxmlformats.org/officeDocument/2006/relationships/oleObject" Target="embeddings/oleObject4.bin"/><Relationship Id="rId4" Type="http://schemas.openxmlformats.org/officeDocument/2006/relationships/endnotes" Target="endnotes.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jpeg"/><Relationship Id="rId35" Type="http://schemas.openxmlformats.org/officeDocument/2006/relationships/image" Target="media/image25.emf"/><Relationship Id="rId34" Type="http://schemas.openxmlformats.org/officeDocument/2006/relationships/oleObject" Target="embeddings/oleObject3.bin"/><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emf"/><Relationship Id="rId14" Type="http://schemas.openxmlformats.org/officeDocument/2006/relationships/oleObject" Target="embeddings/oleObject2.bin"/><Relationship Id="rId13" Type="http://schemas.openxmlformats.org/officeDocument/2006/relationships/image" Target="media/image5.emf"/><Relationship Id="rId12" Type="http://schemas.openxmlformats.org/officeDocument/2006/relationships/oleObject" Target="embeddings/oleObject1.bin"/><Relationship Id="rId11" Type="http://schemas.openxmlformats.org/officeDocument/2006/relationships/image" Target="media/image4.GIF"/><Relationship Id="rId10" Type="http://schemas.openxmlformats.org/officeDocument/2006/relationships/image" Target="media/image3.jpeg"/><Relationship Id="rId1" Type="http://schemas.openxmlformats.org/officeDocument/2006/relationships/styles" Target="styles.xml"/></Relationships>
</file>

<file path=word\customizations.xml><?xml version="1.0" encoding="utf-8"?>
<wne:tcg xmlns:r="http://schemas.openxmlformats.org/officeDocument/2006/relationships" xmlns:wne="http://schemas.microsoft.com/office/word/2006/wordml">
  <wne:keymaps>
    <wne:keymap wne:kcmPrimary="0454">
      <wne:acd wne:acdName="acd0"/>
    </wne:keymap>
  </wne:keymaps>
  <wne:acds>
    <wne:acd wne:argValue="AQAAACIA" wne:acdName="acd0" wne:fciIndexBasedOn="0065"/>
  </wne:acds>
</wne:tcg>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95011">
      <w:pPr>
        <w:ind w:left="0" w:leftChars="0" w:firstLine="0" w:firstLineChars="0"/>
        <w:rPr>
          <w:color w:val="auto"/>
          <w:sz w:val="28"/>
          <w:szCs w:val="28"/>
          <w:highlight w:val="none"/>
        </w:rPr>
      </w:pPr>
      <w:r>
        <w:drawing>
          <wp:anchor distT="0" distB="0" distL="114300" distR="114300" simplePos="0" relativeHeight="251661312" behindDoc="0" locked="0" layoutInCell="1" allowOverlap="1">
            <wp:simplePos x="0" y="0"/>
            <wp:positionH relativeFrom="column">
              <wp:posOffset>-1118870</wp:posOffset>
            </wp:positionH>
            <wp:positionV relativeFrom="paragraph">
              <wp:posOffset>-911225</wp:posOffset>
            </wp:positionV>
            <wp:extent cx="7541895" cy="10610215"/>
            <wp:effectExtent l="0" t="0" r="1905" b="635"/>
            <wp:wrapNone/>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8"/>
                    <a:stretch>
                      <a:fillRect/>
                    </a:stretch>
                  </pic:blipFill>
                  <pic:spPr>
                    <a:xfrm>
                      <a:off x="0" y="0"/>
                      <a:ext cx="7541895" cy="10610215"/>
                    </a:xfrm>
                    <a:prstGeom prst="rect">
                      <a:avLst/>
                    </a:prstGeom>
                    <a:noFill/>
                    <a:ln>
                      <a:noFill/>
                    </a:ln>
                  </pic:spPr>
                </pic:pic>
              </a:graphicData>
            </a:graphic>
          </wp:anchor>
        </w:drawing>
      </w:r>
      <w:r>
        <w:rPr>
          <w:color w:val="auto"/>
          <w:sz w:val="28"/>
          <w:szCs w:val="28"/>
          <w:highlight w:val="none"/>
        </w:rPr>
        <w:drawing>
          <wp:anchor distT="0" distB="0" distL="114300" distR="114300" simplePos="0" relativeHeight="251659264" behindDoc="1" locked="0" layoutInCell="1" allowOverlap="1">
            <wp:simplePos x="0" y="0"/>
            <wp:positionH relativeFrom="margin">
              <wp:align>right</wp:align>
            </wp:positionH>
            <wp:positionV relativeFrom="paragraph">
              <wp:posOffset>19050</wp:posOffset>
            </wp:positionV>
            <wp:extent cx="606425" cy="606425"/>
            <wp:effectExtent l="0" t="0" r="3175"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06425" cy="606425"/>
                    </a:xfrm>
                    <a:prstGeom prst="rect">
                      <a:avLst/>
                    </a:prstGeom>
                    <a:noFill/>
                    <a:ln>
                      <a:noFill/>
                    </a:ln>
                  </pic:spPr>
                </pic:pic>
              </a:graphicData>
            </a:graphic>
          </wp:anchor>
        </w:drawing>
      </w:r>
      <w:r>
        <w:rPr>
          <w:rFonts w:hint="eastAsia"/>
          <w:color w:val="auto"/>
          <w:sz w:val="28"/>
          <w:szCs w:val="28"/>
          <w:highlight w:val="none"/>
        </w:rPr>
        <w:t>项目编号：HYP202605014</w:t>
      </w:r>
    </w:p>
    <w:p w14:paraId="63314DDA">
      <w:pPr>
        <w:pStyle w:val="3"/>
        <w:ind w:firstLine="0" w:firstLineChars="0"/>
        <w:rPr>
          <w:color w:val="auto"/>
          <w:highlight w:val="none"/>
        </w:rPr>
      </w:pPr>
    </w:p>
    <w:p w14:paraId="75848E71">
      <w:pPr>
        <w:pStyle w:val="3"/>
        <w:ind w:firstLine="0" w:firstLineChars="0"/>
        <w:rPr>
          <w:color w:val="auto"/>
          <w:highlight w:val="none"/>
        </w:rPr>
      </w:pPr>
    </w:p>
    <w:p w14:paraId="79598301">
      <w:pPr>
        <w:pStyle w:val="3"/>
        <w:ind w:firstLine="0" w:firstLineChars="0"/>
        <w:rPr>
          <w:color w:val="auto"/>
          <w:highlight w:val="none"/>
        </w:rPr>
      </w:pPr>
    </w:p>
    <w:p w14:paraId="7A03A43D">
      <w:pPr>
        <w:pStyle w:val="3"/>
        <w:ind w:firstLine="0" w:firstLineChars="0"/>
        <w:rPr>
          <w:color w:val="auto"/>
          <w:highlight w:val="none"/>
        </w:rPr>
      </w:pPr>
    </w:p>
    <w:p w14:paraId="78C0A122">
      <w:pPr>
        <w:pStyle w:val="3"/>
        <w:ind w:firstLine="0" w:firstLineChars="0"/>
        <w:rPr>
          <w:color w:val="auto"/>
          <w:highlight w:val="none"/>
        </w:rPr>
      </w:pPr>
    </w:p>
    <w:p w14:paraId="10F281A0">
      <w:pPr>
        <w:pStyle w:val="3"/>
        <w:ind w:firstLine="0" w:firstLineChars="0"/>
        <w:rPr>
          <w:color w:val="auto"/>
          <w:highlight w:val="none"/>
        </w:rPr>
      </w:pPr>
    </w:p>
    <w:p w14:paraId="42639CBC">
      <w:pPr>
        <w:pStyle w:val="3"/>
        <w:ind w:firstLine="0" w:firstLineChars="0"/>
        <w:rPr>
          <w:rFonts w:hint="eastAsia" w:eastAsia="宋体"/>
          <w:color w:val="auto"/>
          <w:highlight w:val="none"/>
          <w:lang w:eastAsia="zh-CN"/>
        </w:rPr>
      </w:pPr>
    </w:p>
    <w:p w14:paraId="0280A853">
      <w:pPr>
        <w:pStyle w:val="3"/>
        <w:ind w:firstLine="0" w:firstLineChars="0"/>
        <w:jc w:val="center"/>
        <w:rPr>
          <w:rFonts w:ascii="微软雅黑" w:hAnsi="微软雅黑" w:eastAsia="微软雅黑"/>
          <w:color w:val="auto"/>
          <w:sz w:val="72"/>
          <w:szCs w:val="72"/>
          <w:highlight w:val="none"/>
        </w:rPr>
      </w:pPr>
      <w:r>
        <w:rPr>
          <w:rFonts w:hint="eastAsia" w:ascii="微软雅黑" w:hAnsi="微软雅黑" w:eastAsia="微软雅黑"/>
          <w:color w:val="auto"/>
          <w:sz w:val="72"/>
          <w:szCs w:val="72"/>
          <w:highlight w:val="none"/>
        </w:rPr>
        <w:t>建设项目环境影响报告表</w:t>
      </w:r>
    </w:p>
    <w:p w14:paraId="1CC62B55">
      <w:pPr>
        <w:pStyle w:val="3"/>
        <w:ind w:firstLine="0" w:firstLineChars="0"/>
        <w:jc w:val="center"/>
        <w:rPr>
          <w:rFonts w:ascii="楷体" w:hAnsi="楷体" w:eastAsia="楷体"/>
          <w:color w:val="auto"/>
          <w:sz w:val="48"/>
          <w:szCs w:val="48"/>
          <w:highlight w:val="none"/>
        </w:rPr>
      </w:pPr>
      <w:r>
        <w:rPr>
          <w:rFonts w:hint="eastAsia" w:ascii="楷体" w:hAnsi="楷体" w:eastAsia="楷体"/>
          <w:color w:val="auto"/>
          <w:sz w:val="48"/>
          <w:szCs w:val="48"/>
          <w:highlight w:val="none"/>
        </w:rPr>
        <w:t>（生态影响类）</w:t>
      </w:r>
    </w:p>
    <w:p w14:paraId="797911AD">
      <w:pPr>
        <w:pStyle w:val="3"/>
        <w:ind w:firstLine="0" w:firstLineChars="0"/>
        <w:rPr>
          <w:color w:val="auto"/>
          <w:highlight w:val="none"/>
        </w:rPr>
      </w:pPr>
    </w:p>
    <w:p w14:paraId="34A81ABA">
      <w:pPr>
        <w:pStyle w:val="3"/>
        <w:ind w:firstLine="0" w:firstLineChars="0"/>
        <w:rPr>
          <w:color w:val="auto"/>
          <w:highlight w:val="none"/>
        </w:rPr>
      </w:pPr>
    </w:p>
    <w:p w14:paraId="3016153B">
      <w:pPr>
        <w:pStyle w:val="3"/>
        <w:ind w:firstLine="0" w:firstLineChars="0"/>
        <w:rPr>
          <w:color w:val="auto"/>
          <w:highlight w:val="none"/>
        </w:rPr>
      </w:pPr>
    </w:p>
    <w:p w14:paraId="5A395318">
      <w:pPr>
        <w:pStyle w:val="3"/>
        <w:ind w:firstLine="0" w:firstLineChars="0"/>
        <w:rPr>
          <w:rFonts w:hint="eastAsia" w:eastAsia="宋体"/>
          <w:color w:val="auto"/>
          <w:highlight w:val="none"/>
          <w:lang w:eastAsia="zh-CN"/>
        </w:rPr>
      </w:pPr>
    </w:p>
    <w:p w14:paraId="6435B7AD">
      <w:pPr>
        <w:pStyle w:val="3"/>
        <w:ind w:firstLine="0" w:firstLineChars="0"/>
        <w:rPr>
          <w:color w:val="auto"/>
          <w:highlight w:val="none"/>
        </w:rPr>
      </w:pPr>
    </w:p>
    <w:p w14:paraId="7BD460A1">
      <w:pPr>
        <w:pStyle w:val="3"/>
        <w:ind w:firstLine="0" w:firstLineChars="0"/>
        <w:rPr>
          <w:color w:val="auto"/>
          <w:highlight w:val="none"/>
        </w:rPr>
      </w:pPr>
    </w:p>
    <w:p w14:paraId="1D8BF933">
      <w:pPr>
        <w:pStyle w:val="3"/>
        <w:ind w:firstLine="0" w:firstLineChars="0"/>
        <w:rPr>
          <w:color w:val="auto"/>
          <w:highlight w:val="none"/>
        </w:rPr>
      </w:pPr>
    </w:p>
    <w:p w14:paraId="1DE3E4FC">
      <w:pPr>
        <w:pStyle w:val="3"/>
        <w:ind w:firstLine="0" w:firstLineChars="0"/>
        <w:rPr>
          <w:color w:val="auto"/>
          <w:highlight w:val="none"/>
        </w:rPr>
      </w:pPr>
    </w:p>
    <w:p w14:paraId="4AD447A7">
      <w:pPr>
        <w:pStyle w:val="3"/>
        <w:ind w:left="420" w:leftChars="200" w:firstLine="0" w:firstLineChars="0"/>
        <w:rPr>
          <w:rFonts w:ascii="仿宋" w:hAnsi="仿宋" w:eastAsia="仿宋"/>
          <w:color w:val="auto"/>
          <w:sz w:val="36"/>
          <w:szCs w:val="36"/>
          <w:highlight w:val="none"/>
          <w:u w:val="single"/>
        </w:rPr>
      </w:pPr>
      <w:r>
        <w:rPr>
          <w:rFonts w:hint="eastAsia" w:ascii="仿宋" w:hAnsi="仿宋" w:eastAsia="仿宋"/>
          <w:color w:val="auto"/>
          <w:sz w:val="36"/>
          <w:szCs w:val="36"/>
          <w:highlight w:val="none"/>
        </w:rPr>
        <w:t>项目名称：</w:t>
      </w:r>
      <w:r>
        <w:rPr>
          <w:rFonts w:hint="eastAsia" w:ascii="仿宋" w:hAnsi="仿宋" w:eastAsia="仿宋"/>
          <w:color w:val="auto"/>
          <w:sz w:val="36"/>
          <w:szCs w:val="36"/>
          <w:highlight w:val="none"/>
          <w:u w:val="single"/>
        </w:rPr>
        <w:t xml:space="preserve"> </w:t>
      </w:r>
      <w:r>
        <w:rPr>
          <w:rFonts w:ascii="仿宋" w:hAnsi="仿宋" w:eastAsia="仿宋"/>
          <w:color w:val="auto"/>
          <w:sz w:val="36"/>
          <w:szCs w:val="36"/>
          <w:highlight w:val="none"/>
          <w:u w:val="single"/>
        </w:rPr>
        <w:t xml:space="preserve">          </w:t>
      </w:r>
      <w:r>
        <w:rPr>
          <w:rFonts w:hint="eastAsia" w:ascii="仿宋" w:hAnsi="仿宋" w:eastAsia="仿宋"/>
          <w:color w:val="auto"/>
          <w:sz w:val="36"/>
          <w:szCs w:val="36"/>
          <w:highlight w:val="none"/>
          <w:u w:val="single"/>
        </w:rPr>
        <w:t>董深斜2井</w:t>
      </w:r>
      <w:r>
        <w:rPr>
          <w:rFonts w:ascii="仿宋" w:hAnsi="仿宋" w:eastAsia="仿宋"/>
          <w:color w:val="auto"/>
          <w:sz w:val="36"/>
          <w:szCs w:val="36"/>
          <w:highlight w:val="none"/>
          <w:u w:val="single"/>
        </w:rPr>
        <w:t xml:space="preserve">               </w:t>
      </w:r>
    </w:p>
    <w:p w14:paraId="4CCD9CAC">
      <w:pPr>
        <w:pStyle w:val="3"/>
        <w:ind w:left="420" w:leftChars="200" w:firstLine="0" w:firstLineChars="0"/>
        <w:rPr>
          <w:rFonts w:ascii="仿宋" w:hAnsi="仿宋" w:eastAsia="仿宋"/>
          <w:color w:val="auto"/>
          <w:sz w:val="36"/>
          <w:szCs w:val="36"/>
          <w:highlight w:val="none"/>
        </w:rPr>
      </w:pPr>
      <w:r>
        <w:rPr>
          <w:rFonts w:hint="eastAsia" w:ascii="仿宋" w:hAnsi="仿宋" w:eastAsia="仿宋"/>
          <w:color w:val="auto"/>
          <w:sz w:val="36"/>
          <w:szCs w:val="36"/>
          <w:highlight w:val="none"/>
        </w:rPr>
        <w:t>建设单位：</w:t>
      </w:r>
      <w:r>
        <w:rPr>
          <w:rFonts w:hint="eastAsia" w:ascii="仿宋" w:hAnsi="仿宋" w:eastAsia="仿宋"/>
          <w:color w:val="auto"/>
          <w:sz w:val="36"/>
          <w:szCs w:val="36"/>
          <w:highlight w:val="none"/>
          <w:u w:val="single"/>
        </w:rPr>
        <w:t>中石化新疆新春石油开发有限责任公司</w:t>
      </w:r>
    </w:p>
    <w:p w14:paraId="07004582">
      <w:pPr>
        <w:pStyle w:val="3"/>
        <w:ind w:left="420" w:leftChars="200" w:firstLine="0" w:firstLineChars="0"/>
        <w:rPr>
          <w:rFonts w:ascii="仿宋" w:hAnsi="仿宋" w:eastAsia="仿宋"/>
          <w:color w:val="auto"/>
          <w:sz w:val="36"/>
          <w:szCs w:val="36"/>
          <w:highlight w:val="none"/>
          <w:u w:val="single"/>
        </w:rPr>
      </w:pPr>
      <w:r>
        <w:rPr>
          <w:rFonts w:hint="eastAsia" w:ascii="仿宋" w:hAnsi="仿宋" w:eastAsia="仿宋"/>
          <w:color w:val="auto"/>
          <w:sz w:val="36"/>
          <w:szCs w:val="36"/>
          <w:highlight w:val="none"/>
        </w:rPr>
        <w:t>编制日期：</w:t>
      </w:r>
      <w:r>
        <w:rPr>
          <w:rFonts w:hint="eastAsia" w:ascii="仿宋" w:hAnsi="仿宋" w:eastAsia="仿宋"/>
          <w:color w:val="auto"/>
          <w:sz w:val="36"/>
          <w:szCs w:val="36"/>
          <w:highlight w:val="none"/>
          <w:u w:val="single"/>
        </w:rPr>
        <w:t xml:space="preserve"> </w:t>
      </w:r>
      <w:r>
        <w:rPr>
          <w:rFonts w:ascii="仿宋" w:hAnsi="仿宋" w:eastAsia="仿宋"/>
          <w:color w:val="auto"/>
          <w:sz w:val="36"/>
          <w:szCs w:val="36"/>
          <w:highlight w:val="none"/>
          <w:u w:val="single"/>
        </w:rPr>
        <w:t xml:space="preserve">         </w:t>
      </w:r>
      <w:r>
        <w:rPr>
          <w:rFonts w:hint="eastAsia" w:ascii="仿宋" w:hAnsi="仿宋" w:eastAsia="仿宋"/>
          <w:color w:val="auto"/>
          <w:sz w:val="36"/>
          <w:szCs w:val="36"/>
          <w:highlight w:val="none"/>
          <w:u w:val="single"/>
        </w:rPr>
        <w:t>2</w:t>
      </w:r>
      <w:r>
        <w:rPr>
          <w:rFonts w:ascii="仿宋" w:hAnsi="仿宋" w:eastAsia="仿宋"/>
          <w:color w:val="auto"/>
          <w:sz w:val="36"/>
          <w:szCs w:val="36"/>
          <w:highlight w:val="none"/>
          <w:u w:val="single"/>
        </w:rPr>
        <w:t>02</w:t>
      </w:r>
      <w:r>
        <w:rPr>
          <w:rFonts w:hint="eastAsia" w:ascii="仿宋" w:hAnsi="仿宋" w:eastAsia="仿宋"/>
          <w:color w:val="auto"/>
          <w:sz w:val="36"/>
          <w:szCs w:val="36"/>
          <w:highlight w:val="none"/>
          <w:u w:val="single"/>
        </w:rPr>
        <w:t>6年</w:t>
      </w:r>
      <w:r>
        <w:rPr>
          <w:rFonts w:hint="eastAsia" w:ascii="仿宋" w:hAnsi="仿宋" w:eastAsia="仿宋"/>
          <w:color w:val="auto"/>
          <w:sz w:val="36"/>
          <w:szCs w:val="36"/>
          <w:highlight w:val="none"/>
          <w:u w:val="single"/>
          <w:lang w:val="en-US" w:eastAsia="zh-CN"/>
        </w:rPr>
        <w:t>7</w:t>
      </w:r>
      <w:r>
        <w:rPr>
          <w:rFonts w:hint="eastAsia" w:ascii="仿宋" w:hAnsi="仿宋" w:eastAsia="仿宋"/>
          <w:color w:val="auto"/>
          <w:sz w:val="36"/>
          <w:szCs w:val="36"/>
          <w:highlight w:val="none"/>
          <w:u w:val="single"/>
        </w:rPr>
        <w:t>月</w:t>
      </w:r>
      <w:r>
        <w:rPr>
          <w:rFonts w:ascii="仿宋" w:hAnsi="仿宋" w:eastAsia="仿宋"/>
          <w:color w:val="auto"/>
          <w:sz w:val="36"/>
          <w:szCs w:val="36"/>
          <w:highlight w:val="none"/>
          <w:u w:val="single"/>
        </w:rPr>
        <w:t xml:space="preserve">             </w:t>
      </w:r>
    </w:p>
    <w:p w14:paraId="30774998">
      <w:pPr>
        <w:pStyle w:val="3"/>
        <w:ind w:firstLine="0" w:firstLineChars="0"/>
        <w:rPr>
          <w:color w:val="auto"/>
          <w:highlight w:val="none"/>
        </w:rPr>
      </w:pPr>
    </w:p>
    <w:p w14:paraId="6B4F1CFD">
      <w:pPr>
        <w:pStyle w:val="3"/>
        <w:ind w:firstLine="0" w:firstLineChars="0"/>
        <w:rPr>
          <w:color w:val="auto"/>
          <w:highlight w:val="none"/>
        </w:rPr>
      </w:pPr>
    </w:p>
    <w:p w14:paraId="55180EC5">
      <w:pPr>
        <w:pStyle w:val="3"/>
        <w:ind w:firstLine="0" w:firstLineChars="0"/>
        <w:jc w:val="center"/>
        <w:rPr>
          <w:rFonts w:hint="eastAsia" w:ascii="楷体" w:hAnsi="楷体" w:eastAsia="楷体"/>
          <w:color w:val="auto"/>
          <w:sz w:val="36"/>
          <w:szCs w:val="36"/>
          <w:highlight w:val="none"/>
        </w:rPr>
      </w:pPr>
      <w:r>
        <w:rPr>
          <w:rFonts w:hint="eastAsia" w:ascii="楷体" w:hAnsi="楷体" w:eastAsia="楷体"/>
          <w:color w:val="auto"/>
          <w:sz w:val="36"/>
          <w:szCs w:val="36"/>
          <w:highlight w:val="none"/>
        </w:rPr>
        <w:t>中华人民共和国生态环境部制</w:t>
      </w:r>
    </w:p>
    <w:p w14:paraId="6E7C5F91">
      <w:pPr>
        <w:rPr>
          <w:rFonts w:hint="eastAsia" w:ascii="楷体" w:hAnsi="楷体" w:eastAsia="楷体"/>
          <w:color w:val="auto"/>
          <w:sz w:val="36"/>
          <w:szCs w:val="36"/>
          <w:highlight w:val="none"/>
        </w:rPr>
      </w:pPr>
      <w:r>
        <w:rPr>
          <w:rFonts w:hint="eastAsia" w:ascii="楷体" w:hAnsi="楷体" w:eastAsia="楷体"/>
          <w:color w:val="auto"/>
          <w:sz w:val="36"/>
          <w:szCs w:val="36"/>
          <w:highlight w:val="none"/>
        </w:rPr>
        <w:br w:type="page"/>
      </w:r>
    </w:p>
    <w:p w14:paraId="18787F51">
      <w:pPr>
        <w:pStyle w:val="3"/>
        <w:ind w:firstLine="0" w:firstLineChars="0"/>
        <w:jc w:val="center"/>
        <w:rPr>
          <w:rFonts w:hint="eastAsia" w:ascii="楷体" w:hAnsi="楷体" w:eastAsia="楷体"/>
          <w:color w:val="auto"/>
          <w:sz w:val="36"/>
          <w:szCs w:val="36"/>
          <w:highlight w:val="none"/>
          <w:lang w:eastAsia="zh-CN"/>
        </w:rPr>
      </w:pPr>
      <w:r>
        <w:rPr>
          <w:rFonts w:hint="eastAsia" w:ascii="楷体" w:hAnsi="楷体" w:eastAsia="楷体"/>
          <w:color w:val="auto"/>
          <w:sz w:val="36"/>
          <w:szCs w:val="36"/>
          <w:highlight w:val="none"/>
          <w:lang w:eastAsia="zh-CN"/>
        </w:rPr>
        <w:drawing>
          <wp:anchor distT="0" distB="0" distL="114300" distR="114300" simplePos="0" relativeHeight="251662336" behindDoc="0" locked="0" layoutInCell="1" allowOverlap="1">
            <wp:simplePos x="0" y="0"/>
            <wp:positionH relativeFrom="column">
              <wp:posOffset>-963930</wp:posOffset>
            </wp:positionH>
            <wp:positionV relativeFrom="paragraph">
              <wp:posOffset>-904875</wp:posOffset>
            </wp:positionV>
            <wp:extent cx="7258685" cy="10582275"/>
            <wp:effectExtent l="0" t="0" r="18415" b="9525"/>
            <wp:wrapNone/>
            <wp:docPr id="12" name="图片 12" descr="扫描全能王 2026-07-15 10.4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扫描全能王 2026-07-15 10.44_1"/>
                    <pic:cNvPicPr>
                      <a:picLocks noChangeAspect="1"/>
                    </pic:cNvPicPr>
                  </pic:nvPicPr>
                  <pic:blipFill>
                    <a:blip r:embed="rId10"/>
                    <a:stretch>
                      <a:fillRect/>
                    </a:stretch>
                  </pic:blipFill>
                  <pic:spPr>
                    <a:xfrm>
                      <a:off x="0" y="0"/>
                      <a:ext cx="7258685" cy="10582275"/>
                    </a:xfrm>
                    <a:prstGeom prst="rect">
                      <a:avLst/>
                    </a:prstGeom>
                  </pic:spPr>
                </pic:pic>
              </a:graphicData>
            </a:graphic>
          </wp:anchor>
        </w:drawing>
      </w:r>
    </w:p>
    <w:p w14:paraId="16FB74F5">
      <w:pPr>
        <w:pStyle w:val="3"/>
        <w:ind w:firstLine="0" w:firstLineChars="0"/>
        <w:jc w:val="center"/>
        <w:rPr>
          <w:rFonts w:ascii="楷体" w:hAnsi="楷体" w:eastAsia="楷体"/>
          <w:color w:val="auto"/>
          <w:sz w:val="36"/>
          <w:szCs w:val="36"/>
          <w:highlight w:val="none"/>
        </w:rPr>
        <w:sectPr>
          <w:headerReference r:id="rId5" w:type="even"/>
          <w:pgSz w:w="11906" w:h="16838"/>
          <w:pgMar w:top="1440" w:right="1797" w:bottom="1304" w:left="1797" w:header="1021" w:footer="851" w:gutter="0"/>
          <w:cols w:space="425" w:num="1"/>
          <w:docGrid w:type="lines" w:linePitch="312" w:charSpace="0"/>
        </w:sectPr>
      </w:pPr>
    </w:p>
    <w:sdt>
      <w:sdtPr>
        <w:rPr>
          <w:rFonts w:cstheme="minorBidi"/>
          <w:color w:val="auto"/>
          <w:sz w:val="30"/>
          <w:szCs w:val="30"/>
          <w:highlight w:val="none"/>
        </w:rPr>
        <w:id w:val="29050494"/>
        <w15:color w:val="DBDBDB"/>
        <w:docPartObj>
          <w:docPartGallery w:val="Table of Contents"/>
          <w:docPartUnique/>
        </w:docPartObj>
      </w:sdtPr>
      <w:sdtEndPr>
        <w:rPr>
          <w:rFonts w:cstheme="minorBidi"/>
          <w:color w:val="auto"/>
          <w:sz w:val="24"/>
          <w:szCs w:val="24"/>
          <w:highlight w:val="none"/>
        </w:rPr>
      </w:sdtEndPr>
      <w:sdtContent>
        <w:p w14:paraId="47C2A93B">
          <w:pPr>
            <w:adjustRightInd w:val="0"/>
            <w:snapToGrid w:val="0"/>
            <w:spacing w:line="360" w:lineRule="auto"/>
            <w:ind w:firstLine="0" w:firstLineChars="0"/>
            <w:jc w:val="center"/>
            <w:rPr>
              <w:color w:val="auto"/>
              <w:sz w:val="30"/>
              <w:szCs w:val="30"/>
              <w:highlight w:val="none"/>
            </w:rPr>
          </w:pPr>
          <w:r>
            <w:rPr>
              <w:rFonts w:hint="eastAsia"/>
              <w:color w:val="auto"/>
              <w:sz w:val="30"/>
              <w:szCs w:val="30"/>
              <w:highlight w:val="none"/>
            </w:rPr>
            <w:t>目  录</w:t>
          </w:r>
        </w:p>
        <w:p w14:paraId="048A814E">
          <w:pPr>
            <w:pStyle w:val="21"/>
            <w:tabs>
              <w:tab w:val="right" w:leader="dot" w:pos="8312"/>
            </w:tabs>
            <w:rPr>
              <w:color w:val="auto"/>
              <w:highlight w:val="none"/>
            </w:rPr>
          </w:pPr>
          <w:r>
            <w:rPr>
              <w:rFonts w:hint="eastAsia" w:ascii="宋体" w:hAnsi="宋体" w:cs="宋体"/>
              <w:b w:val="0"/>
              <w:bCs w:val="0"/>
              <w:color w:val="auto"/>
              <w:sz w:val="24"/>
              <w:szCs w:val="24"/>
              <w:highlight w:val="none"/>
            </w:rPr>
            <w:fldChar w:fldCharType="begin"/>
          </w:r>
          <w:r>
            <w:rPr>
              <w:rFonts w:hint="eastAsia" w:ascii="宋体" w:hAnsi="宋体" w:cs="宋体"/>
              <w:b w:val="0"/>
              <w:bCs w:val="0"/>
              <w:color w:val="auto"/>
              <w:sz w:val="24"/>
              <w:szCs w:val="24"/>
              <w:highlight w:val="none"/>
            </w:rPr>
            <w:instrText xml:space="preserve">TOC \o "1-2" \h \u </w:instrText>
          </w:r>
          <w:r>
            <w:rPr>
              <w:rFonts w:hint="eastAsia" w:ascii="宋体" w:hAnsi="宋体" w:cs="宋体"/>
              <w:b w:val="0"/>
              <w:bCs w:val="0"/>
              <w:color w:val="auto"/>
              <w:sz w:val="24"/>
              <w:szCs w:val="24"/>
              <w:highlight w:val="none"/>
            </w:rPr>
            <w:fldChar w:fldCharType="separate"/>
          </w:r>
          <w:r>
            <w:rPr>
              <w:rFonts w:hint="eastAsia" w:ascii="宋体" w:hAnsi="宋体" w:cs="宋体"/>
              <w:bCs w:val="0"/>
              <w:color w:val="auto"/>
              <w:szCs w:val="24"/>
              <w:highlight w:val="none"/>
            </w:rPr>
            <w:fldChar w:fldCharType="begin"/>
          </w:r>
          <w:r>
            <w:rPr>
              <w:rFonts w:hint="eastAsia" w:ascii="宋体" w:hAnsi="宋体" w:cs="宋体"/>
              <w:bCs w:val="0"/>
              <w:color w:val="auto"/>
              <w:szCs w:val="24"/>
              <w:highlight w:val="none"/>
            </w:rPr>
            <w:instrText xml:space="preserve"> HYPERLINK \l _Toc20037 </w:instrText>
          </w:r>
          <w:r>
            <w:rPr>
              <w:rFonts w:hint="eastAsia" w:ascii="宋体" w:hAnsi="宋体" w:cs="宋体"/>
              <w:bCs w:val="0"/>
              <w:color w:val="auto"/>
              <w:szCs w:val="24"/>
              <w:highlight w:val="none"/>
            </w:rPr>
            <w:fldChar w:fldCharType="separate"/>
          </w:r>
          <w:r>
            <w:rPr>
              <w:rFonts w:hint="eastAsia" w:ascii="黑体" w:hAnsi="黑体" w:eastAsia="黑体"/>
              <w:color w:val="auto"/>
              <w:szCs w:val="30"/>
              <w:highlight w:val="none"/>
            </w:rPr>
            <w:t>一、建设项目基本情况</w:t>
          </w:r>
          <w:r>
            <w:rPr>
              <w:color w:val="auto"/>
              <w:highlight w:val="none"/>
            </w:rPr>
            <w:tab/>
          </w:r>
          <w:r>
            <w:rPr>
              <w:color w:val="auto"/>
              <w:highlight w:val="none"/>
            </w:rPr>
            <w:fldChar w:fldCharType="begin"/>
          </w:r>
          <w:r>
            <w:rPr>
              <w:color w:val="auto"/>
              <w:highlight w:val="none"/>
            </w:rPr>
            <w:instrText xml:space="preserve"> PAGEREF _Toc20037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bCs w:val="0"/>
              <w:color w:val="auto"/>
              <w:szCs w:val="24"/>
              <w:highlight w:val="none"/>
            </w:rPr>
            <w:fldChar w:fldCharType="end"/>
          </w:r>
        </w:p>
        <w:p w14:paraId="37E9FF97">
          <w:pPr>
            <w:pStyle w:val="21"/>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_Toc1011 </w:instrText>
          </w:r>
          <w:r>
            <w:rPr>
              <w:rFonts w:hint="eastAsia" w:cs="宋体"/>
              <w:color w:val="auto"/>
              <w:highlight w:val="none"/>
            </w:rPr>
            <w:fldChar w:fldCharType="separate"/>
          </w:r>
          <w:r>
            <w:rPr>
              <w:rFonts w:hint="eastAsia" w:ascii="黑体" w:hAnsi="黑体" w:eastAsia="黑体"/>
              <w:color w:val="auto"/>
              <w:szCs w:val="30"/>
              <w:highlight w:val="none"/>
            </w:rPr>
            <w:t>二、建设内容</w:t>
          </w:r>
          <w:r>
            <w:rPr>
              <w:color w:val="auto"/>
              <w:highlight w:val="none"/>
            </w:rPr>
            <w:tab/>
          </w:r>
          <w:r>
            <w:rPr>
              <w:color w:val="auto"/>
              <w:highlight w:val="none"/>
            </w:rPr>
            <w:fldChar w:fldCharType="begin"/>
          </w:r>
          <w:r>
            <w:rPr>
              <w:color w:val="auto"/>
              <w:highlight w:val="none"/>
            </w:rPr>
            <w:instrText xml:space="preserve"> PAGEREF _Toc1011 \h </w:instrText>
          </w:r>
          <w:r>
            <w:rPr>
              <w:color w:val="auto"/>
              <w:highlight w:val="none"/>
            </w:rPr>
            <w:fldChar w:fldCharType="separate"/>
          </w:r>
          <w:r>
            <w:rPr>
              <w:color w:val="auto"/>
              <w:highlight w:val="none"/>
            </w:rPr>
            <w:t>24</w:t>
          </w:r>
          <w:r>
            <w:rPr>
              <w:color w:val="auto"/>
              <w:highlight w:val="none"/>
            </w:rPr>
            <w:fldChar w:fldCharType="end"/>
          </w:r>
          <w:r>
            <w:rPr>
              <w:rFonts w:hint="eastAsia" w:cs="宋体"/>
              <w:color w:val="auto"/>
              <w:highlight w:val="none"/>
            </w:rPr>
            <w:fldChar w:fldCharType="end"/>
          </w:r>
        </w:p>
        <w:p w14:paraId="7C303D33">
          <w:pPr>
            <w:pStyle w:val="21"/>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_Toc17447 </w:instrText>
          </w:r>
          <w:r>
            <w:rPr>
              <w:rFonts w:hint="eastAsia" w:cs="宋体"/>
              <w:color w:val="auto"/>
              <w:highlight w:val="none"/>
            </w:rPr>
            <w:fldChar w:fldCharType="separate"/>
          </w:r>
          <w:r>
            <w:rPr>
              <w:rFonts w:hint="eastAsia" w:ascii="黑体" w:hAnsi="黑体" w:eastAsia="黑体"/>
              <w:color w:val="auto"/>
              <w:szCs w:val="30"/>
              <w:highlight w:val="none"/>
            </w:rPr>
            <w:t>三、生态环境现状、保护目标及评价标准</w:t>
          </w:r>
          <w:r>
            <w:rPr>
              <w:color w:val="auto"/>
              <w:highlight w:val="none"/>
            </w:rPr>
            <w:tab/>
          </w:r>
          <w:r>
            <w:rPr>
              <w:color w:val="auto"/>
              <w:highlight w:val="none"/>
            </w:rPr>
            <w:fldChar w:fldCharType="begin"/>
          </w:r>
          <w:r>
            <w:rPr>
              <w:color w:val="auto"/>
              <w:highlight w:val="none"/>
            </w:rPr>
            <w:instrText xml:space="preserve"> PAGEREF _Toc17447 \h </w:instrText>
          </w:r>
          <w:r>
            <w:rPr>
              <w:color w:val="auto"/>
              <w:highlight w:val="none"/>
            </w:rPr>
            <w:fldChar w:fldCharType="separate"/>
          </w:r>
          <w:r>
            <w:rPr>
              <w:color w:val="auto"/>
              <w:highlight w:val="none"/>
            </w:rPr>
            <w:t>41</w:t>
          </w:r>
          <w:r>
            <w:rPr>
              <w:color w:val="auto"/>
              <w:highlight w:val="none"/>
            </w:rPr>
            <w:fldChar w:fldCharType="end"/>
          </w:r>
          <w:r>
            <w:rPr>
              <w:rFonts w:hint="eastAsia" w:cs="宋体"/>
              <w:color w:val="auto"/>
              <w:highlight w:val="none"/>
            </w:rPr>
            <w:fldChar w:fldCharType="end"/>
          </w:r>
        </w:p>
        <w:p w14:paraId="46A4376C">
          <w:pPr>
            <w:pStyle w:val="21"/>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_Toc21768 </w:instrText>
          </w:r>
          <w:r>
            <w:rPr>
              <w:rFonts w:hint="eastAsia" w:cs="宋体"/>
              <w:color w:val="auto"/>
              <w:highlight w:val="none"/>
            </w:rPr>
            <w:fldChar w:fldCharType="separate"/>
          </w:r>
          <w:r>
            <w:rPr>
              <w:rFonts w:hint="eastAsia" w:ascii="黑体" w:hAnsi="黑体" w:eastAsia="黑体"/>
              <w:color w:val="auto"/>
              <w:szCs w:val="30"/>
              <w:highlight w:val="none"/>
            </w:rPr>
            <w:t>四、生态环境影响分析</w:t>
          </w:r>
          <w:r>
            <w:rPr>
              <w:color w:val="auto"/>
              <w:highlight w:val="none"/>
            </w:rPr>
            <w:tab/>
          </w:r>
          <w:r>
            <w:rPr>
              <w:color w:val="auto"/>
              <w:highlight w:val="none"/>
            </w:rPr>
            <w:fldChar w:fldCharType="begin"/>
          </w:r>
          <w:r>
            <w:rPr>
              <w:color w:val="auto"/>
              <w:highlight w:val="none"/>
            </w:rPr>
            <w:instrText xml:space="preserve"> PAGEREF _Toc21768 \h </w:instrText>
          </w:r>
          <w:r>
            <w:rPr>
              <w:color w:val="auto"/>
              <w:highlight w:val="none"/>
            </w:rPr>
            <w:fldChar w:fldCharType="separate"/>
          </w:r>
          <w:r>
            <w:rPr>
              <w:color w:val="auto"/>
              <w:highlight w:val="none"/>
            </w:rPr>
            <w:t>48</w:t>
          </w:r>
          <w:r>
            <w:rPr>
              <w:color w:val="auto"/>
              <w:highlight w:val="none"/>
            </w:rPr>
            <w:fldChar w:fldCharType="end"/>
          </w:r>
          <w:r>
            <w:rPr>
              <w:rFonts w:hint="eastAsia" w:cs="宋体"/>
              <w:color w:val="auto"/>
              <w:highlight w:val="none"/>
            </w:rPr>
            <w:fldChar w:fldCharType="end"/>
          </w:r>
        </w:p>
        <w:p w14:paraId="1D702DD6">
          <w:pPr>
            <w:pStyle w:val="21"/>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_Toc3677 </w:instrText>
          </w:r>
          <w:r>
            <w:rPr>
              <w:rFonts w:hint="eastAsia" w:cs="宋体"/>
              <w:color w:val="auto"/>
              <w:highlight w:val="none"/>
            </w:rPr>
            <w:fldChar w:fldCharType="separate"/>
          </w:r>
          <w:r>
            <w:rPr>
              <w:rFonts w:hint="eastAsia" w:ascii="黑体" w:hAnsi="黑体" w:eastAsia="黑体"/>
              <w:color w:val="auto"/>
              <w:szCs w:val="30"/>
              <w:highlight w:val="none"/>
            </w:rPr>
            <w:t>五、主要生态环境保护措施</w:t>
          </w:r>
          <w:r>
            <w:rPr>
              <w:color w:val="auto"/>
              <w:highlight w:val="none"/>
            </w:rPr>
            <w:tab/>
          </w:r>
          <w:r>
            <w:rPr>
              <w:color w:val="auto"/>
              <w:highlight w:val="none"/>
            </w:rPr>
            <w:fldChar w:fldCharType="begin"/>
          </w:r>
          <w:r>
            <w:rPr>
              <w:color w:val="auto"/>
              <w:highlight w:val="none"/>
            </w:rPr>
            <w:instrText xml:space="preserve"> PAGEREF _Toc3677 \h </w:instrText>
          </w:r>
          <w:r>
            <w:rPr>
              <w:color w:val="auto"/>
              <w:highlight w:val="none"/>
            </w:rPr>
            <w:fldChar w:fldCharType="separate"/>
          </w:r>
          <w:r>
            <w:rPr>
              <w:color w:val="auto"/>
              <w:highlight w:val="none"/>
            </w:rPr>
            <w:t>71</w:t>
          </w:r>
          <w:r>
            <w:rPr>
              <w:color w:val="auto"/>
              <w:highlight w:val="none"/>
            </w:rPr>
            <w:fldChar w:fldCharType="end"/>
          </w:r>
          <w:r>
            <w:rPr>
              <w:rFonts w:hint="eastAsia" w:cs="宋体"/>
              <w:color w:val="auto"/>
              <w:highlight w:val="none"/>
            </w:rPr>
            <w:fldChar w:fldCharType="end"/>
          </w:r>
        </w:p>
        <w:p w14:paraId="59667B5A">
          <w:pPr>
            <w:pStyle w:val="21"/>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_Toc15653 </w:instrText>
          </w:r>
          <w:r>
            <w:rPr>
              <w:rFonts w:hint="eastAsia" w:cs="宋体"/>
              <w:color w:val="auto"/>
              <w:highlight w:val="none"/>
            </w:rPr>
            <w:fldChar w:fldCharType="separate"/>
          </w:r>
          <w:r>
            <w:rPr>
              <w:rFonts w:hint="eastAsia" w:ascii="黑体" w:hAnsi="黑体" w:eastAsia="黑体"/>
              <w:color w:val="auto"/>
              <w:szCs w:val="30"/>
              <w:highlight w:val="none"/>
            </w:rPr>
            <w:t>六、生态环境保护措施监督检查清单</w:t>
          </w:r>
          <w:r>
            <w:rPr>
              <w:color w:val="auto"/>
              <w:highlight w:val="none"/>
            </w:rPr>
            <w:tab/>
          </w:r>
          <w:r>
            <w:rPr>
              <w:color w:val="auto"/>
              <w:highlight w:val="none"/>
            </w:rPr>
            <w:fldChar w:fldCharType="begin"/>
          </w:r>
          <w:r>
            <w:rPr>
              <w:color w:val="auto"/>
              <w:highlight w:val="none"/>
            </w:rPr>
            <w:instrText xml:space="preserve"> PAGEREF _Toc15653 \h </w:instrText>
          </w:r>
          <w:r>
            <w:rPr>
              <w:color w:val="auto"/>
              <w:highlight w:val="none"/>
            </w:rPr>
            <w:fldChar w:fldCharType="separate"/>
          </w:r>
          <w:r>
            <w:rPr>
              <w:color w:val="auto"/>
              <w:highlight w:val="none"/>
            </w:rPr>
            <w:t>83</w:t>
          </w:r>
          <w:r>
            <w:rPr>
              <w:color w:val="auto"/>
              <w:highlight w:val="none"/>
            </w:rPr>
            <w:fldChar w:fldCharType="end"/>
          </w:r>
          <w:r>
            <w:rPr>
              <w:rFonts w:hint="eastAsia" w:cs="宋体"/>
              <w:color w:val="auto"/>
              <w:highlight w:val="none"/>
            </w:rPr>
            <w:fldChar w:fldCharType="end"/>
          </w:r>
        </w:p>
        <w:p w14:paraId="1CC5E96A">
          <w:pPr>
            <w:pStyle w:val="21"/>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_Toc1123 </w:instrText>
          </w:r>
          <w:r>
            <w:rPr>
              <w:rFonts w:hint="eastAsia" w:cs="宋体"/>
              <w:color w:val="auto"/>
              <w:highlight w:val="none"/>
            </w:rPr>
            <w:fldChar w:fldCharType="separate"/>
          </w:r>
          <w:r>
            <w:rPr>
              <w:rFonts w:hint="eastAsia" w:ascii="黑体" w:hAnsi="黑体" w:eastAsia="黑体"/>
              <w:color w:val="auto"/>
              <w:szCs w:val="30"/>
              <w:highlight w:val="none"/>
            </w:rPr>
            <w:t>七、结论</w:t>
          </w:r>
          <w:r>
            <w:rPr>
              <w:color w:val="auto"/>
              <w:highlight w:val="none"/>
            </w:rPr>
            <w:tab/>
          </w:r>
          <w:r>
            <w:rPr>
              <w:color w:val="auto"/>
              <w:highlight w:val="none"/>
            </w:rPr>
            <w:fldChar w:fldCharType="begin"/>
          </w:r>
          <w:r>
            <w:rPr>
              <w:color w:val="auto"/>
              <w:highlight w:val="none"/>
            </w:rPr>
            <w:instrText xml:space="preserve"> PAGEREF _Toc1123 \h </w:instrText>
          </w:r>
          <w:r>
            <w:rPr>
              <w:color w:val="auto"/>
              <w:highlight w:val="none"/>
            </w:rPr>
            <w:fldChar w:fldCharType="separate"/>
          </w:r>
          <w:r>
            <w:rPr>
              <w:color w:val="auto"/>
              <w:highlight w:val="none"/>
            </w:rPr>
            <w:t>87</w:t>
          </w:r>
          <w:r>
            <w:rPr>
              <w:color w:val="auto"/>
              <w:highlight w:val="none"/>
            </w:rPr>
            <w:fldChar w:fldCharType="end"/>
          </w:r>
          <w:r>
            <w:rPr>
              <w:rFonts w:hint="eastAsia" w:cs="宋体"/>
              <w:color w:val="auto"/>
              <w:highlight w:val="none"/>
            </w:rPr>
            <w:fldChar w:fldCharType="end"/>
          </w:r>
        </w:p>
        <w:p w14:paraId="661B4D20">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_Toc18452 </w:instrText>
          </w:r>
          <w:r>
            <w:rPr>
              <w:rFonts w:hint="eastAsia" w:cs="宋体"/>
              <w:color w:val="auto"/>
              <w:highlight w:val="none"/>
            </w:rPr>
            <w:fldChar w:fldCharType="separate"/>
          </w:r>
          <w:r>
            <w:rPr>
              <w:rFonts w:hint="eastAsia"/>
              <w:color w:val="auto"/>
              <w:szCs w:val="24"/>
              <w:highlight w:val="none"/>
            </w:rPr>
            <w:t xml:space="preserve">附件1  </w:t>
          </w:r>
          <w:r>
            <w:rPr>
              <w:color w:val="auto"/>
              <w:szCs w:val="24"/>
              <w:highlight w:val="none"/>
            </w:rPr>
            <w:t xml:space="preserve"> </w:t>
          </w:r>
          <w:r>
            <w:rPr>
              <w:rFonts w:hint="eastAsia"/>
              <w:color w:val="auto"/>
              <w:szCs w:val="24"/>
              <w:highlight w:val="none"/>
            </w:rPr>
            <w:t>委托书</w:t>
          </w:r>
          <w:r>
            <w:rPr>
              <w:color w:val="auto"/>
              <w:highlight w:val="none"/>
            </w:rPr>
            <w:tab/>
          </w:r>
          <w:r>
            <w:rPr>
              <w:color w:val="auto"/>
              <w:highlight w:val="none"/>
            </w:rPr>
            <w:fldChar w:fldCharType="begin"/>
          </w:r>
          <w:r>
            <w:rPr>
              <w:color w:val="auto"/>
              <w:highlight w:val="none"/>
            </w:rPr>
            <w:instrText xml:space="preserve"> PAGEREF _Toc18452 \h </w:instrText>
          </w:r>
          <w:r>
            <w:rPr>
              <w:color w:val="auto"/>
              <w:highlight w:val="none"/>
            </w:rPr>
            <w:fldChar w:fldCharType="separate"/>
          </w:r>
          <w:r>
            <w:rPr>
              <w:color w:val="auto"/>
              <w:highlight w:val="none"/>
            </w:rPr>
            <w:t>88</w:t>
          </w:r>
          <w:r>
            <w:rPr>
              <w:color w:val="auto"/>
              <w:highlight w:val="none"/>
            </w:rPr>
            <w:fldChar w:fldCharType="end"/>
          </w:r>
          <w:r>
            <w:rPr>
              <w:rFonts w:hint="eastAsia" w:cs="宋体"/>
              <w:color w:val="auto"/>
              <w:highlight w:val="none"/>
            </w:rPr>
            <w:fldChar w:fldCharType="end"/>
          </w:r>
        </w:p>
        <w:p w14:paraId="47DF37B0">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_Toc13363 </w:instrText>
          </w:r>
          <w:r>
            <w:rPr>
              <w:rFonts w:hint="eastAsia" w:cs="宋体"/>
              <w:color w:val="auto"/>
              <w:highlight w:val="none"/>
            </w:rPr>
            <w:fldChar w:fldCharType="separate"/>
          </w:r>
          <w:r>
            <w:rPr>
              <w:rFonts w:hint="eastAsia"/>
              <w:color w:val="auto"/>
              <w:szCs w:val="24"/>
              <w:highlight w:val="none"/>
            </w:rPr>
            <w:t xml:space="preserve">附件2 </w:t>
          </w:r>
          <w:r>
            <w:rPr>
              <w:rFonts w:hint="eastAsia"/>
              <w:color w:val="auto"/>
              <w:szCs w:val="24"/>
              <w:highlight w:val="none"/>
              <w:lang w:eastAsia="zh-CN"/>
            </w:rPr>
            <w:t>春风联合站</w:t>
          </w:r>
          <w:r>
            <w:rPr>
              <w:rFonts w:hint="eastAsia"/>
              <w:color w:val="auto"/>
              <w:szCs w:val="24"/>
              <w:highlight w:val="none"/>
            </w:rPr>
            <w:t>环保手续</w:t>
          </w:r>
          <w:r>
            <w:rPr>
              <w:color w:val="auto"/>
              <w:highlight w:val="none"/>
            </w:rPr>
            <w:tab/>
          </w:r>
          <w:r>
            <w:rPr>
              <w:color w:val="auto"/>
              <w:highlight w:val="none"/>
            </w:rPr>
            <w:fldChar w:fldCharType="begin"/>
          </w:r>
          <w:r>
            <w:rPr>
              <w:color w:val="auto"/>
              <w:highlight w:val="none"/>
            </w:rPr>
            <w:instrText xml:space="preserve"> PAGEREF _Toc13363 \h </w:instrText>
          </w:r>
          <w:r>
            <w:rPr>
              <w:color w:val="auto"/>
              <w:highlight w:val="none"/>
            </w:rPr>
            <w:fldChar w:fldCharType="separate"/>
          </w:r>
          <w:r>
            <w:rPr>
              <w:color w:val="auto"/>
              <w:highlight w:val="none"/>
            </w:rPr>
            <w:t>89</w:t>
          </w:r>
          <w:r>
            <w:rPr>
              <w:color w:val="auto"/>
              <w:highlight w:val="none"/>
            </w:rPr>
            <w:fldChar w:fldCharType="end"/>
          </w:r>
          <w:r>
            <w:rPr>
              <w:rFonts w:hint="eastAsia" w:cs="宋体"/>
              <w:color w:val="auto"/>
              <w:highlight w:val="none"/>
            </w:rPr>
            <w:fldChar w:fldCharType="end"/>
          </w:r>
        </w:p>
        <w:p w14:paraId="0F2490DD">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_Toc32753 </w:instrText>
          </w:r>
          <w:r>
            <w:rPr>
              <w:rFonts w:hint="eastAsia" w:cs="宋体"/>
              <w:color w:val="auto"/>
              <w:highlight w:val="none"/>
            </w:rPr>
            <w:fldChar w:fldCharType="separate"/>
          </w:r>
          <w:r>
            <w:rPr>
              <w:rFonts w:hint="eastAsia"/>
              <w:color w:val="auto"/>
              <w:szCs w:val="24"/>
              <w:highlight w:val="none"/>
            </w:rPr>
            <w:t>附件3 钻井固废处置单位环保手续</w:t>
          </w:r>
          <w:r>
            <w:rPr>
              <w:rFonts w:hint="eastAsia"/>
              <w:color w:val="auto"/>
              <w:szCs w:val="24"/>
              <w:highlight w:val="none"/>
              <w:lang w:val="en-US" w:eastAsia="zh-CN"/>
            </w:rPr>
            <w:t>-</w:t>
          </w:r>
          <w:r>
            <w:rPr>
              <w:rFonts w:hint="eastAsia"/>
              <w:color w:val="auto"/>
              <w:szCs w:val="24"/>
              <w:highlight w:val="none"/>
              <w:lang w:eastAsia="zh-CN"/>
            </w:rPr>
            <w:t>山东奥友环保工程有限责任公司乌苏分公司</w:t>
          </w:r>
          <w:r>
            <w:rPr>
              <w:color w:val="auto"/>
              <w:highlight w:val="none"/>
            </w:rPr>
            <w:tab/>
          </w:r>
          <w:r>
            <w:rPr>
              <w:color w:val="auto"/>
              <w:highlight w:val="none"/>
            </w:rPr>
            <w:fldChar w:fldCharType="begin"/>
          </w:r>
          <w:r>
            <w:rPr>
              <w:color w:val="auto"/>
              <w:highlight w:val="none"/>
            </w:rPr>
            <w:instrText xml:space="preserve"> PAGEREF _Toc32753 \h </w:instrText>
          </w:r>
          <w:r>
            <w:rPr>
              <w:color w:val="auto"/>
              <w:highlight w:val="none"/>
            </w:rPr>
            <w:fldChar w:fldCharType="separate"/>
          </w:r>
          <w:r>
            <w:rPr>
              <w:color w:val="auto"/>
              <w:highlight w:val="none"/>
            </w:rPr>
            <w:t>96</w:t>
          </w:r>
          <w:r>
            <w:rPr>
              <w:color w:val="auto"/>
              <w:highlight w:val="none"/>
            </w:rPr>
            <w:fldChar w:fldCharType="end"/>
          </w:r>
          <w:r>
            <w:rPr>
              <w:rFonts w:hint="eastAsia" w:cs="宋体"/>
              <w:color w:val="auto"/>
              <w:highlight w:val="none"/>
            </w:rPr>
            <w:fldChar w:fldCharType="end"/>
          </w:r>
        </w:p>
        <w:p w14:paraId="4535D72F">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_Toc2902 </w:instrText>
          </w:r>
          <w:r>
            <w:rPr>
              <w:rFonts w:hint="eastAsia" w:cs="宋体"/>
              <w:color w:val="auto"/>
              <w:highlight w:val="none"/>
            </w:rPr>
            <w:fldChar w:fldCharType="separate"/>
          </w:r>
          <w:r>
            <w:rPr>
              <w:rFonts w:hint="eastAsia"/>
              <w:color w:val="auto"/>
              <w:szCs w:val="24"/>
              <w:highlight w:val="none"/>
            </w:rPr>
            <w:t>附件4 春风油田环境影响后评价报告书备案意见</w:t>
          </w:r>
          <w:r>
            <w:rPr>
              <w:color w:val="auto"/>
              <w:highlight w:val="none"/>
            </w:rPr>
            <w:tab/>
          </w:r>
          <w:r>
            <w:rPr>
              <w:color w:val="auto"/>
              <w:highlight w:val="none"/>
            </w:rPr>
            <w:fldChar w:fldCharType="begin"/>
          </w:r>
          <w:r>
            <w:rPr>
              <w:color w:val="auto"/>
              <w:highlight w:val="none"/>
            </w:rPr>
            <w:instrText xml:space="preserve"> PAGEREF _Toc2902 \h </w:instrText>
          </w:r>
          <w:r>
            <w:rPr>
              <w:color w:val="auto"/>
              <w:highlight w:val="none"/>
            </w:rPr>
            <w:fldChar w:fldCharType="separate"/>
          </w:r>
          <w:r>
            <w:rPr>
              <w:color w:val="auto"/>
              <w:highlight w:val="none"/>
            </w:rPr>
            <w:t>100</w:t>
          </w:r>
          <w:r>
            <w:rPr>
              <w:color w:val="auto"/>
              <w:highlight w:val="none"/>
            </w:rPr>
            <w:fldChar w:fldCharType="end"/>
          </w:r>
          <w:r>
            <w:rPr>
              <w:rFonts w:hint="eastAsia" w:cs="宋体"/>
              <w:color w:val="auto"/>
              <w:highlight w:val="none"/>
            </w:rPr>
            <w:fldChar w:fldCharType="end"/>
          </w:r>
        </w:p>
        <w:p w14:paraId="2B553B8A">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_Toc123 </w:instrText>
          </w:r>
          <w:r>
            <w:rPr>
              <w:rFonts w:hint="eastAsia" w:cs="宋体"/>
              <w:color w:val="auto"/>
              <w:highlight w:val="none"/>
            </w:rPr>
            <w:fldChar w:fldCharType="separate"/>
          </w:r>
          <w:r>
            <w:rPr>
              <w:rFonts w:hint="eastAsia"/>
              <w:color w:val="auto"/>
              <w:highlight w:val="none"/>
            </w:rPr>
            <w:t>附图1 地理位置图</w:t>
          </w:r>
          <w:r>
            <w:rPr>
              <w:color w:val="auto"/>
              <w:highlight w:val="none"/>
            </w:rPr>
            <w:tab/>
          </w:r>
          <w:r>
            <w:rPr>
              <w:color w:val="auto"/>
              <w:highlight w:val="none"/>
            </w:rPr>
            <w:fldChar w:fldCharType="begin"/>
          </w:r>
          <w:r>
            <w:rPr>
              <w:color w:val="auto"/>
              <w:highlight w:val="none"/>
            </w:rPr>
            <w:instrText xml:space="preserve"> PAGEREF _Toc123 \h </w:instrText>
          </w:r>
          <w:r>
            <w:rPr>
              <w:color w:val="auto"/>
              <w:highlight w:val="none"/>
            </w:rPr>
            <w:fldChar w:fldCharType="separate"/>
          </w:r>
          <w:r>
            <w:rPr>
              <w:color w:val="auto"/>
              <w:highlight w:val="none"/>
            </w:rPr>
            <w:t>102</w:t>
          </w:r>
          <w:r>
            <w:rPr>
              <w:color w:val="auto"/>
              <w:highlight w:val="none"/>
            </w:rPr>
            <w:fldChar w:fldCharType="end"/>
          </w:r>
          <w:r>
            <w:rPr>
              <w:rFonts w:hint="eastAsia" w:cs="宋体"/>
              <w:color w:val="auto"/>
              <w:highlight w:val="none"/>
            </w:rPr>
            <w:fldChar w:fldCharType="end"/>
          </w:r>
        </w:p>
        <w:p w14:paraId="7A3744D0">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_Toc10676 </w:instrText>
          </w:r>
          <w:r>
            <w:rPr>
              <w:rFonts w:hint="eastAsia" w:cs="宋体"/>
              <w:color w:val="auto"/>
              <w:highlight w:val="none"/>
            </w:rPr>
            <w:fldChar w:fldCharType="separate"/>
          </w:r>
          <w:r>
            <w:rPr>
              <w:rFonts w:hint="eastAsia"/>
              <w:color w:val="auto"/>
              <w:highlight w:val="none"/>
            </w:rPr>
            <w:t>附图2 项目场地总布置图</w:t>
          </w:r>
          <w:r>
            <w:rPr>
              <w:color w:val="auto"/>
              <w:highlight w:val="none"/>
            </w:rPr>
            <w:tab/>
          </w:r>
          <w:r>
            <w:rPr>
              <w:color w:val="auto"/>
              <w:highlight w:val="none"/>
            </w:rPr>
            <w:fldChar w:fldCharType="begin"/>
          </w:r>
          <w:r>
            <w:rPr>
              <w:color w:val="auto"/>
              <w:highlight w:val="none"/>
            </w:rPr>
            <w:instrText xml:space="preserve"> PAGEREF _Toc10676 \h </w:instrText>
          </w:r>
          <w:r>
            <w:rPr>
              <w:color w:val="auto"/>
              <w:highlight w:val="none"/>
            </w:rPr>
            <w:fldChar w:fldCharType="separate"/>
          </w:r>
          <w:r>
            <w:rPr>
              <w:color w:val="auto"/>
              <w:highlight w:val="none"/>
            </w:rPr>
            <w:t>103</w:t>
          </w:r>
          <w:r>
            <w:rPr>
              <w:color w:val="auto"/>
              <w:highlight w:val="none"/>
            </w:rPr>
            <w:fldChar w:fldCharType="end"/>
          </w:r>
          <w:r>
            <w:rPr>
              <w:rFonts w:hint="eastAsia" w:cs="宋体"/>
              <w:color w:val="auto"/>
              <w:highlight w:val="none"/>
            </w:rPr>
            <w:fldChar w:fldCharType="end"/>
          </w:r>
        </w:p>
        <w:p w14:paraId="51C0B28E">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_Toc10549 </w:instrText>
          </w:r>
          <w:r>
            <w:rPr>
              <w:rFonts w:hint="eastAsia" w:cs="宋体"/>
              <w:color w:val="auto"/>
              <w:highlight w:val="none"/>
            </w:rPr>
            <w:fldChar w:fldCharType="separate"/>
          </w:r>
          <w:r>
            <w:rPr>
              <w:rFonts w:hint="eastAsia"/>
              <w:color w:val="auto"/>
              <w:highlight w:val="none"/>
            </w:rPr>
            <w:t>附图3 施工总</w:t>
          </w:r>
          <w:r>
            <w:rPr>
              <w:rFonts w:hint="eastAsia" w:cs="黑体"/>
              <w:color w:val="auto"/>
              <w:szCs w:val="24"/>
              <w:highlight w:val="none"/>
            </w:rPr>
            <w:t>布置图（钻井期）</w:t>
          </w:r>
          <w:r>
            <w:rPr>
              <w:color w:val="auto"/>
              <w:highlight w:val="none"/>
            </w:rPr>
            <w:tab/>
          </w:r>
          <w:r>
            <w:rPr>
              <w:color w:val="auto"/>
              <w:highlight w:val="none"/>
            </w:rPr>
            <w:fldChar w:fldCharType="begin"/>
          </w:r>
          <w:r>
            <w:rPr>
              <w:color w:val="auto"/>
              <w:highlight w:val="none"/>
            </w:rPr>
            <w:instrText xml:space="preserve"> PAGEREF _Toc10549 \h </w:instrText>
          </w:r>
          <w:r>
            <w:rPr>
              <w:color w:val="auto"/>
              <w:highlight w:val="none"/>
            </w:rPr>
            <w:fldChar w:fldCharType="separate"/>
          </w:r>
          <w:r>
            <w:rPr>
              <w:color w:val="auto"/>
              <w:highlight w:val="none"/>
            </w:rPr>
            <w:t>104</w:t>
          </w:r>
          <w:r>
            <w:rPr>
              <w:color w:val="auto"/>
              <w:highlight w:val="none"/>
            </w:rPr>
            <w:fldChar w:fldCharType="end"/>
          </w:r>
          <w:r>
            <w:rPr>
              <w:rFonts w:hint="eastAsia" w:cs="宋体"/>
              <w:color w:val="auto"/>
              <w:highlight w:val="none"/>
            </w:rPr>
            <w:fldChar w:fldCharType="end"/>
          </w:r>
        </w:p>
        <w:p w14:paraId="4CB58C91">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_Toc5288 </w:instrText>
          </w:r>
          <w:r>
            <w:rPr>
              <w:rFonts w:hint="eastAsia" w:cs="宋体"/>
              <w:color w:val="auto"/>
              <w:highlight w:val="none"/>
            </w:rPr>
            <w:fldChar w:fldCharType="separate"/>
          </w:r>
          <w:r>
            <w:rPr>
              <w:rFonts w:hint="eastAsia"/>
              <w:color w:val="auto"/>
              <w:highlight w:val="none"/>
            </w:rPr>
            <w:t>附图4 施工总</w:t>
          </w:r>
          <w:r>
            <w:rPr>
              <w:rFonts w:hint="eastAsia" w:cs="黑体"/>
              <w:color w:val="auto"/>
              <w:szCs w:val="24"/>
              <w:highlight w:val="none"/>
            </w:rPr>
            <w:t>布置图（试油期）</w:t>
          </w:r>
          <w:r>
            <w:rPr>
              <w:color w:val="auto"/>
              <w:highlight w:val="none"/>
            </w:rPr>
            <w:tab/>
          </w:r>
          <w:r>
            <w:rPr>
              <w:color w:val="auto"/>
              <w:highlight w:val="none"/>
            </w:rPr>
            <w:fldChar w:fldCharType="begin"/>
          </w:r>
          <w:r>
            <w:rPr>
              <w:color w:val="auto"/>
              <w:highlight w:val="none"/>
            </w:rPr>
            <w:instrText xml:space="preserve"> PAGEREF _Toc5288 \h </w:instrText>
          </w:r>
          <w:r>
            <w:rPr>
              <w:color w:val="auto"/>
              <w:highlight w:val="none"/>
            </w:rPr>
            <w:fldChar w:fldCharType="separate"/>
          </w:r>
          <w:r>
            <w:rPr>
              <w:color w:val="auto"/>
              <w:highlight w:val="none"/>
            </w:rPr>
            <w:t>105</w:t>
          </w:r>
          <w:r>
            <w:rPr>
              <w:color w:val="auto"/>
              <w:highlight w:val="none"/>
            </w:rPr>
            <w:fldChar w:fldCharType="end"/>
          </w:r>
          <w:r>
            <w:rPr>
              <w:rFonts w:hint="eastAsia" w:cs="宋体"/>
              <w:color w:val="auto"/>
              <w:highlight w:val="none"/>
            </w:rPr>
            <w:fldChar w:fldCharType="end"/>
          </w:r>
        </w:p>
        <w:p w14:paraId="326BB310">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_Toc11736 </w:instrText>
          </w:r>
          <w:r>
            <w:rPr>
              <w:rFonts w:hint="eastAsia" w:cs="宋体"/>
              <w:color w:val="auto"/>
              <w:highlight w:val="none"/>
            </w:rPr>
            <w:fldChar w:fldCharType="separate"/>
          </w:r>
          <w:r>
            <w:rPr>
              <w:rFonts w:hint="eastAsia"/>
              <w:color w:val="auto"/>
              <w:highlight w:val="none"/>
            </w:rPr>
            <w:t>附图5 植被类型分布图</w:t>
          </w:r>
          <w:r>
            <w:rPr>
              <w:color w:val="auto"/>
              <w:highlight w:val="none"/>
            </w:rPr>
            <w:tab/>
          </w:r>
          <w:r>
            <w:rPr>
              <w:color w:val="auto"/>
              <w:highlight w:val="none"/>
            </w:rPr>
            <w:fldChar w:fldCharType="begin"/>
          </w:r>
          <w:r>
            <w:rPr>
              <w:color w:val="auto"/>
              <w:highlight w:val="none"/>
            </w:rPr>
            <w:instrText xml:space="preserve"> PAGEREF _Toc11736 \h </w:instrText>
          </w:r>
          <w:r>
            <w:rPr>
              <w:color w:val="auto"/>
              <w:highlight w:val="none"/>
            </w:rPr>
            <w:fldChar w:fldCharType="separate"/>
          </w:r>
          <w:r>
            <w:rPr>
              <w:color w:val="auto"/>
              <w:highlight w:val="none"/>
            </w:rPr>
            <w:t>106</w:t>
          </w:r>
          <w:r>
            <w:rPr>
              <w:color w:val="auto"/>
              <w:highlight w:val="none"/>
            </w:rPr>
            <w:fldChar w:fldCharType="end"/>
          </w:r>
          <w:r>
            <w:rPr>
              <w:rFonts w:hint="eastAsia" w:cs="宋体"/>
              <w:color w:val="auto"/>
              <w:highlight w:val="none"/>
            </w:rPr>
            <w:fldChar w:fldCharType="end"/>
          </w:r>
        </w:p>
        <w:p w14:paraId="31713F72">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_Toc17245 </w:instrText>
          </w:r>
          <w:r>
            <w:rPr>
              <w:rFonts w:hint="eastAsia" w:cs="宋体"/>
              <w:color w:val="auto"/>
              <w:highlight w:val="none"/>
            </w:rPr>
            <w:fldChar w:fldCharType="separate"/>
          </w:r>
          <w:r>
            <w:rPr>
              <w:rFonts w:hint="eastAsia"/>
              <w:color w:val="auto"/>
              <w:highlight w:val="none"/>
            </w:rPr>
            <w:t>附图6 生态环境保护措施平面布置图</w:t>
          </w:r>
          <w:r>
            <w:rPr>
              <w:color w:val="auto"/>
              <w:highlight w:val="none"/>
            </w:rPr>
            <w:tab/>
          </w:r>
          <w:r>
            <w:rPr>
              <w:color w:val="auto"/>
              <w:highlight w:val="none"/>
            </w:rPr>
            <w:fldChar w:fldCharType="begin"/>
          </w:r>
          <w:r>
            <w:rPr>
              <w:color w:val="auto"/>
              <w:highlight w:val="none"/>
            </w:rPr>
            <w:instrText xml:space="preserve"> PAGEREF _Toc17245 \h </w:instrText>
          </w:r>
          <w:r>
            <w:rPr>
              <w:color w:val="auto"/>
              <w:highlight w:val="none"/>
            </w:rPr>
            <w:fldChar w:fldCharType="separate"/>
          </w:r>
          <w:r>
            <w:rPr>
              <w:color w:val="auto"/>
              <w:highlight w:val="none"/>
            </w:rPr>
            <w:t>107</w:t>
          </w:r>
          <w:r>
            <w:rPr>
              <w:color w:val="auto"/>
              <w:highlight w:val="none"/>
            </w:rPr>
            <w:fldChar w:fldCharType="end"/>
          </w:r>
          <w:r>
            <w:rPr>
              <w:rFonts w:hint="eastAsia" w:cs="宋体"/>
              <w:color w:val="auto"/>
              <w:highlight w:val="none"/>
            </w:rPr>
            <w:fldChar w:fldCharType="end"/>
          </w:r>
        </w:p>
        <w:p w14:paraId="1A4A7FF3">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_Toc17537 </w:instrText>
          </w:r>
          <w:r>
            <w:rPr>
              <w:rFonts w:hint="eastAsia" w:cs="宋体"/>
              <w:color w:val="auto"/>
              <w:highlight w:val="none"/>
            </w:rPr>
            <w:fldChar w:fldCharType="separate"/>
          </w:r>
          <w:r>
            <w:rPr>
              <w:rFonts w:hint="eastAsia"/>
              <w:color w:val="auto"/>
              <w:highlight w:val="none"/>
            </w:rPr>
            <w:t>附图7 环境管控单元图</w:t>
          </w:r>
          <w:r>
            <w:rPr>
              <w:color w:val="auto"/>
              <w:highlight w:val="none"/>
            </w:rPr>
            <w:tab/>
          </w:r>
          <w:r>
            <w:rPr>
              <w:color w:val="auto"/>
              <w:highlight w:val="none"/>
            </w:rPr>
            <w:fldChar w:fldCharType="begin"/>
          </w:r>
          <w:r>
            <w:rPr>
              <w:color w:val="auto"/>
              <w:highlight w:val="none"/>
            </w:rPr>
            <w:instrText xml:space="preserve"> PAGEREF _Toc17537 \h </w:instrText>
          </w:r>
          <w:r>
            <w:rPr>
              <w:color w:val="auto"/>
              <w:highlight w:val="none"/>
            </w:rPr>
            <w:fldChar w:fldCharType="separate"/>
          </w:r>
          <w:r>
            <w:rPr>
              <w:color w:val="auto"/>
              <w:highlight w:val="none"/>
            </w:rPr>
            <w:t>108</w:t>
          </w:r>
          <w:r>
            <w:rPr>
              <w:color w:val="auto"/>
              <w:highlight w:val="none"/>
            </w:rPr>
            <w:fldChar w:fldCharType="end"/>
          </w:r>
          <w:r>
            <w:rPr>
              <w:rFonts w:hint="eastAsia" w:cs="宋体"/>
              <w:color w:val="auto"/>
              <w:highlight w:val="none"/>
            </w:rPr>
            <w:fldChar w:fldCharType="end"/>
          </w:r>
        </w:p>
        <w:p w14:paraId="7AE7AF22">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_Toc3373 </w:instrText>
          </w:r>
          <w:r>
            <w:rPr>
              <w:rFonts w:hint="eastAsia" w:cs="宋体"/>
              <w:color w:val="auto"/>
              <w:highlight w:val="none"/>
            </w:rPr>
            <w:fldChar w:fldCharType="separate"/>
          </w:r>
          <w:r>
            <w:rPr>
              <w:rFonts w:hint="eastAsia"/>
              <w:color w:val="auto"/>
              <w:highlight w:val="none"/>
            </w:rPr>
            <w:t xml:space="preserve">附图8 </w:t>
          </w:r>
          <w:r>
            <w:rPr>
              <w:rFonts w:hint="eastAsia"/>
              <w:color w:val="auto"/>
              <w:highlight w:val="none"/>
              <w:lang w:val="en-US" w:eastAsia="zh-CN"/>
            </w:rPr>
            <w:t>与公益林位置关系图</w:t>
          </w:r>
          <w:r>
            <w:rPr>
              <w:color w:val="auto"/>
              <w:highlight w:val="none"/>
            </w:rPr>
            <w:tab/>
          </w:r>
          <w:r>
            <w:rPr>
              <w:color w:val="auto"/>
              <w:highlight w:val="none"/>
            </w:rPr>
            <w:fldChar w:fldCharType="begin"/>
          </w:r>
          <w:r>
            <w:rPr>
              <w:color w:val="auto"/>
              <w:highlight w:val="none"/>
            </w:rPr>
            <w:instrText xml:space="preserve"> PAGEREF _Toc3373 \h </w:instrText>
          </w:r>
          <w:r>
            <w:rPr>
              <w:color w:val="auto"/>
              <w:highlight w:val="none"/>
            </w:rPr>
            <w:fldChar w:fldCharType="separate"/>
          </w:r>
          <w:r>
            <w:rPr>
              <w:color w:val="auto"/>
              <w:highlight w:val="none"/>
            </w:rPr>
            <w:t>109</w:t>
          </w:r>
          <w:r>
            <w:rPr>
              <w:color w:val="auto"/>
              <w:highlight w:val="none"/>
            </w:rPr>
            <w:fldChar w:fldCharType="end"/>
          </w:r>
          <w:r>
            <w:rPr>
              <w:rFonts w:hint="eastAsia" w:cs="宋体"/>
              <w:color w:val="auto"/>
              <w:highlight w:val="none"/>
            </w:rPr>
            <w:fldChar w:fldCharType="end"/>
          </w:r>
        </w:p>
        <w:p w14:paraId="27311553">
          <w:pPr>
            <w:pStyle w:val="22"/>
            <w:tabs>
              <w:tab w:val="right" w:leader="dot" w:pos="8312"/>
            </w:tabs>
            <w:rPr>
              <w:color w:val="auto"/>
              <w:highlight w:val="none"/>
            </w:rPr>
          </w:pPr>
          <w:r>
            <w:rPr>
              <w:rFonts w:hint="eastAsia" w:cs="宋体"/>
              <w:color w:val="auto"/>
              <w:highlight w:val="none"/>
            </w:rPr>
            <w:fldChar w:fldCharType="begin"/>
          </w:r>
          <w:r>
            <w:rPr>
              <w:rFonts w:hint="eastAsia" w:cs="宋体"/>
              <w:color w:val="auto"/>
              <w:highlight w:val="none"/>
            </w:rPr>
            <w:instrText xml:space="preserve"> HYPERLINK \l _Toc23376 </w:instrText>
          </w:r>
          <w:r>
            <w:rPr>
              <w:rFonts w:hint="eastAsia" w:cs="宋体"/>
              <w:color w:val="auto"/>
              <w:highlight w:val="none"/>
            </w:rPr>
            <w:fldChar w:fldCharType="separate"/>
          </w:r>
          <w:r>
            <w:rPr>
              <w:rFonts w:hint="eastAsia"/>
              <w:color w:val="auto"/>
              <w:highlight w:val="none"/>
            </w:rPr>
            <w:t>附图9 工程师踏勘现场照片</w:t>
          </w:r>
          <w:r>
            <w:rPr>
              <w:color w:val="auto"/>
              <w:highlight w:val="none"/>
            </w:rPr>
            <w:tab/>
          </w:r>
          <w:r>
            <w:rPr>
              <w:color w:val="auto"/>
              <w:highlight w:val="none"/>
            </w:rPr>
            <w:fldChar w:fldCharType="begin"/>
          </w:r>
          <w:r>
            <w:rPr>
              <w:color w:val="auto"/>
              <w:highlight w:val="none"/>
            </w:rPr>
            <w:instrText xml:space="preserve"> PAGEREF _Toc23376 \h </w:instrText>
          </w:r>
          <w:r>
            <w:rPr>
              <w:color w:val="auto"/>
              <w:highlight w:val="none"/>
            </w:rPr>
            <w:fldChar w:fldCharType="separate"/>
          </w:r>
          <w:r>
            <w:rPr>
              <w:color w:val="auto"/>
              <w:highlight w:val="none"/>
            </w:rPr>
            <w:t>110</w:t>
          </w:r>
          <w:r>
            <w:rPr>
              <w:color w:val="auto"/>
              <w:highlight w:val="none"/>
            </w:rPr>
            <w:fldChar w:fldCharType="end"/>
          </w:r>
          <w:r>
            <w:rPr>
              <w:rFonts w:hint="eastAsia" w:cs="宋体"/>
              <w:color w:val="auto"/>
              <w:highlight w:val="none"/>
            </w:rPr>
            <w:fldChar w:fldCharType="end"/>
          </w:r>
        </w:p>
        <w:p w14:paraId="6DC21479">
          <w:pPr>
            <w:pStyle w:val="3"/>
            <w:spacing w:line="360" w:lineRule="auto"/>
            <w:ind w:firstLine="0" w:firstLineChars="0"/>
            <w:rPr>
              <w:color w:val="auto"/>
              <w:highlight w:val="none"/>
            </w:rPr>
          </w:pPr>
          <w:r>
            <w:rPr>
              <w:rFonts w:hint="eastAsia" w:cs="宋体"/>
              <w:color w:val="auto"/>
              <w:highlight w:val="none"/>
            </w:rPr>
            <w:fldChar w:fldCharType="end"/>
          </w:r>
        </w:p>
      </w:sdtContent>
    </w:sdt>
    <w:p w14:paraId="4998584C">
      <w:pPr>
        <w:pStyle w:val="3"/>
        <w:ind w:firstLine="0" w:firstLineChars="0"/>
        <w:rPr>
          <w:color w:val="auto"/>
          <w:highlight w:val="none"/>
        </w:rPr>
      </w:pPr>
    </w:p>
    <w:p w14:paraId="74803CA3">
      <w:pPr>
        <w:pStyle w:val="3"/>
        <w:ind w:firstLine="0" w:firstLineChars="0"/>
        <w:rPr>
          <w:color w:val="auto"/>
          <w:highlight w:val="none"/>
        </w:rPr>
      </w:pPr>
    </w:p>
    <w:p w14:paraId="76A34208">
      <w:pPr>
        <w:pStyle w:val="3"/>
        <w:ind w:firstLine="0" w:firstLineChars="0"/>
        <w:rPr>
          <w:color w:val="auto"/>
          <w:highlight w:val="none"/>
        </w:rPr>
        <w:sectPr>
          <w:pgSz w:w="11906" w:h="16838"/>
          <w:pgMar w:top="1440" w:right="1797" w:bottom="1304" w:left="1797" w:header="1021" w:footer="851" w:gutter="0"/>
          <w:cols w:space="425" w:num="1"/>
          <w:docGrid w:type="lines" w:linePitch="312" w:charSpace="0"/>
        </w:sectPr>
      </w:pPr>
    </w:p>
    <w:p w14:paraId="702920D1">
      <w:pPr>
        <w:pStyle w:val="3"/>
        <w:ind w:firstLine="0" w:firstLineChars="0"/>
        <w:rPr>
          <w:color w:val="auto"/>
          <w:highlight w:val="none"/>
        </w:rPr>
      </w:pPr>
    </w:p>
    <w:p w14:paraId="74DCF220">
      <w:pPr>
        <w:pStyle w:val="3"/>
        <w:ind w:firstLine="0" w:firstLineChars="0"/>
        <w:rPr>
          <w:color w:val="auto"/>
          <w:highlight w:val="none"/>
        </w:rPr>
      </w:pPr>
    </w:p>
    <w:p w14:paraId="5B41ADBC">
      <w:pPr>
        <w:pStyle w:val="3"/>
        <w:ind w:firstLine="0" w:firstLineChars="0"/>
        <w:rPr>
          <w:color w:val="auto"/>
          <w:highlight w:val="none"/>
        </w:rPr>
        <w:sectPr>
          <w:pgSz w:w="11906" w:h="16838"/>
          <w:pgMar w:top="1440" w:right="1797" w:bottom="1304" w:left="1797" w:header="1021" w:footer="851" w:gutter="0"/>
          <w:cols w:space="425" w:num="1"/>
          <w:docGrid w:type="lines" w:linePitch="312" w:charSpace="0"/>
        </w:sectPr>
      </w:pPr>
    </w:p>
    <w:p w14:paraId="01B2E5BC">
      <w:pPr>
        <w:pStyle w:val="3"/>
        <w:ind w:firstLine="0" w:firstLineChars="0"/>
        <w:jc w:val="center"/>
        <w:outlineLvl w:val="0"/>
        <w:rPr>
          <w:rFonts w:ascii="黑体" w:hAnsi="黑体" w:eastAsia="黑体"/>
          <w:color w:val="auto"/>
          <w:sz w:val="30"/>
          <w:szCs w:val="30"/>
          <w:highlight w:val="none"/>
        </w:rPr>
      </w:pPr>
      <w:bookmarkStart w:id="0" w:name="_Toc20037"/>
      <w:bookmarkStart w:id="1" w:name="_Toc736"/>
      <w:r>
        <w:rPr>
          <w:rFonts w:hint="eastAsia" w:ascii="黑体" w:hAnsi="黑体" w:eastAsia="黑体"/>
          <w:color w:val="auto"/>
          <w:sz w:val="30"/>
          <w:szCs w:val="30"/>
          <w:highlight w:val="none"/>
        </w:rPr>
        <w:t>一、建设项目基本情况</w:t>
      </w:r>
      <w:bookmarkEnd w:id="0"/>
      <w:bookmarkEnd w:id="1"/>
    </w:p>
    <w:tbl>
      <w:tblPr>
        <w:tblStyle w:val="6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013"/>
        <w:gridCol w:w="1892"/>
        <w:gridCol w:w="1890"/>
        <w:gridCol w:w="2856"/>
      </w:tblGrid>
      <w:tr w14:paraId="4D13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47240802">
            <w:pPr>
              <w:pStyle w:val="3"/>
              <w:spacing w:line="240" w:lineRule="auto"/>
              <w:ind w:firstLine="0" w:firstLineChars="0"/>
              <w:jc w:val="center"/>
              <w:rPr>
                <w:color w:val="auto"/>
                <w:sz w:val="21"/>
                <w:highlight w:val="none"/>
              </w:rPr>
            </w:pPr>
            <w:r>
              <w:rPr>
                <w:rFonts w:hint="eastAsia"/>
                <w:color w:val="auto"/>
                <w:sz w:val="21"/>
                <w:highlight w:val="none"/>
              </w:rPr>
              <w:t>建设项目名称</w:t>
            </w:r>
          </w:p>
        </w:tc>
        <w:tc>
          <w:tcPr>
            <w:tcW w:w="3891" w:type="pct"/>
            <w:gridSpan w:val="3"/>
            <w:tcMar>
              <w:top w:w="113" w:type="dxa"/>
              <w:bottom w:w="113" w:type="dxa"/>
            </w:tcMar>
            <w:vAlign w:val="center"/>
          </w:tcPr>
          <w:p w14:paraId="4C53FCBC">
            <w:pPr>
              <w:pStyle w:val="3"/>
              <w:spacing w:line="240" w:lineRule="auto"/>
              <w:ind w:firstLine="0" w:firstLineChars="0"/>
              <w:jc w:val="center"/>
              <w:rPr>
                <w:color w:val="auto"/>
                <w:sz w:val="21"/>
                <w:highlight w:val="none"/>
              </w:rPr>
            </w:pPr>
            <w:r>
              <w:rPr>
                <w:rFonts w:hint="eastAsia"/>
                <w:color w:val="auto"/>
                <w:sz w:val="21"/>
                <w:highlight w:val="none"/>
              </w:rPr>
              <w:t>董深斜2井</w:t>
            </w:r>
          </w:p>
        </w:tc>
      </w:tr>
      <w:tr w14:paraId="406C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03C0100B">
            <w:pPr>
              <w:pStyle w:val="3"/>
              <w:spacing w:line="240" w:lineRule="auto"/>
              <w:ind w:firstLine="0" w:firstLineChars="0"/>
              <w:jc w:val="center"/>
              <w:rPr>
                <w:color w:val="auto"/>
                <w:sz w:val="21"/>
                <w:highlight w:val="none"/>
              </w:rPr>
            </w:pPr>
            <w:r>
              <w:rPr>
                <w:rFonts w:hint="eastAsia"/>
                <w:color w:val="auto"/>
                <w:sz w:val="21"/>
                <w:highlight w:val="none"/>
              </w:rPr>
              <w:t>项目代码</w:t>
            </w:r>
          </w:p>
        </w:tc>
        <w:tc>
          <w:tcPr>
            <w:tcW w:w="3891" w:type="pct"/>
            <w:gridSpan w:val="3"/>
            <w:tcMar>
              <w:top w:w="113" w:type="dxa"/>
              <w:bottom w:w="113" w:type="dxa"/>
            </w:tcMar>
            <w:vAlign w:val="center"/>
          </w:tcPr>
          <w:p w14:paraId="7A34389B">
            <w:pPr>
              <w:pStyle w:val="3"/>
              <w:spacing w:line="240" w:lineRule="auto"/>
              <w:ind w:firstLine="0" w:firstLineChars="0"/>
              <w:jc w:val="center"/>
              <w:rPr>
                <w:color w:val="auto"/>
                <w:sz w:val="21"/>
                <w:highlight w:val="none"/>
              </w:rPr>
            </w:pPr>
            <w:r>
              <w:rPr>
                <w:rFonts w:hint="eastAsia"/>
                <w:color w:val="auto"/>
                <w:sz w:val="21"/>
                <w:highlight w:val="none"/>
              </w:rPr>
              <w:t>无</w:t>
            </w:r>
          </w:p>
        </w:tc>
      </w:tr>
      <w:tr w14:paraId="12DC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1D3DFFCB">
            <w:pPr>
              <w:pStyle w:val="3"/>
              <w:spacing w:line="240" w:lineRule="auto"/>
              <w:ind w:firstLine="0" w:firstLineChars="0"/>
              <w:jc w:val="center"/>
              <w:rPr>
                <w:color w:val="auto"/>
                <w:sz w:val="21"/>
                <w:highlight w:val="none"/>
              </w:rPr>
            </w:pPr>
            <w:r>
              <w:rPr>
                <w:rFonts w:hint="eastAsia"/>
                <w:color w:val="auto"/>
                <w:sz w:val="21"/>
                <w:highlight w:val="none"/>
              </w:rPr>
              <w:t>建设单位联系人</w:t>
            </w:r>
          </w:p>
        </w:tc>
        <w:tc>
          <w:tcPr>
            <w:tcW w:w="1109" w:type="pct"/>
            <w:tcMar>
              <w:top w:w="113" w:type="dxa"/>
              <w:bottom w:w="113" w:type="dxa"/>
            </w:tcMar>
            <w:vAlign w:val="center"/>
          </w:tcPr>
          <w:p w14:paraId="6E8ADBEB">
            <w:pPr>
              <w:pStyle w:val="3"/>
              <w:spacing w:line="240" w:lineRule="auto"/>
              <w:ind w:firstLine="0" w:firstLineChars="0"/>
              <w:jc w:val="center"/>
              <w:rPr>
                <w:color w:val="auto"/>
                <w:sz w:val="21"/>
                <w:highlight w:val="none"/>
              </w:rPr>
            </w:pPr>
            <w:r>
              <w:rPr>
                <w:rFonts w:hint="eastAsia"/>
                <w:color w:val="auto"/>
                <w:sz w:val="21"/>
                <w:highlight w:val="none"/>
              </w:rPr>
              <w:t>卢浩</w:t>
            </w:r>
          </w:p>
        </w:tc>
        <w:tc>
          <w:tcPr>
            <w:tcW w:w="1108" w:type="pct"/>
            <w:tcMar>
              <w:top w:w="113" w:type="dxa"/>
              <w:bottom w:w="113" w:type="dxa"/>
            </w:tcMar>
            <w:vAlign w:val="center"/>
          </w:tcPr>
          <w:p w14:paraId="6023CA05">
            <w:pPr>
              <w:pStyle w:val="3"/>
              <w:spacing w:line="240" w:lineRule="auto"/>
              <w:ind w:firstLine="0" w:firstLineChars="0"/>
              <w:jc w:val="center"/>
              <w:rPr>
                <w:color w:val="auto"/>
                <w:sz w:val="21"/>
                <w:highlight w:val="none"/>
              </w:rPr>
            </w:pPr>
            <w:r>
              <w:rPr>
                <w:rFonts w:hint="eastAsia"/>
                <w:color w:val="auto"/>
                <w:sz w:val="21"/>
                <w:highlight w:val="none"/>
              </w:rPr>
              <w:t>联系方式</w:t>
            </w:r>
          </w:p>
        </w:tc>
        <w:tc>
          <w:tcPr>
            <w:tcW w:w="1674" w:type="pct"/>
            <w:tcMar>
              <w:top w:w="113" w:type="dxa"/>
              <w:bottom w:w="113" w:type="dxa"/>
            </w:tcMar>
            <w:vAlign w:val="center"/>
          </w:tcPr>
          <w:p w14:paraId="580A0133">
            <w:pPr>
              <w:pStyle w:val="3"/>
              <w:spacing w:line="240" w:lineRule="auto"/>
              <w:ind w:firstLine="0" w:firstLineChars="0"/>
              <w:jc w:val="center"/>
              <w:rPr>
                <w:color w:val="auto"/>
                <w:sz w:val="21"/>
                <w:highlight w:val="none"/>
              </w:rPr>
            </w:pPr>
            <w:r>
              <w:rPr>
                <w:rFonts w:hint="eastAsia"/>
                <w:color w:val="auto"/>
                <w:sz w:val="21"/>
                <w:highlight w:val="none"/>
              </w:rPr>
              <w:t>18866676885</w:t>
            </w:r>
          </w:p>
        </w:tc>
      </w:tr>
      <w:tr w14:paraId="7839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3F28C7B1">
            <w:pPr>
              <w:pStyle w:val="3"/>
              <w:spacing w:line="240" w:lineRule="auto"/>
              <w:ind w:firstLine="0" w:firstLineChars="0"/>
              <w:jc w:val="center"/>
              <w:rPr>
                <w:color w:val="auto"/>
                <w:sz w:val="21"/>
                <w:highlight w:val="none"/>
              </w:rPr>
            </w:pPr>
            <w:r>
              <w:rPr>
                <w:rFonts w:hint="eastAsia"/>
                <w:color w:val="auto"/>
                <w:sz w:val="21"/>
                <w:highlight w:val="none"/>
              </w:rPr>
              <w:t>建设地点</w:t>
            </w:r>
          </w:p>
        </w:tc>
        <w:tc>
          <w:tcPr>
            <w:tcW w:w="3891" w:type="pct"/>
            <w:gridSpan w:val="3"/>
            <w:tcMar>
              <w:top w:w="113" w:type="dxa"/>
              <w:bottom w:w="113" w:type="dxa"/>
            </w:tcMar>
            <w:vAlign w:val="center"/>
          </w:tcPr>
          <w:p w14:paraId="1A8194E4">
            <w:pPr>
              <w:pStyle w:val="3"/>
              <w:spacing w:line="240" w:lineRule="auto"/>
              <w:ind w:firstLine="0" w:firstLineChars="0"/>
              <w:jc w:val="center"/>
              <w:rPr>
                <w:color w:val="auto"/>
                <w:sz w:val="21"/>
                <w:highlight w:val="none"/>
              </w:rPr>
            </w:pPr>
            <w:r>
              <w:rPr>
                <w:rFonts w:hint="eastAsia"/>
                <w:color w:val="auto"/>
                <w:sz w:val="21"/>
                <w:highlight w:val="none"/>
              </w:rPr>
              <w:t>新疆维吾尔自治区昌吉回族自治州阜康市三工河哈萨克族乡西北侧16.4km</w:t>
            </w:r>
            <w:r>
              <w:rPr>
                <w:rFonts w:hint="eastAsia"/>
                <w:color w:val="auto"/>
                <w:highlight w:val="none"/>
              </w:rPr>
              <w:t>。</w:t>
            </w:r>
          </w:p>
        </w:tc>
      </w:tr>
      <w:tr w14:paraId="15F2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5528A69D">
            <w:pPr>
              <w:pStyle w:val="3"/>
              <w:spacing w:line="240" w:lineRule="auto"/>
              <w:ind w:firstLine="0" w:firstLineChars="0"/>
              <w:jc w:val="center"/>
              <w:rPr>
                <w:color w:val="auto"/>
                <w:sz w:val="21"/>
                <w:highlight w:val="none"/>
              </w:rPr>
            </w:pPr>
            <w:r>
              <w:rPr>
                <w:rFonts w:hint="eastAsia"/>
                <w:color w:val="auto"/>
                <w:sz w:val="21"/>
                <w:highlight w:val="none"/>
              </w:rPr>
              <w:t>地理坐标</w:t>
            </w:r>
          </w:p>
        </w:tc>
        <w:tc>
          <w:tcPr>
            <w:tcW w:w="3891" w:type="pct"/>
            <w:gridSpan w:val="3"/>
            <w:tcMar>
              <w:top w:w="113" w:type="dxa"/>
              <w:bottom w:w="113" w:type="dxa"/>
            </w:tcMar>
            <w:vAlign w:val="center"/>
          </w:tcPr>
          <w:p w14:paraId="138CA716">
            <w:pPr>
              <w:pStyle w:val="3"/>
              <w:spacing w:line="240" w:lineRule="auto"/>
              <w:ind w:firstLine="0" w:firstLineChars="0"/>
              <w:jc w:val="center"/>
              <w:rPr>
                <w:color w:val="auto"/>
                <w:sz w:val="21"/>
                <w:highlight w:val="none"/>
              </w:rPr>
            </w:pPr>
            <w:r>
              <w:rPr>
                <w:rFonts w:hint="eastAsia"/>
                <w:color w:val="auto"/>
                <w:sz w:val="21"/>
                <w:highlight w:val="none"/>
              </w:rPr>
              <w:t>E 88°02'21.882"，N 44°25'44.542"</w:t>
            </w:r>
          </w:p>
        </w:tc>
      </w:tr>
      <w:tr w14:paraId="7680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shd w:val="clear" w:color="auto" w:fill="auto"/>
            <w:tcMar>
              <w:top w:w="113" w:type="dxa"/>
              <w:bottom w:w="113" w:type="dxa"/>
            </w:tcMar>
            <w:vAlign w:val="center"/>
          </w:tcPr>
          <w:p w14:paraId="18EA361F">
            <w:pPr>
              <w:pStyle w:val="3"/>
              <w:spacing w:line="240" w:lineRule="auto"/>
              <w:ind w:firstLine="0" w:firstLineChars="0"/>
              <w:jc w:val="center"/>
              <w:rPr>
                <w:color w:val="auto"/>
                <w:sz w:val="21"/>
                <w:highlight w:val="none"/>
              </w:rPr>
            </w:pPr>
            <w:r>
              <w:rPr>
                <w:rFonts w:hint="eastAsia"/>
                <w:color w:val="auto"/>
                <w:sz w:val="21"/>
                <w:highlight w:val="none"/>
              </w:rPr>
              <w:t>建设项目</w:t>
            </w:r>
          </w:p>
          <w:p w14:paraId="6C2B10E3">
            <w:pPr>
              <w:pStyle w:val="3"/>
              <w:spacing w:line="240" w:lineRule="auto"/>
              <w:ind w:firstLine="0" w:firstLineChars="0"/>
              <w:jc w:val="center"/>
              <w:rPr>
                <w:color w:val="auto"/>
                <w:sz w:val="21"/>
                <w:highlight w:val="none"/>
              </w:rPr>
            </w:pPr>
            <w:r>
              <w:rPr>
                <w:rFonts w:hint="eastAsia"/>
                <w:color w:val="auto"/>
                <w:sz w:val="21"/>
                <w:highlight w:val="none"/>
              </w:rPr>
              <w:t>行业类别</w:t>
            </w:r>
          </w:p>
        </w:tc>
        <w:tc>
          <w:tcPr>
            <w:tcW w:w="1109" w:type="pct"/>
            <w:shd w:val="clear" w:color="auto" w:fill="auto"/>
            <w:tcMar>
              <w:top w:w="113" w:type="dxa"/>
              <w:bottom w:w="113" w:type="dxa"/>
            </w:tcMar>
            <w:vAlign w:val="center"/>
          </w:tcPr>
          <w:p w14:paraId="4B33B532">
            <w:pPr>
              <w:pStyle w:val="3"/>
              <w:spacing w:line="240" w:lineRule="auto"/>
              <w:ind w:firstLine="0" w:firstLineChars="0"/>
              <w:jc w:val="center"/>
              <w:rPr>
                <w:color w:val="auto"/>
                <w:sz w:val="21"/>
                <w:highlight w:val="none"/>
              </w:rPr>
            </w:pPr>
            <w:r>
              <w:rPr>
                <w:rFonts w:hint="eastAsia"/>
                <w:color w:val="auto"/>
                <w:sz w:val="21"/>
                <w:highlight w:val="none"/>
              </w:rPr>
              <w:t>四十六、专业技术服务业-99陆地矿产资源地质勘查（含油气资源勘探）；二氧化碳地质封存</w:t>
            </w:r>
          </w:p>
        </w:tc>
        <w:tc>
          <w:tcPr>
            <w:tcW w:w="1108" w:type="pct"/>
            <w:shd w:val="clear" w:color="auto" w:fill="auto"/>
            <w:tcMar>
              <w:top w:w="113" w:type="dxa"/>
              <w:bottom w:w="113" w:type="dxa"/>
            </w:tcMar>
            <w:vAlign w:val="center"/>
          </w:tcPr>
          <w:p w14:paraId="19BB2C30">
            <w:pPr>
              <w:pStyle w:val="3"/>
              <w:spacing w:line="240" w:lineRule="auto"/>
              <w:ind w:firstLine="0" w:firstLineChars="0"/>
              <w:jc w:val="center"/>
              <w:rPr>
                <w:color w:val="auto"/>
                <w:sz w:val="21"/>
                <w:highlight w:val="none"/>
              </w:rPr>
            </w:pPr>
            <w:r>
              <w:rPr>
                <w:rFonts w:hint="eastAsia"/>
                <w:color w:val="auto"/>
                <w:sz w:val="21"/>
                <w:highlight w:val="none"/>
              </w:rPr>
              <w:t>用地（用海）面积（m</w:t>
            </w:r>
            <w:r>
              <w:rPr>
                <w:rFonts w:hint="eastAsia"/>
                <w:color w:val="auto"/>
                <w:sz w:val="21"/>
                <w:highlight w:val="none"/>
                <w:vertAlign w:val="superscript"/>
              </w:rPr>
              <w:t>2</w:t>
            </w:r>
            <w:r>
              <w:rPr>
                <w:rFonts w:hint="eastAsia"/>
                <w:color w:val="auto"/>
                <w:sz w:val="21"/>
                <w:highlight w:val="none"/>
              </w:rPr>
              <w:t>）/长度（km）</w:t>
            </w:r>
          </w:p>
        </w:tc>
        <w:tc>
          <w:tcPr>
            <w:tcW w:w="1674" w:type="pct"/>
            <w:shd w:val="clear" w:color="auto" w:fill="auto"/>
            <w:tcMar>
              <w:top w:w="113" w:type="dxa"/>
              <w:bottom w:w="113" w:type="dxa"/>
            </w:tcMar>
            <w:vAlign w:val="center"/>
          </w:tcPr>
          <w:p w14:paraId="3C9AEBEE">
            <w:pPr>
              <w:pStyle w:val="3"/>
              <w:spacing w:line="240" w:lineRule="auto"/>
              <w:ind w:firstLine="0" w:firstLineChars="0"/>
              <w:jc w:val="center"/>
              <w:rPr>
                <w:color w:val="auto"/>
                <w:sz w:val="21"/>
                <w:highlight w:val="none"/>
              </w:rPr>
            </w:pPr>
            <w:r>
              <w:rPr>
                <w:rFonts w:hint="eastAsia"/>
                <w:color w:val="auto"/>
                <w:sz w:val="21"/>
                <w:highlight w:val="none"/>
              </w:rPr>
              <w:t>临时占地：</w:t>
            </w:r>
            <w:r>
              <w:rPr>
                <w:rFonts w:hint="eastAsia"/>
                <w:color w:val="auto"/>
                <w:sz w:val="21"/>
                <w:highlight w:val="none"/>
                <w:lang w:eastAsia="zh-CN"/>
              </w:rPr>
              <w:t>25284</w:t>
            </w:r>
            <w:r>
              <w:rPr>
                <w:rFonts w:hint="eastAsia"/>
                <w:color w:val="auto"/>
                <w:sz w:val="21"/>
                <w:highlight w:val="none"/>
              </w:rPr>
              <w:t>m</w:t>
            </w:r>
            <w:r>
              <w:rPr>
                <w:rFonts w:hint="eastAsia"/>
                <w:color w:val="auto"/>
                <w:sz w:val="21"/>
                <w:highlight w:val="none"/>
                <w:vertAlign w:val="superscript"/>
              </w:rPr>
              <w:t>2</w:t>
            </w:r>
          </w:p>
          <w:p w14:paraId="1E59CFAC">
            <w:pPr>
              <w:pStyle w:val="3"/>
              <w:spacing w:line="240" w:lineRule="auto"/>
              <w:ind w:firstLine="0" w:firstLineChars="0"/>
              <w:jc w:val="center"/>
              <w:rPr>
                <w:color w:val="auto"/>
                <w:sz w:val="21"/>
                <w:highlight w:val="none"/>
              </w:rPr>
            </w:pPr>
            <w:r>
              <w:rPr>
                <w:rFonts w:hint="eastAsia"/>
                <w:color w:val="auto"/>
                <w:sz w:val="21"/>
                <w:highlight w:val="none"/>
              </w:rPr>
              <w:t>永久占地：0</w:t>
            </w:r>
          </w:p>
        </w:tc>
      </w:tr>
      <w:tr w14:paraId="5A6A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shd w:val="clear" w:color="auto" w:fill="auto"/>
            <w:tcMar>
              <w:top w:w="113" w:type="dxa"/>
              <w:bottom w:w="113" w:type="dxa"/>
            </w:tcMar>
            <w:vAlign w:val="center"/>
          </w:tcPr>
          <w:p w14:paraId="429A7DFA">
            <w:pPr>
              <w:pStyle w:val="3"/>
              <w:spacing w:line="240" w:lineRule="auto"/>
              <w:ind w:firstLine="0" w:firstLineChars="0"/>
              <w:jc w:val="center"/>
              <w:rPr>
                <w:color w:val="auto"/>
                <w:sz w:val="21"/>
                <w:highlight w:val="none"/>
              </w:rPr>
            </w:pPr>
            <w:r>
              <w:rPr>
                <w:rFonts w:hint="eastAsia"/>
                <w:color w:val="auto"/>
                <w:sz w:val="21"/>
                <w:highlight w:val="none"/>
              </w:rPr>
              <w:t>建设性质</w:t>
            </w:r>
          </w:p>
        </w:tc>
        <w:tc>
          <w:tcPr>
            <w:tcW w:w="1109" w:type="pct"/>
            <w:shd w:val="clear" w:color="auto" w:fill="auto"/>
            <w:tcMar>
              <w:top w:w="113" w:type="dxa"/>
              <w:bottom w:w="113" w:type="dxa"/>
            </w:tcMar>
            <w:vAlign w:val="center"/>
          </w:tcPr>
          <w:p w14:paraId="3BDFBF0E">
            <w:pPr>
              <w:pStyle w:val="3"/>
              <w:spacing w:line="240" w:lineRule="auto"/>
              <w:ind w:firstLine="0" w:firstLineChars="0"/>
              <w:rPr>
                <w:color w:val="auto"/>
                <w:sz w:val="21"/>
                <w:highlight w:val="none"/>
              </w:rPr>
            </w:pPr>
            <w:r>
              <w:rPr>
                <w:rFonts w:hint="eastAsia"/>
                <w:color w:val="auto"/>
                <w:sz w:val="21"/>
                <w:highlight w:val="none"/>
              </w:rPr>
              <w:t>√新建（迁建）</w:t>
            </w:r>
          </w:p>
          <w:p w14:paraId="11B150C2">
            <w:pPr>
              <w:pStyle w:val="3"/>
              <w:spacing w:line="240" w:lineRule="auto"/>
              <w:ind w:firstLine="0" w:firstLineChars="0"/>
              <w:rPr>
                <w:color w:val="auto"/>
                <w:sz w:val="21"/>
                <w:highlight w:val="none"/>
              </w:rPr>
            </w:pPr>
            <w:r>
              <w:rPr>
                <w:rFonts w:hint="eastAsia"/>
                <w:color w:val="auto"/>
                <w:sz w:val="21"/>
                <w:highlight w:val="none"/>
              </w:rPr>
              <w:t>□改建</w:t>
            </w:r>
          </w:p>
          <w:p w14:paraId="5A73DFB1">
            <w:pPr>
              <w:pStyle w:val="3"/>
              <w:spacing w:line="240" w:lineRule="auto"/>
              <w:ind w:firstLine="0" w:firstLineChars="0"/>
              <w:rPr>
                <w:color w:val="auto"/>
                <w:sz w:val="21"/>
                <w:highlight w:val="none"/>
              </w:rPr>
            </w:pPr>
            <w:r>
              <w:rPr>
                <w:rFonts w:hint="eastAsia"/>
                <w:color w:val="auto"/>
                <w:sz w:val="21"/>
                <w:highlight w:val="none"/>
              </w:rPr>
              <w:t>□扩建</w:t>
            </w:r>
          </w:p>
          <w:p w14:paraId="2A597280">
            <w:pPr>
              <w:pStyle w:val="3"/>
              <w:spacing w:line="240" w:lineRule="auto"/>
              <w:ind w:firstLine="0" w:firstLineChars="0"/>
              <w:rPr>
                <w:color w:val="auto"/>
                <w:sz w:val="21"/>
                <w:highlight w:val="none"/>
              </w:rPr>
            </w:pPr>
            <w:r>
              <w:rPr>
                <w:rFonts w:hint="eastAsia"/>
                <w:color w:val="auto"/>
                <w:sz w:val="21"/>
                <w:highlight w:val="none"/>
              </w:rPr>
              <w:t>□技术改造</w:t>
            </w:r>
          </w:p>
        </w:tc>
        <w:tc>
          <w:tcPr>
            <w:tcW w:w="1108" w:type="pct"/>
            <w:shd w:val="clear" w:color="auto" w:fill="auto"/>
            <w:tcMar>
              <w:top w:w="113" w:type="dxa"/>
              <w:bottom w:w="113" w:type="dxa"/>
            </w:tcMar>
            <w:vAlign w:val="center"/>
          </w:tcPr>
          <w:p w14:paraId="448A733D">
            <w:pPr>
              <w:pStyle w:val="3"/>
              <w:spacing w:line="240" w:lineRule="auto"/>
              <w:ind w:firstLine="0" w:firstLineChars="0"/>
              <w:jc w:val="center"/>
              <w:rPr>
                <w:color w:val="auto"/>
                <w:sz w:val="21"/>
                <w:highlight w:val="none"/>
              </w:rPr>
            </w:pPr>
            <w:r>
              <w:rPr>
                <w:rFonts w:hint="eastAsia"/>
                <w:color w:val="auto"/>
                <w:sz w:val="21"/>
                <w:highlight w:val="none"/>
              </w:rPr>
              <w:t>建设项目</w:t>
            </w:r>
          </w:p>
          <w:p w14:paraId="0E73C3BB">
            <w:pPr>
              <w:pStyle w:val="3"/>
              <w:spacing w:line="240" w:lineRule="auto"/>
              <w:ind w:firstLine="0" w:firstLineChars="0"/>
              <w:jc w:val="center"/>
              <w:rPr>
                <w:color w:val="auto"/>
                <w:sz w:val="21"/>
                <w:highlight w:val="none"/>
              </w:rPr>
            </w:pPr>
            <w:r>
              <w:rPr>
                <w:rFonts w:hint="eastAsia"/>
                <w:color w:val="auto"/>
                <w:sz w:val="21"/>
                <w:highlight w:val="none"/>
              </w:rPr>
              <w:t>申报情形</w:t>
            </w:r>
          </w:p>
        </w:tc>
        <w:tc>
          <w:tcPr>
            <w:tcW w:w="1674" w:type="pct"/>
            <w:shd w:val="clear" w:color="auto" w:fill="auto"/>
            <w:tcMar>
              <w:top w:w="113" w:type="dxa"/>
              <w:bottom w:w="113" w:type="dxa"/>
            </w:tcMar>
            <w:vAlign w:val="center"/>
          </w:tcPr>
          <w:p w14:paraId="0A2884E0">
            <w:pPr>
              <w:pStyle w:val="3"/>
              <w:spacing w:line="240" w:lineRule="auto"/>
              <w:ind w:firstLine="0" w:firstLineChars="0"/>
              <w:rPr>
                <w:color w:val="auto"/>
                <w:sz w:val="21"/>
                <w:highlight w:val="none"/>
              </w:rPr>
            </w:pPr>
            <w:r>
              <w:rPr>
                <w:rFonts w:hint="eastAsia"/>
                <w:color w:val="auto"/>
                <w:sz w:val="21"/>
                <w:highlight w:val="none"/>
              </w:rPr>
              <w:t>√首次申报项目</w:t>
            </w:r>
          </w:p>
          <w:p w14:paraId="4F7E31BB">
            <w:pPr>
              <w:pStyle w:val="3"/>
              <w:spacing w:line="240" w:lineRule="auto"/>
              <w:ind w:firstLine="0" w:firstLineChars="0"/>
              <w:rPr>
                <w:color w:val="auto"/>
                <w:sz w:val="21"/>
                <w:highlight w:val="none"/>
              </w:rPr>
            </w:pPr>
            <w:r>
              <w:rPr>
                <w:rFonts w:hint="eastAsia"/>
                <w:color w:val="auto"/>
                <w:sz w:val="21"/>
                <w:highlight w:val="none"/>
              </w:rPr>
              <w:t>□不予批准后再次申报项目</w:t>
            </w:r>
          </w:p>
          <w:p w14:paraId="3746C127">
            <w:pPr>
              <w:pStyle w:val="3"/>
              <w:spacing w:line="240" w:lineRule="auto"/>
              <w:ind w:firstLine="0" w:firstLineChars="0"/>
              <w:rPr>
                <w:color w:val="auto"/>
                <w:sz w:val="21"/>
                <w:highlight w:val="none"/>
              </w:rPr>
            </w:pPr>
            <w:r>
              <w:rPr>
                <w:rFonts w:hint="eastAsia"/>
                <w:color w:val="auto"/>
                <w:sz w:val="21"/>
                <w:highlight w:val="none"/>
              </w:rPr>
              <w:t>□超五年重新审核项目</w:t>
            </w:r>
          </w:p>
          <w:p w14:paraId="306CD66D">
            <w:pPr>
              <w:pStyle w:val="3"/>
              <w:spacing w:line="240" w:lineRule="auto"/>
              <w:ind w:firstLine="0" w:firstLineChars="0"/>
              <w:rPr>
                <w:color w:val="auto"/>
                <w:sz w:val="21"/>
                <w:highlight w:val="none"/>
              </w:rPr>
            </w:pPr>
            <w:r>
              <w:rPr>
                <w:rFonts w:hint="eastAsia"/>
                <w:color w:val="auto"/>
                <w:sz w:val="21"/>
                <w:highlight w:val="none"/>
              </w:rPr>
              <w:t>□重大变动重新报批项目</w:t>
            </w:r>
          </w:p>
        </w:tc>
      </w:tr>
      <w:tr w14:paraId="01CE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51D0829E">
            <w:pPr>
              <w:pStyle w:val="3"/>
              <w:spacing w:line="240" w:lineRule="auto"/>
              <w:ind w:firstLine="0" w:firstLineChars="0"/>
              <w:jc w:val="center"/>
              <w:rPr>
                <w:color w:val="auto"/>
                <w:sz w:val="21"/>
                <w:szCs w:val="21"/>
                <w:highlight w:val="none"/>
              </w:rPr>
            </w:pPr>
            <w:r>
              <w:rPr>
                <w:rFonts w:hint="eastAsia"/>
                <w:color w:val="auto"/>
                <w:sz w:val="21"/>
                <w:szCs w:val="21"/>
                <w:highlight w:val="none"/>
              </w:rPr>
              <w:t>项目审批</w:t>
            </w:r>
          </w:p>
          <w:p w14:paraId="472FDAB7">
            <w:pPr>
              <w:pStyle w:val="3"/>
              <w:spacing w:line="240" w:lineRule="auto"/>
              <w:ind w:firstLine="0" w:firstLineChars="0"/>
              <w:jc w:val="center"/>
              <w:rPr>
                <w:color w:val="auto"/>
                <w:sz w:val="21"/>
                <w:szCs w:val="21"/>
                <w:highlight w:val="none"/>
              </w:rPr>
            </w:pPr>
            <w:r>
              <w:rPr>
                <w:rFonts w:hint="eastAsia"/>
                <w:color w:val="auto"/>
                <w:sz w:val="21"/>
                <w:szCs w:val="21"/>
                <w:highlight w:val="none"/>
              </w:rPr>
              <w:t>（核准/备案）</w:t>
            </w:r>
          </w:p>
          <w:p w14:paraId="11E666DD">
            <w:pPr>
              <w:pStyle w:val="3"/>
              <w:spacing w:line="240" w:lineRule="auto"/>
              <w:ind w:firstLine="0" w:firstLineChars="0"/>
              <w:jc w:val="center"/>
              <w:rPr>
                <w:color w:val="auto"/>
                <w:sz w:val="21"/>
                <w:szCs w:val="21"/>
                <w:highlight w:val="none"/>
              </w:rPr>
            </w:pPr>
            <w:r>
              <w:rPr>
                <w:rFonts w:hint="eastAsia"/>
                <w:color w:val="auto"/>
                <w:sz w:val="21"/>
                <w:szCs w:val="21"/>
                <w:highlight w:val="none"/>
              </w:rPr>
              <w:t>部门（选填）</w:t>
            </w:r>
          </w:p>
        </w:tc>
        <w:tc>
          <w:tcPr>
            <w:tcW w:w="1109" w:type="pct"/>
            <w:tcMar>
              <w:top w:w="113" w:type="dxa"/>
              <w:bottom w:w="113" w:type="dxa"/>
            </w:tcMar>
            <w:vAlign w:val="center"/>
          </w:tcPr>
          <w:p w14:paraId="4F04F198">
            <w:pPr>
              <w:pStyle w:val="3"/>
              <w:spacing w:line="240" w:lineRule="auto"/>
              <w:ind w:firstLine="0" w:firstLineChars="0"/>
              <w:jc w:val="center"/>
              <w:rPr>
                <w:color w:val="auto"/>
                <w:sz w:val="21"/>
                <w:szCs w:val="21"/>
                <w:highlight w:val="none"/>
              </w:rPr>
            </w:pPr>
            <w:r>
              <w:rPr>
                <w:rFonts w:hint="eastAsia"/>
                <w:color w:val="auto"/>
                <w:sz w:val="21"/>
                <w:szCs w:val="21"/>
                <w:highlight w:val="none"/>
              </w:rPr>
              <w:t>无</w:t>
            </w:r>
          </w:p>
        </w:tc>
        <w:tc>
          <w:tcPr>
            <w:tcW w:w="1108" w:type="pct"/>
            <w:tcMar>
              <w:top w:w="113" w:type="dxa"/>
              <w:bottom w:w="113" w:type="dxa"/>
            </w:tcMar>
            <w:vAlign w:val="center"/>
          </w:tcPr>
          <w:p w14:paraId="0BB52EBC">
            <w:pPr>
              <w:pStyle w:val="3"/>
              <w:spacing w:line="240" w:lineRule="auto"/>
              <w:ind w:firstLine="0" w:firstLineChars="0"/>
              <w:jc w:val="center"/>
              <w:rPr>
                <w:color w:val="auto"/>
                <w:sz w:val="21"/>
                <w:szCs w:val="21"/>
                <w:highlight w:val="none"/>
              </w:rPr>
            </w:pPr>
            <w:r>
              <w:rPr>
                <w:rFonts w:hint="eastAsia"/>
                <w:color w:val="auto"/>
                <w:sz w:val="21"/>
                <w:szCs w:val="21"/>
                <w:highlight w:val="none"/>
              </w:rPr>
              <w:t>项目审批</w:t>
            </w:r>
          </w:p>
          <w:p w14:paraId="40CEA5F5">
            <w:pPr>
              <w:pStyle w:val="3"/>
              <w:spacing w:line="240" w:lineRule="auto"/>
              <w:ind w:firstLine="0" w:firstLineChars="0"/>
              <w:jc w:val="center"/>
              <w:rPr>
                <w:color w:val="auto"/>
                <w:sz w:val="21"/>
                <w:szCs w:val="21"/>
                <w:highlight w:val="none"/>
              </w:rPr>
            </w:pPr>
            <w:r>
              <w:rPr>
                <w:rFonts w:hint="eastAsia"/>
                <w:color w:val="auto"/>
                <w:sz w:val="21"/>
                <w:szCs w:val="21"/>
                <w:highlight w:val="none"/>
              </w:rPr>
              <w:t>（核准/备案）</w:t>
            </w:r>
          </w:p>
          <w:p w14:paraId="52C182AB">
            <w:pPr>
              <w:pStyle w:val="3"/>
              <w:spacing w:line="240" w:lineRule="auto"/>
              <w:ind w:firstLine="0" w:firstLineChars="0"/>
              <w:jc w:val="center"/>
              <w:rPr>
                <w:color w:val="auto"/>
                <w:sz w:val="21"/>
                <w:szCs w:val="21"/>
                <w:highlight w:val="none"/>
              </w:rPr>
            </w:pPr>
            <w:r>
              <w:rPr>
                <w:rFonts w:hint="eastAsia"/>
                <w:color w:val="auto"/>
                <w:sz w:val="21"/>
                <w:szCs w:val="21"/>
                <w:highlight w:val="none"/>
              </w:rPr>
              <w:t>文号（选填）</w:t>
            </w:r>
          </w:p>
        </w:tc>
        <w:tc>
          <w:tcPr>
            <w:tcW w:w="1674" w:type="pct"/>
            <w:tcMar>
              <w:top w:w="113" w:type="dxa"/>
              <w:bottom w:w="113" w:type="dxa"/>
            </w:tcMar>
            <w:vAlign w:val="center"/>
          </w:tcPr>
          <w:p w14:paraId="64BEABB7">
            <w:pPr>
              <w:pStyle w:val="3"/>
              <w:spacing w:line="240" w:lineRule="auto"/>
              <w:ind w:firstLine="0" w:firstLineChars="0"/>
              <w:jc w:val="center"/>
              <w:rPr>
                <w:color w:val="auto"/>
                <w:sz w:val="21"/>
                <w:szCs w:val="21"/>
                <w:highlight w:val="none"/>
              </w:rPr>
            </w:pPr>
            <w:r>
              <w:rPr>
                <w:rFonts w:hint="eastAsia"/>
                <w:color w:val="auto"/>
                <w:sz w:val="21"/>
                <w:szCs w:val="21"/>
                <w:highlight w:val="none"/>
              </w:rPr>
              <w:t>无</w:t>
            </w:r>
          </w:p>
        </w:tc>
      </w:tr>
      <w:tr w14:paraId="074F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6AB4F70C">
            <w:pPr>
              <w:pStyle w:val="3"/>
              <w:spacing w:line="240" w:lineRule="auto"/>
              <w:ind w:firstLine="0" w:firstLineChars="0"/>
              <w:jc w:val="center"/>
              <w:rPr>
                <w:color w:val="auto"/>
                <w:sz w:val="21"/>
                <w:szCs w:val="21"/>
                <w:highlight w:val="none"/>
              </w:rPr>
            </w:pPr>
            <w:r>
              <w:rPr>
                <w:rFonts w:hint="eastAsia"/>
                <w:color w:val="auto"/>
                <w:sz w:val="21"/>
                <w:szCs w:val="21"/>
                <w:highlight w:val="none"/>
              </w:rPr>
              <w:t>总投资</w:t>
            </w:r>
          </w:p>
          <w:p w14:paraId="3B76791A">
            <w:pPr>
              <w:pStyle w:val="3"/>
              <w:spacing w:line="240" w:lineRule="auto"/>
              <w:ind w:firstLine="0" w:firstLineChars="0"/>
              <w:jc w:val="center"/>
              <w:rPr>
                <w:color w:val="auto"/>
                <w:sz w:val="21"/>
                <w:szCs w:val="21"/>
                <w:highlight w:val="none"/>
              </w:rPr>
            </w:pPr>
            <w:r>
              <w:rPr>
                <w:rFonts w:hint="eastAsia"/>
                <w:color w:val="auto"/>
                <w:sz w:val="21"/>
                <w:szCs w:val="21"/>
                <w:highlight w:val="none"/>
              </w:rPr>
              <w:t>（万元）</w:t>
            </w:r>
          </w:p>
        </w:tc>
        <w:tc>
          <w:tcPr>
            <w:tcW w:w="1109" w:type="pct"/>
            <w:tcMar>
              <w:top w:w="113" w:type="dxa"/>
              <w:bottom w:w="113" w:type="dxa"/>
            </w:tcMar>
            <w:vAlign w:val="center"/>
          </w:tcPr>
          <w:p w14:paraId="4B10C0F2">
            <w:pPr>
              <w:pStyle w:val="3"/>
              <w:spacing w:line="240" w:lineRule="auto"/>
              <w:ind w:firstLine="0" w:firstLineChars="0"/>
              <w:jc w:val="center"/>
              <w:rPr>
                <w:color w:val="auto"/>
                <w:sz w:val="21"/>
                <w:szCs w:val="21"/>
                <w:highlight w:val="none"/>
              </w:rPr>
            </w:pPr>
            <w:r>
              <w:rPr>
                <w:rFonts w:hint="eastAsia"/>
                <w:color w:val="auto"/>
                <w:sz w:val="21"/>
                <w:szCs w:val="21"/>
                <w:highlight w:val="none"/>
              </w:rPr>
              <w:t>8479</w:t>
            </w:r>
          </w:p>
        </w:tc>
        <w:tc>
          <w:tcPr>
            <w:tcW w:w="1108" w:type="pct"/>
            <w:tcMar>
              <w:top w:w="113" w:type="dxa"/>
              <w:bottom w:w="113" w:type="dxa"/>
            </w:tcMar>
            <w:vAlign w:val="center"/>
          </w:tcPr>
          <w:p w14:paraId="5CC6F055">
            <w:pPr>
              <w:pStyle w:val="3"/>
              <w:spacing w:line="240" w:lineRule="auto"/>
              <w:ind w:firstLine="0" w:firstLineChars="0"/>
              <w:jc w:val="center"/>
              <w:rPr>
                <w:color w:val="auto"/>
                <w:sz w:val="21"/>
                <w:szCs w:val="21"/>
                <w:highlight w:val="none"/>
              </w:rPr>
            </w:pPr>
            <w:r>
              <w:rPr>
                <w:rFonts w:hint="eastAsia"/>
                <w:color w:val="auto"/>
                <w:sz w:val="21"/>
                <w:szCs w:val="21"/>
                <w:highlight w:val="none"/>
              </w:rPr>
              <w:t>环保投资</w:t>
            </w:r>
          </w:p>
          <w:p w14:paraId="56FEE6B6">
            <w:pPr>
              <w:pStyle w:val="3"/>
              <w:spacing w:line="240" w:lineRule="auto"/>
              <w:ind w:firstLine="0" w:firstLineChars="0"/>
              <w:jc w:val="center"/>
              <w:rPr>
                <w:color w:val="auto"/>
                <w:sz w:val="21"/>
                <w:szCs w:val="21"/>
                <w:highlight w:val="none"/>
              </w:rPr>
            </w:pPr>
            <w:r>
              <w:rPr>
                <w:rFonts w:hint="eastAsia"/>
                <w:color w:val="auto"/>
                <w:sz w:val="21"/>
                <w:szCs w:val="21"/>
                <w:highlight w:val="none"/>
              </w:rPr>
              <w:t>（万元）</w:t>
            </w:r>
          </w:p>
        </w:tc>
        <w:tc>
          <w:tcPr>
            <w:tcW w:w="1674" w:type="pct"/>
            <w:tcMar>
              <w:top w:w="113" w:type="dxa"/>
              <w:bottom w:w="113" w:type="dxa"/>
            </w:tcMar>
            <w:vAlign w:val="center"/>
          </w:tcPr>
          <w:p w14:paraId="0BE5BB4C">
            <w:pPr>
              <w:pStyle w:val="3"/>
              <w:spacing w:line="240" w:lineRule="auto"/>
              <w:ind w:firstLine="0" w:firstLineChars="0"/>
              <w:jc w:val="center"/>
              <w:rPr>
                <w:color w:val="auto"/>
                <w:sz w:val="21"/>
                <w:szCs w:val="21"/>
                <w:highlight w:val="none"/>
              </w:rPr>
            </w:pPr>
            <w:r>
              <w:rPr>
                <w:color w:val="auto"/>
                <w:sz w:val="21"/>
                <w:szCs w:val="21"/>
                <w:highlight w:val="none"/>
              </w:rPr>
              <w:t>462</w:t>
            </w:r>
          </w:p>
        </w:tc>
      </w:tr>
      <w:tr w14:paraId="2374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7E58A3C6">
            <w:pPr>
              <w:pStyle w:val="3"/>
              <w:spacing w:line="240" w:lineRule="auto"/>
              <w:ind w:firstLine="0" w:firstLineChars="0"/>
              <w:jc w:val="center"/>
              <w:rPr>
                <w:color w:val="auto"/>
                <w:sz w:val="21"/>
                <w:szCs w:val="21"/>
                <w:highlight w:val="none"/>
              </w:rPr>
            </w:pPr>
            <w:r>
              <w:rPr>
                <w:rFonts w:hint="eastAsia"/>
                <w:color w:val="auto"/>
                <w:sz w:val="21"/>
                <w:szCs w:val="21"/>
                <w:highlight w:val="none"/>
              </w:rPr>
              <w:t>环保投资</w:t>
            </w:r>
          </w:p>
          <w:p w14:paraId="298FCD7B">
            <w:pPr>
              <w:pStyle w:val="3"/>
              <w:spacing w:line="240" w:lineRule="auto"/>
              <w:ind w:firstLine="0" w:firstLineChars="0"/>
              <w:jc w:val="center"/>
              <w:rPr>
                <w:color w:val="auto"/>
                <w:sz w:val="21"/>
                <w:szCs w:val="21"/>
                <w:highlight w:val="none"/>
              </w:rPr>
            </w:pPr>
            <w:r>
              <w:rPr>
                <w:rFonts w:hint="eastAsia"/>
                <w:color w:val="auto"/>
                <w:sz w:val="21"/>
                <w:szCs w:val="21"/>
                <w:highlight w:val="none"/>
              </w:rPr>
              <w:t>占比（%）</w:t>
            </w:r>
          </w:p>
        </w:tc>
        <w:tc>
          <w:tcPr>
            <w:tcW w:w="1109" w:type="pct"/>
            <w:tcMar>
              <w:top w:w="113" w:type="dxa"/>
              <w:bottom w:w="113" w:type="dxa"/>
            </w:tcMar>
            <w:vAlign w:val="center"/>
          </w:tcPr>
          <w:p w14:paraId="0CCAA68D">
            <w:pPr>
              <w:pStyle w:val="3"/>
              <w:spacing w:line="240" w:lineRule="auto"/>
              <w:ind w:firstLine="0" w:firstLineChars="0"/>
              <w:jc w:val="center"/>
              <w:rPr>
                <w:color w:val="auto"/>
                <w:sz w:val="21"/>
                <w:szCs w:val="21"/>
                <w:highlight w:val="none"/>
              </w:rPr>
            </w:pPr>
            <w:r>
              <w:rPr>
                <w:rFonts w:hint="eastAsia"/>
                <w:color w:val="auto"/>
                <w:sz w:val="21"/>
                <w:szCs w:val="21"/>
                <w:highlight w:val="none"/>
              </w:rPr>
              <w:t>5.45</w:t>
            </w:r>
          </w:p>
        </w:tc>
        <w:tc>
          <w:tcPr>
            <w:tcW w:w="1108" w:type="pct"/>
            <w:tcMar>
              <w:top w:w="113" w:type="dxa"/>
              <w:bottom w:w="113" w:type="dxa"/>
            </w:tcMar>
            <w:vAlign w:val="center"/>
          </w:tcPr>
          <w:p w14:paraId="556431E8">
            <w:pPr>
              <w:pStyle w:val="3"/>
              <w:spacing w:line="240" w:lineRule="auto"/>
              <w:ind w:firstLine="0" w:firstLineChars="0"/>
              <w:jc w:val="center"/>
              <w:rPr>
                <w:color w:val="auto"/>
                <w:sz w:val="21"/>
                <w:szCs w:val="21"/>
                <w:highlight w:val="none"/>
              </w:rPr>
            </w:pPr>
            <w:r>
              <w:rPr>
                <w:rFonts w:hint="eastAsia"/>
                <w:color w:val="auto"/>
                <w:sz w:val="21"/>
                <w:szCs w:val="21"/>
                <w:highlight w:val="none"/>
              </w:rPr>
              <w:t>施工工期</w:t>
            </w:r>
          </w:p>
        </w:tc>
        <w:tc>
          <w:tcPr>
            <w:tcW w:w="1674" w:type="pct"/>
            <w:tcMar>
              <w:top w:w="113" w:type="dxa"/>
              <w:bottom w:w="113" w:type="dxa"/>
            </w:tcMar>
            <w:vAlign w:val="center"/>
          </w:tcPr>
          <w:p w14:paraId="7FDB8471">
            <w:pPr>
              <w:pStyle w:val="3"/>
              <w:spacing w:line="240" w:lineRule="auto"/>
              <w:ind w:firstLine="0" w:firstLineChars="0"/>
              <w:jc w:val="center"/>
              <w:rPr>
                <w:color w:val="auto"/>
                <w:sz w:val="21"/>
                <w:szCs w:val="21"/>
                <w:highlight w:val="none"/>
              </w:rPr>
            </w:pPr>
            <w:r>
              <w:rPr>
                <w:rFonts w:hint="eastAsia"/>
                <w:color w:val="auto"/>
                <w:sz w:val="21"/>
                <w:szCs w:val="21"/>
                <w:highlight w:val="none"/>
                <w:lang w:eastAsia="zh-CN"/>
              </w:rPr>
              <w:t>360d</w:t>
            </w:r>
          </w:p>
        </w:tc>
      </w:tr>
      <w:tr w14:paraId="233F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574A5A42">
            <w:pPr>
              <w:pStyle w:val="3"/>
              <w:spacing w:line="240" w:lineRule="auto"/>
              <w:ind w:firstLine="0" w:firstLineChars="0"/>
              <w:jc w:val="center"/>
              <w:rPr>
                <w:color w:val="auto"/>
                <w:sz w:val="21"/>
                <w:highlight w:val="none"/>
              </w:rPr>
            </w:pPr>
            <w:r>
              <w:rPr>
                <w:rFonts w:hint="eastAsia"/>
                <w:color w:val="auto"/>
                <w:sz w:val="21"/>
                <w:highlight w:val="none"/>
              </w:rPr>
              <w:t>是否开工建设</w:t>
            </w:r>
          </w:p>
        </w:tc>
        <w:tc>
          <w:tcPr>
            <w:tcW w:w="3891" w:type="pct"/>
            <w:gridSpan w:val="3"/>
            <w:tcMar>
              <w:top w:w="113" w:type="dxa"/>
              <w:bottom w:w="113" w:type="dxa"/>
            </w:tcMar>
            <w:vAlign w:val="center"/>
          </w:tcPr>
          <w:p w14:paraId="5A756FBD">
            <w:pPr>
              <w:pStyle w:val="3"/>
              <w:ind w:firstLine="0" w:firstLineChars="0"/>
              <w:rPr>
                <w:color w:val="auto"/>
                <w:sz w:val="21"/>
                <w:highlight w:val="none"/>
              </w:rPr>
            </w:pPr>
            <w:r>
              <w:rPr>
                <w:rFonts w:hint="eastAsia"/>
                <w:color w:val="auto"/>
                <w:sz w:val="21"/>
                <w:highlight w:val="none"/>
              </w:rPr>
              <w:t>√否</w:t>
            </w:r>
          </w:p>
          <w:p w14:paraId="664C96BA">
            <w:pPr>
              <w:pStyle w:val="3"/>
              <w:spacing w:line="240" w:lineRule="auto"/>
              <w:ind w:firstLine="0" w:firstLineChars="0"/>
              <w:rPr>
                <w:color w:val="auto"/>
                <w:sz w:val="21"/>
                <w:highlight w:val="none"/>
              </w:rPr>
            </w:pPr>
            <w:r>
              <w:rPr>
                <w:rFonts w:hint="eastAsia"/>
                <w:color w:val="auto"/>
                <w:sz w:val="21"/>
                <w:highlight w:val="none"/>
              </w:rPr>
              <w:t>□是：</w:t>
            </w:r>
            <w:r>
              <w:rPr>
                <w:rFonts w:hint="eastAsia"/>
                <w:color w:val="auto"/>
                <w:sz w:val="21"/>
                <w:highlight w:val="none"/>
                <w:u w:val="single"/>
              </w:rPr>
              <w:t xml:space="preserve">           </w:t>
            </w:r>
            <w:r>
              <w:rPr>
                <w:color w:val="auto"/>
                <w:sz w:val="21"/>
                <w:highlight w:val="none"/>
                <w:u w:val="single"/>
              </w:rPr>
              <w:t xml:space="preserve">                                </w:t>
            </w:r>
            <w:r>
              <w:rPr>
                <w:rFonts w:hint="eastAsia"/>
                <w:color w:val="auto"/>
                <w:sz w:val="21"/>
                <w:highlight w:val="none"/>
                <w:u w:val="single"/>
              </w:rPr>
              <w:t xml:space="preserve">        </w:t>
            </w:r>
          </w:p>
        </w:tc>
      </w:tr>
      <w:tr w14:paraId="14A5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8" w:type="pct"/>
            <w:gridSpan w:val="2"/>
            <w:tcMar>
              <w:top w:w="113" w:type="dxa"/>
              <w:bottom w:w="113" w:type="dxa"/>
            </w:tcMar>
            <w:vAlign w:val="center"/>
          </w:tcPr>
          <w:p w14:paraId="4BCA627B">
            <w:pPr>
              <w:pStyle w:val="3"/>
              <w:spacing w:line="240" w:lineRule="auto"/>
              <w:ind w:firstLine="0" w:firstLineChars="0"/>
              <w:jc w:val="center"/>
              <w:rPr>
                <w:color w:val="auto"/>
                <w:sz w:val="21"/>
                <w:highlight w:val="none"/>
              </w:rPr>
            </w:pPr>
            <w:r>
              <w:rPr>
                <w:rFonts w:hint="eastAsia"/>
                <w:color w:val="auto"/>
                <w:sz w:val="21"/>
                <w:highlight w:val="none"/>
              </w:rPr>
              <w:t>专项评价</w:t>
            </w:r>
          </w:p>
          <w:p w14:paraId="2E30D7F6">
            <w:pPr>
              <w:pStyle w:val="3"/>
              <w:spacing w:line="240" w:lineRule="auto"/>
              <w:ind w:firstLine="0" w:firstLineChars="0"/>
              <w:jc w:val="center"/>
              <w:rPr>
                <w:color w:val="auto"/>
                <w:sz w:val="21"/>
                <w:highlight w:val="none"/>
              </w:rPr>
            </w:pPr>
            <w:r>
              <w:rPr>
                <w:rFonts w:hint="eastAsia"/>
                <w:color w:val="auto"/>
                <w:sz w:val="21"/>
                <w:highlight w:val="none"/>
              </w:rPr>
              <w:t>设置情况</w:t>
            </w:r>
          </w:p>
        </w:tc>
        <w:tc>
          <w:tcPr>
            <w:tcW w:w="3891" w:type="pct"/>
            <w:gridSpan w:val="3"/>
            <w:tcMar>
              <w:top w:w="113" w:type="dxa"/>
              <w:bottom w:w="113" w:type="dxa"/>
            </w:tcMar>
            <w:vAlign w:val="center"/>
          </w:tcPr>
          <w:p w14:paraId="22D9B297">
            <w:pPr>
              <w:pStyle w:val="3"/>
              <w:spacing w:line="240" w:lineRule="auto"/>
              <w:ind w:firstLine="0" w:firstLineChars="0"/>
              <w:jc w:val="center"/>
              <w:rPr>
                <w:color w:val="auto"/>
                <w:sz w:val="21"/>
                <w:highlight w:val="none"/>
              </w:rPr>
            </w:pPr>
            <w:r>
              <w:rPr>
                <w:rFonts w:hint="eastAsia"/>
                <w:color w:val="auto"/>
                <w:sz w:val="21"/>
                <w:highlight w:val="none"/>
              </w:rPr>
              <w:t>无</w:t>
            </w:r>
          </w:p>
        </w:tc>
      </w:tr>
      <w:tr w14:paraId="13D6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tcMar>
              <w:top w:w="113" w:type="dxa"/>
              <w:left w:w="108" w:type="dxa"/>
              <w:bottom w:w="113" w:type="dxa"/>
              <w:right w:w="108" w:type="dxa"/>
            </w:tcMar>
            <w:vAlign w:val="center"/>
          </w:tcPr>
          <w:p w14:paraId="19842BA1">
            <w:pPr>
              <w:pStyle w:val="3"/>
              <w:spacing w:line="240" w:lineRule="auto"/>
              <w:ind w:firstLine="0" w:firstLineChars="0"/>
              <w:jc w:val="center"/>
              <w:rPr>
                <w:color w:val="auto"/>
                <w:sz w:val="21"/>
                <w:highlight w:val="none"/>
              </w:rPr>
            </w:pPr>
            <w:r>
              <w:rPr>
                <w:rFonts w:hint="eastAsia"/>
                <w:color w:val="auto"/>
                <w:sz w:val="21"/>
                <w:highlight w:val="none"/>
              </w:rPr>
              <w:t>规划情况</w:t>
            </w:r>
          </w:p>
        </w:tc>
        <w:tc>
          <w:tcPr>
            <w:tcW w:w="3891" w:type="pct"/>
            <w:gridSpan w:val="3"/>
            <w:tcMar>
              <w:top w:w="113" w:type="dxa"/>
              <w:left w:w="108" w:type="dxa"/>
              <w:bottom w:w="57" w:type="dxa"/>
              <w:right w:w="108" w:type="dxa"/>
            </w:tcMar>
            <w:vAlign w:val="center"/>
          </w:tcPr>
          <w:p w14:paraId="7E8A8910">
            <w:pPr>
              <w:pStyle w:val="3"/>
              <w:spacing w:line="332" w:lineRule="auto"/>
              <w:ind w:firstLine="420"/>
              <w:rPr>
                <w:color w:val="auto"/>
                <w:sz w:val="21"/>
                <w:highlight w:val="none"/>
              </w:rPr>
            </w:pPr>
            <w:r>
              <w:rPr>
                <w:rFonts w:hint="eastAsia"/>
                <w:color w:val="auto"/>
                <w:sz w:val="21"/>
                <w:highlight w:val="none"/>
              </w:rPr>
              <w:t>1、《新疆维吾尔自治区矿产资源总体规划（2021-2025年）》；</w:t>
            </w:r>
          </w:p>
          <w:p w14:paraId="23B93941">
            <w:pPr>
              <w:pStyle w:val="3"/>
              <w:spacing w:line="332" w:lineRule="auto"/>
              <w:ind w:firstLine="420"/>
              <w:rPr>
                <w:color w:val="auto"/>
                <w:sz w:val="21"/>
                <w:highlight w:val="none"/>
              </w:rPr>
            </w:pPr>
            <w:r>
              <w:rPr>
                <w:rFonts w:hint="eastAsia"/>
                <w:color w:val="auto"/>
                <w:sz w:val="21"/>
                <w:highlight w:val="none"/>
              </w:rPr>
              <w:t>2、《新疆维吾尔自治区昌吉回族自治州矿产资源总体规划（2021-2025年）》。</w:t>
            </w:r>
          </w:p>
        </w:tc>
      </w:tr>
      <w:tr w14:paraId="73AF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tcMar>
              <w:top w:w="113" w:type="dxa"/>
              <w:left w:w="108" w:type="dxa"/>
              <w:bottom w:w="113" w:type="dxa"/>
              <w:right w:w="108" w:type="dxa"/>
            </w:tcMar>
            <w:vAlign w:val="center"/>
          </w:tcPr>
          <w:p w14:paraId="1B3ABE1D">
            <w:pPr>
              <w:pStyle w:val="3"/>
              <w:spacing w:line="240" w:lineRule="auto"/>
              <w:ind w:firstLine="0" w:firstLineChars="0"/>
              <w:jc w:val="center"/>
              <w:rPr>
                <w:color w:val="auto"/>
                <w:sz w:val="21"/>
                <w:highlight w:val="none"/>
              </w:rPr>
            </w:pPr>
            <w:r>
              <w:rPr>
                <w:rFonts w:hint="eastAsia"/>
                <w:color w:val="auto"/>
                <w:sz w:val="21"/>
                <w:highlight w:val="none"/>
              </w:rPr>
              <w:t>规划环境影响</w:t>
            </w:r>
          </w:p>
          <w:p w14:paraId="379C2318">
            <w:pPr>
              <w:pStyle w:val="3"/>
              <w:spacing w:line="240" w:lineRule="auto"/>
              <w:ind w:firstLine="0" w:firstLineChars="0"/>
              <w:jc w:val="center"/>
              <w:rPr>
                <w:color w:val="auto"/>
                <w:sz w:val="21"/>
                <w:highlight w:val="none"/>
              </w:rPr>
            </w:pPr>
            <w:r>
              <w:rPr>
                <w:rFonts w:hint="eastAsia"/>
                <w:color w:val="auto"/>
                <w:sz w:val="21"/>
                <w:highlight w:val="none"/>
              </w:rPr>
              <w:t>评价情况</w:t>
            </w:r>
          </w:p>
        </w:tc>
        <w:tc>
          <w:tcPr>
            <w:tcW w:w="3891" w:type="pct"/>
            <w:gridSpan w:val="3"/>
            <w:tcMar>
              <w:top w:w="113" w:type="dxa"/>
              <w:left w:w="108" w:type="dxa"/>
              <w:bottom w:w="57" w:type="dxa"/>
              <w:right w:w="108" w:type="dxa"/>
            </w:tcMar>
            <w:vAlign w:val="center"/>
          </w:tcPr>
          <w:p w14:paraId="7BFB3146">
            <w:pPr>
              <w:pStyle w:val="3"/>
              <w:spacing w:line="332" w:lineRule="auto"/>
              <w:ind w:firstLine="420"/>
              <w:rPr>
                <w:color w:val="auto"/>
                <w:sz w:val="21"/>
                <w:highlight w:val="none"/>
              </w:rPr>
            </w:pPr>
            <w:r>
              <w:rPr>
                <w:rFonts w:hint="eastAsia"/>
                <w:color w:val="auto"/>
                <w:sz w:val="21"/>
                <w:highlight w:val="none"/>
              </w:rPr>
              <w:t>1、规划环评文件名称：《新疆维吾尔自治区矿产资源总体规划（2021-2025年）环境影响报告书》；</w:t>
            </w:r>
          </w:p>
          <w:p w14:paraId="6E9E374C">
            <w:pPr>
              <w:pStyle w:val="3"/>
              <w:spacing w:line="332" w:lineRule="auto"/>
              <w:ind w:firstLine="420"/>
              <w:rPr>
                <w:color w:val="auto"/>
                <w:sz w:val="21"/>
                <w:highlight w:val="none"/>
              </w:rPr>
            </w:pPr>
            <w:r>
              <w:rPr>
                <w:rFonts w:hint="eastAsia"/>
                <w:color w:val="auto"/>
                <w:sz w:val="21"/>
                <w:highlight w:val="none"/>
              </w:rPr>
              <w:t>审查机关：中华人民共和国生态环境部；</w:t>
            </w:r>
          </w:p>
          <w:p w14:paraId="46BC5BF7">
            <w:pPr>
              <w:pStyle w:val="3"/>
              <w:spacing w:line="332" w:lineRule="auto"/>
              <w:ind w:firstLine="420"/>
              <w:rPr>
                <w:color w:val="auto"/>
                <w:sz w:val="21"/>
                <w:highlight w:val="none"/>
              </w:rPr>
            </w:pPr>
            <w:r>
              <w:rPr>
                <w:rFonts w:hint="eastAsia"/>
                <w:color w:val="auto"/>
                <w:sz w:val="21"/>
                <w:highlight w:val="none"/>
              </w:rPr>
              <w:t>审查文件名称及文号：《关于〈新疆维吾尔自治区矿产资源总体规划（2021-2025年）环境影响报告书〉的审查意见》（环审[2022]124号）。</w:t>
            </w:r>
          </w:p>
          <w:p w14:paraId="4320E839">
            <w:pPr>
              <w:pStyle w:val="3"/>
              <w:spacing w:line="332" w:lineRule="auto"/>
              <w:ind w:firstLine="420"/>
              <w:rPr>
                <w:color w:val="auto"/>
                <w:sz w:val="21"/>
                <w:highlight w:val="none"/>
              </w:rPr>
            </w:pPr>
            <w:r>
              <w:rPr>
                <w:rFonts w:hint="eastAsia"/>
                <w:color w:val="auto"/>
                <w:sz w:val="21"/>
                <w:highlight w:val="none"/>
              </w:rPr>
              <w:t>2、规划环评文件名称：《新疆维吾尔自治区昌吉回族自治州矿产资源总体规划（2021-2025年）环境影响报告书》；</w:t>
            </w:r>
          </w:p>
          <w:p w14:paraId="6079B636">
            <w:pPr>
              <w:pStyle w:val="3"/>
              <w:spacing w:line="332" w:lineRule="auto"/>
              <w:ind w:firstLine="420"/>
              <w:rPr>
                <w:color w:val="auto"/>
                <w:sz w:val="21"/>
                <w:highlight w:val="none"/>
              </w:rPr>
            </w:pPr>
            <w:r>
              <w:rPr>
                <w:rFonts w:hint="eastAsia"/>
                <w:color w:val="auto"/>
                <w:sz w:val="21"/>
                <w:highlight w:val="none"/>
              </w:rPr>
              <w:t>审查机关：昌吉回族自治州生态环境局；</w:t>
            </w:r>
          </w:p>
          <w:p w14:paraId="385017D9">
            <w:pPr>
              <w:pStyle w:val="3"/>
              <w:spacing w:line="332" w:lineRule="auto"/>
              <w:ind w:firstLine="420"/>
              <w:rPr>
                <w:color w:val="auto"/>
                <w:sz w:val="21"/>
                <w:highlight w:val="none"/>
              </w:rPr>
            </w:pPr>
            <w:r>
              <w:rPr>
                <w:rFonts w:hint="eastAsia"/>
                <w:color w:val="auto"/>
                <w:sz w:val="21"/>
                <w:highlight w:val="none"/>
              </w:rPr>
              <w:t>审查文件名称及文号：《关于〈新疆维吾尔自治区昌吉回族自治州矿产资源总体规划（2021-2025年）环境影响报告书〉的审查意见》（昌州环函[2023]40号）。</w:t>
            </w:r>
          </w:p>
        </w:tc>
      </w:tr>
      <w:tr w14:paraId="46B7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4" w:type="pct"/>
            <w:tcMar>
              <w:top w:w="113" w:type="dxa"/>
              <w:bottom w:w="113" w:type="dxa"/>
            </w:tcMar>
            <w:vAlign w:val="center"/>
          </w:tcPr>
          <w:p w14:paraId="3833647E">
            <w:pPr>
              <w:pStyle w:val="3"/>
              <w:spacing w:line="240" w:lineRule="auto"/>
              <w:ind w:firstLine="0" w:firstLineChars="0"/>
              <w:jc w:val="center"/>
              <w:rPr>
                <w:color w:val="auto"/>
                <w:sz w:val="21"/>
                <w:highlight w:val="none"/>
              </w:rPr>
            </w:pPr>
            <w:r>
              <w:rPr>
                <w:rFonts w:hint="eastAsia"/>
                <w:color w:val="auto"/>
                <w:sz w:val="21"/>
                <w:highlight w:val="none"/>
              </w:rPr>
              <w:t>规</w:t>
            </w:r>
          </w:p>
          <w:p w14:paraId="26A307AC">
            <w:pPr>
              <w:pStyle w:val="3"/>
              <w:spacing w:line="240" w:lineRule="auto"/>
              <w:ind w:firstLine="0" w:firstLineChars="0"/>
              <w:jc w:val="center"/>
              <w:rPr>
                <w:color w:val="auto"/>
                <w:sz w:val="21"/>
                <w:highlight w:val="none"/>
              </w:rPr>
            </w:pPr>
            <w:r>
              <w:rPr>
                <w:rFonts w:hint="eastAsia"/>
                <w:color w:val="auto"/>
                <w:sz w:val="21"/>
                <w:highlight w:val="none"/>
              </w:rPr>
              <w:t>划</w:t>
            </w:r>
          </w:p>
          <w:p w14:paraId="576A196A">
            <w:pPr>
              <w:pStyle w:val="3"/>
              <w:spacing w:line="240" w:lineRule="auto"/>
              <w:ind w:firstLine="0" w:firstLineChars="0"/>
              <w:jc w:val="center"/>
              <w:rPr>
                <w:color w:val="auto"/>
                <w:sz w:val="21"/>
                <w:highlight w:val="none"/>
              </w:rPr>
            </w:pPr>
            <w:r>
              <w:rPr>
                <w:rFonts w:hint="eastAsia"/>
                <w:color w:val="auto"/>
                <w:sz w:val="21"/>
                <w:highlight w:val="none"/>
              </w:rPr>
              <w:t>及</w:t>
            </w:r>
          </w:p>
          <w:p w14:paraId="1C5DDFBC">
            <w:pPr>
              <w:pStyle w:val="3"/>
              <w:spacing w:line="240" w:lineRule="auto"/>
              <w:ind w:firstLine="0" w:firstLineChars="0"/>
              <w:jc w:val="center"/>
              <w:rPr>
                <w:color w:val="auto"/>
                <w:sz w:val="21"/>
                <w:highlight w:val="none"/>
              </w:rPr>
            </w:pPr>
            <w:r>
              <w:rPr>
                <w:rFonts w:hint="eastAsia"/>
                <w:color w:val="auto"/>
                <w:sz w:val="21"/>
                <w:highlight w:val="none"/>
              </w:rPr>
              <w:t>规</w:t>
            </w:r>
          </w:p>
          <w:p w14:paraId="585CFC2C">
            <w:pPr>
              <w:pStyle w:val="3"/>
              <w:spacing w:line="240" w:lineRule="auto"/>
              <w:ind w:firstLine="0" w:firstLineChars="0"/>
              <w:jc w:val="center"/>
              <w:rPr>
                <w:color w:val="auto"/>
                <w:sz w:val="21"/>
                <w:highlight w:val="none"/>
              </w:rPr>
            </w:pPr>
            <w:r>
              <w:rPr>
                <w:rFonts w:hint="eastAsia"/>
                <w:color w:val="auto"/>
                <w:sz w:val="21"/>
                <w:highlight w:val="none"/>
              </w:rPr>
              <w:t>划</w:t>
            </w:r>
          </w:p>
          <w:p w14:paraId="02430BC4">
            <w:pPr>
              <w:pStyle w:val="3"/>
              <w:spacing w:line="240" w:lineRule="auto"/>
              <w:ind w:firstLine="0" w:firstLineChars="0"/>
              <w:jc w:val="center"/>
              <w:rPr>
                <w:color w:val="auto"/>
                <w:sz w:val="21"/>
                <w:highlight w:val="none"/>
              </w:rPr>
            </w:pPr>
            <w:r>
              <w:rPr>
                <w:rFonts w:hint="eastAsia"/>
                <w:color w:val="auto"/>
                <w:sz w:val="21"/>
                <w:highlight w:val="none"/>
              </w:rPr>
              <w:t>环</w:t>
            </w:r>
          </w:p>
          <w:p w14:paraId="61270145">
            <w:pPr>
              <w:pStyle w:val="3"/>
              <w:spacing w:line="240" w:lineRule="auto"/>
              <w:ind w:firstLine="0" w:firstLineChars="0"/>
              <w:jc w:val="center"/>
              <w:rPr>
                <w:color w:val="auto"/>
                <w:sz w:val="21"/>
                <w:highlight w:val="none"/>
              </w:rPr>
            </w:pPr>
            <w:r>
              <w:rPr>
                <w:rFonts w:hint="eastAsia"/>
                <w:color w:val="auto"/>
                <w:sz w:val="21"/>
                <w:highlight w:val="none"/>
              </w:rPr>
              <w:t>境</w:t>
            </w:r>
          </w:p>
          <w:p w14:paraId="30688E35">
            <w:pPr>
              <w:pStyle w:val="3"/>
              <w:spacing w:line="240" w:lineRule="auto"/>
              <w:ind w:firstLine="0" w:firstLineChars="0"/>
              <w:jc w:val="center"/>
              <w:rPr>
                <w:color w:val="auto"/>
                <w:sz w:val="21"/>
                <w:highlight w:val="none"/>
              </w:rPr>
            </w:pPr>
            <w:r>
              <w:rPr>
                <w:rFonts w:hint="eastAsia"/>
                <w:color w:val="auto"/>
                <w:sz w:val="21"/>
                <w:highlight w:val="none"/>
              </w:rPr>
              <w:t>影</w:t>
            </w:r>
          </w:p>
          <w:p w14:paraId="36246571">
            <w:pPr>
              <w:pStyle w:val="3"/>
              <w:spacing w:line="240" w:lineRule="auto"/>
              <w:ind w:firstLine="0" w:firstLineChars="0"/>
              <w:jc w:val="center"/>
              <w:rPr>
                <w:color w:val="auto"/>
                <w:sz w:val="21"/>
                <w:highlight w:val="none"/>
              </w:rPr>
            </w:pPr>
            <w:r>
              <w:rPr>
                <w:rFonts w:hint="eastAsia"/>
                <w:color w:val="auto"/>
                <w:sz w:val="21"/>
                <w:highlight w:val="none"/>
              </w:rPr>
              <w:t>响</w:t>
            </w:r>
          </w:p>
          <w:p w14:paraId="2D545FE4">
            <w:pPr>
              <w:pStyle w:val="3"/>
              <w:spacing w:line="240" w:lineRule="auto"/>
              <w:ind w:firstLine="0" w:firstLineChars="0"/>
              <w:jc w:val="center"/>
              <w:rPr>
                <w:color w:val="auto"/>
                <w:sz w:val="21"/>
                <w:highlight w:val="none"/>
              </w:rPr>
            </w:pPr>
            <w:r>
              <w:rPr>
                <w:rFonts w:hint="eastAsia"/>
                <w:color w:val="auto"/>
                <w:sz w:val="21"/>
                <w:highlight w:val="none"/>
              </w:rPr>
              <w:t>评</w:t>
            </w:r>
          </w:p>
          <w:p w14:paraId="18EF7E61">
            <w:pPr>
              <w:pStyle w:val="3"/>
              <w:spacing w:line="240" w:lineRule="auto"/>
              <w:ind w:firstLine="0" w:firstLineChars="0"/>
              <w:jc w:val="center"/>
              <w:rPr>
                <w:color w:val="auto"/>
                <w:sz w:val="21"/>
                <w:highlight w:val="none"/>
              </w:rPr>
            </w:pPr>
            <w:r>
              <w:rPr>
                <w:rFonts w:hint="eastAsia"/>
                <w:color w:val="auto"/>
                <w:sz w:val="21"/>
                <w:highlight w:val="none"/>
              </w:rPr>
              <w:t>价</w:t>
            </w:r>
          </w:p>
          <w:p w14:paraId="36D00CD5">
            <w:pPr>
              <w:pStyle w:val="3"/>
              <w:spacing w:line="240" w:lineRule="auto"/>
              <w:ind w:firstLine="0" w:firstLineChars="0"/>
              <w:jc w:val="center"/>
              <w:rPr>
                <w:color w:val="auto"/>
                <w:sz w:val="21"/>
                <w:highlight w:val="none"/>
              </w:rPr>
            </w:pPr>
            <w:r>
              <w:rPr>
                <w:rFonts w:hint="eastAsia"/>
                <w:color w:val="auto"/>
                <w:sz w:val="21"/>
                <w:highlight w:val="none"/>
              </w:rPr>
              <w:t>符</w:t>
            </w:r>
          </w:p>
          <w:p w14:paraId="668906B1">
            <w:pPr>
              <w:pStyle w:val="3"/>
              <w:spacing w:line="240" w:lineRule="auto"/>
              <w:ind w:firstLine="0" w:firstLineChars="0"/>
              <w:jc w:val="center"/>
              <w:rPr>
                <w:color w:val="auto"/>
                <w:sz w:val="21"/>
                <w:highlight w:val="none"/>
              </w:rPr>
            </w:pPr>
            <w:r>
              <w:rPr>
                <w:rFonts w:hint="eastAsia"/>
                <w:color w:val="auto"/>
                <w:sz w:val="21"/>
                <w:highlight w:val="none"/>
              </w:rPr>
              <w:t>合</w:t>
            </w:r>
          </w:p>
          <w:p w14:paraId="31D2A0CC">
            <w:pPr>
              <w:pStyle w:val="3"/>
              <w:spacing w:line="240" w:lineRule="auto"/>
              <w:ind w:firstLine="0" w:firstLineChars="0"/>
              <w:jc w:val="center"/>
              <w:rPr>
                <w:color w:val="auto"/>
                <w:sz w:val="21"/>
                <w:highlight w:val="none"/>
              </w:rPr>
            </w:pPr>
            <w:r>
              <w:rPr>
                <w:rFonts w:hint="eastAsia"/>
                <w:color w:val="auto"/>
                <w:sz w:val="21"/>
                <w:highlight w:val="none"/>
              </w:rPr>
              <w:t>性</w:t>
            </w:r>
          </w:p>
          <w:p w14:paraId="786F8C8B">
            <w:pPr>
              <w:pStyle w:val="3"/>
              <w:spacing w:line="240" w:lineRule="auto"/>
              <w:ind w:firstLine="0" w:firstLineChars="0"/>
              <w:jc w:val="center"/>
              <w:rPr>
                <w:color w:val="auto"/>
                <w:sz w:val="21"/>
                <w:highlight w:val="none"/>
              </w:rPr>
            </w:pPr>
            <w:r>
              <w:rPr>
                <w:rFonts w:hint="eastAsia"/>
                <w:color w:val="auto"/>
                <w:sz w:val="21"/>
                <w:highlight w:val="none"/>
              </w:rPr>
              <w:t>分</w:t>
            </w:r>
          </w:p>
          <w:p w14:paraId="6A6FB9EA">
            <w:pPr>
              <w:pStyle w:val="3"/>
              <w:spacing w:line="240" w:lineRule="auto"/>
              <w:ind w:firstLine="0" w:firstLineChars="0"/>
              <w:jc w:val="center"/>
              <w:rPr>
                <w:color w:val="auto"/>
                <w:sz w:val="21"/>
                <w:highlight w:val="none"/>
              </w:rPr>
            </w:pPr>
            <w:r>
              <w:rPr>
                <w:rFonts w:hint="eastAsia"/>
                <w:color w:val="auto"/>
                <w:sz w:val="21"/>
                <w:highlight w:val="none"/>
              </w:rPr>
              <w:t>析</w:t>
            </w:r>
          </w:p>
        </w:tc>
        <w:tc>
          <w:tcPr>
            <w:tcW w:w="4485" w:type="pct"/>
            <w:gridSpan w:val="4"/>
            <w:tcMar>
              <w:top w:w="170" w:type="dxa"/>
              <w:left w:w="108" w:type="dxa"/>
              <w:bottom w:w="113" w:type="dxa"/>
              <w:right w:w="108" w:type="dxa"/>
            </w:tcMar>
            <w:vAlign w:val="center"/>
          </w:tcPr>
          <w:p w14:paraId="5B3C24F1">
            <w:pPr>
              <w:pStyle w:val="3"/>
              <w:numPr>
                <w:ilvl w:val="0"/>
                <w:numId w:val="7"/>
              </w:numPr>
              <w:ind w:firstLine="420"/>
              <w:rPr>
                <w:color w:val="auto"/>
                <w:sz w:val="21"/>
                <w:highlight w:val="none"/>
              </w:rPr>
            </w:pPr>
            <w:r>
              <w:rPr>
                <w:rFonts w:hint="eastAsia"/>
                <w:color w:val="auto"/>
                <w:sz w:val="21"/>
                <w:highlight w:val="none"/>
              </w:rPr>
              <w:t>与《新疆维吾尔自治区矿产资源总体规划》（2021-2025）符合性分析</w:t>
            </w:r>
          </w:p>
          <w:p w14:paraId="2D6210B6">
            <w:pPr>
              <w:pStyle w:val="3"/>
              <w:ind w:firstLine="420"/>
              <w:rPr>
                <w:color w:val="auto"/>
                <w:sz w:val="21"/>
                <w:highlight w:val="none"/>
              </w:rPr>
            </w:pPr>
            <w:r>
              <w:rPr>
                <w:rFonts w:hint="eastAsia"/>
                <w:color w:val="auto"/>
                <w:sz w:val="21"/>
                <w:highlight w:val="none"/>
              </w:rPr>
              <w:t>《规划》中指出“围绕新疆‘三屏两环多廊’的生态安全格局，坚持矿产资源开发与资源环境承载力相匹配，做好与国家和新疆区域发展战略及主体功能区的衔接，执行国土空间三条控制线内矿业活动管控要求，探索对三条控制线内、建设项目压覆、政策性关闭矿山的矿产资源保护与储备。落实生态环境准入清单，严格矿产资源开发禁止和限制的环境准入要求。坚守环境质量底线，加强矿产资源开发管控，合理调控全区矿产资源开发利用总量、强度，提高矿产资源利用效率。依据矿产资源分布特点及勘查开发利用现状，按照‘深化北疆东疆，加快南疆勘查开发’的总体思路，划分环准噶尔、环塔里木、阿尔泰、东准噶尔、西准噶尔、东天山、西天山、西南天山、西昆仑、东昆仑—阿尔金等‘两环八带’十个勘查开发区”。</w:t>
            </w:r>
          </w:p>
          <w:p w14:paraId="2627E3D2">
            <w:pPr>
              <w:pStyle w:val="3"/>
              <w:ind w:firstLine="420"/>
              <w:rPr>
                <w:color w:val="auto"/>
                <w:sz w:val="21"/>
                <w:highlight w:val="none"/>
              </w:rPr>
            </w:pPr>
            <w:r>
              <w:rPr>
                <w:rFonts w:hint="eastAsia"/>
                <w:color w:val="auto"/>
                <w:sz w:val="21"/>
                <w:highlight w:val="none"/>
              </w:rPr>
              <w:t>本项目为陆地矿产资源地质勘查（油气资源勘探）项目，项目临时占地只在短期内改变土地利用类型和植被现状，施工结束后将对临时占用土地进行地貌恢复，即可恢复为原有土地利用类型。根据“两环八带”勘察开发布局，本项目属于</w:t>
            </w:r>
            <w:r>
              <w:rPr>
                <w:rFonts w:hint="eastAsia" w:cs="宋体"/>
                <w:color w:val="auto"/>
                <w:sz w:val="21"/>
                <w:szCs w:val="21"/>
                <w:highlight w:val="none"/>
                <w:shd w:val="clear" w:color="auto" w:fill="FFFFFF"/>
              </w:rPr>
              <w:t>环准噶尔能源矿产勘查开发区</w:t>
            </w:r>
            <w:r>
              <w:rPr>
                <w:rFonts w:hint="eastAsia"/>
                <w:color w:val="auto"/>
                <w:sz w:val="21"/>
                <w:highlight w:val="none"/>
              </w:rPr>
              <w:t>。本项目的建设符合《新疆维吾尔自治区矿产资源总体规划（2021-2025年）》要求。</w:t>
            </w:r>
          </w:p>
          <w:p w14:paraId="635BB0A0">
            <w:pPr>
              <w:pStyle w:val="3"/>
              <w:numPr>
                <w:ilvl w:val="0"/>
                <w:numId w:val="7"/>
              </w:numPr>
              <w:ind w:firstLine="420"/>
              <w:rPr>
                <w:color w:val="auto"/>
                <w:sz w:val="21"/>
                <w:highlight w:val="none"/>
              </w:rPr>
            </w:pPr>
            <w:r>
              <w:rPr>
                <w:rFonts w:hint="eastAsia"/>
                <w:color w:val="auto"/>
                <w:sz w:val="21"/>
                <w:highlight w:val="none"/>
              </w:rPr>
              <w:t>与《新疆维吾尔自治区昌吉回族自治州矿产资源总体规划（2021-2025年）》的符合性分析</w:t>
            </w:r>
          </w:p>
          <w:p w14:paraId="4F93D2F3">
            <w:pPr>
              <w:pStyle w:val="3"/>
              <w:ind w:firstLine="420"/>
              <w:rPr>
                <w:color w:val="auto"/>
                <w:sz w:val="21"/>
                <w:highlight w:val="none"/>
              </w:rPr>
            </w:pPr>
            <w:r>
              <w:rPr>
                <w:rFonts w:hint="eastAsia"/>
                <w:color w:val="auto"/>
                <w:sz w:val="21"/>
                <w:highlight w:val="none"/>
              </w:rPr>
              <w:t>《规划》将石油、天然气列为鼓励勘查开采的矿种。以油气、煤、地热、硅质原料、饰面石材等矿产资源勘查开发为主，重点加强准噶尔南缘、准东冲断带等地区石油、天然气、页岩气等常规能源勘查，有序开发准东、准南等地区煤炭、煤层气资源，延伸煤炭产业链，推进煤电煤化工一体化等综合资源开发，助力天山北坡城市群经济高质量发展。</w:t>
            </w:r>
          </w:p>
          <w:p w14:paraId="75109289">
            <w:pPr>
              <w:pStyle w:val="3"/>
              <w:ind w:firstLine="420"/>
              <w:rPr>
                <w:color w:val="auto"/>
                <w:sz w:val="21"/>
                <w:highlight w:val="none"/>
              </w:rPr>
            </w:pPr>
            <w:r>
              <w:rPr>
                <w:rFonts w:hint="eastAsia"/>
                <w:color w:val="auto"/>
                <w:sz w:val="21"/>
                <w:highlight w:val="none"/>
              </w:rPr>
              <w:t>本项目属于陆地石油天然气勘查行业，符合规划相关要求。项目占地范围内不涉及自然保护区、水源保护区、风景名胜区、城市规划区、居民密集区、重要水工设施、高速公路、铁路、永久基本农田等；施工期采取了严格的生态保护和修复措施。施工期产生的“三废”、噪声及生态影响均提出了相应的治理或减缓措施，符合规划环评的相关要求。</w:t>
            </w:r>
          </w:p>
          <w:p w14:paraId="17D27EF1">
            <w:pPr>
              <w:pStyle w:val="3"/>
              <w:numPr>
                <w:ilvl w:val="0"/>
                <w:numId w:val="7"/>
              </w:numPr>
              <w:ind w:firstLine="420"/>
              <w:rPr>
                <w:color w:val="auto"/>
                <w:sz w:val="21"/>
                <w:highlight w:val="none"/>
              </w:rPr>
            </w:pPr>
            <w:r>
              <w:rPr>
                <w:rFonts w:hint="eastAsia"/>
                <w:color w:val="auto"/>
                <w:sz w:val="21"/>
                <w:highlight w:val="none"/>
              </w:rPr>
              <w:t>与《新疆维吾尔自治区矿产资源总体规划（2021-2025年）环境影响报告书》及审查意见的符合性分析</w:t>
            </w:r>
          </w:p>
          <w:p w14:paraId="015CB00F">
            <w:pPr>
              <w:pStyle w:val="3"/>
              <w:ind w:firstLine="420"/>
              <w:rPr>
                <w:color w:val="auto"/>
                <w:sz w:val="21"/>
                <w:highlight w:val="none"/>
              </w:rPr>
            </w:pPr>
            <w:r>
              <w:rPr>
                <w:rFonts w:hint="eastAsia"/>
                <w:color w:val="auto"/>
                <w:sz w:val="21"/>
                <w:highlight w:val="none"/>
              </w:rPr>
              <w:t>本项目与《新疆维吾尔自治区矿产资源总体规划（2021-2025年）环境影响报告书》及审查意见的符合性分析见</w:t>
            </w:r>
            <w:r>
              <w:rPr>
                <w:color w:val="auto"/>
                <w:highlight w:val="none"/>
              </w:rPr>
              <w:fldChar w:fldCharType="begin"/>
            </w:r>
            <w:r>
              <w:rPr>
                <w:color w:val="auto"/>
                <w:highlight w:val="none"/>
              </w:rPr>
              <w:instrText xml:space="preserve"> REF _Ref902936328  \* MERGEFORMAT</w:instrText>
            </w:r>
            <w:r>
              <w:rPr>
                <w:color w:val="auto"/>
                <w:highlight w:val="none"/>
              </w:rPr>
              <w:fldChar w:fldCharType="separate"/>
            </w:r>
            <w:r>
              <w:rPr>
                <w:color w:val="auto"/>
                <w:sz w:val="21"/>
                <w:highlight w:val="none"/>
              </w:rPr>
              <w:t>表1</w:t>
            </w:r>
            <w:r>
              <w:rPr>
                <w:color w:val="auto"/>
                <w:sz w:val="21"/>
                <w:highlight w:val="none"/>
              </w:rPr>
              <w:fldChar w:fldCharType="end"/>
            </w:r>
            <w:r>
              <w:rPr>
                <w:rFonts w:hint="eastAsia"/>
                <w:color w:val="auto"/>
                <w:sz w:val="21"/>
                <w:highlight w:val="none"/>
              </w:rPr>
              <w:t>。</w:t>
            </w:r>
          </w:p>
          <w:p w14:paraId="741E73DA">
            <w:pPr>
              <w:pStyle w:val="13"/>
              <w:bidi w:val="0"/>
              <w:rPr>
                <w:color w:val="auto"/>
                <w:highlight w:val="none"/>
              </w:rPr>
            </w:pPr>
            <w:bookmarkStart w:id="2" w:name="_Ref902936328"/>
            <w:r>
              <w:rPr>
                <w:color w:val="auto"/>
                <w:highlight w:val="none"/>
              </w:rPr>
              <w:t>表</w:t>
            </w:r>
            <w:r>
              <w:rPr>
                <w:color w:val="auto"/>
                <w:highlight w:val="none"/>
              </w:rPr>
              <w:fldChar w:fldCharType="begin"/>
            </w:r>
            <w:r>
              <w:rPr>
                <w:color w:val="auto"/>
                <w:highlight w:val="none"/>
              </w:rPr>
              <w:instrText xml:space="preserve"> SEQ 表 \*ARABIC </w:instrText>
            </w:r>
            <w:r>
              <w:rPr>
                <w:color w:val="auto"/>
                <w:highlight w:val="none"/>
              </w:rPr>
              <w:fldChar w:fldCharType="separate"/>
            </w:r>
            <w:r>
              <w:rPr>
                <w:color w:val="auto"/>
                <w:highlight w:val="none"/>
              </w:rPr>
              <w:t>1</w:t>
            </w:r>
            <w:r>
              <w:rPr>
                <w:color w:val="auto"/>
                <w:highlight w:val="none"/>
              </w:rPr>
              <w:fldChar w:fldCharType="end"/>
            </w:r>
            <w:bookmarkEnd w:id="2"/>
            <w:r>
              <w:rPr>
                <w:color w:val="auto"/>
                <w:highlight w:val="none"/>
              </w:rPr>
              <w:t xml:space="preserve">  </w:t>
            </w:r>
            <w:r>
              <w:rPr>
                <w:rFonts w:hint="eastAsia"/>
                <w:color w:val="auto"/>
                <w:highlight w:val="none"/>
              </w:rPr>
              <w:t>与《新疆维吾尔自治区矿产资源总体规划（2021-2025 年）环境影响报告书》及审查意见的相符性分析</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22"/>
              <w:gridCol w:w="1637"/>
              <w:gridCol w:w="766"/>
            </w:tblGrid>
            <w:tr w14:paraId="0F2B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2" w:type="dxa"/>
                  <w:tcMar>
                    <w:top w:w="57" w:type="dxa"/>
                    <w:left w:w="108" w:type="dxa"/>
                    <w:bottom w:w="57" w:type="dxa"/>
                    <w:right w:w="108" w:type="dxa"/>
                  </w:tcMar>
                  <w:vAlign w:val="center"/>
                </w:tcPr>
                <w:p w14:paraId="4F4F55ED">
                  <w:pPr>
                    <w:pStyle w:val="97"/>
                    <w:rPr>
                      <w:color w:val="auto"/>
                      <w:sz w:val="18"/>
                      <w:szCs w:val="18"/>
                      <w:highlight w:val="none"/>
                    </w:rPr>
                  </w:pPr>
                  <w:r>
                    <w:rPr>
                      <w:rFonts w:hint="eastAsia"/>
                      <w:color w:val="auto"/>
                      <w:sz w:val="18"/>
                      <w:szCs w:val="18"/>
                      <w:highlight w:val="none"/>
                    </w:rPr>
                    <w:t>文件要求节选</w:t>
                  </w:r>
                </w:p>
              </w:tc>
              <w:tc>
                <w:tcPr>
                  <w:tcW w:w="1719" w:type="dxa"/>
                  <w:tcMar>
                    <w:top w:w="57" w:type="dxa"/>
                    <w:left w:w="108" w:type="dxa"/>
                    <w:bottom w:w="57" w:type="dxa"/>
                    <w:right w:w="108" w:type="dxa"/>
                  </w:tcMar>
                  <w:vAlign w:val="center"/>
                </w:tcPr>
                <w:p w14:paraId="31A035F2">
                  <w:pPr>
                    <w:pStyle w:val="97"/>
                    <w:rPr>
                      <w:color w:val="auto"/>
                      <w:sz w:val="18"/>
                      <w:szCs w:val="18"/>
                      <w:highlight w:val="none"/>
                    </w:rPr>
                  </w:pPr>
                  <w:r>
                    <w:rPr>
                      <w:rFonts w:hint="eastAsia"/>
                      <w:color w:val="auto"/>
                      <w:sz w:val="18"/>
                      <w:szCs w:val="18"/>
                      <w:highlight w:val="none"/>
                    </w:rPr>
                    <w:t>本项目情况</w:t>
                  </w:r>
                </w:p>
              </w:tc>
              <w:tc>
                <w:tcPr>
                  <w:tcW w:w="795" w:type="dxa"/>
                  <w:tcMar>
                    <w:top w:w="57" w:type="dxa"/>
                    <w:left w:w="108" w:type="dxa"/>
                    <w:bottom w:w="57" w:type="dxa"/>
                    <w:right w:w="108" w:type="dxa"/>
                  </w:tcMar>
                  <w:vAlign w:val="center"/>
                </w:tcPr>
                <w:p w14:paraId="6A425E60">
                  <w:pPr>
                    <w:pStyle w:val="97"/>
                    <w:rPr>
                      <w:color w:val="auto"/>
                      <w:sz w:val="18"/>
                      <w:szCs w:val="18"/>
                      <w:highlight w:val="none"/>
                    </w:rPr>
                  </w:pPr>
                  <w:r>
                    <w:rPr>
                      <w:rFonts w:hint="eastAsia"/>
                      <w:color w:val="auto"/>
                      <w:sz w:val="18"/>
                      <w:szCs w:val="18"/>
                      <w:highlight w:val="none"/>
                    </w:rPr>
                    <w:t>符合性</w:t>
                  </w:r>
                </w:p>
              </w:tc>
            </w:tr>
            <w:tr w14:paraId="7892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2" w:type="dxa"/>
                  <w:tcMar>
                    <w:top w:w="57" w:type="dxa"/>
                    <w:left w:w="108" w:type="dxa"/>
                    <w:bottom w:w="57" w:type="dxa"/>
                    <w:right w:w="108" w:type="dxa"/>
                  </w:tcMar>
                  <w:vAlign w:val="center"/>
                </w:tcPr>
                <w:p w14:paraId="13845DF5">
                  <w:pPr>
                    <w:pStyle w:val="97"/>
                    <w:rPr>
                      <w:color w:val="auto"/>
                      <w:sz w:val="18"/>
                      <w:szCs w:val="18"/>
                      <w:highlight w:val="none"/>
                    </w:rPr>
                  </w:pPr>
                  <w:r>
                    <w:rPr>
                      <w:rFonts w:hint="eastAsia"/>
                      <w:color w:val="auto"/>
                      <w:sz w:val="18"/>
                      <w:szCs w:val="18"/>
                      <w:highlight w:val="none"/>
                    </w:rPr>
                    <w:t>《规划》范围新疆维吾尔自治区境内除石油、天然气、放射性矿产以外的矿产资源，规划基准年为2020年，规划期为2021年～2025年，展望到2035年。规划到2025年，全区矿山总数控制在2700个左右，大中型矿山比例达到40%，矿产资源开发总量达到10亿吨，其中煤层气年开采量2.8亿立方米、煤炭4.5亿吨、铁矿石8000万吨、锰矿矿石150万吨、铜矿石15万吨、铅锌矿石20万吨、金矿石20万吨、锂矿石2万吨、钾盐矿石2500万吨、水泥石灰岩矿石3600万吨、萤石矿石40万吨、硅质原料矿石500万吨，钨矿石执行国家下达指标。《规划》明确了环准噶尔、环塔里木、阿尔泰、东准噶尔、西准噶尔、东天山、西天山、西南天山、西昆仑、东昆仑一阿尔金等10个勘查开发区，划定重点勘查区60个，新设勘查规划区块863个，设置矿产资源重点勘查工程6个，以及划定重点开采区75个，新设开采规划区块312个，设置矿产资源开发利用重点工程6个。</w:t>
                  </w:r>
                </w:p>
              </w:tc>
              <w:tc>
                <w:tcPr>
                  <w:tcW w:w="1719" w:type="dxa"/>
                  <w:tcMar>
                    <w:top w:w="57" w:type="dxa"/>
                    <w:left w:w="108" w:type="dxa"/>
                    <w:bottom w:w="57" w:type="dxa"/>
                    <w:right w:w="108" w:type="dxa"/>
                  </w:tcMar>
                  <w:vAlign w:val="center"/>
                </w:tcPr>
                <w:p w14:paraId="58154C5B">
                  <w:pPr>
                    <w:pStyle w:val="97"/>
                    <w:rPr>
                      <w:color w:val="auto"/>
                      <w:sz w:val="18"/>
                      <w:szCs w:val="18"/>
                      <w:highlight w:val="none"/>
                    </w:rPr>
                  </w:pPr>
                  <w:r>
                    <w:rPr>
                      <w:rFonts w:hint="eastAsia"/>
                      <w:color w:val="auto"/>
                      <w:sz w:val="18"/>
                      <w:szCs w:val="18"/>
                      <w:highlight w:val="none"/>
                    </w:rPr>
                    <w:t>本项目为陆地矿产资源地质勘查（油气资源勘探）项目，根据“两环八带”勘查开发布局，本项目属于环准噶尔能源矿产勘查开发区。</w:t>
                  </w:r>
                </w:p>
              </w:tc>
              <w:tc>
                <w:tcPr>
                  <w:tcW w:w="795" w:type="dxa"/>
                  <w:tcMar>
                    <w:top w:w="57" w:type="dxa"/>
                    <w:left w:w="108" w:type="dxa"/>
                    <w:bottom w:w="57" w:type="dxa"/>
                    <w:right w:w="108" w:type="dxa"/>
                  </w:tcMar>
                  <w:vAlign w:val="center"/>
                </w:tcPr>
                <w:p w14:paraId="441F1C6B">
                  <w:pPr>
                    <w:pStyle w:val="97"/>
                    <w:rPr>
                      <w:color w:val="auto"/>
                      <w:sz w:val="18"/>
                      <w:szCs w:val="18"/>
                      <w:highlight w:val="none"/>
                    </w:rPr>
                  </w:pPr>
                  <w:r>
                    <w:rPr>
                      <w:rFonts w:hint="eastAsia"/>
                      <w:color w:val="auto"/>
                      <w:sz w:val="18"/>
                      <w:szCs w:val="18"/>
                      <w:highlight w:val="none"/>
                    </w:rPr>
                    <w:t>符合</w:t>
                  </w:r>
                </w:p>
              </w:tc>
            </w:tr>
            <w:tr w14:paraId="6189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2" w:type="dxa"/>
                  <w:tcMar>
                    <w:top w:w="57" w:type="dxa"/>
                    <w:left w:w="108" w:type="dxa"/>
                    <w:bottom w:w="57" w:type="dxa"/>
                    <w:right w:w="108" w:type="dxa"/>
                  </w:tcMar>
                  <w:vAlign w:val="center"/>
                </w:tcPr>
                <w:p w14:paraId="18285853">
                  <w:pPr>
                    <w:pStyle w:val="97"/>
                    <w:rPr>
                      <w:color w:val="auto"/>
                      <w:sz w:val="18"/>
                      <w:szCs w:val="18"/>
                      <w:highlight w:val="none"/>
                    </w:rPr>
                  </w:pPr>
                  <w:r>
                    <w:rPr>
                      <w:rFonts w:hint="eastAsia"/>
                      <w:color w:val="auto"/>
                      <w:sz w:val="18"/>
                      <w:szCs w:val="18"/>
                      <w:highlight w:val="none"/>
                    </w:rPr>
                    <w:t>（一）坚持生态优先，绿色发展。坚持以习近平生态文明思想为指导，严格落实绿水青山就是金山银山理念，立足于生态系统稳定和生态环境质量改善，处理好生态环境保护与矿产资源开发的关系，合理控制矿产资源开发规模与强度，不得占用依法应当禁止开发的区域，优先避让生态环境敏感区域。进一步强化《规划》的生态环境保护总体要求，将细化后的绿色开发、生态修复等相关目标、指标作为《规划》实施的硬约束。《规划》应严格执行国家矿产资源合理开发利用“三率”（即开采回采率、选矿回收率、综合利用率）相关要求，确保全区矿山整体“三率”水平达标率达到85%以上。优化并落实绿色矿山建设标准体系，到规划期末，全区大中型固体生产矿山基本达到绿色矿山建设水平。应进一步合理确定布局、规模、结构和开发时序，采取严格的生态保护和修复措施，确保优化后的《规划》符合绿色发展要求，推动生态环境保护与矿产资源开发目标同步实现。</w:t>
                  </w:r>
                </w:p>
              </w:tc>
              <w:tc>
                <w:tcPr>
                  <w:tcW w:w="1719" w:type="dxa"/>
                  <w:tcMar>
                    <w:top w:w="57" w:type="dxa"/>
                    <w:left w:w="108" w:type="dxa"/>
                    <w:bottom w:w="57" w:type="dxa"/>
                    <w:right w:w="108" w:type="dxa"/>
                  </w:tcMar>
                  <w:vAlign w:val="center"/>
                </w:tcPr>
                <w:p w14:paraId="5ED1219F">
                  <w:pPr>
                    <w:pStyle w:val="97"/>
                    <w:rPr>
                      <w:color w:val="auto"/>
                      <w:sz w:val="18"/>
                      <w:szCs w:val="18"/>
                      <w:highlight w:val="none"/>
                    </w:rPr>
                  </w:pPr>
                  <w:r>
                    <w:rPr>
                      <w:rFonts w:hint="eastAsia"/>
                      <w:color w:val="auto"/>
                      <w:sz w:val="18"/>
                      <w:szCs w:val="18"/>
                      <w:highlight w:val="none"/>
                    </w:rPr>
                    <w:t>本项目废气、废水、噪声、固体废物采取相应的治理措施，对实施过程中产生的生态影响采取有效的减缓措施。</w:t>
                  </w:r>
                </w:p>
              </w:tc>
              <w:tc>
                <w:tcPr>
                  <w:tcW w:w="795" w:type="dxa"/>
                  <w:tcMar>
                    <w:top w:w="57" w:type="dxa"/>
                    <w:left w:w="108" w:type="dxa"/>
                    <w:bottom w:w="57" w:type="dxa"/>
                    <w:right w:w="108" w:type="dxa"/>
                  </w:tcMar>
                  <w:vAlign w:val="center"/>
                </w:tcPr>
                <w:p w14:paraId="1803B6D1">
                  <w:pPr>
                    <w:pStyle w:val="97"/>
                    <w:rPr>
                      <w:color w:val="auto"/>
                      <w:sz w:val="18"/>
                      <w:szCs w:val="18"/>
                      <w:highlight w:val="none"/>
                    </w:rPr>
                  </w:pPr>
                  <w:r>
                    <w:rPr>
                      <w:rFonts w:hint="eastAsia"/>
                      <w:color w:val="auto"/>
                      <w:sz w:val="18"/>
                      <w:szCs w:val="18"/>
                      <w:highlight w:val="none"/>
                    </w:rPr>
                    <w:t>符合</w:t>
                  </w:r>
                </w:p>
              </w:tc>
            </w:tr>
            <w:tr w14:paraId="71D2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2" w:type="dxa"/>
                  <w:tcMar>
                    <w:top w:w="57" w:type="dxa"/>
                    <w:left w:w="108" w:type="dxa"/>
                    <w:bottom w:w="57" w:type="dxa"/>
                    <w:right w:w="108" w:type="dxa"/>
                  </w:tcMar>
                  <w:vAlign w:val="center"/>
                </w:tcPr>
                <w:p w14:paraId="67649DF7">
                  <w:pPr>
                    <w:pStyle w:val="97"/>
                    <w:rPr>
                      <w:color w:val="auto"/>
                      <w:sz w:val="18"/>
                      <w:szCs w:val="18"/>
                      <w:highlight w:val="none"/>
                    </w:rPr>
                  </w:pPr>
                  <w:r>
                    <w:rPr>
                      <w:rFonts w:hint="eastAsia"/>
                      <w:color w:val="auto"/>
                      <w:sz w:val="18"/>
                      <w:szCs w:val="18"/>
                      <w:highlight w:val="none"/>
                    </w:rPr>
                    <w:t>（二）严格保护生态空间，优化《规划》布局。将生态保护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p>
              </w:tc>
              <w:tc>
                <w:tcPr>
                  <w:tcW w:w="1719" w:type="dxa"/>
                  <w:tcMar>
                    <w:top w:w="57" w:type="dxa"/>
                    <w:left w:w="108" w:type="dxa"/>
                    <w:bottom w:w="57" w:type="dxa"/>
                    <w:right w:w="108" w:type="dxa"/>
                  </w:tcMar>
                  <w:vAlign w:val="center"/>
                </w:tcPr>
                <w:p w14:paraId="1A0CF1A9">
                  <w:pPr>
                    <w:pStyle w:val="97"/>
                    <w:rPr>
                      <w:color w:val="auto"/>
                      <w:sz w:val="18"/>
                      <w:szCs w:val="18"/>
                      <w:highlight w:val="none"/>
                    </w:rPr>
                  </w:pPr>
                  <w:r>
                    <w:rPr>
                      <w:rFonts w:hint="eastAsia"/>
                      <w:color w:val="auto"/>
                      <w:sz w:val="18"/>
                      <w:szCs w:val="18"/>
                      <w:highlight w:val="none"/>
                    </w:rPr>
                    <w:t>本项目选址不涉及自然保护区、森林公园、世界遗产地、生态保护红线等，满足生态环境分区管控及相关环境保护要求。</w:t>
                  </w:r>
                </w:p>
              </w:tc>
              <w:tc>
                <w:tcPr>
                  <w:tcW w:w="795" w:type="dxa"/>
                  <w:tcMar>
                    <w:top w:w="57" w:type="dxa"/>
                    <w:left w:w="108" w:type="dxa"/>
                    <w:bottom w:w="57" w:type="dxa"/>
                    <w:right w:w="108" w:type="dxa"/>
                  </w:tcMar>
                  <w:vAlign w:val="center"/>
                </w:tcPr>
                <w:p w14:paraId="7D9FAD91">
                  <w:pPr>
                    <w:pStyle w:val="97"/>
                    <w:rPr>
                      <w:color w:val="auto"/>
                      <w:sz w:val="18"/>
                      <w:szCs w:val="18"/>
                      <w:highlight w:val="none"/>
                    </w:rPr>
                  </w:pPr>
                  <w:r>
                    <w:rPr>
                      <w:rFonts w:hint="eastAsia"/>
                      <w:color w:val="auto"/>
                      <w:sz w:val="18"/>
                      <w:szCs w:val="18"/>
                      <w:highlight w:val="none"/>
                    </w:rPr>
                    <w:t>符合</w:t>
                  </w:r>
                </w:p>
              </w:tc>
            </w:tr>
            <w:tr w14:paraId="6DD7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2" w:type="dxa"/>
                  <w:tcMar>
                    <w:top w:w="57" w:type="dxa"/>
                    <w:left w:w="108" w:type="dxa"/>
                    <w:bottom w:w="57" w:type="dxa"/>
                    <w:right w:w="108" w:type="dxa"/>
                  </w:tcMar>
                  <w:vAlign w:val="center"/>
                </w:tcPr>
                <w:p w14:paraId="37042A89">
                  <w:pPr>
                    <w:pStyle w:val="97"/>
                    <w:rPr>
                      <w:color w:val="auto"/>
                      <w:sz w:val="18"/>
                      <w:szCs w:val="18"/>
                      <w:highlight w:val="none"/>
                    </w:rPr>
                  </w:pPr>
                  <w:r>
                    <w:rPr>
                      <w:rFonts w:hint="eastAsia"/>
                      <w:color w:val="auto"/>
                      <w:sz w:val="18"/>
                      <w:szCs w:val="18"/>
                      <w:highlight w:val="none"/>
                    </w:rPr>
                    <w:t>（三）严格产业准入，合理控制矿山开采种类和规模。严格落实《规划》提出的重点矿种矿山最低开采规模准入要求；进一步控制矿山总数，提高大中型矿山比例，加大低效产能压减、无效产能腾退力度，逐步关闭退出安全隐患突出、生态环境问题明显、违法违规问题多的“小弱散”矿山和未达到最低生产规模的矿山。禁止开采碑和放射性等有毒有害物质超过规定标准的煤炭，以及砂铁、汞、可耕地砖瓦用粘土等矿产；限制开采硫铁矿、砖瓦用粘土等矿产；严格控制开采钨、稀土等特定保护性矿产。严格尾矿库的新建和管理，确保符合相关要求。</w:t>
                  </w:r>
                </w:p>
              </w:tc>
              <w:tc>
                <w:tcPr>
                  <w:tcW w:w="1719" w:type="dxa"/>
                  <w:tcMar>
                    <w:top w:w="57" w:type="dxa"/>
                    <w:left w:w="108" w:type="dxa"/>
                    <w:bottom w:w="57" w:type="dxa"/>
                    <w:right w:w="108" w:type="dxa"/>
                  </w:tcMar>
                  <w:vAlign w:val="center"/>
                </w:tcPr>
                <w:p w14:paraId="35E0AC73">
                  <w:pPr>
                    <w:pStyle w:val="97"/>
                    <w:rPr>
                      <w:color w:val="auto"/>
                      <w:sz w:val="18"/>
                      <w:szCs w:val="18"/>
                      <w:highlight w:val="none"/>
                    </w:rPr>
                  </w:pPr>
                  <w:r>
                    <w:rPr>
                      <w:rFonts w:hint="eastAsia"/>
                      <w:color w:val="auto"/>
                      <w:sz w:val="18"/>
                      <w:szCs w:val="18"/>
                      <w:highlight w:val="none"/>
                    </w:rPr>
                    <w:t>本项目为陆地矿产资源地质勘查（油气资源勘探）项目，不涉及开采钨、稀土等特定保护性矿产等。</w:t>
                  </w:r>
                </w:p>
              </w:tc>
              <w:tc>
                <w:tcPr>
                  <w:tcW w:w="795" w:type="dxa"/>
                  <w:tcMar>
                    <w:top w:w="57" w:type="dxa"/>
                    <w:left w:w="108" w:type="dxa"/>
                    <w:bottom w:w="57" w:type="dxa"/>
                    <w:right w:w="108" w:type="dxa"/>
                  </w:tcMar>
                  <w:vAlign w:val="center"/>
                </w:tcPr>
                <w:p w14:paraId="07449A16">
                  <w:pPr>
                    <w:pStyle w:val="97"/>
                    <w:rPr>
                      <w:color w:val="auto"/>
                      <w:sz w:val="18"/>
                      <w:szCs w:val="18"/>
                      <w:highlight w:val="none"/>
                    </w:rPr>
                  </w:pPr>
                  <w:r>
                    <w:rPr>
                      <w:rFonts w:hint="eastAsia"/>
                      <w:color w:val="auto"/>
                      <w:sz w:val="18"/>
                      <w:szCs w:val="18"/>
                      <w:highlight w:val="none"/>
                    </w:rPr>
                    <w:t>符合</w:t>
                  </w:r>
                </w:p>
              </w:tc>
            </w:tr>
            <w:tr w14:paraId="5BDB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2" w:type="dxa"/>
                  <w:tcMar>
                    <w:top w:w="57" w:type="dxa"/>
                    <w:left w:w="108" w:type="dxa"/>
                    <w:bottom w:w="57" w:type="dxa"/>
                    <w:right w:w="108" w:type="dxa"/>
                  </w:tcMar>
                  <w:vAlign w:val="center"/>
                </w:tcPr>
                <w:p w14:paraId="12234594">
                  <w:pPr>
                    <w:pStyle w:val="97"/>
                    <w:rPr>
                      <w:color w:val="auto"/>
                      <w:sz w:val="18"/>
                      <w:szCs w:val="18"/>
                      <w:highlight w:val="none"/>
                    </w:rPr>
                  </w:pPr>
                  <w:r>
                    <w:rPr>
                      <w:rFonts w:hint="eastAsia"/>
                      <w:color w:val="auto"/>
                      <w:sz w:val="18"/>
                      <w:szCs w:val="18"/>
                      <w:highlight w:val="none"/>
                    </w:rPr>
                    <w:t>（四）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1719" w:type="dxa"/>
                  <w:tcMar>
                    <w:top w:w="57" w:type="dxa"/>
                    <w:left w:w="108" w:type="dxa"/>
                    <w:bottom w:w="57" w:type="dxa"/>
                    <w:right w:w="108" w:type="dxa"/>
                  </w:tcMar>
                  <w:vAlign w:val="center"/>
                </w:tcPr>
                <w:p w14:paraId="6E30EABF">
                  <w:pPr>
                    <w:pStyle w:val="97"/>
                    <w:rPr>
                      <w:color w:val="auto"/>
                      <w:sz w:val="18"/>
                      <w:szCs w:val="18"/>
                      <w:highlight w:val="none"/>
                    </w:rPr>
                  </w:pPr>
                  <w:r>
                    <w:rPr>
                      <w:rFonts w:hint="eastAsia"/>
                      <w:color w:val="auto"/>
                      <w:sz w:val="18"/>
                      <w:szCs w:val="18"/>
                      <w:highlight w:val="none"/>
                    </w:rPr>
                    <w:t>本项目符合昌吉回族自治州生态环境总体准入清单要求。</w:t>
                  </w:r>
                </w:p>
              </w:tc>
              <w:tc>
                <w:tcPr>
                  <w:tcW w:w="795" w:type="dxa"/>
                  <w:tcMar>
                    <w:top w:w="57" w:type="dxa"/>
                    <w:left w:w="108" w:type="dxa"/>
                    <w:bottom w:w="57" w:type="dxa"/>
                    <w:right w:w="108" w:type="dxa"/>
                  </w:tcMar>
                  <w:vAlign w:val="center"/>
                </w:tcPr>
                <w:p w14:paraId="65AA9320">
                  <w:pPr>
                    <w:pStyle w:val="97"/>
                    <w:rPr>
                      <w:color w:val="auto"/>
                      <w:sz w:val="18"/>
                      <w:szCs w:val="18"/>
                      <w:highlight w:val="none"/>
                    </w:rPr>
                  </w:pPr>
                  <w:r>
                    <w:rPr>
                      <w:rFonts w:hint="eastAsia"/>
                      <w:color w:val="auto"/>
                      <w:sz w:val="18"/>
                      <w:szCs w:val="18"/>
                      <w:highlight w:val="none"/>
                    </w:rPr>
                    <w:t>符合</w:t>
                  </w:r>
                </w:p>
              </w:tc>
            </w:tr>
            <w:tr w14:paraId="6EC9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2" w:type="dxa"/>
                  <w:tcMar>
                    <w:top w:w="57" w:type="dxa"/>
                    <w:left w:w="108" w:type="dxa"/>
                    <w:bottom w:w="57" w:type="dxa"/>
                    <w:right w:w="108" w:type="dxa"/>
                  </w:tcMar>
                  <w:vAlign w:val="center"/>
                </w:tcPr>
                <w:p w14:paraId="01B2D248">
                  <w:pPr>
                    <w:pStyle w:val="97"/>
                    <w:rPr>
                      <w:color w:val="auto"/>
                      <w:sz w:val="18"/>
                      <w:szCs w:val="18"/>
                      <w:highlight w:val="none"/>
                    </w:rPr>
                  </w:pPr>
                  <w:r>
                    <w:rPr>
                      <w:rFonts w:hint="eastAsia"/>
                      <w:color w:val="auto"/>
                      <w:sz w:val="18"/>
                      <w:szCs w:val="18"/>
                      <w:highlight w:val="none"/>
                    </w:rPr>
                    <w:t>（五）加强矿山生态修复和环境治理。结合区域生态环境质量改善目标和主要生态环境问题，分区域、分矿种确定矿山生态修复和环境治理总体要求，将目标任务分解细化到具体矿区、矿山，确保“十四五”规划期矿山生态修复治理面积不低于11000公顷。重视关闭矿山及历史遗留矿山的生态环境问题，明确污染治理、生态修复的任务、要求和完成时限。对可能造成重金属污染等环境问题的矿区，进一步优化开发方式，推进结构调整，加大治理投入。</w:t>
                  </w:r>
                </w:p>
              </w:tc>
              <w:tc>
                <w:tcPr>
                  <w:tcW w:w="1719" w:type="dxa"/>
                  <w:tcMar>
                    <w:top w:w="57" w:type="dxa"/>
                    <w:left w:w="108" w:type="dxa"/>
                    <w:bottom w:w="57" w:type="dxa"/>
                    <w:right w:w="108" w:type="dxa"/>
                  </w:tcMar>
                  <w:vAlign w:val="center"/>
                </w:tcPr>
                <w:p w14:paraId="4439B832">
                  <w:pPr>
                    <w:pStyle w:val="97"/>
                    <w:rPr>
                      <w:color w:val="auto"/>
                      <w:sz w:val="18"/>
                      <w:szCs w:val="18"/>
                      <w:highlight w:val="none"/>
                    </w:rPr>
                  </w:pPr>
                  <w:r>
                    <w:rPr>
                      <w:rFonts w:hint="eastAsia"/>
                      <w:color w:val="auto"/>
                      <w:sz w:val="18"/>
                      <w:szCs w:val="18"/>
                      <w:highlight w:val="none"/>
                    </w:rPr>
                    <w:t>本项目不涉及矿山。</w:t>
                  </w:r>
                </w:p>
              </w:tc>
              <w:tc>
                <w:tcPr>
                  <w:tcW w:w="795" w:type="dxa"/>
                  <w:tcMar>
                    <w:top w:w="57" w:type="dxa"/>
                    <w:left w:w="108" w:type="dxa"/>
                    <w:bottom w:w="57" w:type="dxa"/>
                    <w:right w:w="108" w:type="dxa"/>
                  </w:tcMar>
                  <w:vAlign w:val="center"/>
                </w:tcPr>
                <w:p w14:paraId="755C3E2A">
                  <w:pPr>
                    <w:pStyle w:val="97"/>
                    <w:rPr>
                      <w:color w:val="auto"/>
                      <w:sz w:val="18"/>
                      <w:szCs w:val="18"/>
                      <w:highlight w:val="none"/>
                    </w:rPr>
                  </w:pPr>
                  <w:r>
                    <w:rPr>
                      <w:rFonts w:hint="eastAsia"/>
                      <w:color w:val="auto"/>
                      <w:sz w:val="18"/>
                      <w:szCs w:val="18"/>
                      <w:highlight w:val="none"/>
                    </w:rPr>
                    <w:t>符合</w:t>
                  </w:r>
                </w:p>
              </w:tc>
            </w:tr>
            <w:tr w14:paraId="73E3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2" w:type="dxa"/>
                  <w:tcMar>
                    <w:top w:w="57" w:type="dxa"/>
                    <w:left w:w="108" w:type="dxa"/>
                    <w:bottom w:w="57" w:type="dxa"/>
                    <w:right w:w="108" w:type="dxa"/>
                  </w:tcMar>
                  <w:vAlign w:val="center"/>
                </w:tcPr>
                <w:p w14:paraId="4DD4A071">
                  <w:pPr>
                    <w:pStyle w:val="97"/>
                    <w:rPr>
                      <w:color w:val="auto"/>
                      <w:sz w:val="18"/>
                      <w:szCs w:val="18"/>
                      <w:highlight w:val="none"/>
                    </w:rPr>
                  </w:pPr>
                  <w:r>
                    <w:rPr>
                      <w:rFonts w:hint="eastAsia"/>
                      <w:color w:val="auto"/>
                      <w:sz w:val="18"/>
                      <w:szCs w:val="18"/>
                      <w:highlight w:val="none"/>
                    </w:rPr>
                    <w:t>（六）加强生态环境保护监测和预警。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组织开展主要矿种集中开采区域生态修复效果评估，并根据监测和评估结果增加和优化必要的保护措施。针对地表水环境及土壤环境累积影响、地下水环境质量下降、生态退化等情形，建立预警机制。</w:t>
                  </w:r>
                </w:p>
              </w:tc>
              <w:tc>
                <w:tcPr>
                  <w:tcW w:w="1719" w:type="dxa"/>
                  <w:tcMar>
                    <w:top w:w="57" w:type="dxa"/>
                    <w:left w:w="108" w:type="dxa"/>
                    <w:bottom w:w="57" w:type="dxa"/>
                    <w:right w:w="108" w:type="dxa"/>
                  </w:tcMar>
                  <w:vAlign w:val="center"/>
                </w:tcPr>
                <w:p w14:paraId="711BE631">
                  <w:pPr>
                    <w:pStyle w:val="97"/>
                    <w:rPr>
                      <w:color w:val="auto"/>
                      <w:sz w:val="18"/>
                      <w:szCs w:val="18"/>
                      <w:highlight w:val="none"/>
                    </w:rPr>
                  </w:pPr>
                  <w:r>
                    <w:rPr>
                      <w:rFonts w:hint="eastAsia"/>
                      <w:color w:val="auto"/>
                      <w:sz w:val="18"/>
                      <w:szCs w:val="18"/>
                      <w:highlight w:val="none"/>
                    </w:rPr>
                    <w:t>本项目不涉及运营期。项目制定了完善的监测计划。</w:t>
                  </w:r>
                </w:p>
              </w:tc>
              <w:tc>
                <w:tcPr>
                  <w:tcW w:w="795" w:type="dxa"/>
                  <w:tcMar>
                    <w:top w:w="57" w:type="dxa"/>
                    <w:left w:w="108" w:type="dxa"/>
                    <w:bottom w:w="57" w:type="dxa"/>
                    <w:right w:w="108" w:type="dxa"/>
                  </w:tcMar>
                  <w:vAlign w:val="center"/>
                </w:tcPr>
                <w:p w14:paraId="565AC928">
                  <w:pPr>
                    <w:pStyle w:val="97"/>
                    <w:rPr>
                      <w:color w:val="auto"/>
                      <w:sz w:val="18"/>
                      <w:szCs w:val="18"/>
                      <w:highlight w:val="none"/>
                    </w:rPr>
                  </w:pPr>
                  <w:r>
                    <w:rPr>
                      <w:rFonts w:hint="eastAsia"/>
                      <w:color w:val="auto"/>
                      <w:sz w:val="18"/>
                      <w:szCs w:val="18"/>
                      <w:highlight w:val="none"/>
                    </w:rPr>
                    <w:t>符合</w:t>
                  </w:r>
                </w:p>
              </w:tc>
            </w:tr>
          </w:tbl>
          <w:p w14:paraId="6FB9EC4A">
            <w:pPr>
              <w:pStyle w:val="3"/>
              <w:bidi w:val="0"/>
              <w:rPr>
                <w:rFonts w:hint="eastAsia"/>
                <w:color w:val="auto"/>
                <w:sz w:val="21"/>
                <w:szCs w:val="21"/>
                <w:highlight w:val="none"/>
                <w:lang w:val="en-US" w:eastAsia="zh-CN"/>
              </w:rPr>
            </w:pPr>
          </w:p>
          <w:p w14:paraId="0F3FB77D">
            <w:pPr>
              <w:numPr>
                <w:ilvl w:val="0"/>
                <w:numId w:val="7"/>
              </w:numPr>
              <w:adjustRightInd/>
              <w:snapToGrid/>
              <w:ind w:firstLine="420"/>
              <w:rPr>
                <w:color w:val="auto"/>
                <w:highlight w:val="none"/>
              </w:rPr>
            </w:pPr>
            <w:r>
              <w:rPr>
                <w:rFonts w:hint="eastAsia"/>
                <w:color w:val="auto"/>
                <w:highlight w:val="none"/>
              </w:rPr>
              <w:t>与《新疆维吾尔自治区昌吉回族自治州矿产资源总体规划（2021-2025年）环境影响报告书》及审查意见的符合性分析</w:t>
            </w:r>
          </w:p>
          <w:p w14:paraId="392B7F9A">
            <w:pPr>
              <w:pStyle w:val="13"/>
              <w:bidi w:val="0"/>
              <w:rPr>
                <w:color w:val="auto"/>
                <w:highlight w:val="none"/>
              </w:rPr>
            </w:pPr>
            <w:r>
              <w:rPr>
                <w:color w:val="auto"/>
                <w:highlight w:val="none"/>
              </w:rPr>
              <w:t xml:space="preserve">表 </w:t>
            </w:r>
            <w:r>
              <w:rPr>
                <w:color w:val="auto"/>
                <w:highlight w:val="none"/>
              </w:rPr>
              <w:fldChar w:fldCharType="begin"/>
            </w:r>
            <w:r>
              <w:rPr>
                <w:color w:val="auto"/>
                <w:highlight w:val="none"/>
              </w:rPr>
              <w:instrText xml:space="preserve"> SEQ 表 \* ARABIC </w:instrText>
            </w:r>
            <w:r>
              <w:rPr>
                <w:color w:val="auto"/>
                <w:highlight w:val="none"/>
              </w:rPr>
              <w:fldChar w:fldCharType="separate"/>
            </w:r>
            <w:r>
              <w:rPr>
                <w:color w:val="auto"/>
                <w:highlight w:val="none"/>
              </w:rPr>
              <w:t>2</w:t>
            </w:r>
            <w:r>
              <w:rPr>
                <w:color w:val="auto"/>
                <w:highlight w:val="none"/>
              </w:rPr>
              <w:fldChar w:fldCharType="end"/>
            </w:r>
            <w:r>
              <w:rPr>
                <w:rFonts w:hint="eastAsia"/>
                <w:color w:val="auto"/>
                <w:highlight w:val="none"/>
                <w:lang w:val="en-US" w:eastAsia="zh-CN"/>
              </w:rPr>
              <w:t xml:space="preserve">  </w:t>
            </w:r>
            <w:r>
              <w:rPr>
                <w:rFonts w:hint="eastAsia"/>
                <w:color w:val="auto"/>
                <w:highlight w:val="none"/>
              </w:rPr>
              <w:t>与《新疆维吾尔自治区昌吉回族自治州矿产资源总体规划（2021-2025年）环境影响报告书》及审查意见的相符性分析</w:t>
            </w:r>
          </w:p>
          <w:tbl>
            <w:tblPr>
              <w:tblStyle w:val="10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0"/>
              <w:gridCol w:w="3647"/>
              <w:gridCol w:w="1996"/>
              <w:gridCol w:w="649"/>
            </w:tblGrid>
            <w:tr w14:paraId="24E0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1" w:type="pct"/>
                  <w:vMerge w:val="restart"/>
                  <w:vAlign w:val="center"/>
                </w:tcPr>
                <w:p w14:paraId="774C4745">
                  <w:pPr>
                    <w:pStyle w:val="41"/>
                    <w:bidi w:val="0"/>
                    <w:jc w:val="center"/>
                    <w:rPr>
                      <w:color w:val="auto"/>
                      <w:highlight w:val="none"/>
                    </w:rPr>
                  </w:pPr>
                  <w:r>
                    <w:rPr>
                      <w:color w:val="auto"/>
                      <w:highlight w:val="none"/>
                      <w:lang w:val="en-US" w:eastAsia="zh-CN"/>
                    </w:rPr>
                    <w:t>《新疆维</w:t>
                  </w:r>
                  <w:r>
                    <w:rPr>
                      <w:color w:val="auto"/>
                      <w:highlight w:val="none"/>
                    </w:rPr>
                    <w:t>吾尔自治区昌吉回族自治州矿产资源总体规划（2021—2025年）环境影响报告书》及其审查意见</w:t>
                  </w:r>
                </w:p>
              </w:tc>
              <w:tc>
                <w:tcPr>
                  <w:tcW w:w="2456" w:type="pct"/>
                  <w:vAlign w:val="center"/>
                </w:tcPr>
                <w:p w14:paraId="35720926">
                  <w:pPr>
                    <w:pStyle w:val="41"/>
                    <w:bidi w:val="0"/>
                    <w:jc w:val="center"/>
                    <w:rPr>
                      <w:color w:val="auto"/>
                      <w:highlight w:val="none"/>
                    </w:rPr>
                  </w:pPr>
                  <w:r>
                    <w:rPr>
                      <w:color w:val="auto"/>
                      <w:highlight w:val="none"/>
                      <w:lang w:val="en-US" w:eastAsia="zh-CN"/>
                    </w:rPr>
                    <w:t>合理控制矿产资源开发规模与强度，不得占</w:t>
                  </w:r>
                  <w:r>
                    <w:rPr>
                      <w:color w:val="auto"/>
                      <w:highlight w:val="none"/>
                    </w:rPr>
                    <w:t>用依法应当禁止开发的区域，优先避让生态环境敏感区域。</w:t>
                  </w:r>
                </w:p>
              </w:tc>
              <w:tc>
                <w:tcPr>
                  <w:tcW w:w="1344" w:type="pct"/>
                  <w:vMerge w:val="restart"/>
                  <w:vAlign w:val="center"/>
                </w:tcPr>
                <w:p w14:paraId="590B67A0">
                  <w:pPr>
                    <w:pStyle w:val="41"/>
                    <w:bidi w:val="0"/>
                    <w:jc w:val="center"/>
                    <w:rPr>
                      <w:rFonts w:hint="eastAsia"/>
                      <w:color w:val="auto"/>
                      <w:highlight w:val="none"/>
                    </w:rPr>
                  </w:pPr>
                  <w:r>
                    <w:rPr>
                      <w:rFonts w:hint="eastAsia"/>
                      <w:color w:val="auto"/>
                      <w:highlight w:val="none"/>
                      <w:lang w:val="en-US" w:eastAsia="zh-CN"/>
                    </w:rPr>
                    <w:t>本</w:t>
                  </w:r>
                  <w:r>
                    <w:rPr>
                      <w:rFonts w:hint="eastAsia"/>
                      <w:color w:val="auto"/>
                      <w:highlight w:val="none"/>
                    </w:rPr>
                    <w:t>项目</w:t>
                  </w:r>
                  <w:r>
                    <w:rPr>
                      <w:rFonts w:hint="eastAsia"/>
                      <w:color w:val="auto"/>
                      <w:highlight w:val="none"/>
                      <w:lang w:val="en-US" w:eastAsia="zh-CN"/>
                    </w:rPr>
                    <w:t>不涉及永久占地，临时</w:t>
                  </w:r>
                  <w:r>
                    <w:rPr>
                      <w:rFonts w:hint="eastAsia"/>
                      <w:color w:val="auto"/>
                      <w:highlight w:val="none"/>
                    </w:rPr>
                    <w:t>占地范围内不涉及自然保护区、水源保护区、风景名胜区、城市规划区、居民密集区、重要水工设施、高速公路、铁路、永久基本农田等生态环境敏感区。</w:t>
                  </w:r>
                </w:p>
                <w:p w14:paraId="303CA03A">
                  <w:pPr>
                    <w:pStyle w:val="41"/>
                    <w:bidi w:val="0"/>
                    <w:jc w:val="center"/>
                    <w:rPr>
                      <w:rFonts w:hint="eastAsia"/>
                      <w:color w:val="auto"/>
                      <w:highlight w:val="none"/>
                    </w:rPr>
                  </w:pPr>
                  <w:r>
                    <w:rPr>
                      <w:rFonts w:hint="eastAsia"/>
                      <w:color w:val="auto"/>
                      <w:highlight w:val="none"/>
                      <w:lang w:val="en-US" w:eastAsia="zh-CN"/>
                    </w:rPr>
                    <w:t>本项目临时占地及评价范围内为公益林，属于</w:t>
                  </w:r>
                  <w:r>
                    <w:rPr>
                      <w:rFonts w:hint="eastAsia"/>
                      <w:color w:val="auto"/>
                      <w:highlight w:val="none"/>
                    </w:rPr>
                    <w:t>国家级二级公益林</w:t>
                  </w:r>
                  <w:r>
                    <w:rPr>
                      <w:rFonts w:hint="eastAsia"/>
                      <w:color w:val="auto"/>
                      <w:highlight w:val="none"/>
                      <w:lang w:eastAsia="zh-CN"/>
                    </w:rPr>
                    <w:t>，</w:t>
                  </w:r>
                  <w:r>
                    <w:rPr>
                      <w:rFonts w:hint="eastAsia"/>
                      <w:color w:val="auto"/>
                      <w:highlight w:val="none"/>
                    </w:rPr>
                    <w:t>范围内的林地征用应按照地方有关工程临时征地补偿标准进行，</w:t>
                  </w:r>
                  <w:r>
                    <w:rPr>
                      <w:rFonts w:hint="eastAsia"/>
                      <w:color w:val="auto"/>
                      <w:highlight w:val="none"/>
                      <w:lang w:val="en-US" w:eastAsia="zh-CN"/>
                    </w:rPr>
                    <w:t>临时占地结束后恢复原貌。</w:t>
                  </w:r>
                </w:p>
                <w:p w14:paraId="3E2BFC21">
                  <w:pPr>
                    <w:pStyle w:val="41"/>
                    <w:bidi w:val="0"/>
                    <w:jc w:val="center"/>
                    <w:rPr>
                      <w:color w:val="auto"/>
                      <w:highlight w:val="none"/>
                    </w:rPr>
                  </w:pPr>
                  <w:r>
                    <w:rPr>
                      <w:color w:val="auto"/>
                      <w:highlight w:val="none"/>
                    </w:rPr>
                    <w:t>石油天然气开发是当前国民经济的重要基础产业和支柱产业，属于国家重点鼓励发展的产业，本项目的建设符合国家的相关政策及生态环境分区管控要求。</w:t>
                  </w:r>
                </w:p>
                <w:p w14:paraId="74BF7160">
                  <w:pPr>
                    <w:pStyle w:val="41"/>
                    <w:bidi w:val="0"/>
                    <w:jc w:val="center"/>
                    <w:rPr>
                      <w:color w:val="auto"/>
                      <w:highlight w:val="none"/>
                    </w:rPr>
                  </w:pPr>
                  <w:r>
                    <w:rPr>
                      <w:color w:val="auto"/>
                      <w:highlight w:val="none"/>
                    </w:rPr>
                    <w:t>施工期将采取严格的生态保护和恢复措施，严格控制施工区扰动范围，废水、废气、固体废物均按照国家标准进行分类收集、集中处理，尽可能减少生态扰动和环境污染。</w:t>
                  </w:r>
                </w:p>
              </w:tc>
              <w:tc>
                <w:tcPr>
                  <w:tcW w:w="437" w:type="pct"/>
                  <w:vAlign w:val="center"/>
                </w:tcPr>
                <w:p w14:paraId="5EB07F8D">
                  <w:pPr>
                    <w:pStyle w:val="41"/>
                    <w:bidi w:val="0"/>
                    <w:jc w:val="center"/>
                    <w:rPr>
                      <w:color w:val="auto"/>
                      <w:highlight w:val="none"/>
                    </w:rPr>
                  </w:pPr>
                  <w:r>
                    <w:rPr>
                      <w:color w:val="auto"/>
                      <w:highlight w:val="none"/>
                    </w:rPr>
                    <w:t>符合</w:t>
                  </w:r>
                </w:p>
              </w:tc>
            </w:tr>
            <w:tr w14:paraId="1E51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1" w:type="pct"/>
                  <w:vMerge w:val="continue"/>
                  <w:vAlign w:val="center"/>
                </w:tcPr>
                <w:p w14:paraId="02D93828">
                  <w:pPr>
                    <w:pStyle w:val="41"/>
                    <w:bidi w:val="0"/>
                    <w:jc w:val="center"/>
                    <w:rPr>
                      <w:color w:val="auto"/>
                      <w:highlight w:val="none"/>
                    </w:rPr>
                  </w:pPr>
                </w:p>
              </w:tc>
              <w:tc>
                <w:tcPr>
                  <w:tcW w:w="2456" w:type="pct"/>
                  <w:vAlign w:val="center"/>
                </w:tcPr>
                <w:p w14:paraId="1E0251D3">
                  <w:pPr>
                    <w:pStyle w:val="41"/>
                    <w:bidi w:val="0"/>
                    <w:jc w:val="center"/>
                    <w:rPr>
                      <w:color w:val="auto"/>
                      <w:highlight w:val="none"/>
                    </w:rPr>
                  </w:pPr>
                  <w:r>
                    <w:rPr>
                      <w:color w:val="auto"/>
                      <w:highlight w:val="none"/>
                    </w:rPr>
                    <w:t>严格保护生态空间，优化《规划》布局。将生态保护红线作为保障和维护区域生态安全的底线，应进一步优化矿业权设置和空间布局，依法依规对生态空间实施严格保护。与基本农田、饮用水水源保护区、风景名胜区等禁止开发区域存在重叠的规划区块，后续设置矿业权时，应进一步优化布局，确保满足各类禁止开发区保护条例、管理规定要求。与一般耕地、公益林等生态敏感区存在重叠的规划区块，后续设置矿业权时，应优先考虑避让措施，必须占用的应严格按照《中华人民共和国土地管理法》《国家级公益林管理办法》办理征占地手续。与“三线一单”优先保护单元存在重叠的规划区块，应进一步优化布局、强化管控措施，确保满足生态环境分区管控及相关环境保护要求。与重要河流、交通干线存在重叠的规划区块，应按照《新疆维吾尔自治区重点行业环境准入条件》要求，进一步优化矿山企业场地布局，降低环境污染水平、控制环境风险。</w:t>
                  </w:r>
                </w:p>
              </w:tc>
              <w:tc>
                <w:tcPr>
                  <w:tcW w:w="1344" w:type="pct"/>
                  <w:vMerge w:val="continue"/>
                  <w:vAlign w:val="center"/>
                </w:tcPr>
                <w:p w14:paraId="7FA14666">
                  <w:pPr>
                    <w:pStyle w:val="41"/>
                    <w:bidi w:val="0"/>
                    <w:jc w:val="center"/>
                    <w:rPr>
                      <w:color w:val="auto"/>
                      <w:highlight w:val="none"/>
                    </w:rPr>
                  </w:pPr>
                </w:p>
              </w:tc>
              <w:tc>
                <w:tcPr>
                  <w:tcW w:w="437" w:type="pct"/>
                  <w:vAlign w:val="center"/>
                </w:tcPr>
                <w:p w14:paraId="127499A6">
                  <w:pPr>
                    <w:pStyle w:val="41"/>
                    <w:bidi w:val="0"/>
                    <w:jc w:val="center"/>
                    <w:rPr>
                      <w:color w:val="auto"/>
                      <w:highlight w:val="none"/>
                    </w:rPr>
                  </w:pPr>
                  <w:r>
                    <w:rPr>
                      <w:color w:val="auto"/>
                      <w:highlight w:val="none"/>
                    </w:rPr>
                    <w:t>符合</w:t>
                  </w:r>
                </w:p>
              </w:tc>
            </w:tr>
            <w:tr w14:paraId="5686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1" w:type="pct"/>
                  <w:vMerge w:val="continue"/>
                  <w:vAlign w:val="center"/>
                </w:tcPr>
                <w:p w14:paraId="6E12415F">
                  <w:pPr>
                    <w:pStyle w:val="41"/>
                    <w:bidi w:val="0"/>
                    <w:jc w:val="center"/>
                    <w:rPr>
                      <w:color w:val="auto"/>
                      <w:highlight w:val="none"/>
                    </w:rPr>
                  </w:pPr>
                </w:p>
              </w:tc>
              <w:tc>
                <w:tcPr>
                  <w:tcW w:w="2456" w:type="pct"/>
                  <w:vAlign w:val="center"/>
                </w:tcPr>
                <w:p w14:paraId="0512A934">
                  <w:pPr>
                    <w:pStyle w:val="41"/>
                    <w:bidi w:val="0"/>
                    <w:jc w:val="center"/>
                    <w:rPr>
                      <w:color w:val="auto"/>
                      <w:highlight w:val="none"/>
                    </w:rPr>
                  </w:pPr>
                  <w:r>
                    <w:rPr>
                      <w:color w:val="auto"/>
                      <w:highlight w:val="none"/>
                    </w:rPr>
                    <w:t>严格环境准入，保护区域生态功能。按照昌吉州“三线一单”生态环境分区管控方案、生态环境保护规划等新要求，对与“三线一单”优先保护单元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点生态功能区、水源涵养区、水土流失重点防治区等区域矿产资源开发活动，并采取相应保护措施，防止加剧对重点生态功能区的不良环境影响。</w:t>
                  </w:r>
                </w:p>
              </w:tc>
              <w:tc>
                <w:tcPr>
                  <w:tcW w:w="1344" w:type="pct"/>
                  <w:vMerge w:val="continue"/>
                  <w:vAlign w:val="center"/>
                </w:tcPr>
                <w:p w14:paraId="4324837C">
                  <w:pPr>
                    <w:pStyle w:val="41"/>
                    <w:bidi w:val="0"/>
                    <w:jc w:val="center"/>
                    <w:rPr>
                      <w:color w:val="auto"/>
                      <w:highlight w:val="none"/>
                    </w:rPr>
                  </w:pPr>
                </w:p>
              </w:tc>
              <w:tc>
                <w:tcPr>
                  <w:tcW w:w="437" w:type="pct"/>
                  <w:vAlign w:val="center"/>
                </w:tcPr>
                <w:p w14:paraId="47966CDF">
                  <w:pPr>
                    <w:pStyle w:val="41"/>
                    <w:bidi w:val="0"/>
                    <w:jc w:val="center"/>
                    <w:rPr>
                      <w:color w:val="auto"/>
                      <w:highlight w:val="none"/>
                    </w:rPr>
                  </w:pPr>
                  <w:r>
                    <w:rPr>
                      <w:color w:val="auto"/>
                      <w:highlight w:val="none"/>
                    </w:rPr>
                    <w:t>符合</w:t>
                  </w:r>
                </w:p>
              </w:tc>
            </w:tr>
            <w:tr w14:paraId="15DF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1" w:type="pct"/>
                  <w:vMerge w:val="continue"/>
                  <w:vAlign w:val="center"/>
                </w:tcPr>
                <w:p w14:paraId="2EC6EB14">
                  <w:pPr>
                    <w:pStyle w:val="41"/>
                    <w:bidi w:val="0"/>
                    <w:jc w:val="center"/>
                    <w:rPr>
                      <w:color w:val="auto"/>
                      <w:highlight w:val="none"/>
                    </w:rPr>
                  </w:pPr>
                </w:p>
              </w:tc>
              <w:tc>
                <w:tcPr>
                  <w:tcW w:w="2456" w:type="pct"/>
                  <w:vAlign w:val="center"/>
                </w:tcPr>
                <w:p w14:paraId="3DFCFCA4">
                  <w:pPr>
                    <w:pStyle w:val="41"/>
                    <w:bidi w:val="0"/>
                    <w:jc w:val="center"/>
                    <w:rPr>
                      <w:color w:val="auto"/>
                      <w:highlight w:val="none"/>
                    </w:rPr>
                  </w:pPr>
                  <w:r>
                    <w:rPr>
                      <w:color w:val="auto"/>
                      <w:highlight w:val="none"/>
                    </w:rPr>
                    <w:t>加强矿山生态修复和环境治理。结合区域生态环境质量改善目标和主要生态环境问题，分区域、分矿种确定矿山生态修复和环境治理总体要求，将目标任务分解细化到具体矿区、矿山，确保“十四五”规划期矿山生态修复治理面积不低于980公顷。重视关闭矿山及历史遗留矿山的生态环境问题，明确污染治理、生态修复的任务、要求和完成时限。对可能造成重金属污染等环境问题的矿区，进一步优化开发方式，推进结构调整，加大治</w:t>
                  </w:r>
                  <w:r>
                    <w:rPr>
                      <w:color w:val="auto"/>
                      <w:highlight w:val="none"/>
                      <w:lang w:val="en-US" w:eastAsia="zh-CN"/>
                    </w:rPr>
                    <w:t>理投入。</w:t>
                  </w:r>
                </w:p>
              </w:tc>
              <w:tc>
                <w:tcPr>
                  <w:tcW w:w="1344" w:type="pct"/>
                  <w:vMerge w:val="continue"/>
                  <w:vAlign w:val="center"/>
                </w:tcPr>
                <w:p w14:paraId="5B949CEF">
                  <w:pPr>
                    <w:pStyle w:val="41"/>
                    <w:bidi w:val="0"/>
                    <w:jc w:val="center"/>
                    <w:rPr>
                      <w:color w:val="auto"/>
                      <w:highlight w:val="none"/>
                    </w:rPr>
                  </w:pPr>
                </w:p>
              </w:tc>
              <w:tc>
                <w:tcPr>
                  <w:tcW w:w="437" w:type="pct"/>
                  <w:vAlign w:val="center"/>
                </w:tcPr>
                <w:p w14:paraId="38F0BF28">
                  <w:pPr>
                    <w:pStyle w:val="41"/>
                    <w:bidi w:val="0"/>
                    <w:jc w:val="center"/>
                    <w:rPr>
                      <w:color w:val="auto"/>
                      <w:highlight w:val="none"/>
                    </w:rPr>
                  </w:pPr>
                  <w:r>
                    <w:rPr>
                      <w:color w:val="auto"/>
                      <w:highlight w:val="none"/>
                    </w:rPr>
                    <w:t>符合</w:t>
                  </w:r>
                </w:p>
              </w:tc>
            </w:tr>
          </w:tbl>
          <w:p w14:paraId="446948EB">
            <w:pPr>
              <w:numPr>
                <w:ilvl w:val="0"/>
                <w:numId w:val="0"/>
              </w:numPr>
              <w:adjustRightInd/>
              <w:snapToGrid/>
              <w:rPr>
                <w:color w:val="auto"/>
                <w:highlight w:val="none"/>
              </w:rPr>
            </w:pPr>
          </w:p>
          <w:p w14:paraId="3D497919">
            <w:pPr>
              <w:adjustRightInd w:val="0"/>
              <w:snapToGrid w:val="0"/>
              <w:ind w:firstLine="420"/>
              <w:rPr>
                <w:color w:val="auto"/>
                <w:highlight w:val="none"/>
              </w:rPr>
            </w:pPr>
            <w:r>
              <w:rPr>
                <w:rFonts w:hint="eastAsia"/>
                <w:color w:val="auto"/>
                <w:highlight w:val="none"/>
              </w:rPr>
              <w:t>综上所述，本项目在施工期落实了污染防治与生态恢复的具体措施，生态环境保护措施可行，符合《新疆维吾尔自治区昌吉回族自治州矿产资源总体规划（2021-2025年）环境影响报告书》及审查意见的相关要求。</w:t>
            </w:r>
          </w:p>
        </w:tc>
      </w:tr>
      <w:tr w14:paraId="0E1D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4" w:type="pct"/>
            <w:tcMar>
              <w:top w:w="113" w:type="dxa"/>
              <w:bottom w:w="113" w:type="dxa"/>
            </w:tcMar>
            <w:vAlign w:val="center"/>
          </w:tcPr>
          <w:p w14:paraId="07D58A8D">
            <w:pPr>
              <w:pStyle w:val="3"/>
              <w:spacing w:line="240" w:lineRule="auto"/>
              <w:ind w:firstLine="0" w:firstLineChars="0"/>
              <w:jc w:val="center"/>
              <w:rPr>
                <w:color w:val="auto"/>
                <w:sz w:val="21"/>
                <w:highlight w:val="none"/>
              </w:rPr>
            </w:pPr>
            <w:r>
              <w:rPr>
                <w:rFonts w:hint="eastAsia"/>
                <w:color w:val="auto"/>
                <w:sz w:val="21"/>
                <w:highlight w:val="none"/>
              </w:rPr>
              <w:t>其</w:t>
            </w:r>
          </w:p>
          <w:p w14:paraId="2631040A">
            <w:pPr>
              <w:pStyle w:val="3"/>
              <w:spacing w:line="240" w:lineRule="auto"/>
              <w:ind w:firstLine="0" w:firstLineChars="0"/>
              <w:jc w:val="center"/>
              <w:rPr>
                <w:color w:val="auto"/>
                <w:sz w:val="21"/>
                <w:highlight w:val="none"/>
              </w:rPr>
            </w:pPr>
            <w:r>
              <w:rPr>
                <w:rFonts w:hint="eastAsia"/>
                <w:color w:val="auto"/>
                <w:sz w:val="21"/>
                <w:highlight w:val="none"/>
              </w:rPr>
              <w:t>他</w:t>
            </w:r>
          </w:p>
          <w:p w14:paraId="4174ABAE">
            <w:pPr>
              <w:pStyle w:val="3"/>
              <w:spacing w:line="240" w:lineRule="auto"/>
              <w:ind w:firstLine="0" w:firstLineChars="0"/>
              <w:jc w:val="center"/>
              <w:rPr>
                <w:color w:val="auto"/>
                <w:sz w:val="21"/>
                <w:highlight w:val="none"/>
              </w:rPr>
            </w:pPr>
            <w:r>
              <w:rPr>
                <w:rFonts w:hint="eastAsia"/>
                <w:color w:val="auto"/>
                <w:sz w:val="21"/>
                <w:highlight w:val="none"/>
              </w:rPr>
              <w:t>符</w:t>
            </w:r>
          </w:p>
          <w:p w14:paraId="33EB06F5">
            <w:pPr>
              <w:pStyle w:val="3"/>
              <w:spacing w:line="240" w:lineRule="auto"/>
              <w:ind w:firstLine="0" w:firstLineChars="0"/>
              <w:jc w:val="center"/>
              <w:rPr>
                <w:color w:val="auto"/>
                <w:sz w:val="21"/>
                <w:highlight w:val="none"/>
              </w:rPr>
            </w:pPr>
            <w:r>
              <w:rPr>
                <w:rFonts w:hint="eastAsia"/>
                <w:color w:val="auto"/>
                <w:sz w:val="21"/>
                <w:highlight w:val="none"/>
              </w:rPr>
              <w:t>合</w:t>
            </w:r>
          </w:p>
          <w:p w14:paraId="5A76A930">
            <w:pPr>
              <w:pStyle w:val="3"/>
              <w:spacing w:line="240" w:lineRule="auto"/>
              <w:ind w:firstLine="0" w:firstLineChars="0"/>
              <w:jc w:val="center"/>
              <w:rPr>
                <w:color w:val="auto"/>
                <w:sz w:val="21"/>
                <w:highlight w:val="none"/>
              </w:rPr>
            </w:pPr>
            <w:r>
              <w:rPr>
                <w:rFonts w:hint="eastAsia"/>
                <w:color w:val="auto"/>
                <w:sz w:val="21"/>
                <w:highlight w:val="none"/>
              </w:rPr>
              <w:t>性</w:t>
            </w:r>
          </w:p>
          <w:p w14:paraId="15457B85">
            <w:pPr>
              <w:pStyle w:val="3"/>
              <w:spacing w:line="240" w:lineRule="auto"/>
              <w:ind w:firstLine="0" w:firstLineChars="0"/>
              <w:jc w:val="center"/>
              <w:rPr>
                <w:color w:val="auto"/>
                <w:sz w:val="21"/>
                <w:highlight w:val="none"/>
              </w:rPr>
            </w:pPr>
            <w:r>
              <w:rPr>
                <w:rFonts w:hint="eastAsia"/>
                <w:color w:val="auto"/>
                <w:sz w:val="21"/>
                <w:highlight w:val="none"/>
              </w:rPr>
              <w:t>分</w:t>
            </w:r>
          </w:p>
          <w:p w14:paraId="25A05211">
            <w:pPr>
              <w:pStyle w:val="3"/>
              <w:spacing w:line="240" w:lineRule="auto"/>
              <w:ind w:firstLine="0" w:firstLineChars="0"/>
              <w:jc w:val="center"/>
              <w:rPr>
                <w:color w:val="auto"/>
                <w:sz w:val="21"/>
                <w:highlight w:val="none"/>
              </w:rPr>
            </w:pPr>
            <w:r>
              <w:rPr>
                <w:rFonts w:hint="eastAsia"/>
                <w:color w:val="auto"/>
                <w:sz w:val="21"/>
                <w:highlight w:val="none"/>
              </w:rPr>
              <w:t>析</w:t>
            </w:r>
          </w:p>
        </w:tc>
        <w:tc>
          <w:tcPr>
            <w:tcW w:w="4485" w:type="pct"/>
            <w:gridSpan w:val="4"/>
            <w:tcMar>
              <w:top w:w="170" w:type="dxa"/>
              <w:left w:w="108" w:type="dxa"/>
              <w:bottom w:w="113" w:type="dxa"/>
              <w:right w:w="108" w:type="dxa"/>
            </w:tcMar>
            <w:vAlign w:val="center"/>
          </w:tcPr>
          <w:p w14:paraId="12792B39">
            <w:pPr>
              <w:pStyle w:val="3"/>
              <w:numPr>
                <w:ilvl w:val="0"/>
                <w:numId w:val="8"/>
              </w:numPr>
              <w:ind w:firstLine="420"/>
              <w:rPr>
                <w:color w:val="auto"/>
                <w:sz w:val="21"/>
                <w:highlight w:val="none"/>
              </w:rPr>
            </w:pPr>
            <w:r>
              <w:rPr>
                <w:rFonts w:hint="eastAsia"/>
                <w:color w:val="auto"/>
                <w:sz w:val="21"/>
                <w:highlight w:val="none"/>
              </w:rPr>
              <w:t>产业政策符合性分析</w:t>
            </w:r>
          </w:p>
          <w:p w14:paraId="4D7BE367">
            <w:pPr>
              <w:pStyle w:val="3"/>
              <w:ind w:firstLine="420"/>
              <w:rPr>
                <w:color w:val="auto"/>
                <w:sz w:val="21"/>
                <w:highlight w:val="none"/>
              </w:rPr>
            </w:pPr>
            <w:r>
              <w:rPr>
                <w:rFonts w:hint="eastAsia"/>
                <w:color w:val="auto"/>
                <w:sz w:val="21"/>
                <w:highlight w:val="none"/>
              </w:rPr>
              <w:t>根据《产业结构调整指导目录（2024年本）》（国家发展和改革委员会令[2023]第7号）有关条款的决定，本项目为“第七类石油天然气中的第1条石油天然气开采：常规石油、天然气勘探与开采，页岩气、页岩油、致密油（气）、油砂、天然气水合物等非常规资源勘探开发”项目，为鼓励类项目，符合国家产业政策。</w:t>
            </w:r>
          </w:p>
          <w:p w14:paraId="24CFBB04">
            <w:pPr>
              <w:pStyle w:val="3"/>
              <w:numPr>
                <w:ilvl w:val="0"/>
                <w:numId w:val="8"/>
              </w:numPr>
              <w:ind w:firstLine="420"/>
              <w:rPr>
                <w:color w:val="auto"/>
                <w:sz w:val="21"/>
                <w:highlight w:val="none"/>
              </w:rPr>
            </w:pPr>
            <w:r>
              <w:rPr>
                <w:rFonts w:hint="eastAsia"/>
                <w:color w:val="auto"/>
                <w:sz w:val="21"/>
                <w:highlight w:val="none"/>
              </w:rPr>
              <w:t>生态环境分区管控要求符合性分析</w:t>
            </w:r>
          </w:p>
          <w:p w14:paraId="50463EB3">
            <w:pPr>
              <w:pStyle w:val="3"/>
              <w:numPr>
                <w:ilvl w:val="0"/>
                <w:numId w:val="9"/>
              </w:numPr>
              <w:ind w:firstLine="420"/>
              <w:rPr>
                <w:color w:val="auto"/>
                <w:sz w:val="21"/>
                <w:highlight w:val="none"/>
              </w:rPr>
            </w:pPr>
            <w:r>
              <w:rPr>
                <w:rFonts w:hint="eastAsia"/>
                <w:color w:val="auto"/>
                <w:sz w:val="21"/>
                <w:highlight w:val="none"/>
              </w:rPr>
              <w:t>“七大片区”管控要求</w:t>
            </w:r>
          </w:p>
          <w:p w14:paraId="31E04659">
            <w:pPr>
              <w:pStyle w:val="3"/>
              <w:ind w:firstLine="420"/>
              <w:rPr>
                <w:color w:val="auto"/>
                <w:sz w:val="21"/>
                <w:highlight w:val="none"/>
              </w:rPr>
            </w:pPr>
            <w:r>
              <w:rPr>
                <w:rFonts w:hint="eastAsia"/>
                <w:color w:val="auto"/>
                <w:sz w:val="21"/>
                <w:highlight w:val="none"/>
              </w:rPr>
              <w:t>本项目位于昌吉回族自治州，根据《新疆维吾尔自治区七大片区“三线一单”生态环境分区管控要求（2021年版）》（新环环评发[2021]162号），属于乌昌石片区，本项目与（新环环评发[2021]162号）中乌昌石片区管控要求符合性见</w:t>
            </w:r>
            <w:r>
              <w:rPr>
                <w:color w:val="auto"/>
                <w:highlight w:val="none"/>
              </w:rPr>
              <w:fldChar w:fldCharType="begin"/>
            </w:r>
            <w:r>
              <w:rPr>
                <w:color w:val="auto"/>
              </w:rPr>
              <w:instrText xml:space="preserve"> REF _Ref1590065208 \h  \* MERGEFORMAT</w:instrText>
            </w:r>
            <w:r>
              <w:rPr>
                <w:color w:val="auto"/>
                <w:highlight w:val="none"/>
              </w:rPr>
              <w:fldChar w:fldCharType="separate"/>
            </w:r>
            <w:r>
              <w:rPr>
                <w:color w:val="auto"/>
                <w:sz w:val="21"/>
                <w:highlight w:val="none"/>
              </w:rPr>
              <w:t>表3</w:t>
            </w:r>
            <w:r>
              <w:rPr>
                <w:color w:val="auto"/>
                <w:highlight w:val="none"/>
              </w:rPr>
              <w:fldChar w:fldCharType="end"/>
            </w:r>
            <w:r>
              <w:rPr>
                <w:rFonts w:hint="eastAsia"/>
                <w:color w:val="auto"/>
                <w:sz w:val="21"/>
                <w:highlight w:val="none"/>
              </w:rPr>
              <w:t>。</w:t>
            </w:r>
          </w:p>
          <w:p w14:paraId="03F79EB3">
            <w:pPr>
              <w:pStyle w:val="13"/>
              <w:bidi w:val="0"/>
              <w:rPr>
                <w:color w:val="auto"/>
                <w:highlight w:val="none"/>
              </w:rPr>
            </w:pPr>
            <w:bookmarkStart w:id="3" w:name="_Ref1590065208"/>
            <w:r>
              <w:rPr>
                <w:color w:val="auto"/>
                <w:highlight w:val="none"/>
              </w:rPr>
              <w:t>表</w:t>
            </w:r>
            <w:r>
              <w:rPr>
                <w:color w:val="auto"/>
                <w:highlight w:val="none"/>
              </w:rPr>
              <w:fldChar w:fldCharType="begin"/>
            </w:r>
            <w:r>
              <w:rPr>
                <w:color w:val="auto"/>
                <w:highlight w:val="none"/>
              </w:rPr>
              <w:instrText xml:space="preserve"> SEQ 表 \*ARABIC </w:instrText>
            </w:r>
            <w:r>
              <w:rPr>
                <w:color w:val="auto"/>
                <w:highlight w:val="none"/>
              </w:rPr>
              <w:fldChar w:fldCharType="separate"/>
            </w:r>
            <w:r>
              <w:rPr>
                <w:color w:val="auto"/>
                <w:highlight w:val="none"/>
              </w:rPr>
              <w:t>3</w:t>
            </w:r>
            <w:r>
              <w:rPr>
                <w:color w:val="auto"/>
                <w:highlight w:val="none"/>
              </w:rPr>
              <w:fldChar w:fldCharType="end"/>
            </w:r>
            <w:bookmarkEnd w:id="3"/>
            <w:r>
              <w:rPr>
                <w:color w:val="auto"/>
                <w:highlight w:val="none"/>
              </w:rPr>
              <w:t xml:space="preserve">  </w:t>
            </w:r>
            <w:r>
              <w:rPr>
                <w:rFonts w:hint="eastAsia"/>
                <w:color w:val="auto"/>
                <w:highlight w:val="none"/>
              </w:rPr>
              <w:t>与新环环评发[2021]162号中乌昌石片区管控要求符合性分析</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3999"/>
              <w:gridCol w:w="2110"/>
              <w:gridCol w:w="746"/>
            </w:tblGrid>
            <w:tr w14:paraId="0A75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2" w:type="pct"/>
                  <w:tcMar>
                    <w:top w:w="57" w:type="dxa"/>
                    <w:left w:w="108" w:type="dxa"/>
                    <w:bottom w:w="57" w:type="dxa"/>
                    <w:right w:w="108" w:type="dxa"/>
                  </w:tcMar>
                  <w:vAlign w:val="center"/>
                </w:tcPr>
                <w:p w14:paraId="4D8FEEC0">
                  <w:pPr>
                    <w:pStyle w:val="3"/>
                    <w:spacing w:line="240" w:lineRule="auto"/>
                    <w:ind w:firstLine="0" w:firstLineChars="0"/>
                    <w:jc w:val="center"/>
                    <w:rPr>
                      <w:color w:val="auto"/>
                      <w:sz w:val="18"/>
                      <w:szCs w:val="18"/>
                      <w:highlight w:val="none"/>
                    </w:rPr>
                  </w:pPr>
                  <w:r>
                    <w:rPr>
                      <w:rFonts w:hint="eastAsia"/>
                      <w:color w:val="auto"/>
                      <w:sz w:val="18"/>
                      <w:szCs w:val="18"/>
                      <w:highlight w:val="none"/>
                    </w:rPr>
                    <w:t>序号</w:t>
                  </w:r>
                </w:p>
              </w:tc>
              <w:tc>
                <w:tcPr>
                  <w:tcW w:w="2693" w:type="pct"/>
                  <w:tcMar>
                    <w:top w:w="57" w:type="dxa"/>
                    <w:left w:w="108" w:type="dxa"/>
                    <w:bottom w:w="57" w:type="dxa"/>
                    <w:right w:w="108" w:type="dxa"/>
                  </w:tcMar>
                  <w:vAlign w:val="center"/>
                </w:tcPr>
                <w:p w14:paraId="25C71EA8">
                  <w:pPr>
                    <w:pStyle w:val="3"/>
                    <w:spacing w:line="240" w:lineRule="auto"/>
                    <w:ind w:firstLine="0" w:firstLineChars="0"/>
                    <w:jc w:val="center"/>
                    <w:rPr>
                      <w:color w:val="auto"/>
                      <w:sz w:val="18"/>
                      <w:szCs w:val="18"/>
                      <w:highlight w:val="none"/>
                    </w:rPr>
                  </w:pPr>
                  <w:r>
                    <w:rPr>
                      <w:rFonts w:hint="eastAsia"/>
                      <w:color w:val="auto"/>
                      <w:sz w:val="18"/>
                      <w:szCs w:val="18"/>
                      <w:highlight w:val="none"/>
                    </w:rPr>
                    <w:t>新环环评发[2021]162 号要求</w:t>
                  </w:r>
                </w:p>
              </w:tc>
              <w:tc>
                <w:tcPr>
                  <w:tcW w:w="1421" w:type="pct"/>
                  <w:tcMar>
                    <w:top w:w="57" w:type="dxa"/>
                    <w:left w:w="108" w:type="dxa"/>
                    <w:bottom w:w="57" w:type="dxa"/>
                    <w:right w:w="108" w:type="dxa"/>
                  </w:tcMar>
                  <w:vAlign w:val="center"/>
                </w:tcPr>
                <w:p w14:paraId="62EFE3E1">
                  <w:pPr>
                    <w:pStyle w:val="3"/>
                    <w:spacing w:line="240" w:lineRule="auto"/>
                    <w:ind w:firstLine="0" w:firstLineChars="0"/>
                    <w:jc w:val="center"/>
                    <w:rPr>
                      <w:color w:val="auto"/>
                      <w:sz w:val="18"/>
                      <w:szCs w:val="18"/>
                      <w:highlight w:val="none"/>
                    </w:rPr>
                  </w:pPr>
                  <w:r>
                    <w:rPr>
                      <w:rFonts w:hint="eastAsia"/>
                      <w:color w:val="auto"/>
                      <w:sz w:val="18"/>
                      <w:szCs w:val="18"/>
                      <w:highlight w:val="none"/>
                    </w:rPr>
                    <w:t>项目情况</w:t>
                  </w:r>
                </w:p>
              </w:tc>
              <w:tc>
                <w:tcPr>
                  <w:tcW w:w="502" w:type="pct"/>
                  <w:tcMar>
                    <w:top w:w="57" w:type="dxa"/>
                    <w:left w:w="108" w:type="dxa"/>
                    <w:bottom w:w="57" w:type="dxa"/>
                    <w:right w:w="108" w:type="dxa"/>
                  </w:tcMar>
                  <w:vAlign w:val="center"/>
                </w:tcPr>
                <w:p w14:paraId="28060834">
                  <w:pPr>
                    <w:pStyle w:val="3"/>
                    <w:spacing w:line="240" w:lineRule="auto"/>
                    <w:ind w:firstLine="0" w:firstLineChars="0"/>
                    <w:jc w:val="center"/>
                    <w:rPr>
                      <w:color w:val="auto"/>
                      <w:sz w:val="18"/>
                      <w:szCs w:val="18"/>
                      <w:highlight w:val="none"/>
                    </w:rPr>
                  </w:pPr>
                  <w:r>
                    <w:rPr>
                      <w:rFonts w:hint="eastAsia"/>
                      <w:color w:val="auto"/>
                      <w:sz w:val="18"/>
                      <w:szCs w:val="18"/>
                      <w:highlight w:val="none"/>
                    </w:rPr>
                    <w:t>符合性</w:t>
                  </w:r>
                </w:p>
              </w:tc>
            </w:tr>
            <w:tr w14:paraId="78DE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tcMar>
                    <w:top w:w="57" w:type="dxa"/>
                    <w:left w:w="108" w:type="dxa"/>
                    <w:bottom w:w="57" w:type="dxa"/>
                    <w:right w:w="108" w:type="dxa"/>
                  </w:tcMar>
                  <w:vAlign w:val="center"/>
                </w:tcPr>
                <w:p w14:paraId="59F27B9F">
                  <w:pPr>
                    <w:pStyle w:val="3"/>
                    <w:spacing w:line="240" w:lineRule="auto"/>
                    <w:ind w:firstLine="0" w:firstLineChars="0"/>
                    <w:jc w:val="center"/>
                    <w:rPr>
                      <w:color w:val="auto"/>
                      <w:sz w:val="18"/>
                      <w:szCs w:val="18"/>
                      <w:highlight w:val="none"/>
                    </w:rPr>
                  </w:pPr>
                  <w:r>
                    <w:rPr>
                      <w:rFonts w:hint="eastAsia"/>
                      <w:color w:val="auto"/>
                      <w:sz w:val="18"/>
                      <w:szCs w:val="18"/>
                      <w:highlight w:val="none"/>
                    </w:rPr>
                    <w:t>1</w:t>
                  </w:r>
                </w:p>
              </w:tc>
              <w:tc>
                <w:tcPr>
                  <w:tcW w:w="2693" w:type="pct"/>
                  <w:tcMar>
                    <w:top w:w="57" w:type="dxa"/>
                    <w:left w:w="108" w:type="dxa"/>
                    <w:bottom w:w="57" w:type="dxa"/>
                    <w:right w:w="108" w:type="dxa"/>
                  </w:tcMar>
                  <w:vAlign w:val="center"/>
                </w:tcPr>
                <w:p w14:paraId="467D757A">
                  <w:pPr>
                    <w:pStyle w:val="3"/>
                    <w:spacing w:line="240" w:lineRule="auto"/>
                    <w:ind w:firstLine="0" w:firstLineChars="0"/>
                    <w:jc w:val="center"/>
                    <w:rPr>
                      <w:color w:val="auto"/>
                      <w:sz w:val="18"/>
                      <w:szCs w:val="18"/>
                      <w:highlight w:val="none"/>
                    </w:rPr>
                  </w:pPr>
                  <w:r>
                    <w:rPr>
                      <w:rFonts w:hint="eastAsia"/>
                      <w:color w:val="auto"/>
                      <w:sz w:val="18"/>
                      <w:szCs w:val="18"/>
                      <w:highlight w:val="none"/>
                    </w:rPr>
                    <w:t>除国家规划项目外，乌鲁木齐市七区一县、昌吉市、阜康市、玛纳斯县、呼图壁县、沙湾市建成区及周边敏感区域内不再布局建设煤化工、电解铝、燃煤纯发电机组、金属硅、碳化硅、聚氯乙烯（电石法）、焦炭（含半焦）等新增产能项目，具备风光电清洁供暖建设条件的区域原则上不新批热电联产项目。坚持属地负责与区域大气污染联防联控相结合，以明显降低细颗粒物浓度为重点，协同推进“乌-昌-石”区域大气环境治理，强化与生产建设兵团第六师、第八师、第十一师、第十二师的同防同治，确保区域环境空气质量持续改善。所有新建、改建、扩建工业项目执行最严格的大气污染物排放标准。强化氮氧化物深度治理。强化挥发性有机物污染防治措施。推广使用低挥发性有机物原辅料，推动有条件的园区（工业集聚区）建设集中喷涂工程中心，配备高效治污设施，替代企业独立喷涂工序。</w:t>
                  </w:r>
                </w:p>
              </w:tc>
              <w:tc>
                <w:tcPr>
                  <w:tcW w:w="1421" w:type="pct"/>
                  <w:tcMar>
                    <w:top w:w="57" w:type="dxa"/>
                    <w:left w:w="108" w:type="dxa"/>
                    <w:bottom w:w="57" w:type="dxa"/>
                    <w:right w:w="108" w:type="dxa"/>
                  </w:tcMar>
                  <w:vAlign w:val="center"/>
                </w:tcPr>
                <w:p w14:paraId="5610A6AE">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属于陆地矿产资源地质勘查，不属于煤化工、电解铝、燃煤纯发电机组、金属硅、碳化硅、聚氯乙烯（电石法）、焦炭（含半焦）等新增产能项目，不属于热电联产项目，本项目施工期较短，产生的废气为短时影响，随着施工的结束即消失，无长期、固定污染源，对周边环境空气影响较小。</w:t>
                  </w:r>
                </w:p>
              </w:tc>
              <w:tc>
                <w:tcPr>
                  <w:tcW w:w="502" w:type="pct"/>
                  <w:tcMar>
                    <w:top w:w="57" w:type="dxa"/>
                    <w:left w:w="108" w:type="dxa"/>
                    <w:bottom w:w="57" w:type="dxa"/>
                    <w:right w:w="108" w:type="dxa"/>
                  </w:tcMar>
                  <w:vAlign w:val="center"/>
                </w:tcPr>
                <w:p w14:paraId="57D7477D">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7C54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tcMar>
                    <w:top w:w="57" w:type="dxa"/>
                    <w:left w:w="108" w:type="dxa"/>
                    <w:bottom w:w="57" w:type="dxa"/>
                    <w:right w:w="108" w:type="dxa"/>
                  </w:tcMar>
                  <w:vAlign w:val="center"/>
                </w:tcPr>
                <w:p w14:paraId="05C62CEF">
                  <w:pPr>
                    <w:pStyle w:val="3"/>
                    <w:spacing w:line="240" w:lineRule="auto"/>
                    <w:ind w:firstLine="0" w:firstLineChars="0"/>
                    <w:jc w:val="center"/>
                    <w:rPr>
                      <w:color w:val="auto"/>
                      <w:sz w:val="18"/>
                      <w:szCs w:val="18"/>
                      <w:highlight w:val="none"/>
                    </w:rPr>
                  </w:pPr>
                  <w:r>
                    <w:rPr>
                      <w:rFonts w:hint="eastAsia"/>
                      <w:color w:val="auto"/>
                      <w:sz w:val="18"/>
                      <w:szCs w:val="18"/>
                      <w:highlight w:val="none"/>
                    </w:rPr>
                    <w:t>2</w:t>
                  </w:r>
                </w:p>
              </w:tc>
              <w:tc>
                <w:tcPr>
                  <w:tcW w:w="2693" w:type="pct"/>
                  <w:tcMar>
                    <w:top w:w="57" w:type="dxa"/>
                    <w:left w:w="108" w:type="dxa"/>
                    <w:bottom w:w="57" w:type="dxa"/>
                    <w:right w:w="108" w:type="dxa"/>
                  </w:tcMar>
                  <w:vAlign w:val="center"/>
                </w:tcPr>
                <w:p w14:paraId="1EB68C97">
                  <w:pPr>
                    <w:pStyle w:val="3"/>
                    <w:spacing w:line="240" w:lineRule="auto"/>
                    <w:ind w:firstLine="0" w:firstLineChars="0"/>
                    <w:jc w:val="center"/>
                    <w:rPr>
                      <w:color w:val="auto"/>
                      <w:sz w:val="18"/>
                      <w:szCs w:val="18"/>
                      <w:highlight w:val="none"/>
                    </w:rPr>
                  </w:pPr>
                  <w:r>
                    <w:rPr>
                      <w:rFonts w:hint="eastAsia"/>
                      <w:color w:val="auto"/>
                      <w:sz w:val="18"/>
                      <w:szCs w:val="18"/>
                      <w:highlight w:val="none"/>
                    </w:rPr>
                    <w:t>强化企业清洁生产改造，推进节水型企业、节水型工业园区建设，提高资源集约节约利用水平。积极推进地下水超采治理，逐步压减地下水超采量，实现地下水采补平衡。</w:t>
                  </w:r>
                </w:p>
              </w:tc>
              <w:tc>
                <w:tcPr>
                  <w:tcW w:w="1421" w:type="pct"/>
                  <w:tcMar>
                    <w:top w:w="57" w:type="dxa"/>
                    <w:left w:w="108" w:type="dxa"/>
                    <w:bottom w:w="57" w:type="dxa"/>
                    <w:right w:w="108" w:type="dxa"/>
                  </w:tcMar>
                  <w:vAlign w:val="center"/>
                </w:tcPr>
                <w:p w14:paraId="5C3C466F">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本项目生产过程各类废水循环利用，消耗新鲜水量较少；本项目不涉及地下水开采。</w:t>
                  </w:r>
                </w:p>
              </w:tc>
              <w:tc>
                <w:tcPr>
                  <w:tcW w:w="502" w:type="pct"/>
                  <w:tcMar>
                    <w:top w:w="57" w:type="dxa"/>
                    <w:left w:w="108" w:type="dxa"/>
                    <w:bottom w:w="57" w:type="dxa"/>
                    <w:right w:w="108" w:type="dxa"/>
                  </w:tcMar>
                  <w:vAlign w:val="center"/>
                </w:tcPr>
                <w:p w14:paraId="0F66F867">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47AC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tcMar>
                    <w:top w:w="57" w:type="dxa"/>
                    <w:left w:w="108" w:type="dxa"/>
                    <w:bottom w:w="57" w:type="dxa"/>
                    <w:right w:w="108" w:type="dxa"/>
                  </w:tcMar>
                  <w:vAlign w:val="center"/>
                </w:tcPr>
                <w:p w14:paraId="481C0114">
                  <w:pPr>
                    <w:pStyle w:val="3"/>
                    <w:spacing w:line="240" w:lineRule="auto"/>
                    <w:ind w:firstLine="0" w:firstLineChars="0"/>
                    <w:jc w:val="center"/>
                    <w:rPr>
                      <w:color w:val="auto"/>
                      <w:sz w:val="18"/>
                      <w:szCs w:val="18"/>
                      <w:highlight w:val="none"/>
                    </w:rPr>
                  </w:pPr>
                  <w:r>
                    <w:rPr>
                      <w:rFonts w:hint="eastAsia"/>
                      <w:color w:val="auto"/>
                      <w:sz w:val="18"/>
                      <w:szCs w:val="18"/>
                      <w:highlight w:val="none"/>
                    </w:rPr>
                    <w:t>3</w:t>
                  </w:r>
                </w:p>
              </w:tc>
              <w:tc>
                <w:tcPr>
                  <w:tcW w:w="2693" w:type="pct"/>
                  <w:tcMar>
                    <w:top w:w="57" w:type="dxa"/>
                    <w:left w:w="108" w:type="dxa"/>
                    <w:bottom w:w="57" w:type="dxa"/>
                    <w:right w:w="108" w:type="dxa"/>
                  </w:tcMar>
                  <w:vAlign w:val="center"/>
                </w:tcPr>
                <w:p w14:paraId="75622505">
                  <w:pPr>
                    <w:pStyle w:val="3"/>
                    <w:spacing w:line="240" w:lineRule="auto"/>
                    <w:ind w:firstLine="0" w:firstLineChars="0"/>
                    <w:jc w:val="center"/>
                    <w:rPr>
                      <w:color w:val="auto"/>
                      <w:sz w:val="18"/>
                      <w:szCs w:val="18"/>
                      <w:highlight w:val="none"/>
                    </w:rPr>
                  </w:pPr>
                  <w:r>
                    <w:rPr>
                      <w:rFonts w:hint="eastAsia"/>
                      <w:color w:val="auto"/>
                      <w:sz w:val="18"/>
                      <w:szCs w:val="18"/>
                      <w:highlight w:val="none"/>
                    </w:rPr>
                    <w:t>强化油（气）资源开发区土壤环境污染综合整治。加强涉重金属行业污染防控与工业废物处理处置。</w:t>
                  </w:r>
                </w:p>
              </w:tc>
              <w:tc>
                <w:tcPr>
                  <w:tcW w:w="1421" w:type="pct"/>
                  <w:tcMar>
                    <w:top w:w="57" w:type="dxa"/>
                    <w:left w:w="108" w:type="dxa"/>
                    <w:bottom w:w="57" w:type="dxa"/>
                    <w:right w:w="108" w:type="dxa"/>
                  </w:tcMar>
                  <w:vAlign w:val="center"/>
                </w:tcPr>
                <w:p w14:paraId="513318F7">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本项目属于陆地矿产资源地质勘查，仅涉及施工期，不涉及油气生产开采等建设工程，无固定、长期污染源。</w:t>
                  </w:r>
                </w:p>
              </w:tc>
              <w:tc>
                <w:tcPr>
                  <w:tcW w:w="502" w:type="pct"/>
                  <w:tcMar>
                    <w:top w:w="57" w:type="dxa"/>
                    <w:left w:w="108" w:type="dxa"/>
                    <w:bottom w:w="57" w:type="dxa"/>
                    <w:right w:w="108" w:type="dxa"/>
                  </w:tcMar>
                  <w:vAlign w:val="center"/>
                </w:tcPr>
                <w:p w14:paraId="3051A827">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7645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tcMar>
                    <w:top w:w="57" w:type="dxa"/>
                    <w:left w:w="108" w:type="dxa"/>
                    <w:bottom w:w="57" w:type="dxa"/>
                    <w:right w:w="108" w:type="dxa"/>
                  </w:tcMar>
                  <w:vAlign w:val="center"/>
                </w:tcPr>
                <w:p w14:paraId="47745B64">
                  <w:pPr>
                    <w:pStyle w:val="3"/>
                    <w:spacing w:line="240" w:lineRule="auto"/>
                    <w:ind w:firstLine="0" w:firstLineChars="0"/>
                    <w:jc w:val="center"/>
                    <w:rPr>
                      <w:color w:val="auto"/>
                      <w:sz w:val="18"/>
                      <w:szCs w:val="18"/>
                      <w:highlight w:val="none"/>
                    </w:rPr>
                  </w:pPr>
                  <w:r>
                    <w:rPr>
                      <w:rFonts w:hint="eastAsia"/>
                      <w:color w:val="auto"/>
                      <w:sz w:val="18"/>
                      <w:szCs w:val="18"/>
                      <w:highlight w:val="none"/>
                    </w:rPr>
                    <w:t>4</w:t>
                  </w:r>
                </w:p>
              </w:tc>
              <w:tc>
                <w:tcPr>
                  <w:tcW w:w="2693" w:type="pct"/>
                  <w:tcMar>
                    <w:top w:w="57" w:type="dxa"/>
                    <w:left w:w="108" w:type="dxa"/>
                    <w:bottom w:w="57" w:type="dxa"/>
                    <w:right w:w="108" w:type="dxa"/>
                  </w:tcMar>
                  <w:vAlign w:val="center"/>
                </w:tcPr>
                <w:p w14:paraId="55E2E9BD">
                  <w:pPr>
                    <w:pStyle w:val="3"/>
                    <w:spacing w:line="240" w:lineRule="auto"/>
                    <w:ind w:firstLine="0" w:firstLineChars="0"/>
                    <w:jc w:val="center"/>
                    <w:rPr>
                      <w:color w:val="auto"/>
                      <w:sz w:val="18"/>
                      <w:szCs w:val="18"/>
                      <w:highlight w:val="none"/>
                    </w:rPr>
                  </w:pPr>
                  <w:r>
                    <w:rPr>
                      <w:rFonts w:hint="eastAsia"/>
                      <w:color w:val="auto"/>
                      <w:sz w:val="18"/>
                      <w:szCs w:val="18"/>
                      <w:highlight w:val="none"/>
                    </w:rPr>
                    <w:t>煤炭、石油、天然气开发单位应当制定生态保护和恢复治理方案，并予以实施。生态保护和恢复治理方案内容应当向社会公布，接受社会监督。</w:t>
                  </w:r>
                </w:p>
              </w:tc>
              <w:tc>
                <w:tcPr>
                  <w:tcW w:w="1421" w:type="pct"/>
                  <w:tcMar>
                    <w:top w:w="57" w:type="dxa"/>
                    <w:left w:w="108" w:type="dxa"/>
                    <w:bottom w:w="57" w:type="dxa"/>
                    <w:right w:w="108" w:type="dxa"/>
                  </w:tcMar>
                  <w:vAlign w:val="center"/>
                </w:tcPr>
                <w:p w14:paraId="7D2DCC67">
                  <w:pPr>
                    <w:pStyle w:val="3"/>
                    <w:spacing w:line="240" w:lineRule="auto"/>
                    <w:ind w:firstLine="0" w:firstLineChars="0"/>
                    <w:jc w:val="center"/>
                    <w:rPr>
                      <w:color w:val="auto"/>
                      <w:sz w:val="18"/>
                      <w:szCs w:val="18"/>
                      <w:highlight w:val="none"/>
                    </w:rPr>
                  </w:pPr>
                  <w:r>
                    <w:rPr>
                      <w:rFonts w:hint="eastAsia"/>
                      <w:color w:val="auto"/>
                      <w:sz w:val="18"/>
                      <w:szCs w:val="18"/>
                      <w:highlight w:val="none"/>
                    </w:rPr>
                    <w:t>建设单位已制定生态保护和恢复治理方案，并予以实施。生态保护和恢复治理方案内容向社会公布，接受社会监督。</w:t>
                  </w:r>
                </w:p>
              </w:tc>
              <w:tc>
                <w:tcPr>
                  <w:tcW w:w="502" w:type="pct"/>
                  <w:tcMar>
                    <w:top w:w="57" w:type="dxa"/>
                    <w:left w:w="108" w:type="dxa"/>
                    <w:bottom w:w="57" w:type="dxa"/>
                    <w:right w:w="108" w:type="dxa"/>
                  </w:tcMar>
                  <w:vAlign w:val="center"/>
                </w:tcPr>
                <w:p w14:paraId="610775F7">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bl>
          <w:p w14:paraId="2A0A94D9">
            <w:pPr>
              <w:pStyle w:val="3"/>
              <w:ind w:firstLine="0" w:firstLineChars="0"/>
              <w:rPr>
                <w:color w:val="auto"/>
                <w:sz w:val="21"/>
                <w:highlight w:val="none"/>
              </w:rPr>
            </w:pPr>
          </w:p>
          <w:p w14:paraId="5FFEC50D">
            <w:pPr>
              <w:pStyle w:val="3"/>
              <w:numPr>
                <w:ilvl w:val="0"/>
                <w:numId w:val="9"/>
              </w:numPr>
              <w:ind w:firstLine="420"/>
              <w:rPr>
                <w:color w:val="auto"/>
                <w:sz w:val="21"/>
                <w:highlight w:val="none"/>
              </w:rPr>
            </w:pPr>
            <w:r>
              <w:rPr>
                <w:rFonts w:hint="eastAsia"/>
                <w:color w:val="auto"/>
                <w:sz w:val="21"/>
                <w:highlight w:val="none"/>
              </w:rPr>
              <w:t>与“《新疆维吾尔自治区生态环境分区管控动态更新成果》（新环环评发[2024]157号）”符合性分析</w:t>
            </w:r>
          </w:p>
          <w:p w14:paraId="4BDA7709">
            <w:pPr>
              <w:pStyle w:val="3"/>
              <w:ind w:firstLine="420"/>
              <w:rPr>
                <w:color w:val="auto"/>
                <w:sz w:val="21"/>
                <w:highlight w:val="none"/>
              </w:rPr>
            </w:pPr>
            <w:r>
              <w:rPr>
                <w:rFonts w:hint="eastAsia"/>
                <w:color w:val="auto"/>
                <w:sz w:val="21"/>
                <w:highlight w:val="none"/>
              </w:rPr>
              <w:t>本项目与“新环环评发[2024]157号”的符合性分析见</w:t>
            </w:r>
            <w:r>
              <w:rPr>
                <w:color w:val="auto"/>
                <w:highlight w:val="none"/>
              </w:rPr>
              <w:fldChar w:fldCharType="begin"/>
            </w:r>
            <w:r>
              <w:rPr>
                <w:color w:val="auto"/>
              </w:rPr>
              <w:instrText xml:space="preserve"> REF _Ref205824403 \h  \* MERGEFORMAT</w:instrText>
            </w:r>
            <w:r>
              <w:rPr>
                <w:color w:val="auto"/>
                <w:highlight w:val="none"/>
              </w:rPr>
              <w:fldChar w:fldCharType="separate"/>
            </w:r>
            <w:r>
              <w:rPr>
                <w:color w:val="auto"/>
                <w:sz w:val="21"/>
                <w:highlight w:val="none"/>
              </w:rPr>
              <w:t>表4</w:t>
            </w:r>
            <w:r>
              <w:rPr>
                <w:color w:val="auto"/>
                <w:highlight w:val="none"/>
              </w:rPr>
              <w:fldChar w:fldCharType="end"/>
            </w:r>
            <w:r>
              <w:rPr>
                <w:rFonts w:hint="eastAsia"/>
                <w:color w:val="auto"/>
                <w:sz w:val="21"/>
                <w:highlight w:val="none"/>
              </w:rPr>
              <w:t>。</w:t>
            </w:r>
          </w:p>
          <w:p w14:paraId="17158304">
            <w:pPr>
              <w:pStyle w:val="13"/>
              <w:bidi w:val="0"/>
              <w:rPr>
                <w:color w:val="auto"/>
                <w:highlight w:val="none"/>
              </w:rPr>
            </w:pPr>
            <w:bookmarkStart w:id="4" w:name="_Ref205824403"/>
            <w:r>
              <w:rPr>
                <w:color w:val="auto"/>
                <w:highlight w:val="none"/>
              </w:rPr>
              <w:t>表</w:t>
            </w:r>
            <w:r>
              <w:rPr>
                <w:color w:val="auto"/>
                <w:highlight w:val="none"/>
              </w:rPr>
              <w:fldChar w:fldCharType="begin"/>
            </w:r>
            <w:r>
              <w:rPr>
                <w:color w:val="auto"/>
                <w:highlight w:val="none"/>
              </w:rPr>
              <w:instrText xml:space="preserve"> SEQ 表 \*ARABIC </w:instrText>
            </w:r>
            <w:r>
              <w:rPr>
                <w:color w:val="auto"/>
                <w:highlight w:val="none"/>
              </w:rPr>
              <w:fldChar w:fldCharType="separate"/>
            </w:r>
            <w:r>
              <w:rPr>
                <w:color w:val="auto"/>
                <w:highlight w:val="none"/>
              </w:rPr>
              <w:t>4</w:t>
            </w:r>
            <w:r>
              <w:rPr>
                <w:color w:val="auto"/>
                <w:highlight w:val="none"/>
              </w:rPr>
              <w:fldChar w:fldCharType="end"/>
            </w:r>
            <w:bookmarkEnd w:id="4"/>
            <w:r>
              <w:rPr>
                <w:color w:val="auto"/>
                <w:highlight w:val="none"/>
              </w:rPr>
              <w:t xml:space="preserve">  </w:t>
            </w:r>
            <w:r>
              <w:rPr>
                <w:rFonts w:hint="eastAsia"/>
                <w:color w:val="auto"/>
                <w:highlight w:val="none"/>
              </w:rPr>
              <w:t>与“新环环评发[2024]157号”符合性分析</w:t>
            </w:r>
          </w:p>
          <w:tbl>
            <w:tblPr>
              <w:tblStyle w:val="2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95"/>
              <w:gridCol w:w="696"/>
              <w:gridCol w:w="3561"/>
              <w:gridCol w:w="2046"/>
              <w:gridCol w:w="527"/>
            </w:tblGrid>
            <w:tr w14:paraId="42EB2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jc w:val="center"/>
              </w:trPr>
              <w:tc>
                <w:tcPr>
                  <w:tcW w:w="3268" w:type="pct"/>
                  <w:gridSpan w:val="3"/>
                  <w:tcMar>
                    <w:top w:w="57" w:type="dxa"/>
                    <w:left w:w="108" w:type="dxa"/>
                    <w:bottom w:w="57" w:type="dxa"/>
                    <w:right w:w="108" w:type="dxa"/>
                  </w:tcMar>
                  <w:vAlign w:val="center"/>
                </w:tcPr>
                <w:p w14:paraId="2F4FF5C3">
                  <w:pPr>
                    <w:pStyle w:val="97"/>
                    <w:rPr>
                      <w:color w:val="auto"/>
                      <w:sz w:val="18"/>
                      <w:szCs w:val="18"/>
                      <w:highlight w:val="none"/>
                    </w:rPr>
                  </w:pPr>
                  <w:r>
                    <w:rPr>
                      <w:color w:val="auto"/>
                      <w:sz w:val="18"/>
                      <w:szCs w:val="18"/>
                      <w:highlight w:val="none"/>
                    </w:rPr>
                    <w:t>新环环评发</w:t>
                  </w:r>
                  <w:r>
                    <w:rPr>
                      <w:rFonts w:hint="eastAsia"/>
                      <w:color w:val="auto"/>
                      <w:sz w:val="18"/>
                      <w:szCs w:val="18"/>
                      <w:highlight w:val="none"/>
                    </w:rPr>
                    <w:t>[</w:t>
                  </w:r>
                  <w:r>
                    <w:rPr>
                      <w:color w:val="auto"/>
                      <w:sz w:val="18"/>
                      <w:szCs w:val="18"/>
                      <w:highlight w:val="none"/>
                    </w:rPr>
                    <w:t>2024</w:t>
                  </w:r>
                  <w:r>
                    <w:rPr>
                      <w:rFonts w:hint="eastAsia"/>
                      <w:color w:val="auto"/>
                      <w:sz w:val="18"/>
                      <w:szCs w:val="18"/>
                      <w:highlight w:val="none"/>
                    </w:rPr>
                    <w:t>]</w:t>
                  </w:r>
                  <w:r>
                    <w:rPr>
                      <w:color w:val="auto"/>
                      <w:sz w:val="18"/>
                      <w:szCs w:val="18"/>
                      <w:highlight w:val="none"/>
                    </w:rPr>
                    <w:t>157号管控要求</w:t>
                  </w:r>
                </w:p>
              </w:tc>
              <w:tc>
                <w:tcPr>
                  <w:tcW w:w="1378" w:type="pct"/>
                  <w:tcMar>
                    <w:top w:w="57" w:type="dxa"/>
                    <w:left w:w="108" w:type="dxa"/>
                    <w:bottom w:w="57" w:type="dxa"/>
                    <w:right w:w="108" w:type="dxa"/>
                  </w:tcMar>
                  <w:vAlign w:val="center"/>
                </w:tcPr>
                <w:p w14:paraId="2994145B">
                  <w:pPr>
                    <w:pStyle w:val="97"/>
                    <w:rPr>
                      <w:color w:val="auto"/>
                      <w:sz w:val="18"/>
                      <w:szCs w:val="18"/>
                      <w:highlight w:val="none"/>
                    </w:rPr>
                  </w:pPr>
                  <w:r>
                    <w:rPr>
                      <w:color w:val="auto"/>
                      <w:sz w:val="18"/>
                      <w:szCs w:val="18"/>
                      <w:highlight w:val="none"/>
                    </w:rPr>
                    <w:t>本项目情况</w:t>
                  </w:r>
                </w:p>
              </w:tc>
              <w:tc>
                <w:tcPr>
                  <w:tcW w:w="354" w:type="pct"/>
                  <w:tcMar>
                    <w:top w:w="57" w:type="dxa"/>
                    <w:left w:w="108" w:type="dxa"/>
                    <w:bottom w:w="57" w:type="dxa"/>
                    <w:right w:w="108" w:type="dxa"/>
                  </w:tcMar>
                  <w:vAlign w:val="center"/>
                </w:tcPr>
                <w:p w14:paraId="30DDAAB8">
                  <w:pPr>
                    <w:pStyle w:val="97"/>
                    <w:rPr>
                      <w:color w:val="auto"/>
                      <w:sz w:val="18"/>
                      <w:szCs w:val="18"/>
                      <w:highlight w:val="none"/>
                    </w:rPr>
                  </w:pPr>
                  <w:r>
                    <w:rPr>
                      <w:color w:val="auto"/>
                      <w:sz w:val="18"/>
                      <w:szCs w:val="18"/>
                      <w:highlight w:val="none"/>
                    </w:rPr>
                    <w:t>符合性分析</w:t>
                  </w:r>
                </w:p>
              </w:tc>
            </w:tr>
            <w:tr w14:paraId="3CE4E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restart"/>
                  <w:tcMar>
                    <w:top w:w="57" w:type="dxa"/>
                    <w:left w:w="108" w:type="dxa"/>
                    <w:bottom w:w="57" w:type="dxa"/>
                    <w:right w:w="108" w:type="dxa"/>
                  </w:tcMar>
                  <w:vAlign w:val="center"/>
                </w:tcPr>
                <w:p w14:paraId="538A5FD3">
                  <w:pPr>
                    <w:pStyle w:val="97"/>
                    <w:rPr>
                      <w:rFonts w:hAnsi="Calibri"/>
                      <w:color w:val="auto"/>
                      <w:sz w:val="18"/>
                      <w:szCs w:val="18"/>
                      <w:highlight w:val="none"/>
                    </w:rPr>
                  </w:pPr>
                  <w:r>
                    <w:rPr>
                      <w:color w:val="auto"/>
                      <w:sz w:val="18"/>
                      <w:szCs w:val="18"/>
                      <w:highlight w:val="none"/>
                    </w:rPr>
                    <w:t>A1.</w:t>
                  </w:r>
                </w:p>
                <w:p w14:paraId="7E8AF412">
                  <w:pPr>
                    <w:pStyle w:val="97"/>
                    <w:rPr>
                      <w:rFonts w:hAnsi="Calibri"/>
                      <w:color w:val="auto"/>
                      <w:sz w:val="18"/>
                      <w:szCs w:val="18"/>
                      <w:highlight w:val="none"/>
                    </w:rPr>
                  </w:pPr>
                  <w:r>
                    <w:rPr>
                      <w:color w:val="auto"/>
                      <w:sz w:val="18"/>
                      <w:szCs w:val="18"/>
                      <w:highlight w:val="none"/>
                    </w:rPr>
                    <w:t>空间</w:t>
                  </w:r>
                </w:p>
                <w:p w14:paraId="33C24F40">
                  <w:pPr>
                    <w:pStyle w:val="97"/>
                    <w:rPr>
                      <w:rFonts w:hAnsi="Calibri"/>
                      <w:color w:val="auto"/>
                      <w:sz w:val="18"/>
                      <w:szCs w:val="18"/>
                      <w:highlight w:val="none"/>
                    </w:rPr>
                  </w:pPr>
                  <w:r>
                    <w:rPr>
                      <w:color w:val="auto"/>
                      <w:sz w:val="18"/>
                      <w:szCs w:val="18"/>
                      <w:highlight w:val="none"/>
                    </w:rPr>
                    <w:t>布局</w:t>
                  </w:r>
                </w:p>
                <w:p w14:paraId="406715B4">
                  <w:pPr>
                    <w:pStyle w:val="97"/>
                    <w:widowControl w:val="0"/>
                    <w:autoSpaceDE w:val="0"/>
                    <w:autoSpaceDN w:val="0"/>
                    <w:rPr>
                      <w:color w:val="auto"/>
                      <w:sz w:val="18"/>
                      <w:szCs w:val="18"/>
                      <w:highlight w:val="none"/>
                    </w:rPr>
                  </w:pPr>
                  <w:r>
                    <w:rPr>
                      <w:color w:val="auto"/>
                      <w:sz w:val="18"/>
                      <w:szCs w:val="18"/>
                      <w:highlight w:val="none"/>
                    </w:rPr>
                    <w:t>约束</w:t>
                  </w:r>
                </w:p>
              </w:tc>
              <w:tc>
                <w:tcPr>
                  <w:tcW w:w="469" w:type="pct"/>
                  <w:vMerge w:val="restart"/>
                  <w:tcMar>
                    <w:top w:w="57" w:type="dxa"/>
                    <w:left w:w="108" w:type="dxa"/>
                    <w:bottom w:w="57" w:type="dxa"/>
                    <w:right w:w="108" w:type="dxa"/>
                  </w:tcMar>
                  <w:vAlign w:val="center"/>
                </w:tcPr>
                <w:p w14:paraId="4DB870DB">
                  <w:pPr>
                    <w:pStyle w:val="97"/>
                    <w:rPr>
                      <w:rFonts w:hAnsi="Calibri"/>
                      <w:color w:val="auto"/>
                      <w:sz w:val="18"/>
                      <w:szCs w:val="18"/>
                      <w:highlight w:val="none"/>
                    </w:rPr>
                  </w:pPr>
                  <w:r>
                    <w:rPr>
                      <w:color w:val="auto"/>
                      <w:sz w:val="18"/>
                      <w:szCs w:val="18"/>
                      <w:highlight w:val="none"/>
                    </w:rPr>
                    <w:t>A1.1</w:t>
                  </w:r>
                </w:p>
                <w:p w14:paraId="37CE72ED">
                  <w:pPr>
                    <w:pStyle w:val="97"/>
                    <w:rPr>
                      <w:rFonts w:hAnsi="Calibri"/>
                      <w:color w:val="auto"/>
                      <w:sz w:val="18"/>
                      <w:szCs w:val="18"/>
                      <w:highlight w:val="none"/>
                    </w:rPr>
                  </w:pPr>
                  <w:r>
                    <w:rPr>
                      <w:color w:val="auto"/>
                      <w:sz w:val="18"/>
                      <w:szCs w:val="18"/>
                      <w:highlight w:val="none"/>
                    </w:rPr>
                    <w:t>禁止</w:t>
                  </w:r>
                </w:p>
                <w:p w14:paraId="061BC11F">
                  <w:pPr>
                    <w:pStyle w:val="97"/>
                    <w:rPr>
                      <w:rFonts w:hAnsi="Calibri"/>
                      <w:color w:val="auto"/>
                      <w:sz w:val="18"/>
                      <w:szCs w:val="18"/>
                      <w:highlight w:val="none"/>
                    </w:rPr>
                  </w:pPr>
                  <w:r>
                    <w:rPr>
                      <w:color w:val="auto"/>
                      <w:sz w:val="18"/>
                      <w:szCs w:val="18"/>
                      <w:highlight w:val="none"/>
                    </w:rPr>
                    <w:t>开发</w:t>
                  </w:r>
                </w:p>
                <w:p w14:paraId="71CC7FA0">
                  <w:pPr>
                    <w:pStyle w:val="97"/>
                    <w:widowControl w:val="0"/>
                    <w:autoSpaceDE w:val="0"/>
                    <w:autoSpaceDN w:val="0"/>
                    <w:rPr>
                      <w:color w:val="auto"/>
                      <w:sz w:val="18"/>
                      <w:szCs w:val="18"/>
                      <w:highlight w:val="none"/>
                    </w:rPr>
                  </w:pPr>
                  <w:r>
                    <w:rPr>
                      <w:color w:val="auto"/>
                      <w:sz w:val="18"/>
                      <w:szCs w:val="18"/>
                      <w:highlight w:val="none"/>
                    </w:rPr>
                    <w:t>的活</w:t>
                  </w:r>
                </w:p>
                <w:p w14:paraId="4D491443">
                  <w:pPr>
                    <w:pStyle w:val="97"/>
                    <w:widowControl w:val="0"/>
                    <w:autoSpaceDE w:val="0"/>
                    <w:autoSpaceDN w:val="0"/>
                    <w:rPr>
                      <w:color w:val="auto"/>
                      <w:sz w:val="18"/>
                      <w:szCs w:val="18"/>
                      <w:highlight w:val="none"/>
                    </w:rPr>
                  </w:pPr>
                  <w:r>
                    <w:rPr>
                      <w:color w:val="auto"/>
                      <w:sz w:val="18"/>
                      <w:szCs w:val="18"/>
                      <w:highlight w:val="none"/>
                    </w:rPr>
                    <w:t>动</w:t>
                  </w:r>
                </w:p>
              </w:tc>
              <w:tc>
                <w:tcPr>
                  <w:tcW w:w="2397" w:type="pct"/>
                  <w:tcMar>
                    <w:top w:w="57" w:type="dxa"/>
                    <w:left w:w="108" w:type="dxa"/>
                    <w:bottom w:w="57" w:type="dxa"/>
                    <w:right w:w="108" w:type="dxa"/>
                  </w:tcMar>
                  <w:vAlign w:val="center"/>
                </w:tcPr>
                <w:p w14:paraId="079B20FD">
                  <w:pPr>
                    <w:pStyle w:val="97"/>
                    <w:rPr>
                      <w:color w:val="auto"/>
                      <w:sz w:val="18"/>
                      <w:szCs w:val="18"/>
                      <w:highlight w:val="none"/>
                    </w:rPr>
                  </w:pPr>
                  <w:r>
                    <w:rPr>
                      <w:color w:val="auto"/>
                      <w:sz w:val="18"/>
                      <w:szCs w:val="18"/>
                      <w:highlight w:val="none"/>
                    </w:rPr>
                    <w:t>[A1.1-1]禁止新建、扩建《产业结构调整指导目录（2024年本）》中淘汰类项目。禁止引入《市场准入负面清单（2022年版）》禁止准入类事项。</w:t>
                  </w:r>
                </w:p>
              </w:tc>
              <w:tc>
                <w:tcPr>
                  <w:tcW w:w="1378" w:type="pct"/>
                  <w:tcMar>
                    <w:top w:w="57" w:type="dxa"/>
                    <w:left w:w="108" w:type="dxa"/>
                    <w:bottom w:w="57" w:type="dxa"/>
                    <w:right w:w="108" w:type="dxa"/>
                  </w:tcMar>
                  <w:vAlign w:val="center"/>
                </w:tcPr>
                <w:p w14:paraId="654D4ACC">
                  <w:pPr>
                    <w:pStyle w:val="97"/>
                    <w:rPr>
                      <w:color w:val="auto"/>
                      <w:sz w:val="18"/>
                      <w:szCs w:val="18"/>
                      <w:highlight w:val="none"/>
                    </w:rPr>
                  </w:pPr>
                  <w:r>
                    <w:rPr>
                      <w:color w:val="auto"/>
                      <w:sz w:val="18"/>
                      <w:szCs w:val="18"/>
                      <w:highlight w:val="none"/>
                    </w:rPr>
                    <w:t>本项目</w:t>
                  </w:r>
                  <w:r>
                    <w:rPr>
                      <w:rFonts w:hint="eastAsia"/>
                      <w:color w:val="auto"/>
                      <w:sz w:val="18"/>
                      <w:szCs w:val="18"/>
                      <w:highlight w:val="none"/>
                    </w:rPr>
                    <w:t>为</w:t>
                  </w:r>
                  <w:r>
                    <w:rPr>
                      <w:color w:val="auto"/>
                      <w:sz w:val="18"/>
                      <w:szCs w:val="18"/>
                      <w:highlight w:val="none"/>
                    </w:rPr>
                    <w:t>《产业结构调整指导目录（2024年本）》</w:t>
                  </w:r>
                  <w:r>
                    <w:rPr>
                      <w:rFonts w:hint="eastAsia"/>
                      <w:color w:val="auto"/>
                      <w:sz w:val="18"/>
                      <w:szCs w:val="18"/>
                      <w:highlight w:val="none"/>
                    </w:rPr>
                    <w:t>（国家发展和改革委员会令[2023]第7号）</w:t>
                  </w:r>
                  <w:r>
                    <w:rPr>
                      <w:color w:val="auto"/>
                      <w:sz w:val="18"/>
                      <w:szCs w:val="18"/>
                      <w:highlight w:val="none"/>
                    </w:rPr>
                    <w:t>中</w:t>
                  </w:r>
                  <w:r>
                    <w:rPr>
                      <w:rFonts w:hint="eastAsia"/>
                      <w:color w:val="auto"/>
                      <w:sz w:val="18"/>
                      <w:szCs w:val="18"/>
                      <w:highlight w:val="none"/>
                    </w:rPr>
                    <w:t>鼓励类</w:t>
                  </w:r>
                  <w:r>
                    <w:rPr>
                      <w:color w:val="auto"/>
                      <w:sz w:val="18"/>
                      <w:szCs w:val="18"/>
                      <w:highlight w:val="none"/>
                    </w:rPr>
                    <w:t>项目。</w:t>
                  </w:r>
                  <w:r>
                    <w:rPr>
                      <w:rFonts w:hint="eastAsia"/>
                      <w:color w:val="auto"/>
                      <w:sz w:val="18"/>
                      <w:szCs w:val="18"/>
                      <w:highlight w:val="none"/>
                    </w:rPr>
                    <w:t>项目</w:t>
                  </w:r>
                  <w:r>
                    <w:rPr>
                      <w:color w:val="auto"/>
                      <w:sz w:val="18"/>
                      <w:szCs w:val="18"/>
                      <w:highlight w:val="none"/>
                    </w:rPr>
                    <w:t>不涉及</w:t>
                  </w:r>
                  <w:r>
                    <w:rPr>
                      <w:rFonts w:hint="eastAsia"/>
                      <w:color w:val="auto"/>
                      <w:sz w:val="18"/>
                      <w:szCs w:val="18"/>
                      <w:highlight w:val="none"/>
                      <w:lang w:eastAsia="zh-CN"/>
                    </w:rPr>
                    <w:t>《</w:t>
                  </w:r>
                  <w:r>
                    <w:rPr>
                      <w:rFonts w:hint="eastAsia"/>
                      <w:color w:val="auto"/>
                      <w:sz w:val="18"/>
                      <w:szCs w:val="18"/>
                      <w:highlight w:val="none"/>
                    </w:rPr>
                    <w:t>市场准入负面清单（2025年版）</w:t>
                  </w:r>
                  <w:r>
                    <w:rPr>
                      <w:rFonts w:hint="eastAsia"/>
                      <w:color w:val="auto"/>
                      <w:sz w:val="18"/>
                      <w:szCs w:val="18"/>
                      <w:highlight w:val="none"/>
                      <w:lang w:eastAsia="zh-CN"/>
                    </w:rPr>
                    <w:t>》</w:t>
                  </w:r>
                  <w:r>
                    <w:rPr>
                      <w:rFonts w:hint="eastAsia"/>
                      <w:color w:val="auto"/>
                      <w:sz w:val="18"/>
                      <w:szCs w:val="18"/>
                      <w:highlight w:val="none"/>
                    </w:rPr>
                    <w:t>（发改体改规[2025]466号）</w:t>
                  </w:r>
                  <w:r>
                    <w:rPr>
                      <w:color w:val="auto"/>
                      <w:sz w:val="18"/>
                      <w:szCs w:val="18"/>
                      <w:highlight w:val="none"/>
                    </w:rPr>
                    <w:t>禁止准入类事项。</w:t>
                  </w:r>
                </w:p>
              </w:tc>
              <w:tc>
                <w:tcPr>
                  <w:tcW w:w="354" w:type="pct"/>
                  <w:tcMar>
                    <w:top w:w="57" w:type="dxa"/>
                    <w:left w:w="108" w:type="dxa"/>
                    <w:bottom w:w="57" w:type="dxa"/>
                    <w:right w:w="108" w:type="dxa"/>
                  </w:tcMar>
                  <w:vAlign w:val="center"/>
                </w:tcPr>
                <w:p w14:paraId="613B597C">
                  <w:pPr>
                    <w:pStyle w:val="97"/>
                    <w:rPr>
                      <w:color w:val="auto"/>
                      <w:sz w:val="18"/>
                      <w:szCs w:val="18"/>
                      <w:highlight w:val="none"/>
                    </w:rPr>
                  </w:pPr>
                  <w:r>
                    <w:rPr>
                      <w:color w:val="auto"/>
                      <w:sz w:val="18"/>
                      <w:szCs w:val="18"/>
                      <w:highlight w:val="none"/>
                    </w:rPr>
                    <w:t>符合</w:t>
                  </w:r>
                </w:p>
              </w:tc>
            </w:tr>
            <w:tr w14:paraId="2CC99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3399DAD4">
                  <w:pPr>
                    <w:pStyle w:val="97"/>
                    <w:widowControl w:val="0"/>
                    <w:autoSpaceDE w:val="0"/>
                    <w:autoSpaceDN w:val="0"/>
                    <w:rPr>
                      <w:color w:val="auto"/>
                      <w:sz w:val="18"/>
                      <w:szCs w:val="18"/>
                      <w:highlight w:val="none"/>
                    </w:rPr>
                  </w:pPr>
                </w:p>
              </w:tc>
              <w:tc>
                <w:tcPr>
                  <w:tcW w:w="469" w:type="pct"/>
                  <w:vMerge w:val="continue"/>
                  <w:tcMar>
                    <w:top w:w="57" w:type="dxa"/>
                    <w:left w:w="108" w:type="dxa"/>
                    <w:bottom w:w="57" w:type="dxa"/>
                    <w:right w:w="108" w:type="dxa"/>
                  </w:tcMar>
                  <w:vAlign w:val="center"/>
                </w:tcPr>
                <w:p w14:paraId="306CD893">
                  <w:pPr>
                    <w:pStyle w:val="97"/>
                    <w:widowControl w:val="0"/>
                    <w:autoSpaceDE w:val="0"/>
                    <w:autoSpaceDN w:val="0"/>
                    <w:rPr>
                      <w:color w:val="auto"/>
                      <w:sz w:val="18"/>
                      <w:szCs w:val="18"/>
                      <w:highlight w:val="none"/>
                    </w:rPr>
                  </w:pPr>
                </w:p>
              </w:tc>
              <w:tc>
                <w:tcPr>
                  <w:tcW w:w="2397" w:type="pct"/>
                  <w:tcMar>
                    <w:top w:w="57" w:type="dxa"/>
                    <w:left w:w="108" w:type="dxa"/>
                    <w:bottom w:w="57" w:type="dxa"/>
                    <w:right w:w="108" w:type="dxa"/>
                  </w:tcMar>
                  <w:vAlign w:val="center"/>
                </w:tcPr>
                <w:p w14:paraId="5ABD45E9">
                  <w:pPr>
                    <w:pStyle w:val="97"/>
                    <w:rPr>
                      <w:color w:val="auto"/>
                      <w:sz w:val="18"/>
                      <w:szCs w:val="18"/>
                      <w:highlight w:val="none"/>
                    </w:rPr>
                  </w:pPr>
                  <w:r>
                    <w:rPr>
                      <w:color w:val="auto"/>
                      <w:sz w:val="18"/>
                      <w:szCs w:val="18"/>
                      <w:highlight w:val="none"/>
                    </w:rPr>
                    <w:t>[A1.1-2]禁止建设不符合国家和自治区环境保护标准的项目。</w:t>
                  </w:r>
                </w:p>
              </w:tc>
              <w:tc>
                <w:tcPr>
                  <w:tcW w:w="1378" w:type="pct"/>
                  <w:tcMar>
                    <w:top w:w="57" w:type="dxa"/>
                    <w:left w:w="108" w:type="dxa"/>
                    <w:bottom w:w="57" w:type="dxa"/>
                    <w:right w:w="108" w:type="dxa"/>
                  </w:tcMar>
                  <w:vAlign w:val="center"/>
                </w:tcPr>
                <w:p w14:paraId="2A2FD290">
                  <w:pPr>
                    <w:pStyle w:val="97"/>
                    <w:rPr>
                      <w:color w:val="auto"/>
                      <w:sz w:val="18"/>
                      <w:szCs w:val="18"/>
                      <w:highlight w:val="none"/>
                    </w:rPr>
                  </w:pPr>
                  <w:r>
                    <w:rPr>
                      <w:color w:val="auto"/>
                      <w:sz w:val="18"/>
                      <w:szCs w:val="18"/>
                      <w:highlight w:val="none"/>
                    </w:rPr>
                    <w:t>本项目的建设符合国家和自治区环境保护标准。</w:t>
                  </w:r>
                </w:p>
              </w:tc>
              <w:tc>
                <w:tcPr>
                  <w:tcW w:w="354" w:type="pct"/>
                  <w:tcMar>
                    <w:top w:w="57" w:type="dxa"/>
                    <w:left w:w="108" w:type="dxa"/>
                    <w:bottom w:w="57" w:type="dxa"/>
                    <w:right w:w="108" w:type="dxa"/>
                  </w:tcMar>
                  <w:vAlign w:val="center"/>
                </w:tcPr>
                <w:p w14:paraId="07ADACC4">
                  <w:pPr>
                    <w:pStyle w:val="97"/>
                    <w:rPr>
                      <w:color w:val="auto"/>
                      <w:sz w:val="18"/>
                      <w:szCs w:val="18"/>
                      <w:highlight w:val="none"/>
                    </w:rPr>
                  </w:pPr>
                  <w:r>
                    <w:rPr>
                      <w:color w:val="auto"/>
                      <w:sz w:val="18"/>
                      <w:szCs w:val="18"/>
                      <w:highlight w:val="none"/>
                    </w:rPr>
                    <w:t>符合</w:t>
                  </w:r>
                </w:p>
              </w:tc>
            </w:tr>
            <w:tr w14:paraId="5835A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4C790F1D">
                  <w:pPr>
                    <w:pStyle w:val="97"/>
                    <w:widowControl w:val="0"/>
                    <w:autoSpaceDE w:val="0"/>
                    <w:autoSpaceDN w:val="0"/>
                    <w:rPr>
                      <w:color w:val="auto"/>
                      <w:sz w:val="18"/>
                      <w:szCs w:val="18"/>
                      <w:highlight w:val="none"/>
                    </w:rPr>
                  </w:pPr>
                </w:p>
              </w:tc>
              <w:tc>
                <w:tcPr>
                  <w:tcW w:w="469" w:type="pct"/>
                  <w:vMerge w:val="continue"/>
                  <w:tcMar>
                    <w:top w:w="57" w:type="dxa"/>
                    <w:left w:w="108" w:type="dxa"/>
                    <w:bottom w:w="57" w:type="dxa"/>
                    <w:right w:w="108" w:type="dxa"/>
                  </w:tcMar>
                  <w:vAlign w:val="center"/>
                </w:tcPr>
                <w:p w14:paraId="5B45AD8A">
                  <w:pPr>
                    <w:pStyle w:val="97"/>
                    <w:widowControl w:val="0"/>
                    <w:autoSpaceDE w:val="0"/>
                    <w:autoSpaceDN w:val="0"/>
                    <w:rPr>
                      <w:color w:val="auto"/>
                      <w:sz w:val="18"/>
                      <w:szCs w:val="18"/>
                      <w:highlight w:val="none"/>
                    </w:rPr>
                  </w:pPr>
                </w:p>
              </w:tc>
              <w:tc>
                <w:tcPr>
                  <w:tcW w:w="2397" w:type="pct"/>
                  <w:tcMar>
                    <w:top w:w="57" w:type="dxa"/>
                    <w:left w:w="108" w:type="dxa"/>
                    <w:bottom w:w="57" w:type="dxa"/>
                    <w:right w:w="108" w:type="dxa"/>
                  </w:tcMar>
                  <w:vAlign w:val="center"/>
                </w:tcPr>
                <w:p w14:paraId="1B1F7774">
                  <w:pPr>
                    <w:pStyle w:val="97"/>
                    <w:rPr>
                      <w:color w:val="auto"/>
                      <w:sz w:val="18"/>
                      <w:szCs w:val="18"/>
                      <w:highlight w:val="none"/>
                    </w:rPr>
                  </w:pPr>
                  <w:r>
                    <w:rPr>
                      <w:color w:val="auto"/>
                      <w:sz w:val="18"/>
                      <w:szCs w:val="18"/>
                      <w:highlight w:val="none"/>
                    </w:rPr>
                    <w:t>[A1.1-6]禁止在自治区行政区域内引进能（水）耗不符合相关国家标准中准入值要求且污染物排放和环境风险防控不符合国家（地方）标准及有关产业准入条件的高污染（排放）、高能（水）耗、高环境风险的工业项目。</w:t>
                  </w:r>
                </w:p>
              </w:tc>
              <w:tc>
                <w:tcPr>
                  <w:tcW w:w="1378" w:type="pct"/>
                  <w:tcMar>
                    <w:top w:w="57" w:type="dxa"/>
                    <w:left w:w="108" w:type="dxa"/>
                    <w:bottom w:w="57" w:type="dxa"/>
                    <w:right w:w="108" w:type="dxa"/>
                  </w:tcMar>
                  <w:vAlign w:val="center"/>
                </w:tcPr>
                <w:p w14:paraId="21365B55">
                  <w:pPr>
                    <w:pStyle w:val="97"/>
                    <w:rPr>
                      <w:color w:val="auto"/>
                      <w:sz w:val="18"/>
                      <w:szCs w:val="18"/>
                      <w:highlight w:val="none"/>
                    </w:rPr>
                  </w:pPr>
                  <w:r>
                    <w:rPr>
                      <w:color w:val="auto"/>
                      <w:sz w:val="18"/>
                      <w:szCs w:val="18"/>
                      <w:highlight w:val="none"/>
                    </w:rPr>
                    <w:t>本项目</w:t>
                  </w:r>
                  <w:r>
                    <w:rPr>
                      <w:rFonts w:hint="eastAsia"/>
                      <w:color w:val="auto"/>
                      <w:sz w:val="18"/>
                      <w:szCs w:val="18"/>
                      <w:highlight w:val="none"/>
                    </w:rPr>
                    <w:t>各项</w:t>
                  </w:r>
                  <w:r>
                    <w:rPr>
                      <w:color w:val="auto"/>
                      <w:sz w:val="18"/>
                      <w:szCs w:val="18"/>
                      <w:highlight w:val="none"/>
                    </w:rPr>
                    <w:t>能耗较低，</w:t>
                  </w:r>
                  <w:r>
                    <w:rPr>
                      <w:rFonts w:hint="eastAsia"/>
                      <w:color w:val="auto"/>
                      <w:sz w:val="18"/>
                      <w:szCs w:val="18"/>
                      <w:highlight w:val="none"/>
                    </w:rPr>
                    <w:t>项目</w:t>
                  </w:r>
                  <w:r>
                    <w:rPr>
                      <w:color w:val="auto"/>
                      <w:sz w:val="18"/>
                      <w:szCs w:val="18"/>
                      <w:highlight w:val="none"/>
                    </w:rPr>
                    <w:t>采用先进的污染物治理措施，污染物排放和环境风险防控控制在较低水平</w:t>
                  </w:r>
                  <w:r>
                    <w:rPr>
                      <w:rFonts w:hint="eastAsia"/>
                      <w:color w:val="auto"/>
                      <w:sz w:val="18"/>
                      <w:szCs w:val="18"/>
                      <w:highlight w:val="none"/>
                    </w:rPr>
                    <w:t>。</w:t>
                  </w:r>
                </w:p>
              </w:tc>
              <w:tc>
                <w:tcPr>
                  <w:tcW w:w="354" w:type="pct"/>
                  <w:tcMar>
                    <w:top w:w="57" w:type="dxa"/>
                    <w:left w:w="108" w:type="dxa"/>
                    <w:bottom w:w="57" w:type="dxa"/>
                    <w:right w:w="108" w:type="dxa"/>
                  </w:tcMar>
                  <w:vAlign w:val="center"/>
                </w:tcPr>
                <w:p w14:paraId="3D5A9C94">
                  <w:pPr>
                    <w:pStyle w:val="97"/>
                    <w:rPr>
                      <w:color w:val="auto"/>
                      <w:sz w:val="18"/>
                      <w:szCs w:val="18"/>
                      <w:highlight w:val="none"/>
                    </w:rPr>
                  </w:pPr>
                  <w:r>
                    <w:rPr>
                      <w:color w:val="auto"/>
                      <w:sz w:val="18"/>
                      <w:szCs w:val="18"/>
                      <w:highlight w:val="none"/>
                    </w:rPr>
                    <w:t>符合</w:t>
                  </w:r>
                </w:p>
              </w:tc>
            </w:tr>
            <w:tr w14:paraId="58518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1D130BAF">
                  <w:pPr>
                    <w:pStyle w:val="97"/>
                    <w:widowControl w:val="0"/>
                    <w:autoSpaceDE w:val="0"/>
                    <w:autoSpaceDN w:val="0"/>
                    <w:rPr>
                      <w:color w:val="auto"/>
                      <w:sz w:val="18"/>
                      <w:szCs w:val="18"/>
                      <w:highlight w:val="none"/>
                    </w:rPr>
                  </w:pPr>
                </w:p>
              </w:tc>
              <w:tc>
                <w:tcPr>
                  <w:tcW w:w="469" w:type="pct"/>
                  <w:vMerge w:val="continue"/>
                  <w:tcMar>
                    <w:top w:w="57" w:type="dxa"/>
                    <w:left w:w="108" w:type="dxa"/>
                    <w:bottom w:w="57" w:type="dxa"/>
                    <w:right w:w="108" w:type="dxa"/>
                  </w:tcMar>
                  <w:vAlign w:val="center"/>
                </w:tcPr>
                <w:p w14:paraId="7EB3FF74">
                  <w:pPr>
                    <w:pStyle w:val="97"/>
                    <w:widowControl w:val="0"/>
                    <w:autoSpaceDE w:val="0"/>
                    <w:autoSpaceDN w:val="0"/>
                    <w:rPr>
                      <w:color w:val="auto"/>
                      <w:sz w:val="18"/>
                      <w:szCs w:val="18"/>
                      <w:highlight w:val="none"/>
                    </w:rPr>
                  </w:pPr>
                </w:p>
              </w:tc>
              <w:tc>
                <w:tcPr>
                  <w:tcW w:w="2397" w:type="pct"/>
                  <w:tcMar>
                    <w:top w:w="57" w:type="dxa"/>
                    <w:left w:w="108" w:type="dxa"/>
                    <w:bottom w:w="57" w:type="dxa"/>
                    <w:right w:w="108" w:type="dxa"/>
                  </w:tcMar>
                  <w:vAlign w:val="center"/>
                </w:tcPr>
                <w:p w14:paraId="5A5BFEE6">
                  <w:pPr>
                    <w:pStyle w:val="97"/>
                    <w:rPr>
                      <w:color w:val="auto"/>
                      <w:sz w:val="18"/>
                      <w:szCs w:val="18"/>
                      <w:highlight w:val="none"/>
                    </w:rPr>
                  </w:pPr>
                  <w:r>
                    <w:rPr>
                      <w:color w:val="auto"/>
                      <w:sz w:val="18"/>
                      <w:szCs w:val="18"/>
                      <w:highlight w:val="none"/>
                    </w:rPr>
                    <w:t>[A1.1-7]</w:t>
                  </w:r>
                  <w:r>
                    <w:rPr>
                      <w:rFonts w:hint="eastAsia"/>
                      <w:color w:val="auto"/>
                      <w:sz w:val="18"/>
                      <w:szCs w:val="18"/>
                      <w:highlight w:val="none"/>
                    </w:rPr>
                    <w:t>①</w:t>
                  </w:r>
                  <w:r>
                    <w:rPr>
                      <w:color w:val="auto"/>
                      <w:sz w:val="18"/>
                      <w:szCs w:val="18"/>
                      <w:highlight w:val="none"/>
                    </w:rPr>
                    <w:t>坚决遏制高耗能高排放低水平项目盲目发展。严把高耗能高排放低水平项目准入关口，严格落实污染物排放区域削减要求，对不符合规定的项目坚决停批停建。依法依规淘汰落后产能和化解过剩产能。</w:t>
                  </w:r>
                  <w:r>
                    <w:rPr>
                      <w:rFonts w:hint="eastAsia"/>
                      <w:color w:val="auto"/>
                      <w:sz w:val="18"/>
                      <w:szCs w:val="18"/>
                      <w:highlight w:val="none"/>
                    </w:rPr>
                    <w:t>②</w:t>
                  </w:r>
                  <w:r>
                    <w:rPr>
                      <w:color w:val="auto"/>
                      <w:sz w:val="18"/>
                      <w:szCs w:val="18"/>
                      <w:highlight w:val="none"/>
                    </w:rPr>
                    <w:t>重点行业企业纳入重污染天气绩效分级，制定“一厂一策”应急减排清单，实现应纳尽纳；引导重点企业在秋冬季安排停产检修计划，减少冬季和采暖期排放。推进重点行业深度治理，实施全工况脱硫脱硝提标改造，加大无组织排放治理力度，深度开展工业炉窑综合整治，全面提升电解铝、活性炭、硅冶炼、纯碱、电石、聚氯乙烯、石化等行业污染治理水平。</w:t>
                  </w:r>
                </w:p>
              </w:tc>
              <w:tc>
                <w:tcPr>
                  <w:tcW w:w="1378" w:type="pct"/>
                  <w:tcMar>
                    <w:top w:w="57" w:type="dxa"/>
                    <w:left w:w="108" w:type="dxa"/>
                    <w:bottom w:w="57" w:type="dxa"/>
                    <w:right w:w="108" w:type="dxa"/>
                  </w:tcMar>
                  <w:vAlign w:val="center"/>
                </w:tcPr>
                <w:p w14:paraId="164E9DD7">
                  <w:pPr>
                    <w:pStyle w:val="97"/>
                    <w:rPr>
                      <w:color w:val="auto"/>
                      <w:sz w:val="18"/>
                      <w:szCs w:val="18"/>
                      <w:highlight w:val="none"/>
                    </w:rPr>
                  </w:pPr>
                  <w:r>
                    <w:rPr>
                      <w:color w:val="auto"/>
                      <w:sz w:val="18"/>
                      <w:szCs w:val="18"/>
                      <w:highlight w:val="none"/>
                    </w:rPr>
                    <w:t>本项目</w:t>
                  </w:r>
                  <w:r>
                    <w:rPr>
                      <w:rFonts w:hint="eastAsia"/>
                      <w:color w:val="auto"/>
                      <w:sz w:val="18"/>
                      <w:szCs w:val="18"/>
                      <w:highlight w:val="none"/>
                    </w:rPr>
                    <w:t>污染物排放主要集中在施工期</w:t>
                  </w:r>
                  <w:r>
                    <w:rPr>
                      <w:color w:val="auto"/>
                      <w:sz w:val="18"/>
                      <w:szCs w:val="18"/>
                      <w:highlight w:val="none"/>
                    </w:rPr>
                    <w:t>，</w:t>
                  </w:r>
                  <w:r>
                    <w:rPr>
                      <w:rFonts w:hint="eastAsia"/>
                      <w:color w:val="auto"/>
                      <w:sz w:val="18"/>
                      <w:szCs w:val="18"/>
                      <w:highlight w:val="none"/>
                    </w:rPr>
                    <w:t>项目</w:t>
                  </w:r>
                  <w:r>
                    <w:rPr>
                      <w:color w:val="auto"/>
                      <w:sz w:val="18"/>
                      <w:szCs w:val="18"/>
                      <w:highlight w:val="none"/>
                    </w:rPr>
                    <w:t>采用先进的</w:t>
                  </w:r>
                  <w:r>
                    <w:rPr>
                      <w:rFonts w:hint="eastAsia"/>
                      <w:color w:val="auto"/>
                      <w:sz w:val="18"/>
                      <w:szCs w:val="18"/>
                      <w:highlight w:val="none"/>
                    </w:rPr>
                    <w:t>施工</w:t>
                  </w:r>
                  <w:r>
                    <w:rPr>
                      <w:color w:val="auto"/>
                      <w:sz w:val="18"/>
                      <w:szCs w:val="18"/>
                      <w:highlight w:val="none"/>
                    </w:rPr>
                    <w:t>工艺，减少污染物排放</w:t>
                  </w:r>
                  <w:r>
                    <w:rPr>
                      <w:rFonts w:hint="eastAsia"/>
                      <w:color w:val="auto"/>
                      <w:sz w:val="18"/>
                      <w:szCs w:val="18"/>
                      <w:highlight w:val="none"/>
                    </w:rPr>
                    <w:t>，项目无废水、固废外排，废气排放量较小。</w:t>
                  </w:r>
                </w:p>
              </w:tc>
              <w:tc>
                <w:tcPr>
                  <w:tcW w:w="354" w:type="pct"/>
                  <w:tcMar>
                    <w:top w:w="57" w:type="dxa"/>
                    <w:left w:w="108" w:type="dxa"/>
                    <w:bottom w:w="57" w:type="dxa"/>
                    <w:right w:w="108" w:type="dxa"/>
                  </w:tcMar>
                  <w:vAlign w:val="center"/>
                </w:tcPr>
                <w:p w14:paraId="610A043D">
                  <w:pPr>
                    <w:pStyle w:val="97"/>
                    <w:widowControl w:val="0"/>
                    <w:autoSpaceDE w:val="0"/>
                    <w:autoSpaceDN w:val="0"/>
                    <w:rPr>
                      <w:color w:val="auto"/>
                      <w:sz w:val="18"/>
                      <w:szCs w:val="18"/>
                      <w:highlight w:val="none"/>
                    </w:rPr>
                  </w:pPr>
                  <w:r>
                    <w:rPr>
                      <w:color w:val="auto"/>
                      <w:sz w:val="18"/>
                      <w:szCs w:val="18"/>
                      <w:highlight w:val="none"/>
                    </w:rPr>
                    <w:t>符合</w:t>
                  </w:r>
                </w:p>
              </w:tc>
            </w:tr>
            <w:tr w14:paraId="51876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4BDF0A03">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468FE4E3">
                  <w:pPr>
                    <w:pStyle w:val="97"/>
                    <w:rPr>
                      <w:color w:val="auto"/>
                      <w:sz w:val="18"/>
                      <w:szCs w:val="18"/>
                      <w:highlight w:val="none"/>
                    </w:rPr>
                  </w:pPr>
                </w:p>
              </w:tc>
              <w:tc>
                <w:tcPr>
                  <w:tcW w:w="2397" w:type="pct"/>
                  <w:tcMar>
                    <w:top w:w="57" w:type="dxa"/>
                    <w:left w:w="108" w:type="dxa"/>
                    <w:bottom w:w="57" w:type="dxa"/>
                    <w:right w:w="108" w:type="dxa"/>
                  </w:tcMar>
                  <w:vAlign w:val="center"/>
                </w:tcPr>
                <w:p w14:paraId="194CC377">
                  <w:pPr>
                    <w:pStyle w:val="97"/>
                    <w:rPr>
                      <w:color w:val="auto"/>
                      <w:sz w:val="18"/>
                      <w:szCs w:val="18"/>
                      <w:highlight w:val="none"/>
                    </w:rPr>
                  </w:pPr>
                  <w:r>
                    <w:rPr>
                      <w:color w:val="auto"/>
                      <w:sz w:val="18"/>
                      <w:szCs w:val="18"/>
                      <w:highlight w:val="none"/>
                    </w:rPr>
                    <w:t>[A1.1-9]严禁新建自治区《禁止、控制和限制危险化学品目录》中淘汰类、禁止类危险化学品化工项目。严格执行生态保护红线、永久基本农田管控要求，禁止新（改、扩）建化工项目违规占用生态保护红线和永久基本农田。在塔里木河、伊犁河、额尔齐斯河干流及主要支流岸线1公里范围内，除提升安全、环保、节能、智能化、产品质量水平的技术改造项目外，严格禁止新建、扩建化工项目，不得布局新的化工园区（含化工集中区）。</w:t>
                  </w:r>
                </w:p>
              </w:tc>
              <w:tc>
                <w:tcPr>
                  <w:tcW w:w="1378" w:type="pct"/>
                  <w:tcMar>
                    <w:top w:w="57" w:type="dxa"/>
                    <w:left w:w="108" w:type="dxa"/>
                    <w:bottom w:w="57" w:type="dxa"/>
                    <w:right w:w="108" w:type="dxa"/>
                  </w:tcMar>
                  <w:vAlign w:val="center"/>
                </w:tcPr>
                <w:p w14:paraId="30F36E65">
                  <w:pPr>
                    <w:pStyle w:val="97"/>
                    <w:rPr>
                      <w:color w:val="auto"/>
                      <w:sz w:val="18"/>
                      <w:szCs w:val="18"/>
                      <w:highlight w:val="none"/>
                    </w:rPr>
                  </w:pPr>
                  <w:r>
                    <w:rPr>
                      <w:color w:val="auto"/>
                      <w:sz w:val="18"/>
                      <w:szCs w:val="18"/>
                      <w:highlight w:val="none"/>
                    </w:rPr>
                    <w:t>本项目</w:t>
                  </w:r>
                  <w:r>
                    <w:rPr>
                      <w:rFonts w:hint="eastAsia"/>
                      <w:color w:val="auto"/>
                      <w:sz w:val="18"/>
                      <w:szCs w:val="18"/>
                      <w:highlight w:val="none"/>
                    </w:rPr>
                    <w:t>为油气勘探项目，不属于</w:t>
                  </w:r>
                  <w:r>
                    <w:rPr>
                      <w:color w:val="auto"/>
                      <w:sz w:val="18"/>
                      <w:szCs w:val="18"/>
                      <w:highlight w:val="none"/>
                    </w:rPr>
                    <w:t>自治区《禁止、控制和限制危险化学品目录》中淘汰类、禁止类危险化学品化工项目</w:t>
                  </w:r>
                  <w:r>
                    <w:rPr>
                      <w:rFonts w:hint="eastAsia"/>
                      <w:color w:val="auto"/>
                      <w:sz w:val="18"/>
                      <w:szCs w:val="18"/>
                      <w:highlight w:val="none"/>
                    </w:rPr>
                    <w:t>，</w:t>
                  </w:r>
                  <w:r>
                    <w:rPr>
                      <w:color w:val="auto"/>
                      <w:sz w:val="18"/>
                      <w:szCs w:val="18"/>
                      <w:highlight w:val="none"/>
                    </w:rPr>
                    <w:t>不占用生态保护红线和永久基本农田。</w:t>
                  </w:r>
                </w:p>
              </w:tc>
              <w:tc>
                <w:tcPr>
                  <w:tcW w:w="354" w:type="pct"/>
                  <w:tcMar>
                    <w:top w:w="57" w:type="dxa"/>
                    <w:left w:w="108" w:type="dxa"/>
                    <w:bottom w:w="57" w:type="dxa"/>
                    <w:right w:w="108" w:type="dxa"/>
                  </w:tcMar>
                  <w:vAlign w:val="center"/>
                </w:tcPr>
                <w:p w14:paraId="05DEDB15">
                  <w:pPr>
                    <w:pStyle w:val="97"/>
                    <w:widowControl w:val="0"/>
                    <w:autoSpaceDE w:val="0"/>
                    <w:autoSpaceDN w:val="0"/>
                    <w:rPr>
                      <w:color w:val="auto"/>
                      <w:sz w:val="18"/>
                      <w:szCs w:val="18"/>
                      <w:highlight w:val="none"/>
                    </w:rPr>
                  </w:pPr>
                  <w:r>
                    <w:rPr>
                      <w:color w:val="auto"/>
                      <w:sz w:val="18"/>
                      <w:szCs w:val="18"/>
                      <w:highlight w:val="none"/>
                    </w:rPr>
                    <w:t>符合</w:t>
                  </w:r>
                </w:p>
              </w:tc>
            </w:tr>
            <w:tr w14:paraId="3D34C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524FE9E0">
                  <w:pPr>
                    <w:pStyle w:val="97"/>
                    <w:rPr>
                      <w:color w:val="auto"/>
                      <w:sz w:val="18"/>
                      <w:szCs w:val="18"/>
                      <w:highlight w:val="none"/>
                    </w:rPr>
                  </w:pPr>
                </w:p>
              </w:tc>
              <w:tc>
                <w:tcPr>
                  <w:tcW w:w="469" w:type="pct"/>
                  <w:tcMar>
                    <w:top w:w="57" w:type="dxa"/>
                    <w:left w:w="108" w:type="dxa"/>
                    <w:bottom w:w="57" w:type="dxa"/>
                    <w:right w:w="108" w:type="dxa"/>
                  </w:tcMar>
                  <w:vAlign w:val="center"/>
                </w:tcPr>
                <w:p w14:paraId="5ECC28CA">
                  <w:pPr>
                    <w:pStyle w:val="97"/>
                    <w:rPr>
                      <w:rFonts w:hAnsi="Calibri"/>
                      <w:color w:val="auto"/>
                      <w:sz w:val="18"/>
                      <w:szCs w:val="18"/>
                      <w:highlight w:val="none"/>
                    </w:rPr>
                  </w:pPr>
                  <w:r>
                    <w:rPr>
                      <w:color w:val="auto"/>
                      <w:sz w:val="18"/>
                      <w:szCs w:val="18"/>
                      <w:highlight w:val="none"/>
                    </w:rPr>
                    <w:t>A1.2</w:t>
                  </w:r>
                </w:p>
                <w:p w14:paraId="5945B53B">
                  <w:pPr>
                    <w:pStyle w:val="97"/>
                    <w:rPr>
                      <w:rFonts w:hAnsi="Calibri"/>
                      <w:color w:val="auto"/>
                      <w:sz w:val="18"/>
                      <w:szCs w:val="18"/>
                      <w:highlight w:val="none"/>
                    </w:rPr>
                  </w:pPr>
                  <w:r>
                    <w:rPr>
                      <w:color w:val="auto"/>
                      <w:sz w:val="18"/>
                      <w:szCs w:val="18"/>
                      <w:highlight w:val="none"/>
                    </w:rPr>
                    <w:t>限制</w:t>
                  </w:r>
                </w:p>
                <w:p w14:paraId="62468F31">
                  <w:pPr>
                    <w:pStyle w:val="97"/>
                    <w:rPr>
                      <w:rFonts w:hAnsi="Calibri"/>
                      <w:color w:val="auto"/>
                      <w:sz w:val="18"/>
                      <w:szCs w:val="18"/>
                      <w:highlight w:val="none"/>
                    </w:rPr>
                  </w:pPr>
                  <w:r>
                    <w:rPr>
                      <w:color w:val="auto"/>
                      <w:sz w:val="18"/>
                      <w:szCs w:val="18"/>
                      <w:highlight w:val="none"/>
                    </w:rPr>
                    <w:t>开发</w:t>
                  </w:r>
                </w:p>
                <w:p w14:paraId="47F0472E">
                  <w:pPr>
                    <w:pStyle w:val="97"/>
                    <w:rPr>
                      <w:rFonts w:hAnsi="Calibri"/>
                      <w:color w:val="auto"/>
                      <w:sz w:val="18"/>
                      <w:szCs w:val="18"/>
                      <w:highlight w:val="none"/>
                    </w:rPr>
                  </w:pPr>
                  <w:r>
                    <w:rPr>
                      <w:color w:val="auto"/>
                      <w:sz w:val="18"/>
                      <w:szCs w:val="18"/>
                      <w:highlight w:val="none"/>
                    </w:rPr>
                    <w:t>的活</w:t>
                  </w:r>
                </w:p>
                <w:p w14:paraId="67E79DA1">
                  <w:pPr>
                    <w:pStyle w:val="97"/>
                    <w:widowControl w:val="0"/>
                    <w:autoSpaceDE w:val="0"/>
                    <w:autoSpaceDN w:val="0"/>
                    <w:rPr>
                      <w:color w:val="auto"/>
                      <w:sz w:val="18"/>
                      <w:szCs w:val="18"/>
                      <w:highlight w:val="none"/>
                    </w:rPr>
                  </w:pPr>
                  <w:r>
                    <w:rPr>
                      <w:color w:val="auto"/>
                      <w:sz w:val="18"/>
                      <w:szCs w:val="18"/>
                      <w:highlight w:val="none"/>
                    </w:rPr>
                    <w:t>动</w:t>
                  </w:r>
                </w:p>
              </w:tc>
              <w:tc>
                <w:tcPr>
                  <w:tcW w:w="2397" w:type="pct"/>
                  <w:tcMar>
                    <w:top w:w="57" w:type="dxa"/>
                    <w:left w:w="108" w:type="dxa"/>
                    <w:bottom w:w="57" w:type="dxa"/>
                    <w:right w:w="108" w:type="dxa"/>
                  </w:tcMar>
                  <w:vAlign w:val="center"/>
                </w:tcPr>
                <w:p w14:paraId="3B97153C">
                  <w:pPr>
                    <w:pStyle w:val="97"/>
                    <w:rPr>
                      <w:color w:val="auto"/>
                      <w:sz w:val="18"/>
                      <w:szCs w:val="18"/>
                      <w:highlight w:val="none"/>
                    </w:rPr>
                  </w:pPr>
                  <w:r>
                    <w:rPr>
                      <w:color w:val="auto"/>
                      <w:sz w:val="18"/>
                      <w:szCs w:val="18"/>
                      <w:highlight w:val="none"/>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1378" w:type="pct"/>
                  <w:tcMar>
                    <w:top w:w="57" w:type="dxa"/>
                    <w:left w:w="108" w:type="dxa"/>
                    <w:bottom w:w="57" w:type="dxa"/>
                    <w:right w:w="108" w:type="dxa"/>
                  </w:tcMar>
                  <w:vAlign w:val="center"/>
                </w:tcPr>
                <w:p w14:paraId="2E168048">
                  <w:pPr>
                    <w:pStyle w:val="97"/>
                    <w:rPr>
                      <w:color w:val="auto"/>
                      <w:sz w:val="18"/>
                      <w:szCs w:val="18"/>
                      <w:highlight w:val="none"/>
                    </w:rPr>
                  </w:pPr>
                  <w:r>
                    <w:rPr>
                      <w:color w:val="auto"/>
                      <w:sz w:val="18"/>
                      <w:szCs w:val="18"/>
                      <w:highlight w:val="none"/>
                    </w:rPr>
                    <w:t>本项目不</w:t>
                  </w:r>
                  <w:r>
                    <w:rPr>
                      <w:rFonts w:hint="eastAsia"/>
                      <w:color w:val="auto"/>
                      <w:sz w:val="18"/>
                      <w:szCs w:val="18"/>
                      <w:highlight w:val="none"/>
                    </w:rPr>
                    <w:t>涉及</w:t>
                  </w:r>
                  <w:r>
                    <w:rPr>
                      <w:color w:val="auto"/>
                      <w:sz w:val="18"/>
                      <w:szCs w:val="18"/>
                      <w:highlight w:val="none"/>
                    </w:rPr>
                    <w:t>占用永久基本农田。</w:t>
                  </w:r>
                </w:p>
              </w:tc>
              <w:tc>
                <w:tcPr>
                  <w:tcW w:w="354" w:type="pct"/>
                  <w:tcMar>
                    <w:top w:w="57" w:type="dxa"/>
                    <w:left w:w="108" w:type="dxa"/>
                    <w:bottom w:w="57" w:type="dxa"/>
                    <w:right w:w="108" w:type="dxa"/>
                  </w:tcMar>
                  <w:vAlign w:val="center"/>
                </w:tcPr>
                <w:p w14:paraId="304409B2">
                  <w:pPr>
                    <w:pStyle w:val="97"/>
                    <w:widowControl w:val="0"/>
                    <w:autoSpaceDE w:val="0"/>
                    <w:autoSpaceDN w:val="0"/>
                    <w:rPr>
                      <w:color w:val="auto"/>
                      <w:sz w:val="18"/>
                      <w:szCs w:val="18"/>
                      <w:highlight w:val="none"/>
                    </w:rPr>
                  </w:pPr>
                  <w:r>
                    <w:rPr>
                      <w:color w:val="auto"/>
                      <w:sz w:val="18"/>
                      <w:szCs w:val="18"/>
                      <w:highlight w:val="none"/>
                    </w:rPr>
                    <w:t>符合</w:t>
                  </w:r>
                </w:p>
              </w:tc>
            </w:tr>
            <w:tr w14:paraId="2C548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2D9DE378">
                  <w:pPr>
                    <w:pStyle w:val="97"/>
                    <w:rPr>
                      <w:color w:val="auto"/>
                      <w:sz w:val="18"/>
                      <w:szCs w:val="18"/>
                      <w:highlight w:val="none"/>
                    </w:rPr>
                  </w:pPr>
                </w:p>
              </w:tc>
              <w:tc>
                <w:tcPr>
                  <w:tcW w:w="469" w:type="pct"/>
                  <w:vMerge w:val="restart"/>
                  <w:tcMar>
                    <w:top w:w="57" w:type="dxa"/>
                    <w:left w:w="108" w:type="dxa"/>
                    <w:bottom w:w="57" w:type="dxa"/>
                    <w:right w:w="108" w:type="dxa"/>
                  </w:tcMar>
                  <w:vAlign w:val="center"/>
                </w:tcPr>
                <w:p w14:paraId="1D2C3069">
                  <w:pPr>
                    <w:pStyle w:val="97"/>
                    <w:rPr>
                      <w:rFonts w:hAnsi="Calibri"/>
                      <w:color w:val="auto"/>
                      <w:sz w:val="18"/>
                      <w:szCs w:val="18"/>
                      <w:highlight w:val="none"/>
                    </w:rPr>
                  </w:pPr>
                  <w:r>
                    <w:rPr>
                      <w:color w:val="auto"/>
                      <w:sz w:val="18"/>
                      <w:szCs w:val="18"/>
                      <w:highlight w:val="none"/>
                    </w:rPr>
                    <w:t>A1.3</w:t>
                  </w:r>
                </w:p>
                <w:p w14:paraId="434A005D">
                  <w:pPr>
                    <w:pStyle w:val="97"/>
                    <w:rPr>
                      <w:rFonts w:hAnsi="Calibri"/>
                      <w:color w:val="auto"/>
                      <w:sz w:val="18"/>
                      <w:szCs w:val="18"/>
                      <w:highlight w:val="none"/>
                    </w:rPr>
                  </w:pPr>
                  <w:r>
                    <w:rPr>
                      <w:color w:val="auto"/>
                      <w:sz w:val="18"/>
                      <w:szCs w:val="18"/>
                      <w:highlight w:val="none"/>
                    </w:rPr>
                    <w:t>不符</w:t>
                  </w:r>
                </w:p>
                <w:p w14:paraId="08FCCFEC">
                  <w:pPr>
                    <w:pStyle w:val="97"/>
                    <w:rPr>
                      <w:rFonts w:hAnsi="Calibri"/>
                      <w:color w:val="auto"/>
                      <w:sz w:val="18"/>
                      <w:szCs w:val="18"/>
                      <w:highlight w:val="none"/>
                    </w:rPr>
                  </w:pPr>
                  <w:r>
                    <w:rPr>
                      <w:color w:val="auto"/>
                      <w:sz w:val="18"/>
                      <w:szCs w:val="18"/>
                      <w:highlight w:val="none"/>
                    </w:rPr>
                    <w:t>合空</w:t>
                  </w:r>
                </w:p>
                <w:p w14:paraId="65C145EE">
                  <w:pPr>
                    <w:pStyle w:val="97"/>
                    <w:rPr>
                      <w:rFonts w:hAnsi="Calibri"/>
                      <w:color w:val="auto"/>
                      <w:sz w:val="18"/>
                      <w:szCs w:val="18"/>
                      <w:highlight w:val="none"/>
                    </w:rPr>
                  </w:pPr>
                  <w:r>
                    <w:rPr>
                      <w:color w:val="auto"/>
                      <w:sz w:val="18"/>
                      <w:szCs w:val="18"/>
                      <w:highlight w:val="none"/>
                    </w:rPr>
                    <w:t>间布</w:t>
                  </w:r>
                </w:p>
                <w:p w14:paraId="42A4BA51">
                  <w:pPr>
                    <w:pStyle w:val="97"/>
                    <w:rPr>
                      <w:rFonts w:hAnsi="Calibri"/>
                      <w:color w:val="auto"/>
                      <w:sz w:val="18"/>
                      <w:szCs w:val="18"/>
                      <w:highlight w:val="none"/>
                    </w:rPr>
                  </w:pPr>
                  <w:r>
                    <w:rPr>
                      <w:color w:val="auto"/>
                      <w:sz w:val="18"/>
                      <w:szCs w:val="18"/>
                      <w:highlight w:val="none"/>
                    </w:rPr>
                    <w:t>局要</w:t>
                  </w:r>
                </w:p>
                <w:p w14:paraId="448C7CC2">
                  <w:pPr>
                    <w:pStyle w:val="97"/>
                    <w:rPr>
                      <w:rFonts w:hAnsi="Calibri"/>
                      <w:color w:val="auto"/>
                      <w:sz w:val="18"/>
                      <w:szCs w:val="18"/>
                      <w:highlight w:val="none"/>
                    </w:rPr>
                  </w:pPr>
                  <w:r>
                    <w:rPr>
                      <w:color w:val="auto"/>
                      <w:sz w:val="18"/>
                      <w:szCs w:val="18"/>
                      <w:highlight w:val="none"/>
                    </w:rPr>
                    <w:t>求活</w:t>
                  </w:r>
                </w:p>
                <w:p w14:paraId="5C9AF551">
                  <w:pPr>
                    <w:pStyle w:val="97"/>
                    <w:rPr>
                      <w:rFonts w:hAnsi="Calibri"/>
                      <w:color w:val="auto"/>
                      <w:sz w:val="18"/>
                      <w:szCs w:val="18"/>
                      <w:highlight w:val="none"/>
                    </w:rPr>
                  </w:pPr>
                  <w:r>
                    <w:rPr>
                      <w:color w:val="auto"/>
                      <w:sz w:val="18"/>
                      <w:szCs w:val="18"/>
                      <w:highlight w:val="none"/>
                    </w:rPr>
                    <w:t>动的</w:t>
                  </w:r>
                </w:p>
                <w:p w14:paraId="3FC21245">
                  <w:pPr>
                    <w:pStyle w:val="97"/>
                    <w:widowControl w:val="0"/>
                    <w:autoSpaceDE w:val="0"/>
                    <w:autoSpaceDN w:val="0"/>
                    <w:rPr>
                      <w:color w:val="auto"/>
                      <w:sz w:val="18"/>
                      <w:szCs w:val="18"/>
                      <w:highlight w:val="none"/>
                    </w:rPr>
                  </w:pPr>
                  <w:r>
                    <w:rPr>
                      <w:color w:val="auto"/>
                      <w:sz w:val="18"/>
                      <w:szCs w:val="18"/>
                      <w:highlight w:val="none"/>
                    </w:rPr>
                    <w:t>退出</w:t>
                  </w:r>
                </w:p>
                <w:p w14:paraId="1343C5D9">
                  <w:pPr>
                    <w:pStyle w:val="97"/>
                    <w:widowControl w:val="0"/>
                    <w:autoSpaceDE w:val="0"/>
                    <w:autoSpaceDN w:val="0"/>
                    <w:rPr>
                      <w:color w:val="auto"/>
                      <w:sz w:val="18"/>
                      <w:szCs w:val="18"/>
                      <w:highlight w:val="none"/>
                    </w:rPr>
                  </w:pPr>
                  <w:r>
                    <w:rPr>
                      <w:color w:val="auto"/>
                      <w:sz w:val="18"/>
                      <w:szCs w:val="18"/>
                      <w:highlight w:val="none"/>
                    </w:rPr>
                    <w:t>要求</w:t>
                  </w:r>
                </w:p>
              </w:tc>
              <w:tc>
                <w:tcPr>
                  <w:tcW w:w="2397" w:type="pct"/>
                  <w:tcMar>
                    <w:top w:w="57" w:type="dxa"/>
                    <w:left w:w="108" w:type="dxa"/>
                    <w:bottom w:w="57" w:type="dxa"/>
                    <w:right w:w="108" w:type="dxa"/>
                  </w:tcMar>
                  <w:vAlign w:val="center"/>
                </w:tcPr>
                <w:p w14:paraId="2A09D513">
                  <w:pPr>
                    <w:pStyle w:val="97"/>
                    <w:rPr>
                      <w:color w:val="auto"/>
                      <w:sz w:val="18"/>
                      <w:szCs w:val="18"/>
                      <w:highlight w:val="none"/>
                    </w:rPr>
                  </w:pPr>
                  <w:r>
                    <w:rPr>
                      <w:color w:val="auto"/>
                      <w:sz w:val="18"/>
                      <w:szCs w:val="18"/>
                      <w:highlight w:val="none"/>
                    </w:rPr>
                    <w:t>[A1.3-1]任何单位和个人不得在水源涵养区、饮用水水源保护区内和河流、湖泊、水库周围建设重化工、涉重金属等工业污染项目；对已建成的工业污染项目，当地人民政府应当组织限期搬迁。</w:t>
                  </w:r>
                </w:p>
              </w:tc>
              <w:tc>
                <w:tcPr>
                  <w:tcW w:w="1378" w:type="pct"/>
                  <w:tcMar>
                    <w:top w:w="57" w:type="dxa"/>
                    <w:left w:w="108" w:type="dxa"/>
                    <w:bottom w:w="57" w:type="dxa"/>
                    <w:right w:w="108" w:type="dxa"/>
                  </w:tcMar>
                  <w:vAlign w:val="center"/>
                </w:tcPr>
                <w:p w14:paraId="563FF911">
                  <w:pPr>
                    <w:pStyle w:val="97"/>
                    <w:rPr>
                      <w:rFonts w:hAnsi="Calibri"/>
                      <w:color w:val="auto"/>
                      <w:sz w:val="18"/>
                      <w:szCs w:val="18"/>
                      <w:highlight w:val="none"/>
                    </w:rPr>
                  </w:pPr>
                  <w:r>
                    <w:rPr>
                      <w:color w:val="auto"/>
                      <w:sz w:val="18"/>
                      <w:szCs w:val="18"/>
                      <w:highlight w:val="none"/>
                    </w:rPr>
                    <w:t>本项目</w:t>
                  </w:r>
                  <w:r>
                    <w:rPr>
                      <w:rFonts w:hint="eastAsia"/>
                      <w:color w:val="auto"/>
                      <w:sz w:val="18"/>
                      <w:szCs w:val="18"/>
                      <w:highlight w:val="none"/>
                    </w:rPr>
                    <w:t>周边无</w:t>
                  </w:r>
                  <w:r>
                    <w:rPr>
                      <w:color w:val="auto"/>
                      <w:sz w:val="18"/>
                      <w:szCs w:val="18"/>
                      <w:highlight w:val="none"/>
                    </w:rPr>
                    <w:t>水源涵养区、饮用水水源</w:t>
                  </w:r>
                  <w:r>
                    <w:rPr>
                      <w:rFonts w:hint="eastAsia"/>
                      <w:color w:val="auto"/>
                      <w:sz w:val="18"/>
                      <w:szCs w:val="18"/>
                      <w:highlight w:val="none"/>
                    </w:rPr>
                    <w:t>保护区</w:t>
                  </w:r>
                  <w:r>
                    <w:rPr>
                      <w:color w:val="auto"/>
                      <w:sz w:val="18"/>
                      <w:szCs w:val="18"/>
                      <w:highlight w:val="none"/>
                    </w:rPr>
                    <w:t>和河流、湖泊、水库。</w:t>
                  </w:r>
                </w:p>
                <w:p w14:paraId="6F42DFBC">
                  <w:pPr>
                    <w:pStyle w:val="97"/>
                    <w:widowControl w:val="0"/>
                    <w:autoSpaceDE w:val="0"/>
                    <w:autoSpaceDN w:val="0"/>
                    <w:rPr>
                      <w:color w:val="auto"/>
                      <w:sz w:val="18"/>
                      <w:szCs w:val="18"/>
                      <w:highlight w:val="none"/>
                    </w:rPr>
                  </w:pPr>
                  <w:r>
                    <w:rPr>
                      <w:color w:val="auto"/>
                      <w:sz w:val="18"/>
                      <w:szCs w:val="18"/>
                      <w:highlight w:val="none"/>
                    </w:rPr>
                    <w:t>本项目</w:t>
                  </w:r>
                  <w:r>
                    <w:rPr>
                      <w:rFonts w:hint="eastAsia"/>
                      <w:color w:val="auto"/>
                      <w:sz w:val="18"/>
                      <w:szCs w:val="18"/>
                      <w:highlight w:val="none"/>
                    </w:rPr>
                    <w:t>无废水外排。</w:t>
                  </w:r>
                </w:p>
              </w:tc>
              <w:tc>
                <w:tcPr>
                  <w:tcW w:w="354" w:type="pct"/>
                  <w:tcMar>
                    <w:top w:w="57" w:type="dxa"/>
                    <w:left w:w="108" w:type="dxa"/>
                    <w:bottom w:w="57" w:type="dxa"/>
                    <w:right w:w="108" w:type="dxa"/>
                  </w:tcMar>
                  <w:vAlign w:val="center"/>
                </w:tcPr>
                <w:p w14:paraId="738E11FA">
                  <w:pPr>
                    <w:pStyle w:val="97"/>
                    <w:rPr>
                      <w:color w:val="auto"/>
                      <w:sz w:val="18"/>
                      <w:szCs w:val="18"/>
                      <w:highlight w:val="none"/>
                    </w:rPr>
                  </w:pPr>
                  <w:r>
                    <w:rPr>
                      <w:color w:val="auto"/>
                      <w:sz w:val="18"/>
                      <w:szCs w:val="18"/>
                      <w:highlight w:val="none"/>
                    </w:rPr>
                    <w:t>符合</w:t>
                  </w:r>
                </w:p>
              </w:tc>
            </w:tr>
            <w:tr w14:paraId="329D7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41AD3F66">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2E6602F9">
                  <w:pPr>
                    <w:pStyle w:val="97"/>
                    <w:widowControl w:val="0"/>
                    <w:autoSpaceDE w:val="0"/>
                    <w:autoSpaceDN w:val="0"/>
                    <w:rPr>
                      <w:color w:val="auto"/>
                      <w:sz w:val="18"/>
                      <w:szCs w:val="18"/>
                      <w:highlight w:val="none"/>
                    </w:rPr>
                  </w:pPr>
                </w:p>
              </w:tc>
              <w:tc>
                <w:tcPr>
                  <w:tcW w:w="2397" w:type="pct"/>
                  <w:tcMar>
                    <w:top w:w="57" w:type="dxa"/>
                    <w:left w:w="108" w:type="dxa"/>
                    <w:bottom w:w="57" w:type="dxa"/>
                    <w:right w:w="108" w:type="dxa"/>
                  </w:tcMar>
                  <w:vAlign w:val="center"/>
                </w:tcPr>
                <w:p w14:paraId="1A8CD8E9">
                  <w:pPr>
                    <w:pStyle w:val="97"/>
                    <w:rPr>
                      <w:color w:val="auto"/>
                      <w:sz w:val="18"/>
                      <w:szCs w:val="18"/>
                      <w:highlight w:val="none"/>
                    </w:rPr>
                  </w:pPr>
                  <w:r>
                    <w:rPr>
                      <w:color w:val="auto"/>
                      <w:sz w:val="18"/>
                      <w:szCs w:val="18"/>
                      <w:highlight w:val="none"/>
                    </w:rPr>
                    <w:t>[A1.3-2]对不符合国家产业政策、严重污染水环境的生产项目全部予以取缔。</w:t>
                  </w:r>
                </w:p>
              </w:tc>
              <w:tc>
                <w:tcPr>
                  <w:tcW w:w="1378" w:type="pct"/>
                  <w:tcMar>
                    <w:top w:w="57" w:type="dxa"/>
                    <w:left w:w="108" w:type="dxa"/>
                    <w:bottom w:w="57" w:type="dxa"/>
                    <w:right w:w="108" w:type="dxa"/>
                  </w:tcMar>
                  <w:vAlign w:val="center"/>
                </w:tcPr>
                <w:p w14:paraId="286A1CF1">
                  <w:pPr>
                    <w:pStyle w:val="97"/>
                    <w:widowControl w:val="0"/>
                    <w:autoSpaceDE w:val="0"/>
                    <w:autoSpaceDN w:val="0"/>
                    <w:rPr>
                      <w:color w:val="auto"/>
                      <w:sz w:val="18"/>
                      <w:szCs w:val="18"/>
                      <w:highlight w:val="none"/>
                    </w:rPr>
                  </w:pPr>
                  <w:r>
                    <w:rPr>
                      <w:rFonts w:hint="eastAsia"/>
                      <w:color w:val="auto"/>
                      <w:sz w:val="18"/>
                      <w:szCs w:val="18"/>
                      <w:highlight w:val="none"/>
                    </w:rPr>
                    <w:t>本项目符合</w:t>
                  </w:r>
                  <w:r>
                    <w:rPr>
                      <w:color w:val="auto"/>
                      <w:sz w:val="18"/>
                      <w:szCs w:val="18"/>
                      <w:highlight w:val="none"/>
                    </w:rPr>
                    <w:t>国家产业政策</w:t>
                  </w:r>
                  <w:r>
                    <w:rPr>
                      <w:rFonts w:hint="eastAsia"/>
                      <w:color w:val="auto"/>
                      <w:sz w:val="18"/>
                      <w:szCs w:val="18"/>
                      <w:highlight w:val="none"/>
                    </w:rPr>
                    <w:t>，无废水外排，不会对水环境造成较大污染。</w:t>
                  </w:r>
                </w:p>
              </w:tc>
              <w:tc>
                <w:tcPr>
                  <w:tcW w:w="354" w:type="pct"/>
                  <w:tcMar>
                    <w:top w:w="57" w:type="dxa"/>
                    <w:left w:w="108" w:type="dxa"/>
                    <w:bottom w:w="57" w:type="dxa"/>
                    <w:right w:w="108" w:type="dxa"/>
                  </w:tcMar>
                  <w:vAlign w:val="center"/>
                </w:tcPr>
                <w:p w14:paraId="09E5092B">
                  <w:pPr>
                    <w:pStyle w:val="97"/>
                    <w:rPr>
                      <w:color w:val="auto"/>
                      <w:sz w:val="18"/>
                      <w:szCs w:val="18"/>
                      <w:highlight w:val="none"/>
                    </w:rPr>
                  </w:pPr>
                  <w:r>
                    <w:rPr>
                      <w:color w:val="auto"/>
                      <w:sz w:val="18"/>
                      <w:szCs w:val="18"/>
                      <w:highlight w:val="none"/>
                    </w:rPr>
                    <w:t>符合</w:t>
                  </w:r>
                </w:p>
              </w:tc>
            </w:tr>
            <w:tr w14:paraId="76398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5D3564A8">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64636595">
                  <w:pPr>
                    <w:pStyle w:val="97"/>
                    <w:widowControl w:val="0"/>
                    <w:autoSpaceDE w:val="0"/>
                    <w:autoSpaceDN w:val="0"/>
                    <w:rPr>
                      <w:color w:val="auto"/>
                      <w:sz w:val="18"/>
                      <w:szCs w:val="18"/>
                      <w:highlight w:val="none"/>
                    </w:rPr>
                  </w:pPr>
                </w:p>
              </w:tc>
              <w:tc>
                <w:tcPr>
                  <w:tcW w:w="2397" w:type="pct"/>
                  <w:tcMar>
                    <w:top w:w="57" w:type="dxa"/>
                    <w:left w:w="108" w:type="dxa"/>
                    <w:bottom w:w="57" w:type="dxa"/>
                    <w:right w:w="108" w:type="dxa"/>
                  </w:tcMar>
                  <w:vAlign w:val="center"/>
                </w:tcPr>
                <w:p w14:paraId="543CFC30">
                  <w:pPr>
                    <w:pStyle w:val="97"/>
                    <w:rPr>
                      <w:color w:val="auto"/>
                      <w:sz w:val="18"/>
                      <w:szCs w:val="18"/>
                      <w:highlight w:val="none"/>
                    </w:rPr>
                  </w:pPr>
                  <w:r>
                    <w:rPr>
                      <w:color w:val="auto"/>
                      <w:sz w:val="18"/>
                      <w:szCs w:val="18"/>
                      <w:highlight w:val="none"/>
                    </w:rPr>
                    <w:t>[A1.3-3]根据《产业结构调整指导目录》《限期淘汰产生严重污染环境的工业固体废物的落后生产工艺设备名录》等要求，配合有关部门依法淘汰烧结-鼓风炉5炼铅工艺炼铅等涉重金属落后产能和化解过剩产能。严格执行生态环境保护等相关法规标准，推动经整改仍达不到要求的产能依法依规关闭退出。</w:t>
                  </w:r>
                </w:p>
              </w:tc>
              <w:tc>
                <w:tcPr>
                  <w:tcW w:w="1378" w:type="pct"/>
                  <w:tcMar>
                    <w:top w:w="57" w:type="dxa"/>
                    <w:left w:w="108" w:type="dxa"/>
                    <w:bottom w:w="57" w:type="dxa"/>
                    <w:right w:w="108" w:type="dxa"/>
                  </w:tcMar>
                  <w:vAlign w:val="center"/>
                </w:tcPr>
                <w:p w14:paraId="42A3AF54">
                  <w:pPr>
                    <w:pStyle w:val="97"/>
                    <w:rPr>
                      <w:color w:val="auto"/>
                      <w:sz w:val="18"/>
                      <w:szCs w:val="18"/>
                      <w:highlight w:val="none"/>
                    </w:rPr>
                  </w:pPr>
                  <w:r>
                    <w:rPr>
                      <w:color w:val="auto"/>
                      <w:sz w:val="18"/>
                      <w:szCs w:val="18"/>
                      <w:highlight w:val="none"/>
                    </w:rPr>
                    <w:t>本项目使用国内先进工艺，不涉及《产业结构调整指导目录（2024年本）》</w:t>
                  </w:r>
                  <w:r>
                    <w:rPr>
                      <w:rFonts w:hint="eastAsia"/>
                      <w:color w:val="auto"/>
                      <w:sz w:val="18"/>
                      <w:szCs w:val="18"/>
                      <w:highlight w:val="none"/>
                    </w:rPr>
                    <w:t>（国家发展和改革委员会令</w:t>
                  </w:r>
                  <w:r>
                    <w:rPr>
                      <w:color w:val="auto"/>
                      <w:sz w:val="18"/>
                      <w:szCs w:val="18"/>
                      <w:highlight w:val="none"/>
                    </w:rPr>
                    <w:t>[2023]第7号</w:t>
                  </w:r>
                  <w:r>
                    <w:rPr>
                      <w:rFonts w:hint="eastAsia"/>
                      <w:color w:val="auto"/>
                      <w:sz w:val="18"/>
                      <w:szCs w:val="18"/>
                      <w:highlight w:val="none"/>
                    </w:rPr>
                    <w:t>）</w:t>
                  </w:r>
                  <w:r>
                    <w:rPr>
                      <w:color w:val="auto"/>
                      <w:sz w:val="18"/>
                      <w:szCs w:val="18"/>
                      <w:highlight w:val="none"/>
                    </w:rPr>
                    <w:t>《限期淘汰产生严重污染环境的工业固体废物的落后生产工艺设备名录》等规定的淘汰类设备。</w:t>
                  </w:r>
                </w:p>
              </w:tc>
              <w:tc>
                <w:tcPr>
                  <w:tcW w:w="354" w:type="pct"/>
                  <w:tcMar>
                    <w:top w:w="57" w:type="dxa"/>
                    <w:left w:w="108" w:type="dxa"/>
                    <w:bottom w:w="57" w:type="dxa"/>
                    <w:right w:w="108" w:type="dxa"/>
                  </w:tcMar>
                  <w:vAlign w:val="center"/>
                </w:tcPr>
                <w:p w14:paraId="1C8A06F4">
                  <w:pPr>
                    <w:pStyle w:val="97"/>
                    <w:widowControl w:val="0"/>
                    <w:autoSpaceDE w:val="0"/>
                    <w:autoSpaceDN w:val="0"/>
                    <w:rPr>
                      <w:color w:val="auto"/>
                      <w:sz w:val="18"/>
                      <w:szCs w:val="18"/>
                      <w:highlight w:val="none"/>
                    </w:rPr>
                  </w:pPr>
                  <w:r>
                    <w:rPr>
                      <w:color w:val="auto"/>
                      <w:sz w:val="18"/>
                      <w:szCs w:val="18"/>
                      <w:highlight w:val="none"/>
                    </w:rPr>
                    <w:t>符合</w:t>
                  </w:r>
                </w:p>
              </w:tc>
            </w:tr>
            <w:tr w14:paraId="225CC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17C43914">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5DCE6E2F">
                  <w:pPr>
                    <w:pStyle w:val="97"/>
                    <w:rPr>
                      <w:color w:val="auto"/>
                      <w:sz w:val="18"/>
                      <w:szCs w:val="18"/>
                      <w:highlight w:val="none"/>
                    </w:rPr>
                  </w:pPr>
                </w:p>
              </w:tc>
              <w:tc>
                <w:tcPr>
                  <w:tcW w:w="2397" w:type="pct"/>
                  <w:tcMar>
                    <w:top w:w="57" w:type="dxa"/>
                    <w:left w:w="108" w:type="dxa"/>
                    <w:bottom w:w="57" w:type="dxa"/>
                    <w:right w:w="108" w:type="dxa"/>
                  </w:tcMar>
                  <w:vAlign w:val="center"/>
                </w:tcPr>
                <w:p w14:paraId="5365EA93">
                  <w:pPr>
                    <w:pStyle w:val="97"/>
                    <w:rPr>
                      <w:color w:val="auto"/>
                      <w:sz w:val="18"/>
                      <w:szCs w:val="18"/>
                      <w:highlight w:val="none"/>
                    </w:rPr>
                  </w:pPr>
                  <w:r>
                    <w:rPr>
                      <w:color w:val="auto"/>
                      <w:sz w:val="18"/>
                      <w:szCs w:val="18"/>
                      <w:highlight w:val="none"/>
                    </w:rPr>
                    <w:t>[1.3-4]城市建成区、重点流域内已建成投产化工企业和危险化学品生产企业应加快退城入园，搬入化工园区前企业不应实施改扩建工程扩大生产规模。</w:t>
                  </w:r>
                </w:p>
              </w:tc>
              <w:tc>
                <w:tcPr>
                  <w:tcW w:w="1378" w:type="pct"/>
                  <w:tcMar>
                    <w:top w:w="57" w:type="dxa"/>
                    <w:left w:w="108" w:type="dxa"/>
                    <w:bottom w:w="57" w:type="dxa"/>
                    <w:right w:w="108" w:type="dxa"/>
                  </w:tcMar>
                  <w:vAlign w:val="center"/>
                </w:tcPr>
                <w:p w14:paraId="07E4D9A7">
                  <w:pPr>
                    <w:pStyle w:val="97"/>
                    <w:rPr>
                      <w:color w:val="auto"/>
                      <w:sz w:val="18"/>
                      <w:szCs w:val="18"/>
                      <w:highlight w:val="none"/>
                    </w:rPr>
                  </w:pPr>
                  <w:r>
                    <w:rPr>
                      <w:color w:val="auto"/>
                      <w:sz w:val="18"/>
                      <w:szCs w:val="18"/>
                      <w:highlight w:val="none"/>
                    </w:rPr>
                    <w:t>本项目</w:t>
                  </w:r>
                  <w:r>
                    <w:rPr>
                      <w:rFonts w:hint="eastAsia"/>
                      <w:color w:val="auto"/>
                      <w:sz w:val="18"/>
                      <w:szCs w:val="18"/>
                      <w:highlight w:val="none"/>
                    </w:rPr>
                    <w:t>不涉及</w:t>
                  </w:r>
                  <w:r>
                    <w:rPr>
                      <w:color w:val="auto"/>
                      <w:sz w:val="18"/>
                      <w:szCs w:val="18"/>
                      <w:highlight w:val="none"/>
                    </w:rPr>
                    <w:t>。</w:t>
                  </w:r>
                </w:p>
              </w:tc>
              <w:tc>
                <w:tcPr>
                  <w:tcW w:w="354" w:type="pct"/>
                  <w:tcMar>
                    <w:top w:w="57" w:type="dxa"/>
                    <w:left w:w="108" w:type="dxa"/>
                    <w:bottom w:w="57" w:type="dxa"/>
                    <w:right w:w="108" w:type="dxa"/>
                  </w:tcMar>
                  <w:vAlign w:val="center"/>
                </w:tcPr>
                <w:p w14:paraId="717EA3BF">
                  <w:pPr>
                    <w:pStyle w:val="97"/>
                    <w:rPr>
                      <w:color w:val="auto"/>
                      <w:sz w:val="18"/>
                      <w:szCs w:val="18"/>
                      <w:highlight w:val="none"/>
                    </w:rPr>
                  </w:pPr>
                  <w:r>
                    <w:rPr>
                      <w:color w:val="auto"/>
                      <w:sz w:val="18"/>
                      <w:szCs w:val="18"/>
                      <w:highlight w:val="none"/>
                    </w:rPr>
                    <w:t>符合</w:t>
                  </w:r>
                </w:p>
              </w:tc>
            </w:tr>
            <w:tr w14:paraId="30E9A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5D2001EE">
                  <w:pPr>
                    <w:pStyle w:val="97"/>
                    <w:rPr>
                      <w:color w:val="auto"/>
                      <w:sz w:val="18"/>
                      <w:szCs w:val="18"/>
                      <w:highlight w:val="none"/>
                    </w:rPr>
                  </w:pPr>
                </w:p>
              </w:tc>
              <w:tc>
                <w:tcPr>
                  <w:tcW w:w="469" w:type="pct"/>
                  <w:vMerge w:val="restart"/>
                  <w:tcMar>
                    <w:top w:w="57" w:type="dxa"/>
                    <w:left w:w="108" w:type="dxa"/>
                    <w:bottom w:w="57" w:type="dxa"/>
                    <w:right w:w="108" w:type="dxa"/>
                  </w:tcMar>
                  <w:vAlign w:val="center"/>
                </w:tcPr>
                <w:p w14:paraId="2FF6F6F5">
                  <w:pPr>
                    <w:pStyle w:val="97"/>
                    <w:rPr>
                      <w:color w:val="auto"/>
                      <w:sz w:val="18"/>
                      <w:szCs w:val="18"/>
                      <w:highlight w:val="none"/>
                    </w:rPr>
                  </w:pPr>
                  <w:r>
                    <w:rPr>
                      <w:color w:val="auto"/>
                      <w:sz w:val="18"/>
                      <w:szCs w:val="18"/>
                      <w:highlight w:val="none"/>
                    </w:rPr>
                    <w:t>A1.4</w:t>
                  </w:r>
                </w:p>
                <w:p w14:paraId="306CD345">
                  <w:pPr>
                    <w:pStyle w:val="97"/>
                    <w:rPr>
                      <w:color w:val="auto"/>
                      <w:sz w:val="18"/>
                      <w:szCs w:val="18"/>
                      <w:highlight w:val="none"/>
                    </w:rPr>
                  </w:pPr>
                  <w:r>
                    <w:rPr>
                      <w:color w:val="auto"/>
                      <w:sz w:val="18"/>
                      <w:szCs w:val="18"/>
                      <w:highlight w:val="none"/>
                    </w:rPr>
                    <w:t>其他</w:t>
                  </w:r>
                </w:p>
                <w:p w14:paraId="59F1D5BB">
                  <w:pPr>
                    <w:pStyle w:val="97"/>
                    <w:rPr>
                      <w:rFonts w:hAnsi="Calibri"/>
                      <w:color w:val="auto"/>
                      <w:sz w:val="18"/>
                      <w:szCs w:val="18"/>
                      <w:highlight w:val="none"/>
                    </w:rPr>
                  </w:pPr>
                  <w:r>
                    <w:rPr>
                      <w:color w:val="auto"/>
                      <w:sz w:val="18"/>
                      <w:szCs w:val="18"/>
                      <w:highlight w:val="none"/>
                    </w:rPr>
                    <w:t>布局</w:t>
                  </w:r>
                </w:p>
                <w:p w14:paraId="2DA154B4">
                  <w:pPr>
                    <w:pStyle w:val="97"/>
                    <w:widowControl w:val="0"/>
                    <w:autoSpaceDE w:val="0"/>
                    <w:autoSpaceDN w:val="0"/>
                    <w:rPr>
                      <w:color w:val="auto"/>
                      <w:sz w:val="18"/>
                      <w:szCs w:val="18"/>
                      <w:highlight w:val="none"/>
                    </w:rPr>
                  </w:pPr>
                  <w:r>
                    <w:rPr>
                      <w:color w:val="auto"/>
                      <w:sz w:val="18"/>
                      <w:szCs w:val="18"/>
                      <w:highlight w:val="none"/>
                    </w:rPr>
                    <w:t>要求</w:t>
                  </w:r>
                </w:p>
              </w:tc>
              <w:tc>
                <w:tcPr>
                  <w:tcW w:w="2397" w:type="pct"/>
                  <w:tcMar>
                    <w:top w:w="57" w:type="dxa"/>
                    <w:left w:w="108" w:type="dxa"/>
                    <w:bottom w:w="57" w:type="dxa"/>
                    <w:right w:w="108" w:type="dxa"/>
                  </w:tcMar>
                  <w:vAlign w:val="center"/>
                </w:tcPr>
                <w:p w14:paraId="213B5B34">
                  <w:pPr>
                    <w:pStyle w:val="97"/>
                    <w:rPr>
                      <w:color w:val="auto"/>
                      <w:sz w:val="18"/>
                      <w:szCs w:val="18"/>
                      <w:highlight w:val="none"/>
                    </w:rPr>
                  </w:pPr>
                  <w:r>
                    <w:rPr>
                      <w:color w:val="auto"/>
                      <w:sz w:val="18"/>
                      <w:szCs w:val="18"/>
                      <w:highlight w:val="none"/>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1378" w:type="pct"/>
                  <w:tcMar>
                    <w:top w:w="57" w:type="dxa"/>
                    <w:left w:w="108" w:type="dxa"/>
                    <w:bottom w:w="57" w:type="dxa"/>
                    <w:right w:w="108" w:type="dxa"/>
                  </w:tcMar>
                  <w:vAlign w:val="center"/>
                </w:tcPr>
                <w:p w14:paraId="7D269D3F">
                  <w:pPr>
                    <w:pStyle w:val="97"/>
                    <w:rPr>
                      <w:color w:val="auto"/>
                      <w:sz w:val="18"/>
                      <w:szCs w:val="18"/>
                      <w:highlight w:val="none"/>
                    </w:rPr>
                  </w:pPr>
                  <w:r>
                    <w:rPr>
                      <w:color w:val="auto"/>
                      <w:sz w:val="18"/>
                      <w:szCs w:val="18"/>
                      <w:highlight w:val="none"/>
                    </w:rPr>
                    <w:t>本项目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354" w:type="pct"/>
                  <w:tcMar>
                    <w:top w:w="57" w:type="dxa"/>
                    <w:left w:w="108" w:type="dxa"/>
                    <w:bottom w:w="57" w:type="dxa"/>
                    <w:right w:w="108" w:type="dxa"/>
                  </w:tcMar>
                  <w:vAlign w:val="center"/>
                </w:tcPr>
                <w:p w14:paraId="4D6B8567">
                  <w:pPr>
                    <w:pStyle w:val="97"/>
                    <w:rPr>
                      <w:color w:val="auto"/>
                      <w:sz w:val="18"/>
                      <w:szCs w:val="18"/>
                      <w:highlight w:val="none"/>
                    </w:rPr>
                  </w:pPr>
                  <w:r>
                    <w:rPr>
                      <w:color w:val="auto"/>
                      <w:sz w:val="18"/>
                      <w:szCs w:val="18"/>
                      <w:highlight w:val="none"/>
                    </w:rPr>
                    <w:t>符合</w:t>
                  </w:r>
                </w:p>
              </w:tc>
            </w:tr>
            <w:tr w14:paraId="5559A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Borders>
                    <w:bottom w:val="single" w:color="000000" w:sz="4" w:space="0"/>
                  </w:tcBorders>
                  <w:tcMar>
                    <w:top w:w="57" w:type="dxa"/>
                    <w:left w:w="108" w:type="dxa"/>
                    <w:bottom w:w="57" w:type="dxa"/>
                    <w:right w:w="108" w:type="dxa"/>
                  </w:tcMar>
                  <w:vAlign w:val="center"/>
                </w:tcPr>
                <w:p w14:paraId="0E11992B">
                  <w:pPr>
                    <w:pStyle w:val="97"/>
                    <w:rPr>
                      <w:color w:val="auto"/>
                      <w:sz w:val="18"/>
                      <w:szCs w:val="18"/>
                      <w:highlight w:val="none"/>
                    </w:rPr>
                  </w:pPr>
                </w:p>
              </w:tc>
              <w:tc>
                <w:tcPr>
                  <w:tcW w:w="469" w:type="pct"/>
                  <w:vMerge w:val="continue"/>
                  <w:tcBorders>
                    <w:bottom w:val="single" w:color="000000" w:sz="4" w:space="0"/>
                  </w:tcBorders>
                  <w:tcMar>
                    <w:top w:w="57" w:type="dxa"/>
                    <w:left w:w="108" w:type="dxa"/>
                    <w:bottom w:w="57" w:type="dxa"/>
                    <w:right w:w="108" w:type="dxa"/>
                  </w:tcMar>
                  <w:vAlign w:val="center"/>
                </w:tcPr>
                <w:p w14:paraId="542DB873">
                  <w:pPr>
                    <w:pStyle w:val="97"/>
                    <w:widowControl w:val="0"/>
                    <w:autoSpaceDE w:val="0"/>
                    <w:autoSpaceDN w:val="0"/>
                    <w:rPr>
                      <w:color w:val="auto"/>
                      <w:sz w:val="18"/>
                      <w:szCs w:val="18"/>
                      <w:highlight w:val="none"/>
                    </w:rPr>
                  </w:pPr>
                </w:p>
              </w:tc>
              <w:tc>
                <w:tcPr>
                  <w:tcW w:w="2397" w:type="pct"/>
                  <w:tcBorders>
                    <w:bottom w:val="single" w:color="000000" w:sz="4" w:space="0"/>
                  </w:tcBorders>
                  <w:tcMar>
                    <w:top w:w="57" w:type="dxa"/>
                    <w:left w:w="108" w:type="dxa"/>
                    <w:bottom w:w="57" w:type="dxa"/>
                    <w:right w:w="108" w:type="dxa"/>
                  </w:tcMar>
                  <w:vAlign w:val="center"/>
                </w:tcPr>
                <w:p w14:paraId="7909E599">
                  <w:pPr>
                    <w:pStyle w:val="97"/>
                    <w:rPr>
                      <w:color w:val="auto"/>
                      <w:sz w:val="18"/>
                      <w:szCs w:val="18"/>
                      <w:highlight w:val="none"/>
                    </w:rPr>
                  </w:pPr>
                  <w:r>
                    <w:rPr>
                      <w:color w:val="auto"/>
                      <w:sz w:val="18"/>
                      <w:szCs w:val="18"/>
                      <w:highlight w:val="none"/>
                    </w:rPr>
                    <w:t>[A1.4-2]新建、扩建石化、化工、焦化、有色金属冶炼、平板玻璃项目应布设在依法合规设立并经规划环评的产业园区。</w:t>
                  </w:r>
                </w:p>
              </w:tc>
              <w:tc>
                <w:tcPr>
                  <w:tcW w:w="1378" w:type="pct"/>
                  <w:tcBorders>
                    <w:bottom w:val="single" w:color="000000" w:sz="4" w:space="0"/>
                  </w:tcBorders>
                  <w:tcMar>
                    <w:top w:w="57" w:type="dxa"/>
                    <w:left w:w="108" w:type="dxa"/>
                    <w:bottom w:w="57" w:type="dxa"/>
                    <w:right w:w="108" w:type="dxa"/>
                  </w:tcMar>
                  <w:vAlign w:val="center"/>
                </w:tcPr>
                <w:p w14:paraId="0BBA05E9">
                  <w:pPr>
                    <w:pStyle w:val="97"/>
                    <w:rPr>
                      <w:color w:val="auto"/>
                      <w:sz w:val="18"/>
                      <w:szCs w:val="18"/>
                      <w:highlight w:val="none"/>
                    </w:rPr>
                  </w:pPr>
                  <w:r>
                    <w:rPr>
                      <w:rFonts w:hint="eastAsia"/>
                      <w:color w:val="auto"/>
                      <w:sz w:val="18"/>
                      <w:szCs w:val="18"/>
                      <w:highlight w:val="none"/>
                    </w:rPr>
                    <w:t>本项目不涉及。</w:t>
                  </w:r>
                </w:p>
              </w:tc>
              <w:tc>
                <w:tcPr>
                  <w:tcW w:w="354" w:type="pct"/>
                  <w:tcBorders>
                    <w:bottom w:val="single" w:color="000000" w:sz="4" w:space="0"/>
                  </w:tcBorders>
                  <w:tcMar>
                    <w:top w:w="57" w:type="dxa"/>
                    <w:left w:w="108" w:type="dxa"/>
                    <w:bottom w:w="57" w:type="dxa"/>
                    <w:right w:w="108" w:type="dxa"/>
                  </w:tcMar>
                  <w:vAlign w:val="center"/>
                </w:tcPr>
                <w:p w14:paraId="7A8181B3">
                  <w:pPr>
                    <w:pStyle w:val="97"/>
                    <w:rPr>
                      <w:color w:val="auto"/>
                      <w:sz w:val="18"/>
                      <w:szCs w:val="18"/>
                      <w:highlight w:val="none"/>
                    </w:rPr>
                  </w:pPr>
                  <w:r>
                    <w:rPr>
                      <w:color w:val="auto"/>
                      <w:sz w:val="18"/>
                      <w:szCs w:val="18"/>
                      <w:highlight w:val="none"/>
                    </w:rPr>
                    <w:t>符合</w:t>
                  </w:r>
                </w:p>
              </w:tc>
            </w:tr>
            <w:tr w14:paraId="2CED8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6BD6443F">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1605113C">
                  <w:pPr>
                    <w:pStyle w:val="97"/>
                    <w:rPr>
                      <w:color w:val="auto"/>
                      <w:sz w:val="18"/>
                      <w:szCs w:val="18"/>
                      <w:highlight w:val="none"/>
                    </w:rPr>
                  </w:pPr>
                </w:p>
              </w:tc>
              <w:tc>
                <w:tcPr>
                  <w:tcW w:w="2397" w:type="pct"/>
                  <w:tcMar>
                    <w:top w:w="57" w:type="dxa"/>
                    <w:left w:w="108" w:type="dxa"/>
                    <w:bottom w:w="57" w:type="dxa"/>
                    <w:right w:w="108" w:type="dxa"/>
                  </w:tcMar>
                  <w:vAlign w:val="center"/>
                </w:tcPr>
                <w:p w14:paraId="5B72F772">
                  <w:pPr>
                    <w:pStyle w:val="97"/>
                    <w:rPr>
                      <w:color w:val="auto"/>
                      <w:sz w:val="18"/>
                      <w:szCs w:val="18"/>
                      <w:highlight w:val="none"/>
                    </w:rPr>
                  </w:pPr>
                  <w:r>
                    <w:rPr>
                      <w:color w:val="auto"/>
                      <w:sz w:val="18"/>
                      <w:szCs w:val="18"/>
                      <w:highlight w:val="none"/>
                    </w:rPr>
                    <w:t>[A1.4-3]危险化学品生产企业搬迁改造及新建化工项目必须进入国家及自治区各级人民政府正式批准设立，规划环评通过审查，规划通过审批且环保基础设施完善的工业园区，并符合国土空间规划、产业发展规划和生态红线管控要求。</w:t>
                  </w:r>
                </w:p>
              </w:tc>
              <w:tc>
                <w:tcPr>
                  <w:tcW w:w="1378" w:type="pct"/>
                  <w:tcMar>
                    <w:top w:w="57" w:type="dxa"/>
                    <w:left w:w="108" w:type="dxa"/>
                    <w:bottom w:w="57" w:type="dxa"/>
                    <w:right w:w="108" w:type="dxa"/>
                  </w:tcMar>
                  <w:vAlign w:val="center"/>
                </w:tcPr>
                <w:p w14:paraId="648BC9A5">
                  <w:pPr>
                    <w:pStyle w:val="97"/>
                    <w:rPr>
                      <w:color w:val="auto"/>
                      <w:sz w:val="18"/>
                      <w:szCs w:val="18"/>
                      <w:highlight w:val="none"/>
                    </w:rPr>
                  </w:pPr>
                  <w:r>
                    <w:rPr>
                      <w:rFonts w:hint="eastAsia"/>
                      <w:color w:val="auto"/>
                      <w:sz w:val="18"/>
                      <w:szCs w:val="18"/>
                      <w:highlight w:val="none"/>
                    </w:rPr>
                    <w:t>本项目不涉及。</w:t>
                  </w:r>
                </w:p>
              </w:tc>
              <w:tc>
                <w:tcPr>
                  <w:tcW w:w="354" w:type="pct"/>
                  <w:tcMar>
                    <w:top w:w="57" w:type="dxa"/>
                    <w:left w:w="108" w:type="dxa"/>
                    <w:bottom w:w="57" w:type="dxa"/>
                    <w:right w:w="108" w:type="dxa"/>
                  </w:tcMar>
                  <w:vAlign w:val="center"/>
                </w:tcPr>
                <w:p w14:paraId="61C3BB19">
                  <w:pPr>
                    <w:pStyle w:val="97"/>
                    <w:rPr>
                      <w:color w:val="auto"/>
                      <w:sz w:val="18"/>
                      <w:szCs w:val="18"/>
                      <w:highlight w:val="none"/>
                    </w:rPr>
                  </w:pPr>
                  <w:r>
                    <w:rPr>
                      <w:color w:val="auto"/>
                      <w:sz w:val="18"/>
                      <w:szCs w:val="18"/>
                      <w:highlight w:val="none"/>
                    </w:rPr>
                    <w:t>符合</w:t>
                  </w:r>
                </w:p>
              </w:tc>
            </w:tr>
            <w:tr w14:paraId="56464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restart"/>
                  <w:tcMar>
                    <w:top w:w="57" w:type="dxa"/>
                    <w:left w:w="108" w:type="dxa"/>
                    <w:bottom w:w="57" w:type="dxa"/>
                    <w:right w:w="108" w:type="dxa"/>
                  </w:tcMar>
                  <w:vAlign w:val="center"/>
                </w:tcPr>
                <w:p w14:paraId="2F649BD5">
                  <w:pPr>
                    <w:pStyle w:val="97"/>
                    <w:rPr>
                      <w:color w:val="auto"/>
                      <w:sz w:val="18"/>
                      <w:szCs w:val="18"/>
                      <w:highlight w:val="none"/>
                    </w:rPr>
                  </w:pPr>
                  <w:r>
                    <w:rPr>
                      <w:color w:val="auto"/>
                      <w:sz w:val="18"/>
                      <w:szCs w:val="18"/>
                      <w:highlight w:val="none"/>
                    </w:rPr>
                    <w:t>A2污染物排放管控</w:t>
                  </w:r>
                </w:p>
              </w:tc>
              <w:tc>
                <w:tcPr>
                  <w:tcW w:w="469" w:type="pct"/>
                  <w:vMerge w:val="restart"/>
                  <w:tcMar>
                    <w:top w:w="57" w:type="dxa"/>
                    <w:left w:w="108" w:type="dxa"/>
                    <w:bottom w:w="57" w:type="dxa"/>
                    <w:right w:w="108" w:type="dxa"/>
                  </w:tcMar>
                  <w:vAlign w:val="center"/>
                </w:tcPr>
                <w:p w14:paraId="41BAF460">
                  <w:pPr>
                    <w:pStyle w:val="97"/>
                    <w:rPr>
                      <w:color w:val="auto"/>
                      <w:sz w:val="18"/>
                      <w:szCs w:val="18"/>
                      <w:highlight w:val="none"/>
                    </w:rPr>
                  </w:pPr>
                  <w:r>
                    <w:rPr>
                      <w:color w:val="auto"/>
                      <w:sz w:val="18"/>
                      <w:szCs w:val="18"/>
                      <w:highlight w:val="none"/>
                    </w:rPr>
                    <w:t>A2.1</w:t>
                  </w:r>
                </w:p>
                <w:p w14:paraId="3C3DD0FB">
                  <w:pPr>
                    <w:pStyle w:val="97"/>
                    <w:rPr>
                      <w:color w:val="auto"/>
                      <w:sz w:val="18"/>
                      <w:szCs w:val="18"/>
                      <w:highlight w:val="none"/>
                    </w:rPr>
                  </w:pPr>
                  <w:r>
                    <w:rPr>
                      <w:color w:val="auto"/>
                      <w:sz w:val="18"/>
                      <w:szCs w:val="18"/>
                      <w:highlight w:val="none"/>
                    </w:rPr>
                    <w:t>污染</w:t>
                  </w:r>
                </w:p>
                <w:p w14:paraId="2A86F950">
                  <w:pPr>
                    <w:pStyle w:val="97"/>
                    <w:rPr>
                      <w:color w:val="auto"/>
                      <w:sz w:val="18"/>
                      <w:szCs w:val="18"/>
                      <w:highlight w:val="none"/>
                    </w:rPr>
                  </w:pPr>
                  <w:r>
                    <w:rPr>
                      <w:color w:val="auto"/>
                      <w:sz w:val="18"/>
                      <w:szCs w:val="18"/>
                      <w:highlight w:val="none"/>
                    </w:rPr>
                    <w:t>物削</w:t>
                  </w:r>
                </w:p>
                <w:p w14:paraId="17173A85">
                  <w:pPr>
                    <w:pStyle w:val="97"/>
                    <w:rPr>
                      <w:color w:val="auto"/>
                      <w:sz w:val="18"/>
                      <w:szCs w:val="18"/>
                      <w:highlight w:val="none"/>
                    </w:rPr>
                  </w:pPr>
                  <w:r>
                    <w:rPr>
                      <w:color w:val="auto"/>
                      <w:sz w:val="18"/>
                      <w:szCs w:val="18"/>
                      <w:highlight w:val="none"/>
                    </w:rPr>
                    <w:t>减/</w:t>
                  </w:r>
                </w:p>
                <w:p w14:paraId="712CCC97">
                  <w:pPr>
                    <w:pStyle w:val="97"/>
                    <w:rPr>
                      <w:color w:val="auto"/>
                      <w:sz w:val="18"/>
                      <w:szCs w:val="18"/>
                      <w:highlight w:val="none"/>
                    </w:rPr>
                  </w:pPr>
                  <w:r>
                    <w:rPr>
                      <w:color w:val="auto"/>
                      <w:sz w:val="18"/>
                      <w:szCs w:val="18"/>
                      <w:highlight w:val="none"/>
                    </w:rPr>
                    <w:t>替代</w:t>
                  </w:r>
                </w:p>
                <w:p w14:paraId="5EB1B99C">
                  <w:pPr>
                    <w:pStyle w:val="97"/>
                    <w:widowControl w:val="0"/>
                    <w:autoSpaceDE w:val="0"/>
                    <w:autoSpaceDN w:val="0"/>
                    <w:rPr>
                      <w:color w:val="auto"/>
                      <w:sz w:val="18"/>
                      <w:szCs w:val="18"/>
                      <w:highlight w:val="none"/>
                    </w:rPr>
                  </w:pPr>
                  <w:r>
                    <w:rPr>
                      <w:color w:val="auto"/>
                      <w:sz w:val="18"/>
                      <w:szCs w:val="18"/>
                      <w:highlight w:val="none"/>
                    </w:rPr>
                    <w:t>要求</w:t>
                  </w:r>
                </w:p>
              </w:tc>
              <w:tc>
                <w:tcPr>
                  <w:tcW w:w="2397" w:type="pct"/>
                  <w:tcMar>
                    <w:top w:w="57" w:type="dxa"/>
                    <w:left w:w="108" w:type="dxa"/>
                    <w:bottom w:w="57" w:type="dxa"/>
                    <w:right w:w="108" w:type="dxa"/>
                  </w:tcMar>
                  <w:vAlign w:val="center"/>
                </w:tcPr>
                <w:p w14:paraId="632A8025">
                  <w:pPr>
                    <w:pStyle w:val="97"/>
                    <w:rPr>
                      <w:color w:val="auto"/>
                      <w:sz w:val="18"/>
                      <w:szCs w:val="18"/>
                      <w:highlight w:val="none"/>
                    </w:rPr>
                  </w:pPr>
                  <w:r>
                    <w:rPr>
                      <w:color w:val="auto"/>
                      <w:sz w:val="18"/>
                      <w:szCs w:val="18"/>
                      <w:highlight w:val="none"/>
                    </w:rPr>
                    <w:t>[A2.1-1]新、改、扩建重点行业建设项目应符合“三线一单”、产业政策、区域环评、规划环评和行业环境准入管控要求。重点区域的新、改、扩建重点行业建设项目应遵循重点重金属污染物排放“减量替代”原则。</w:t>
                  </w:r>
                </w:p>
              </w:tc>
              <w:tc>
                <w:tcPr>
                  <w:tcW w:w="1378" w:type="pct"/>
                  <w:tcMar>
                    <w:top w:w="57" w:type="dxa"/>
                    <w:left w:w="108" w:type="dxa"/>
                    <w:bottom w:w="57" w:type="dxa"/>
                    <w:right w:w="108" w:type="dxa"/>
                  </w:tcMar>
                  <w:vAlign w:val="center"/>
                </w:tcPr>
                <w:p w14:paraId="7082E98C">
                  <w:pPr>
                    <w:pStyle w:val="97"/>
                    <w:rPr>
                      <w:color w:val="auto"/>
                      <w:sz w:val="18"/>
                      <w:szCs w:val="18"/>
                      <w:highlight w:val="none"/>
                    </w:rPr>
                  </w:pPr>
                  <w:r>
                    <w:rPr>
                      <w:color w:val="auto"/>
                      <w:sz w:val="18"/>
                      <w:szCs w:val="18"/>
                      <w:highlight w:val="none"/>
                    </w:rPr>
                    <w:t>本项目符合自治区，</w:t>
                  </w:r>
                  <w:r>
                    <w:rPr>
                      <w:rFonts w:ascii="Segoe UI" w:hAnsi="Segoe UI" w:cs="Segoe UI"/>
                      <w:color w:val="auto"/>
                      <w:sz w:val="18"/>
                      <w:szCs w:val="18"/>
                      <w:highlight w:val="none"/>
                    </w:rPr>
                    <w:t>昌吉回族自治州</w:t>
                  </w:r>
                  <w:r>
                    <w:rPr>
                      <w:color w:val="auto"/>
                      <w:sz w:val="18"/>
                      <w:szCs w:val="18"/>
                      <w:highlight w:val="none"/>
                    </w:rPr>
                    <w:t>“三线一单”、产业政策、区域环评、规划环评和行业环境准入管控要求。</w:t>
                  </w:r>
                </w:p>
              </w:tc>
              <w:tc>
                <w:tcPr>
                  <w:tcW w:w="354" w:type="pct"/>
                  <w:tcMar>
                    <w:top w:w="57" w:type="dxa"/>
                    <w:left w:w="108" w:type="dxa"/>
                    <w:bottom w:w="57" w:type="dxa"/>
                    <w:right w:w="108" w:type="dxa"/>
                  </w:tcMar>
                  <w:vAlign w:val="center"/>
                </w:tcPr>
                <w:p w14:paraId="6946A574">
                  <w:pPr>
                    <w:pStyle w:val="97"/>
                    <w:rPr>
                      <w:color w:val="auto"/>
                      <w:sz w:val="18"/>
                      <w:szCs w:val="18"/>
                      <w:highlight w:val="none"/>
                    </w:rPr>
                  </w:pPr>
                  <w:r>
                    <w:rPr>
                      <w:color w:val="auto"/>
                      <w:sz w:val="18"/>
                      <w:szCs w:val="18"/>
                      <w:highlight w:val="none"/>
                    </w:rPr>
                    <w:t>符合</w:t>
                  </w:r>
                </w:p>
              </w:tc>
            </w:tr>
            <w:tr w14:paraId="779DA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Borders>
                    <w:bottom w:val="single" w:color="000000" w:sz="4" w:space="0"/>
                  </w:tcBorders>
                  <w:tcMar>
                    <w:top w:w="57" w:type="dxa"/>
                    <w:left w:w="108" w:type="dxa"/>
                    <w:bottom w:w="57" w:type="dxa"/>
                    <w:right w:w="108" w:type="dxa"/>
                  </w:tcMar>
                  <w:vAlign w:val="center"/>
                </w:tcPr>
                <w:p w14:paraId="6234B16F">
                  <w:pPr>
                    <w:pStyle w:val="97"/>
                    <w:widowControl w:val="0"/>
                    <w:autoSpaceDE w:val="0"/>
                    <w:autoSpaceDN w:val="0"/>
                    <w:rPr>
                      <w:color w:val="auto"/>
                      <w:sz w:val="18"/>
                      <w:szCs w:val="18"/>
                      <w:highlight w:val="none"/>
                    </w:rPr>
                  </w:pPr>
                </w:p>
              </w:tc>
              <w:tc>
                <w:tcPr>
                  <w:tcW w:w="469" w:type="pct"/>
                  <w:vMerge w:val="continue"/>
                  <w:tcBorders>
                    <w:bottom w:val="single" w:color="000000" w:sz="4" w:space="0"/>
                  </w:tcBorders>
                  <w:tcMar>
                    <w:top w:w="57" w:type="dxa"/>
                    <w:left w:w="108" w:type="dxa"/>
                    <w:bottom w:w="57" w:type="dxa"/>
                    <w:right w:w="108" w:type="dxa"/>
                  </w:tcMar>
                  <w:vAlign w:val="center"/>
                </w:tcPr>
                <w:p w14:paraId="1A87D468">
                  <w:pPr>
                    <w:pStyle w:val="97"/>
                    <w:widowControl w:val="0"/>
                    <w:autoSpaceDE w:val="0"/>
                    <w:autoSpaceDN w:val="0"/>
                    <w:rPr>
                      <w:color w:val="auto"/>
                      <w:sz w:val="18"/>
                      <w:szCs w:val="18"/>
                      <w:highlight w:val="none"/>
                    </w:rPr>
                  </w:pPr>
                </w:p>
              </w:tc>
              <w:tc>
                <w:tcPr>
                  <w:tcW w:w="2397" w:type="pct"/>
                  <w:tcBorders>
                    <w:bottom w:val="single" w:color="000000" w:sz="4" w:space="0"/>
                  </w:tcBorders>
                  <w:tcMar>
                    <w:top w:w="57" w:type="dxa"/>
                    <w:left w:w="108" w:type="dxa"/>
                    <w:bottom w:w="57" w:type="dxa"/>
                    <w:right w:w="108" w:type="dxa"/>
                  </w:tcMar>
                  <w:vAlign w:val="center"/>
                </w:tcPr>
                <w:p w14:paraId="67EC4E87">
                  <w:pPr>
                    <w:pStyle w:val="97"/>
                    <w:rPr>
                      <w:color w:val="auto"/>
                      <w:sz w:val="18"/>
                      <w:szCs w:val="18"/>
                      <w:highlight w:val="none"/>
                    </w:rPr>
                  </w:pPr>
                  <w:r>
                    <w:rPr>
                      <w:color w:val="auto"/>
                      <w:sz w:val="18"/>
                      <w:szCs w:val="18"/>
                      <w:highlight w:val="none"/>
                    </w:rPr>
                    <w:t>[A2.1-2]以石化、化工、涂装、医药、包装印刷、油品储运销等行业领域为重点，安全高效推进挥发性有机物综合治理，实施原辅材料和产品源头替代工程。</w:t>
                  </w:r>
                </w:p>
              </w:tc>
              <w:tc>
                <w:tcPr>
                  <w:tcW w:w="1378" w:type="pct"/>
                  <w:tcBorders>
                    <w:bottom w:val="single" w:color="000000" w:sz="4" w:space="0"/>
                  </w:tcBorders>
                  <w:tcMar>
                    <w:top w:w="57" w:type="dxa"/>
                    <w:left w:w="108" w:type="dxa"/>
                    <w:bottom w:w="57" w:type="dxa"/>
                    <w:right w:w="108" w:type="dxa"/>
                  </w:tcMar>
                  <w:vAlign w:val="center"/>
                </w:tcPr>
                <w:p w14:paraId="6F8D8C73">
                  <w:pPr>
                    <w:pStyle w:val="97"/>
                    <w:rPr>
                      <w:color w:val="auto"/>
                      <w:sz w:val="18"/>
                      <w:szCs w:val="18"/>
                      <w:highlight w:val="none"/>
                    </w:rPr>
                  </w:pPr>
                  <w:r>
                    <w:rPr>
                      <w:rFonts w:hint="eastAsia"/>
                      <w:color w:val="auto"/>
                      <w:sz w:val="18"/>
                      <w:szCs w:val="18"/>
                      <w:highlight w:val="none"/>
                    </w:rPr>
                    <w:t>本项目不属于以上行业。</w:t>
                  </w:r>
                </w:p>
              </w:tc>
              <w:tc>
                <w:tcPr>
                  <w:tcW w:w="354" w:type="pct"/>
                  <w:tcBorders>
                    <w:bottom w:val="single" w:color="000000" w:sz="4" w:space="0"/>
                  </w:tcBorders>
                  <w:tcMar>
                    <w:top w:w="57" w:type="dxa"/>
                    <w:left w:w="108" w:type="dxa"/>
                    <w:bottom w:w="57" w:type="dxa"/>
                    <w:right w:w="108" w:type="dxa"/>
                  </w:tcMar>
                  <w:vAlign w:val="center"/>
                </w:tcPr>
                <w:p w14:paraId="2451F7D6">
                  <w:pPr>
                    <w:pStyle w:val="97"/>
                    <w:rPr>
                      <w:color w:val="auto"/>
                      <w:sz w:val="18"/>
                      <w:szCs w:val="18"/>
                      <w:highlight w:val="none"/>
                    </w:rPr>
                  </w:pPr>
                  <w:r>
                    <w:rPr>
                      <w:color w:val="auto"/>
                      <w:sz w:val="18"/>
                      <w:szCs w:val="18"/>
                      <w:highlight w:val="none"/>
                    </w:rPr>
                    <w:t>符合</w:t>
                  </w:r>
                </w:p>
              </w:tc>
            </w:tr>
            <w:tr w14:paraId="18055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7548FC98">
                  <w:pPr>
                    <w:pStyle w:val="97"/>
                    <w:widowControl w:val="0"/>
                    <w:autoSpaceDE w:val="0"/>
                    <w:autoSpaceDN w:val="0"/>
                    <w:rPr>
                      <w:color w:val="auto"/>
                      <w:sz w:val="18"/>
                      <w:szCs w:val="18"/>
                      <w:highlight w:val="none"/>
                    </w:rPr>
                  </w:pPr>
                </w:p>
              </w:tc>
              <w:tc>
                <w:tcPr>
                  <w:tcW w:w="469" w:type="pct"/>
                  <w:vMerge w:val="continue"/>
                  <w:tcMar>
                    <w:top w:w="57" w:type="dxa"/>
                    <w:left w:w="108" w:type="dxa"/>
                    <w:bottom w:w="57" w:type="dxa"/>
                    <w:right w:w="108" w:type="dxa"/>
                  </w:tcMar>
                  <w:vAlign w:val="center"/>
                </w:tcPr>
                <w:p w14:paraId="0C0F3873">
                  <w:pPr>
                    <w:pStyle w:val="97"/>
                    <w:rPr>
                      <w:color w:val="auto"/>
                      <w:sz w:val="18"/>
                      <w:szCs w:val="18"/>
                      <w:highlight w:val="none"/>
                    </w:rPr>
                  </w:pPr>
                </w:p>
              </w:tc>
              <w:tc>
                <w:tcPr>
                  <w:tcW w:w="2397" w:type="pct"/>
                  <w:tcMar>
                    <w:top w:w="57" w:type="dxa"/>
                    <w:left w:w="108" w:type="dxa"/>
                    <w:bottom w:w="57" w:type="dxa"/>
                    <w:right w:w="108" w:type="dxa"/>
                  </w:tcMar>
                  <w:vAlign w:val="center"/>
                </w:tcPr>
                <w:p w14:paraId="3EF5568A">
                  <w:pPr>
                    <w:pStyle w:val="97"/>
                    <w:rPr>
                      <w:color w:val="auto"/>
                      <w:sz w:val="18"/>
                      <w:szCs w:val="18"/>
                      <w:highlight w:val="none"/>
                    </w:rPr>
                  </w:pPr>
                  <w:r>
                    <w:rPr>
                      <w:color w:val="auto"/>
                      <w:sz w:val="18"/>
                      <w:szCs w:val="18"/>
                      <w:highlight w:val="none"/>
                    </w:rPr>
                    <w:t>[A2.1-3]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氢氟碳化物、甲烷、氧化亚氨等温室气体。加强节约能源与大气污染防治协同有效衔接，促进大气污染防治协同增效。</w:t>
                  </w:r>
                </w:p>
              </w:tc>
              <w:tc>
                <w:tcPr>
                  <w:tcW w:w="1378" w:type="pct"/>
                  <w:tcMar>
                    <w:top w:w="57" w:type="dxa"/>
                    <w:left w:w="108" w:type="dxa"/>
                    <w:bottom w:w="57" w:type="dxa"/>
                    <w:right w:w="108" w:type="dxa"/>
                  </w:tcMar>
                  <w:vAlign w:val="center"/>
                </w:tcPr>
                <w:p w14:paraId="6505BFE7">
                  <w:pPr>
                    <w:pStyle w:val="97"/>
                    <w:widowControl w:val="0"/>
                    <w:autoSpaceDE w:val="0"/>
                    <w:autoSpaceDN w:val="0"/>
                    <w:rPr>
                      <w:color w:val="auto"/>
                      <w:sz w:val="18"/>
                      <w:szCs w:val="18"/>
                      <w:highlight w:val="none"/>
                    </w:rPr>
                  </w:pPr>
                  <w:r>
                    <w:rPr>
                      <w:color w:val="auto"/>
                      <w:sz w:val="18"/>
                      <w:szCs w:val="18"/>
                      <w:highlight w:val="none"/>
                    </w:rPr>
                    <w:t>本项目</w:t>
                  </w:r>
                  <w:r>
                    <w:rPr>
                      <w:rFonts w:hint="eastAsia" w:hAnsi="宋体"/>
                      <w:snapToGrid w:val="0"/>
                      <w:color w:val="auto"/>
                      <w:sz w:val="18"/>
                      <w:szCs w:val="18"/>
                      <w:highlight w:val="none"/>
                    </w:rPr>
                    <w:t>井场外新建</w:t>
                  </w:r>
                  <w:r>
                    <w:rPr>
                      <w:rFonts w:hAnsi="宋体"/>
                      <w:snapToGrid w:val="0"/>
                      <w:color w:val="auto"/>
                      <w:sz w:val="18"/>
                      <w:szCs w:val="18"/>
                      <w:highlight w:val="none"/>
                    </w:rPr>
                    <w:t>2</w:t>
                  </w:r>
                  <w:r>
                    <w:rPr>
                      <w:rFonts w:hint="eastAsia" w:hAnsi="宋体"/>
                      <w:snapToGrid w:val="0"/>
                      <w:color w:val="auto"/>
                      <w:sz w:val="18"/>
                      <w:szCs w:val="18"/>
                      <w:highlight w:val="none"/>
                    </w:rPr>
                    <w:t>座</w:t>
                  </w:r>
                  <w:r>
                    <w:rPr>
                      <w:rFonts w:hAnsi="宋体"/>
                      <w:snapToGrid w:val="0"/>
                      <w:color w:val="auto"/>
                      <w:sz w:val="18"/>
                      <w:szCs w:val="18"/>
                      <w:highlight w:val="none"/>
                    </w:rPr>
                    <w:t>放喷池</w:t>
                  </w:r>
                  <w:r>
                    <w:rPr>
                      <w:rFonts w:hint="eastAsia" w:hAnsi="宋体"/>
                      <w:snapToGrid w:val="0"/>
                      <w:color w:val="auto"/>
                      <w:sz w:val="18"/>
                      <w:szCs w:val="18"/>
                      <w:highlight w:val="none"/>
                    </w:rPr>
                    <w:t>，伴生气经过液气分离后通过放喷池点火排放，有效减少温室气体排放</w:t>
                  </w:r>
                  <w:r>
                    <w:rPr>
                      <w:color w:val="auto"/>
                      <w:sz w:val="18"/>
                      <w:szCs w:val="18"/>
                      <w:highlight w:val="none"/>
                    </w:rPr>
                    <w:t>。</w:t>
                  </w:r>
                </w:p>
              </w:tc>
              <w:tc>
                <w:tcPr>
                  <w:tcW w:w="354" w:type="pct"/>
                  <w:tcMar>
                    <w:top w:w="57" w:type="dxa"/>
                    <w:left w:w="108" w:type="dxa"/>
                    <w:bottom w:w="57" w:type="dxa"/>
                    <w:right w:w="108" w:type="dxa"/>
                  </w:tcMar>
                  <w:vAlign w:val="center"/>
                </w:tcPr>
                <w:p w14:paraId="289FDD9B">
                  <w:pPr>
                    <w:pStyle w:val="97"/>
                    <w:rPr>
                      <w:color w:val="auto"/>
                      <w:sz w:val="18"/>
                      <w:szCs w:val="18"/>
                      <w:highlight w:val="none"/>
                    </w:rPr>
                  </w:pPr>
                  <w:r>
                    <w:rPr>
                      <w:color w:val="auto"/>
                      <w:sz w:val="18"/>
                      <w:szCs w:val="18"/>
                      <w:highlight w:val="none"/>
                    </w:rPr>
                    <w:t>符合</w:t>
                  </w:r>
                </w:p>
              </w:tc>
            </w:tr>
            <w:tr w14:paraId="061C6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1F0A410B">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676DF918">
                  <w:pPr>
                    <w:pStyle w:val="97"/>
                    <w:rPr>
                      <w:color w:val="auto"/>
                      <w:sz w:val="18"/>
                      <w:szCs w:val="18"/>
                      <w:highlight w:val="none"/>
                    </w:rPr>
                  </w:pPr>
                </w:p>
              </w:tc>
              <w:tc>
                <w:tcPr>
                  <w:tcW w:w="2397" w:type="pct"/>
                  <w:tcMar>
                    <w:top w:w="57" w:type="dxa"/>
                    <w:left w:w="108" w:type="dxa"/>
                    <w:bottom w:w="57" w:type="dxa"/>
                    <w:right w:w="108" w:type="dxa"/>
                  </w:tcMar>
                  <w:vAlign w:val="center"/>
                </w:tcPr>
                <w:p w14:paraId="00F9ED1B">
                  <w:pPr>
                    <w:pStyle w:val="97"/>
                    <w:rPr>
                      <w:color w:val="auto"/>
                      <w:sz w:val="18"/>
                      <w:szCs w:val="18"/>
                      <w:highlight w:val="none"/>
                    </w:rPr>
                  </w:pPr>
                  <w:r>
                    <w:rPr>
                      <w:color w:val="auto"/>
                      <w:sz w:val="18"/>
                      <w:szCs w:val="18"/>
                      <w:highlight w:val="none"/>
                    </w:rPr>
                    <w:t>[A2.1-4]严控建材、铸造、冶炼等行业无组织排放，推进石化、化工、涂装、医药、包装印刷、油品储运销等行业项目挥发性有机物（VOCs）防治。严格有色金属冶炼、石油加工、化工、焦化等行业项目的土壤、地下水污染防治措施要求。推进工业园区和企业集群</w:t>
                  </w:r>
                </w:p>
                <w:p w14:paraId="0F09E10E">
                  <w:pPr>
                    <w:pStyle w:val="97"/>
                    <w:widowControl w:val="0"/>
                    <w:autoSpaceDE w:val="0"/>
                    <w:autoSpaceDN w:val="0"/>
                    <w:rPr>
                      <w:color w:val="auto"/>
                      <w:sz w:val="18"/>
                      <w:szCs w:val="18"/>
                      <w:highlight w:val="none"/>
                    </w:rPr>
                  </w:pPr>
                  <w:r>
                    <w:rPr>
                      <w:color w:val="auto"/>
                      <w:sz w:val="18"/>
                      <w:szCs w:val="18"/>
                      <w:highlight w:val="none"/>
                    </w:rPr>
                    <w:t>建设涉VOCs“绿岛”项目，统筹规划建设一批集中涂装中心、活性炭集中处理中心、溶剂回收中心等，实现VOCs集中高效处理。</w:t>
                  </w:r>
                </w:p>
              </w:tc>
              <w:tc>
                <w:tcPr>
                  <w:tcW w:w="1378" w:type="pct"/>
                  <w:tcMar>
                    <w:top w:w="57" w:type="dxa"/>
                    <w:left w:w="108" w:type="dxa"/>
                    <w:bottom w:w="57" w:type="dxa"/>
                    <w:right w:w="108" w:type="dxa"/>
                  </w:tcMar>
                  <w:vAlign w:val="center"/>
                </w:tcPr>
                <w:p w14:paraId="090B8B11">
                  <w:pPr>
                    <w:pStyle w:val="97"/>
                    <w:rPr>
                      <w:color w:val="auto"/>
                      <w:sz w:val="18"/>
                      <w:szCs w:val="18"/>
                      <w:highlight w:val="none"/>
                    </w:rPr>
                  </w:pPr>
                  <w:r>
                    <w:rPr>
                      <w:color w:val="auto"/>
                      <w:sz w:val="18"/>
                      <w:szCs w:val="18"/>
                      <w:highlight w:val="none"/>
                    </w:rPr>
                    <w:t>本项目</w:t>
                  </w:r>
                  <w:r>
                    <w:rPr>
                      <w:rFonts w:hint="eastAsia"/>
                      <w:color w:val="auto"/>
                      <w:sz w:val="18"/>
                      <w:szCs w:val="18"/>
                      <w:highlight w:val="none"/>
                    </w:rPr>
                    <w:t>施工期各类设备密闭，</w:t>
                  </w:r>
                  <w:r>
                    <w:rPr>
                      <w:color w:val="auto"/>
                      <w:sz w:val="18"/>
                      <w:szCs w:val="18"/>
                      <w:highlight w:val="none"/>
                    </w:rPr>
                    <w:t>VOCs排放得到有效控制。</w:t>
                  </w:r>
                </w:p>
              </w:tc>
              <w:tc>
                <w:tcPr>
                  <w:tcW w:w="354" w:type="pct"/>
                  <w:tcMar>
                    <w:top w:w="57" w:type="dxa"/>
                    <w:left w:w="108" w:type="dxa"/>
                    <w:bottom w:w="57" w:type="dxa"/>
                    <w:right w:w="108" w:type="dxa"/>
                  </w:tcMar>
                  <w:vAlign w:val="center"/>
                </w:tcPr>
                <w:p w14:paraId="1AE2B3E7">
                  <w:pPr>
                    <w:pStyle w:val="97"/>
                    <w:widowControl w:val="0"/>
                    <w:autoSpaceDE w:val="0"/>
                    <w:autoSpaceDN w:val="0"/>
                    <w:rPr>
                      <w:color w:val="auto"/>
                      <w:sz w:val="18"/>
                      <w:szCs w:val="18"/>
                      <w:highlight w:val="none"/>
                    </w:rPr>
                  </w:pPr>
                  <w:r>
                    <w:rPr>
                      <w:color w:val="auto"/>
                      <w:sz w:val="18"/>
                      <w:szCs w:val="18"/>
                      <w:highlight w:val="none"/>
                    </w:rPr>
                    <w:t>符合</w:t>
                  </w:r>
                </w:p>
              </w:tc>
            </w:tr>
            <w:tr w14:paraId="18DD0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09BE2DB0">
                  <w:pPr>
                    <w:pStyle w:val="97"/>
                    <w:rPr>
                      <w:color w:val="auto"/>
                      <w:sz w:val="18"/>
                      <w:szCs w:val="18"/>
                      <w:highlight w:val="none"/>
                    </w:rPr>
                  </w:pPr>
                </w:p>
              </w:tc>
              <w:tc>
                <w:tcPr>
                  <w:tcW w:w="469" w:type="pct"/>
                  <w:vMerge w:val="restart"/>
                  <w:tcMar>
                    <w:top w:w="57" w:type="dxa"/>
                    <w:left w:w="108" w:type="dxa"/>
                    <w:bottom w:w="57" w:type="dxa"/>
                    <w:right w:w="108" w:type="dxa"/>
                  </w:tcMar>
                  <w:vAlign w:val="center"/>
                </w:tcPr>
                <w:p w14:paraId="5FEB77C3">
                  <w:pPr>
                    <w:pStyle w:val="97"/>
                    <w:rPr>
                      <w:color w:val="auto"/>
                      <w:sz w:val="18"/>
                      <w:szCs w:val="18"/>
                      <w:highlight w:val="none"/>
                    </w:rPr>
                  </w:pPr>
                  <w:r>
                    <w:rPr>
                      <w:color w:val="auto"/>
                      <w:sz w:val="18"/>
                      <w:szCs w:val="18"/>
                      <w:highlight w:val="none"/>
                    </w:rPr>
                    <w:t>A2.2</w:t>
                  </w:r>
                </w:p>
                <w:p w14:paraId="675E6C96">
                  <w:pPr>
                    <w:pStyle w:val="97"/>
                    <w:rPr>
                      <w:rFonts w:hAnsi="Calibri"/>
                      <w:color w:val="auto"/>
                      <w:sz w:val="18"/>
                      <w:szCs w:val="18"/>
                      <w:highlight w:val="none"/>
                    </w:rPr>
                  </w:pPr>
                  <w:r>
                    <w:rPr>
                      <w:color w:val="auto"/>
                      <w:sz w:val="18"/>
                      <w:szCs w:val="18"/>
                      <w:highlight w:val="none"/>
                    </w:rPr>
                    <w:t>污染</w:t>
                  </w:r>
                </w:p>
                <w:p w14:paraId="2C789880">
                  <w:pPr>
                    <w:pStyle w:val="97"/>
                    <w:rPr>
                      <w:rFonts w:hAnsi="Calibri"/>
                      <w:color w:val="auto"/>
                      <w:sz w:val="18"/>
                      <w:szCs w:val="18"/>
                      <w:highlight w:val="none"/>
                    </w:rPr>
                  </w:pPr>
                  <w:r>
                    <w:rPr>
                      <w:color w:val="auto"/>
                      <w:sz w:val="18"/>
                      <w:szCs w:val="18"/>
                      <w:highlight w:val="none"/>
                    </w:rPr>
                    <w:t>控制</w:t>
                  </w:r>
                </w:p>
                <w:p w14:paraId="297F3075">
                  <w:pPr>
                    <w:pStyle w:val="97"/>
                    <w:rPr>
                      <w:rFonts w:hAnsi="Calibri"/>
                      <w:color w:val="auto"/>
                      <w:sz w:val="18"/>
                      <w:szCs w:val="18"/>
                      <w:highlight w:val="none"/>
                    </w:rPr>
                  </w:pPr>
                  <w:r>
                    <w:rPr>
                      <w:color w:val="auto"/>
                      <w:sz w:val="18"/>
                      <w:szCs w:val="18"/>
                      <w:highlight w:val="none"/>
                    </w:rPr>
                    <w:t>措施</w:t>
                  </w:r>
                </w:p>
                <w:p w14:paraId="0F72B6B3">
                  <w:pPr>
                    <w:pStyle w:val="97"/>
                    <w:widowControl w:val="0"/>
                    <w:autoSpaceDE w:val="0"/>
                    <w:autoSpaceDN w:val="0"/>
                    <w:rPr>
                      <w:color w:val="auto"/>
                      <w:sz w:val="18"/>
                      <w:szCs w:val="18"/>
                      <w:highlight w:val="none"/>
                    </w:rPr>
                  </w:pPr>
                  <w:r>
                    <w:rPr>
                      <w:color w:val="auto"/>
                      <w:sz w:val="18"/>
                      <w:szCs w:val="18"/>
                      <w:highlight w:val="none"/>
                    </w:rPr>
                    <w:t>要求</w:t>
                  </w:r>
                </w:p>
              </w:tc>
              <w:tc>
                <w:tcPr>
                  <w:tcW w:w="2397" w:type="pct"/>
                  <w:tcMar>
                    <w:top w:w="57" w:type="dxa"/>
                    <w:left w:w="108" w:type="dxa"/>
                    <w:bottom w:w="57" w:type="dxa"/>
                    <w:right w:w="108" w:type="dxa"/>
                  </w:tcMar>
                  <w:vAlign w:val="center"/>
                </w:tcPr>
                <w:p w14:paraId="3ED79B5D">
                  <w:pPr>
                    <w:pStyle w:val="97"/>
                    <w:rPr>
                      <w:color w:val="auto"/>
                      <w:sz w:val="18"/>
                      <w:szCs w:val="18"/>
                      <w:highlight w:val="none"/>
                    </w:rPr>
                  </w:pPr>
                  <w:r>
                    <w:rPr>
                      <w:color w:val="auto"/>
                      <w:sz w:val="18"/>
                      <w:szCs w:val="18"/>
                      <w:highlight w:val="none"/>
                    </w:rPr>
                    <w:t>[A2.2-1]推动能源、钢铁、建材、有色、电力、化工等重点领域技术升级，控制工业过程温室气体排放，推动工业领域绿色低碳发展。积极鼓励发展二氧化碳捕集利用与封存等低碳技术。促进大气污染物与温室气体协同控制。实施污染物和温室气体协同控制，实现减污降碳协同效应。强化污水、垃圾等集中处置设施环境管理，协同控制氢氟碳化物、甲烷、氧化亚氦等温室气体。加强节约能源与大气污染防治协同有效衔接，促进大气污染防治协同增效。</w:t>
                  </w:r>
                </w:p>
              </w:tc>
              <w:tc>
                <w:tcPr>
                  <w:tcW w:w="1378" w:type="pct"/>
                  <w:tcMar>
                    <w:top w:w="57" w:type="dxa"/>
                    <w:left w:w="108" w:type="dxa"/>
                    <w:bottom w:w="57" w:type="dxa"/>
                    <w:right w:w="108" w:type="dxa"/>
                  </w:tcMar>
                  <w:vAlign w:val="center"/>
                </w:tcPr>
                <w:p w14:paraId="70700A4F">
                  <w:pPr>
                    <w:pStyle w:val="97"/>
                    <w:rPr>
                      <w:color w:val="auto"/>
                      <w:sz w:val="18"/>
                      <w:szCs w:val="18"/>
                      <w:highlight w:val="none"/>
                    </w:rPr>
                  </w:pPr>
                  <w:r>
                    <w:rPr>
                      <w:color w:val="auto"/>
                      <w:sz w:val="18"/>
                      <w:szCs w:val="18"/>
                      <w:highlight w:val="none"/>
                    </w:rPr>
                    <w:t>本项目</w:t>
                  </w:r>
                  <w:r>
                    <w:rPr>
                      <w:rFonts w:hint="eastAsia" w:hAnsi="宋体"/>
                      <w:snapToGrid w:val="0"/>
                      <w:color w:val="auto"/>
                      <w:sz w:val="18"/>
                      <w:szCs w:val="18"/>
                      <w:highlight w:val="none"/>
                    </w:rPr>
                    <w:t>井场外新建</w:t>
                  </w:r>
                  <w:r>
                    <w:rPr>
                      <w:rFonts w:hAnsi="宋体"/>
                      <w:snapToGrid w:val="0"/>
                      <w:color w:val="auto"/>
                      <w:sz w:val="18"/>
                      <w:szCs w:val="18"/>
                      <w:highlight w:val="none"/>
                    </w:rPr>
                    <w:t>2</w:t>
                  </w:r>
                  <w:r>
                    <w:rPr>
                      <w:rFonts w:hint="eastAsia" w:hAnsi="宋体"/>
                      <w:snapToGrid w:val="0"/>
                      <w:color w:val="auto"/>
                      <w:sz w:val="18"/>
                      <w:szCs w:val="18"/>
                      <w:highlight w:val="none"/>
                    </w:rPr>
                    <w:t>座</w:t>
                  </w:r>
                  <w:r>
                    <w:rPr>
                      <w:rFonts w:hAnsi="宋体"/>
                      <w:snapToGrid w:val="0"/>
                      <w:color w:val="auto"/>
                      <w:sz w:val="18"/>
                      <w:szCs w:val="18"/>
                      <w:highlight w:val="none"/>
                    </w:rPr>
                    <w:t>放喷池</w:t>
                  </w:r>
                  <w:r>
                    <w:rPr>
                      <w:rFonts w:hint="eastAsia" w:hAnsi="宋体"/>
                      <w:snapToGrid w:val="0"/>
                      <w:color w:val="auto"/>
                      <w:sz w:val="18"/>
                      <w:szCs w:val="18"/>
                      <w:highlight w:val="none"/>
                    </w:rPr>
                    <w:t>，伴生气经过液气分离后通过放喷池点火排放，有效减少温室气体排放</w:t>
                  </w:r>
                  <w:r>
                    <w:rPr>
                      <w:color w:val="auto"/>
                      <w:sz w:val="18"/>
                      <w:szCs w:val="18"/>
                      <w:highlight w:val="none"/>
                    </w:rPr>
                    <w:t>。</w:t>
                  </w:r>
                </w:p>
              </w:tc>
              <w:tc>
                <w:tcPr>
                  <w:tcW w:w="354" w:type="pct"/>
                  <w:tcMar>
                    <w:top w:w="57" w:type="dxa"/>
                    <w:left w:w="108" w:type="dxa"/>
                    <w:bottom w:w="57" w:type="dxa"/>
                    <w:right w:w="108" w:type="dxa"/>
                  </w:tcMar>
                  <w:vAlign w:val="center"/>
                </w:tcPr>
                <w:p w14:paraId="15487C80">
                  <w:pPr>
                    <w:pStyle w:val="97"/>
                    <w:rPr>
                      <w:color w:val="auto"/>
                      <w:sz w:val="18"/>
                      <w:szCs w:val="18"/>
                      <w:highlight w:val="none"/>
                    </w:rPr>
                  </w:pPr>
                  <w:r>
                    <w:rPr>
                      <w:color w:val="auto"/>
                      <w:sz w:val="18"/>
                      <w:szCs w:val="18"/>
                      <w:highlight w:val="none"/>
                    </w:rPr>
                    <w:t>符合</w:t>
                  </w:r>
                </w:p>
              </w:tc>
            </w:tr>
            <w:tr w14:paraId="7A02D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718DBFDD">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660683BC">
                  <w:pPr>
                    <w:pStyle w:val="97"/>
                    <w:widowControl w:val="0"/>
                    <w:autoSpaceDE w:val="0"/>
                    <w:autoSpaceDN w:val="0"/>
                    <w:rPr>
                      <w:color w:val="auto"/>
                      <w:sz w:val="18"/>
                      <w:szCs w:val="18"/>
                      <w:highlight w:val="none"/>
                    </w:rPr>
                  </w:pPr>
                </w:p>
              </w:tc>
              <w:tc>
                <w:tcPr>
                  <w:tcW w:w="2397" w:type="pct"/>
                  <w:tcMar>
                    <w:top w:w="57" w:type="dxa"/>
                    <w:left w:w="108" w:type="dxa"/>
                    <w:bottom w:w="57" w:type="dxa"/>
                    <w:right w:w="108" w:type="dxa"/>
                  </w:tcMar>
                  <w:vAlign w:val="center"/>
                </w:tcPr>
                <w:p w14:paraId="22F8A647">
                  <w:pPr>
                    <w:pStyle w:val="97"/>
                    <w:rPr>
                      <w:color w:val="auto"/>
                      <w:sz w:val="18"/>
                      <w:szCs w:val="18"/>
                      <w:highlight w:val="none"/>
                    </w:rPr>
                  </w:pPr>
                  <w:r>
                    <w:rPr>
                      <w:color w:val="auto"/>
                      <w:sz w:val="18"/>
                      <w:szCs w:val="18"/>
                      <w:highlight w:val="none"/>
                    </w:rPr>
                    <w:t>[A2.2-2]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tc>
              <w:tc>
                <w:tcPr>
                  <w:tcW w:w="1378" w:type="pct"/>
                  <w:tcMar>
                    <w:top w:w="57" w:type="dxa"/>
                    <w:left w:w="108" w:type="dxa"/>
                    <w:bottom w:w="57" w:type="dxa"/>
                    <w:right w:w="108" w:type="dxa"/>
                  </w:tcMar>
                  <w:vAlign w:val="center"/>
                </w:tcPr>
                <w:p w14:paraId="380FC99C">
                  <w:pPr>
                    <w:pStyle w:val="97"/>
                    <w:rPr>
                      <w:color w:val="auto"/>
                      <w:sz w:val="18"/>
                      <w:szCs w:val="18"/>
                      <w:highlight w:val="none"/>
                    </w:rPr>
                  </w:pPr>
                  <w:r>
                    <w:rPr>
                      <w:rFonts w:hint="eastAsia"/>
                      <w:color w:val="auto"/>
                      <w:sz w:val="18"/>
                      <w:szCs w:val="18"/>
                      <w:highlight w:val="none"/>
                    </w:rPr>
                    <w:t>本项目不属于前述重点行业。项目施工期采用先进生产工艺</w:t>
                  </w:r>
                  <w:r>
                    <w:rPr>
                      <w:color w:val="auto"/>
                      <w:sz w:val="18"/>
                      <w:szCs w:val="18"/>
                      <w:highlight w:val="none"/>
                    </w:rPr>
                    <w:t>，</w:t>
                  </w:r>
                  <w:r>
                    <w:rPr>
                      <w:rFonts w:hint="eastAsia"/>
                      <w:color w:val="auto"/>
                      <w:sz w:val="18"/>
                      <w:szCs w:val="18"/>
                      <w:highlight w:val="none"/>
                    </w:rPr>
                    <w:t>可</w:t>
                  </w:r>
                  <w:r>
                    <w:rPr>
                      <w:color w:val="auto"/>
                      <w:sz w:val="18"/>
                      <w:szCs w:val="18"/>
                      <w:highlight w:val="none"/>
                    </w:rPr>
                    <w:t>有效减少废气无组织排放。</w:t>
                  </w:r>
                </w:p>
              </w:tc>
              <w:tc>
                <w:tcPr>
                  <w:tcW w:w="354" w:type="pct"/>
                  <w:tcMar>
                    <w:top w:w="57" w:type="dxa"/>
                    <w:left w:w="108" w:type="dxa"/>
                    <w:bottom w:w="57" w:type="dxa"/>
                    <w:right w:w="108" w:type="dxa"/>
                  </w:tcMar>
                  <w:vAlign w:val="center"/>
                </w:tcPr>
                <w:p w14:paraId="50B63B04">
                  <w:pPr>
                    <w:pStyle w:val="97"/>
                    <w:widowControl w:val="0"/>
                    <w:autoSpaceDE w:val="0"/>
                    <w:autoSpaceDN w:val="0"/>
                    <w:rPr>
                      <w:color w:val="auto"/>
                      <w:sz w:val="18"/>
                      <w:szCs w:val="18"/>
                      <w:highlight w:val="none"/>
                    </w:rPr>
                  </w:pPr>
                  <w:r>
                    <w:rPr>
                      <w:color w:val="auto"/>
                      <w:sz w:val="18"/>
                      <w:szCs w:val="18"/>
                      <w:highlight w:val="none"/>
                    </w:rPr>
                    <w:t>符合</w:t>
                  </w:r>
                </w:p>
              </w:tc>
            </w:tr>
            <w:tr w14:paraId="65639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5B0C504A">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02710512">
                  <w:pPr>
                    <w:pStyle w:val="97"/>
                    <w:rPr>
                      <w:color w:val="auto"/>
                      <w:sz w:val="18"/>
                      <w:szCs w:val="18"/>
                      <w:highlight w:val="none"/>
                    </w:rPr>
                  </w:pPr>
                </w:p>
              </w:tc>
              <w:tc>
                <w:tcPr>
                  <w:tcW w:w="2397" w:type="pct"/>
                  <w:tcMar>
                    <w:top w:w="57" w:type="dxa"/>
                    <w:left w:w="108" w:type="dxa"/>
                    <w:bottom w:w="57" w:type="dxa"/>
                    <w:right w:w="108" w:type="dxa"/>
                  </w:tcMar>
                  <w:vAlign w:val="center"/>
                </w:tcPr>
                <w:p w14:paraId="44DC4361">
                  <w:pPr>
                    <w:pStyle w:val="97"/>
                    <w:rPr>
                      <w:color w:val="auto"/>
                      <w:sz w:val="18"/>
                      <w:szCs w:val="18"/>
                      <w:highlight w:val="none"/>
                    </w:rPr>
                  </w:pPr>
                  <w:r>
                    <w:rPr>
                      <w:color w:val="auto"/>
                      <w:sz w:val="18"/>
                      <w:szCs w:val="18"/>
                      <w:highlight w:val="none"/>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氨燃烧改造、工业园区内轨道运输（大宗货物“公转铁”）、柴油货车治理、锅炉炉窑综合治理等工程项目。全面推行绿色施工，持续推动城市建成区重污染企业搬迁或关闭退出。</w:t>
                  </w:r>
                </w:p>
              </w:tc>
              <w:tc>
                <w:tcPr>
                  <w:tcW w:w="1378" w:type="pct"/>
                  <w:tcMar>
                    <w:top w:w="57" w:type="dxa"/>
                    <w:left w:w="108" w:type="dxa"/>
                    <w:bottom w:w="57" w:type="dxa"/>
                    <w:right w:w="108" w:type="dxa"/>
                  </w:tcMar>
                  <w:vAlign w:val="center"/>
                </w:tcPr>
                <w:p w14:paraId="5111B0CA">
                  <w:pPr>
                    <w:pStyle w:val="97"/>
                    <w:rPr>
                      <w:color w:val="auto"/>
                      <w:sz w:val="18"/>
                      <w:szCs w:val="18"/>
                      <w:highlight w:val="none"/>
                    </w:rPr>
                  </w:pPr>
                  <w:r>
                    <w:rPr>
                      <w:color w:val="auto"/>
                      <w:sz w:val="18"/>
                      <w:szCs w:val="18"/>
                      <w:highlight w:val="none"/>
                    </w:rPr>
                    <w:t>本项目施工期</w:t>
                  </w:r>
                  <w:r>
                    <w:rPr>
                      <w:rFonts w:hint="eastAsia"/>
                      <w:color w:val="auto"/>
                      <w:sz w:val="18"/>
                      <w:szCs w:val="18"/>
                      <w:highlight w:val="none"/>
                    </w:rPr>
                    <w:t>采取</w:t>
                  </w:r>
                  <w:r>
                    <w:rPr>
                      <w:color w:val="auto"/>
                      <w:sz w:val="18"/>
                      <w:szCs w:val="18"/>
                      <w:highlight w:val="none"/>
                    </w:rPr>
                    <w:t>完善措施减少施工造成的环境影响。</w:t>
                  </w:r>
                </w:p>
              </w:tc>
              <w:tc>
                <w:tcPr>
                  <w:tcW w:w="354" w:type="pct"/>
                  <w:tcMar>
                    <w:top w:w="57" w:type="dxa"/>
                    <w:left w:w="108" w:type="dxa"/>
                    <w:bottom w:w="57" w:type="dxa"/>
                    <w:right w:w="108" w:type="dxa"/>
                  </w:tcMar>
                  <w:vAlign w:val="center"/>
                </w:tcPr>
                <w:p w14:paraId="2EB809FA">
                  <w:pPr>
                    <w:pStyle w:val="97"/>
                    <w:rPr>
                      <w:color w:val="auto"/>
                      <w:sz w:val="18"/>
                      <w:szCs w:val="18"/>
                      <w:highlight w:val="none"/>
                    </w:rPr>
                  </w:pPr>
                  <w:r>
                    <w:rPr>
                      <w:color w:val="auto"/>
                      <w:sz w:val="18"/>
                      <w:szCs w:val="18"/>
                      <w:highlight w:val="none"/>
                    </w:rPr>
                    <w:t>符合</w:t>
                  </w:r>
                </w:p>
              </w:tc>
            </w:tr>
            <w:tr w14:paraId="32F2B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38DBA148">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5CC72185">
                  <w:pPr>
                    <w:pStyle w:val="97"/>
                    <w:rPr>
                      <w:color w:val="auto"/>
                      <w:sz w:val="18"/>
                      <w:szCs w:val="18"/>
                      <w:highlight w:val="none"/>
                    </w:rPr>
                  </w:pPr>
                </w:p>
              </w:tc>
              <w:tc>
                <w:tcPr>
                  <w:tcW w:w="2397" w:type="pct"/>
                  <w:tcMar>
                    <w:top w:w="57" w:type="dxa"/>
                    <w:left w:w="108" w:type="dxa"/>
                    <w:bottom w:w="57" w:type="dxa"/>
                    <w:right w:w="108" w:type="dxa"/>
                  </w:tcMar>
                  <w:vAlign w:val="center"/>
                </w:tcPr>
                <w:p w14:paraId="5E5DC767">
                  <w:pPr>
                    <w:pStyle w:val="97"/>
                    <w:rPr>
                      <w:color w:val="auto"/>
                      <w:sz w:val="18"/>
                      <w:szCs w:val="18"/>
                      <w:highlight w:val="none"/>
                    </w:rPr>
                  </w:pPr>
                  <w:r>
                    <w:rPr>
                      <w:color w:val="auto"/>
                      <w:sz w:val="18"/>
                      <w:szCs w:val="18"/>
                      <w:highlight w:val="none"/>
                    </w:rPr>
                    <w:t>[A2.2-6]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tc>
              <w:tc>
                <w:tcPr>
                  <w:tcW w:w="1378" w:type="pct"/>
                  <w:tcMar>
                    <w:top w:w="57" w:type="dxa"/>
                    <w:left w:w="108" w:type="dxa"/>
                    <w:bottom w:w="57" w:type="dxa"/>
                    <w:right w:w="108" w:type="dxa"/>
                  </w:tcMar>
                  <w:vAlign w:val="center"/>
                </w:tcPr>
                <w:p w14:paraId="4EB79D53">
                  <w:pPr>
                    <w:pStyle w:val="97"/>
                    <w:widowControl w:val="0"/>
                    <w:autoSpaceDE w:val="0"/>
                    <w:autoSpaceDN w:val="0"/>
                    <w:rPr>
                      <w:color w:val="auto"/>
                      <w:sz w:val="18"/>
                      <w:szCs w:val="18"/>
                      <w:highlight w:val="none"/>
                    </w:rPr>
                  </w:pPr>
                  <w:r>
                    <w:rPr>
                      <w:color w:val="auto"/>
                      <w:sz w:val="18"/>
                      <w:szCs w:val="18"/>
                      <w:highlight w:val="none"/>
                    </w:rPr>
                    <w:t>本项目</w:t>
                  </w:r>
                  <w:r>
                    <w:rPr>
                      <w:rFonts w:hint="eastAsia"/>
                      <w:color w:val="auto"/>
                      <w:sz w:val="18"/>
                      <w:szCs w:val="18"/>
                      <w:highlight w:val="none"/>
                    </w:rPr>
                    <w:t>无废水外排</w:t>
                  </w:r>
                  <w:r>
                    <w:rPr>
                      <w:color w:val="auto"/>
                      <w:sz w:val="18"/>
                      <w:szCs w:val="18"/>
                      <w:highlight w:val="none"/>
                    </w:rPr>
                    <w:t>，不会严重污染水环境。</w:t>
                  </w:r>
                  <w:r>
                    <w:rPr>
                      <w:rFonts w:hint="eastAsia"/>
                      <w:color w:val="auto"/>
                      <w:sz w:val="18"/>
                      <w:szCs w:val="18"/>
                      <w:highlight w:val="none"/>
                    </w:rPr>
                    <w:t>井场</w:t>
                  </w:r>
                  <w:r>
                    <w:rPr>
                      <w:color w:val="auto"/>
                      <w:sz w:val="18"/>
                      <w:szCs w:val="18"/>
                      <w:highlight w:val="none"/>
                    </w:rPr>
                    <w:t>进行分区防渗，对地下水环境的影响较小。</w:t>
                  </w:r>
                </w:p>
              </w:tc>
              <w:tc>
                <w:tcPr>
                  <w:tcW w:w="354" w:type="pct"/>
                  <w:tcMar>
                    <w:top w:w="57" w:type="dxa"/>
                    <w:left w:w="108" w:type="dxa"/>
                    <w:bottom w:w="57" w:type="dxa"/>
                    <w:right w:w="108" w:type="dxa"/>
                  </w:tcMar>
                  <w:vAlign w:val="center"/>
                </w:tcPr>
                <w:p w14:paraId="751B49FF">
                  <w:pPr>
                    <w:pStyle w:val="97"/>
                    <w:rPr>
                      <w:color w:val="auto"/>
                      <w:sz w:val="18"/>
                      <w:szCs w:val="18"/>
                      <w:highlight w:val="none"/>
                    </w:rPr>
                  </w:pPr>
                  <w:r>
                    <w:rPr>
                      <w:color w:val="auto"/>
                      <w:sz w:val="18"/>
                      <w:szCs w:val="18"/>
                      <w:highlight w:val="none"/>
                    </w:rPr>
                    <w:t>符合</w:t>
                  </w:r>
                </w:p>
              </w:tc>
            </w:tr>
            <w:tr w14:paraId="492C0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restart"/>
                  <w:tcMar>
                    <w:top w:w="57" w:type="dxa"/>
                    <w:left w:w="108" w:type="dxa"/>
                    <w:bottom w:w="57" w:type="dxa"/>
                    <w:right w:w="108" w:type="dxa"/>
                  </w:tcMar>
                  <w:vAlign w:val="center"/>
                </w:tcPr>
                <w:p w14:paraId="250E9993">
                  <w:pPr>
                    <w:pStyle w:val="97"/>
                    <w:rPr>
                      <w:rFonts w:hAnsi="Calibri"/>
                      <w:color w:val="auto"/>
                      <w:sz w:val="18"/>
                      <w:szCs w:val="18"/>
                      <w:highlight w:val="none"/>
                    </w:rPr>
                  </w:pPr>
                  <w:r>
                    <w:rPr>
                      <w:color w:val="auto"/>
                      <w:sz w:val="18"/>
                      <w:szCs w:val="18"/>
                      <w:highlight w:val="none"/>
                    </w:rPr>
                    <w:t>A3环境风险防</w:t>
                  </w:r>
                </w:p>
                <w:p w14:paraId="3C2671F9">
                  <w:pPr>
                    <w:pStyle w:val="97"/>
                    <w:widowControl w:val="0"/>
                    <w:autoSpaceDE w:val="0"/>
                    <w:autoSpaceDN w:val="0"/>
                    <w:rPr>
                      <w:color w:val="auto"/>
                      <w:sz w:val="18"/>
                      <w:szCs w:val="18"/>
                      <w:highlight w:val="none"/>
                    </w:rPr>
                  </w:pPr>
                  <w:r>
                    <w:rPr>
                      <w:color w:val="auto"/>
                      <w:sz w:val="18"/>
                      <w:szCs w:val="18"/>
                      <w:highlight w:val="none"/>
                    </w:rPr>
                    <w:t>控</w:t>
                  </w:r>
                </w:p>
              </w:tc>
              <w:tc>
                <w:tcPr>
                  <w:tcW w:w="469" w:type="pct"/>
                  <w:vMerge w:val="restart"/>
                  <w:tcMar>
                    <w:top w:w="57" w:type="dxa"/>
                    <w:left w:w="108" w:type="dxa"/>
                    <w:bottom w:w="57" w:type="dxa"/>
                    <w:right w:w="108" w:type="dxa"/>
                  </w:tcMar>
                  <w:vAlign w:val="center"/>
                </w:tcPr>
                <w:p w14:paraId="29EF2192">
                  <w:pPr>
                    <w:pStyle w:val="97"/>
                    <w:rPr>
                      <w:color w:val="auto"/>
                      <w:sz w:val="18"/>
                      <w:szCs w:val="18"/>
                      <w:highlight w:val="none"/>
                    </w:rPr>
                  </w:pPr>
                  <w:r>
                    <w:rPr>
                      <w:color w:val="auto"/>
                      <w:sz w:val="18"/>
                      <w:szCs w:val="18"/>
                      <w:highlight w:val="none"/>
                    </w:rPr>
                    <w:t>A3.2联防联控要求</w:t>
                  </w:r>
                </w:p>
              </w:tc>
              <w:tc>
                <w:tcPr>
                  <w:tcW w:w="2397" w:type="pct"/>
                  <w:tcMar>
                    <w:top w:w="57" w:type="dxa"/>
                    <w:left w:w="108" w:type="dxa"/>
                    <w:bottom w:w="57" w:type="dxa"/>
                    <w:right w:w="108" w:type="dxa"/>
                  </w:tcMar>
                  <w:vAlign w:val="center"/>
                </w:tcPr>
                <w:p w14:paraId="55E795C9">
                  <w:pPr>
                    <w:pStyle w:val="97"/>
                    <w:rPr>
                      <w:color w:val="auto"/>
                      <w:sz w:val="18"/>
                      <w:szCs w:val="18"/>
                      <w:highlight w:val="none"/>
                    </w:rPr>
                  </w:pPr>
                  <w:r>
                    <w:rPr>
                      <w:color w:val="auto"/>
                      <w:sz w:val="18"/>
                      <w:szCs w:val="18"/>
                      <w:highlight w:val="none"/>
                    </w:rPr>
                    <w:t>[A3.2-3]加强新污染物多环境介质协同治理。排放重点管控新污染物的企事业单位应采取污染控制措施，达到相关污染物排放标准及环境质量目标要求；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污）口及其周边环境定期开展环境监测，评估环境风险，排查整治环境安全隐患，依法公开新污染物信息，采取措施防范环境风险。土壤污染重点监管单位应严格控制有毒有害物质排放，建立土壤污染隐患排查制度，防止有毒有害物质渗漏、流失、扬散。</w:t>
                  </w:r>
                </w:p>
              </w:tc>
              <w:tc>
                <w:tcPr>
                  <w:tcW w:w="1378" w:type="pct"/>
                  <w:tcMar>
                    <w:top w:w="57" w:type="dxa"/>
                    <w:left w:w="108" w:type="dxa"/>
                    <w:bottom w:w="57" w:type="dxa"/>
                    <w:right w:w="108" w:type="dxa"/>
                  </w:tcMar>
                  <w:vAlign w:val="center"/>
                </w:tcPr>
                <w:p w14:paraId="306A1F41">
                  <w:pPr>
                    <w:pStyle w:val="97"/>
                    <w:rPr>
                      <w:color w:val="auto"/>
                      <w:sz w:val="18"/>
                      <w:szCs w:val="18"/>
                      <w:highlight w:val="none"/>
                    </w:rPr>
                  </w:pPr>
                  <w:r>
                    <w:rPr>
                      <w:color w:val="auto"/>
                      <w:sz w:val="18"/>
                      <w:szCs w:val="18"/>
                      <w:highlight w:val="none"/>
                    </w:rPr>
                    <w:t>本项目</w:t>
                  </w:r>
                  <w:r>
                    <w:rPr>
                      <w:rFonts w:hint="eastAsia"/>
                      <w:color w:val="auto"/>
                      <w:sz w:val="18"/>
                      <w:szCs w:val="18"/>
                      <w:highlight w:val="none"/>
                    </w:rPr>
                    <w:t>不涉及运营期</w:t>
                  </w:r>
                  <w:r>
                    <w:rPr>
                      <w:color w:val="auto"/>
                      <w:sz w:val="18"/>
                      <w:szCs w:val="18"/>
                      <w:highlight w:val="none"/>
                    </w:rPr>
                    <w:t>。</w:t>
                  </w:r>
                  <w:r>
                    <w:rPr>
                      <w:rFonts w:hint="eastAsia"/>
                      <w:color w:val="auto"/>
                      <w:sz w:val="18"/>
                      <w:szCs w:val="18"/>
                      <w:highlight w:val="none"/>
                    </w:rPr>
                    <w:t>项目</w:t>
                  </w:r>
                  <w:r>
                    <w:rPr>
                      <w:color w:val="auto"/>
                      <w:sz w:val="18"/>
                      <w:szCs w:val="18"/>
                      <w:highlight w:val="none"/>
                    </w:rPr>
                    <w:t>制定了完善的监测计划。</w:t>
                  </w:r>
                </w:p>
              </w:tc>
              <w:tc>
                <w:tcPr>
                  <w:tcW w:w="354" w:type="pct"/>
                  <w:tcMar>
                    <w:top w:w="57" w:type="dxa"/>
                    <w:left w:w="108" w:type="dxa"/>
                    <w:bottom w:w="57" w:type="dxa"/>
                    <w:right w:w="108" w:type="dxa"/>
                  </w:tcMar>
                  <w:vAlign w:val="center"/>
                </w:tcPr>
                <w:p w14:paraId="723DD548">
                  <w:pPr>
                    <w:pStyle w:val="97"/>
                    <w:rPr>
                      <w:color w:val="auto"/>
                      <w:sz w:val="18"/>
                      <w:szCs w:val="18"/>
                      <w:highlight w:val="none"/>
                    </w:rPr>
                  </w:pPr>
                  <w:r>
                    <w:rPr>
                      <w:color w:val="auto"/>
                      <w:sz w:val="18"/>
                      <w:szCs w:val="18"/>
                      <w:highlight w:val="none"/>
                    </w:rPr>
                    <w:t>符合</w:t>
                  </w:r>
                </w:p>
              </w:tc>
            </w:tr>
            <w:tr w14:paraId="18DFF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3A3E2B92">
                  <w:pPr>
                    <w:pStyle w:val="97"/>
                    <w:widowControl w:val="0"/>
                    <w:autoSpaceDE w:val="0"/>
                    <w:autoSpaceDN w:val="0"/>
                    <w:rPr>
                      <w:color w:val="auto"/>
                      <w:sz w:val="18"/>
                      <w:szCs w:val="18"/>
                      <w:highlight w:val="none"/>
                    </w:rPr>
                  </w:pPr>
                </w:p>
              </w:tc>
              <w:tc>
                <w:tcPr>
                  <w:tcW w:w="469" w:type="pct"/>
                  <w:vMerge w:val="continue"/>
                  <w:tcMar>
                    <w:top w:w="57" w:type="dxa"/>
                    <w:left w:w="108" w:type="dxa"/>
                    <w:bottom w:w="57" w:type="dxa"/>
                    <w:right w:w="108" w:type="dxa"/>
                  </w:tcMar>
                  <w:vAlign w:val="center"/>
                </w:tcPr>
                <w:p w14:paraId="7E1A61BE">
                  <w:pPr>
                    <w:pStyle w:val="97"/>
                    <w:rPr>
                      <w:color w:val="auto"/>
                      <w:sz w:val="18"/>
                      <w:szCs w:val="18"/>
                      <w:highlight w:val="none"/>
                    </w:rPr>
                  </w:pPr>
                </w:p>
              </w:tc>
              <w:tc>
                <w:tcPr>
                  <w:tcW w:w="2397" w:type="pct"/>
                  <w:tcMar>
                    <w:top w:w="57" w:type="dxa"/>
                    <w:left w:w="108" w:type="dxa"/>
                    <w:bottom w:w="57" w:type="dxa"/>
                    <w:right w:w="108" w:type="dxa"/>
                  </w:tcMar>
                  <w:vAlign w:val="center"/>
                </w:tcPr>
                <w:p w14:paraId="5524B0D4">
                  <w:pPr>
                    <w:pStyle w:val="97"/>
                    <w:rPr>
                      <w:color w:val="auto"/>
                      <w:sz w:val="18"/>
                      <w:szCs w:val="18"/>
                      <w:highlight w:val="none"/>
                    </w:rPr>
                  </w:pPr>
                  <w:r>
                    <w:rPr>
                      <w:color w:val="auto"/>
                      <w:sz w:val="18"/>
                      <w:szCs w:val="18"/>
                      <w:highlight w:val="none"/>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378" w:type="pct"/>
                  <w:tcMar>
                    <w:top w:w="57" w:type="dxa"/>
                    <w:left w:w="108" w:type="dxa"/>
                    <w:bottom w:w="57" w:type="dxa"/>
                    <w:right w:w="108" w:type="dxa"/>
                  </w:tcMar>
                  <w:vAlign w:val="center"/>
                </w:tcPr>
                <w:p w14:paraId="7BA0AA20">
                  <w:pPr>
                    <w:pStyle w:val="97"/>
                    <w:rPr>
                      <w:color w:val="auto"/>
                      <w:sz w:val="18"/>
                      <w:szCs w:val="18"/>
                      <w:highlight w:val="none"/>
                    </w:rPr>
                  </w:pPr>
                  <w:r>
                    <w:rPr>
                      <w:rFonts w:hint="eastAsia"/>
                      <w:color w:val="auto"/>
                      <w:sz w:val="18"/>
                      <w:szCs w:val="18"/>
                      <w:highlight w:val="none"/>
                    </w:rPr>
                    <w:t>企业</w:t>
                  </w:r>
                  <w:r>
                    <w:rPr>
                      <w:color w:val="auto"/>
                      <w:sz w:val="18"/>
                      <w:szCs w:val="18"/>
                      <w:highlight w:val="none"/>
                    </w:rPr>
                    <w:t>按照要求制定突发环境事件应急预案，</w:t>
                  </w:r>
                  <w:r>
                    <w:rPr>
                      <w:rFonts w:hint="eastAsia"/>
                      <w:color w:val="auto"/>
                      <w:sz w:val="18"/>
                      <w:szCs w:val="18"/>
                      <w:highlight w:val="none"/>
                    </w:rPr>
                    <w:t>并</w:t>
                  </w:r>
                  <w:r>
                    <w:rPr>
                      <w:color w:val="auto"/>
                      <w:sz w:val="18"/>
                      <w:szCs w:val="18"/>
                      <w:highlight w:val="none"/>
                    </w:rPr>
                    <w:t>定期</w:t>
                  </w:r>
                  <w:r>
                    <w:rPr>
                      <w:rFonts w:hint="eastAsia"/>
                      <w:color w:val="auto"/>
                      <w:sz w:val="18"/>
                      <w:szCs w:val="18"/>
                      <w:highlight w:val="none"/>
                    </w:rPr>
                    <w:t>组织应急</w:t>
                  </w:r>
                  <w:r>
                    <w:rPr>
                      <w:color w:val="auto"/>
                      <w:sz w:val="18"/>
                      <w:szCs w:val="18"/>
                      <w:highlight w:val="none"/>
                    </w:rPr>
                    <w:t>演练。</w:t>
                  </w:r>
                </w:p>
              </w:tc>
              <w:tc>
                <w:tcPr>
                  <w:tcW w:w="354" w:type="pct"/>
                  <w:tcMar>
                    <w:top w:w="57" w:type="dxa"/>
                    <w:left w:w="108" w:type="dxa"/>
                    <w:bottom w:w="57" w:type="dxa"/>
                    <w:right w:w="108" w:type="dxa"/>
                  </w:tcMar>
                  <w:vAlign w:val="center"/>
                </w:tcPr>
                <w:p w14:paraId="5DAB8A28">
                  <w:pPr>
                    <w:pStyle w:val="97"/>
                    <w:widowControl w:val="0"/>
                    <w:autoSpaceDE w:val="0"/>
                    <w:autoSpaceDN w:val="0"/>
                    <w:rPr>
                      <w:color w:val="auto"/>
                      <w:sz w:val="18"/>
                      <w:szCs w:val="18"/>
                      <w:highlight w:val="none"/>
                    </w:rPr>
                  </w:pPr>
                  <w:r>
                    <w:rPr>
                      <w:color w:val="auto"/>
                      <w:sz w:val="18"/>
                      <w:szCs w:val="18"/>
                      <w:highlight w:val="none"/>
                    </w:rPr>
                    <w:t>符合</w:t>
                  </w:r>
                </w:p>
              </w:tc>
            </w:tr>
            <w:tr w14:paraId="13271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restart"/>
                  <w:tcMar>
                    <w:top w:w="57" w:type="dxa"/>
                    <w:left w:w="108" w:type="dxa"/>
                    <w:bottom w:w="57" w:type="dxa"/>
                    <w:right w:w="108" w:type="dxa"/>
                  </w:tcMar>
                  <w:vAlign w:val="center"/>
                </w:tcPr>
                <w:p w14:paraId="62F3E76D">
                  <w:pPr>
                    <w:pStyle w:val="97"/>
                    <w:rPr>
                      <w:rFonts w:hAnsi="Calibri"/>
                      <w:color w:val="auto"/>
                      <w:sz w:val="18"/>
                      <w:szCs w:val="18"/>
                      <w:highlight w:val="none"/>
                    </w:rPr>
                  </w:pPr>
                  <w:r>
                    <w:rPr>
                      <w:color w:val="auto"/>
                      <w:sz w:val="18"/>
                      <w:szCs w:val="18"/>
                      <w:highlight w:val="none"/>
                    </w:rPr>
                    <w:t>A4</w:t>
                  </w:r>
                </w:p>
                <w:p w14:paraId="42021A96">
                  <w:pPr>
                    <w:pStyle w:val="97"/>
                    <w:rPr>
                      <w:rFonts w:hAnsi="Calibri"/>
                      <w:color w:val="auto"/>
                      <w:sz w:val="18"/>
                      <w:szCs w:val="18"/>
                      <w:highlight w:val="none"/>
                    </w:rPr>
                  </w:pPr>
                  <w:r>
                    <w:rPr>
                      <w:color w:val="auto"/>
                      <w:sz w:val="18"/>
                      <w:szCs w:val="18"/>
                      <w:highlight w:val="none"/>
                    </w:rPr>
                    <w:t>资源</w:t>
                  </w:r>
                </w:p>
                <w:p w14:paraId="65C2CC19">
                  <w:pPr>
                    <w:pStyle w:val="97"/>
                    <w:widowControl w:val="0"/>
                    <w:autoSpaceDE w:val="0"/>
                    <w:autoSpaceDN w:val="0"/>
                    <w:rPr>
                      <w:color w:val="auto"/>
                      <w:sz w:val="18"/>
                      <w:szCs w:val="18"/>
                      <w:highlight w:val="none"/>
                    </w:rPr>
                  </w:pPr>
                  <w:r>
                    <w:rPr>
                      <w:color w:val="auto"/>
                      <w:sz w:val="18"/>
                      <w:szCs w:val="18"/>
                      <w:highlight w:val="none"/>
                    </w:rPr>
                    <w:t>利用要求</w:t>
                  </w:r>
                </w:p>
              </w:tc>
              <w:tc>
                <w:tcPr>
                  <w:tcW w:w="469" w:type="pct"/>
                  <w:tcMar>
                    <w:top w:w="57" w:type="dxa"/>
                    <w:left w:w="108" w:type="dxa"/>
                    <w:bottom w:w="57" w:type="dxa"/>
                    <w:right w:w="108" w:type="dxa"/>
                  </w:tcMar>
                  <w:vAlign w:val="center"/>
                </w:tcPr>
                <w:p w14:paraId="7D1CD297">
                  <w:pPr>
                    <w:pStyle w:val="97"/>
                    <w:rPr>
                      <w:rFonts w:hAnsi="Calibri"/>
                      <w:color w:val="auto"/>
                      <w:sz w:val="18"/>
                      <w:szCs w:val="18"/>
                      <w:highlight w:val="none"/>
                    </w:rPr>
                  </w:pPr>
                  <w:r>
                    <w:rPr>
                      <w:color w:val="auto"/>
                      <w:sz w:val="18"/>
                      <w:szCs w:val="18"/>
                      <w:highlight w:val="none"/>
                    </w:rPr>
                    <w:t>A4.1</w:t>
                  </w:r>
                </w:p>
                <w:p w14:paraId="55C7E031">
                  <w:pPr>
                    <w:pStyle w:val="97"/>
                    <w:rPr>
                      <w:rFonts w:hAnsi="Calibri"/>
                      <w:color w:val="auto"/>
                      <w:sz w:val="18"/>
                      <w:szCs w:val="18"/>
                      <w:highlight w:val="none"/>
                    </w:rPr>
                  </w:pPr>
                  <w:r>
                    <w:rPr>
                      <w:color w:val="auto"/>
                      <w:sz w:val="18"/>
                      <w:szCs w:val="18"/>
                      <w:highlight w:val="none"/>
                    </w:rPr>
                    <w:t>水资</w:t>
                  </w:r>
                </w:p>
                <w:p w14:paraId="6FF0A305">
                  <w:pPr>
                    <w:pStyle w:val="97"/>
                    <w:widowControl w:val="0"/>
                    <w:autoSpaceDE w:val="0"/>
                    <w:autoSpaceDN w:val="0"/>
                    <w:rPr>
                      <w:color w:val="auto"/>
                      <w:sz w:val="18"/>
                      <w:szCs w:val="18"/>
                      <w:highlight w:val="none"/>
                    </w:rPr>
                  </w:pPr>
                  <w:r>
                    <w:rPr>
                      <w:color w:val="auto"/>
                      <w:sz w:val="18"/>
                      <w:szCs w:val="18"/>
                      <w:highlight w:val="none"/>
                    </w:rPr>
                    <w:t>源</w:t>
                  </w:r>
                </w:p>
              </w:tc>
              <w:tc>
                <w:tcPr>
                  <w:tcW w:w="2397" w:type="pct"/>
                  <w:tcMar>
                    <w:top w:w="57" w:type="dxa"/>
                    <w:left w:w="108" w:type="dxa"/>
                    <w:bottom w:w="57" w:type="dxa"/>
                    <w:right w:w="108" w:type="dxa"/>
                  </w:tcMar>
                  <w:vAlign w:val="center"/>
                </w:tcPr>
                <w:p w14:paraId="7DAAF43E">
                  <w:pPr>
                    <w:pStyle w:val="97"/>
                    <w:rPr>
                      <w:color w:val="auto"/>
                      <w:sz w:val="18"/>
                      <w:szCs w:val="18"/>
                      <w:highlight w:val="none"/>
                    </w:rPr>
                  </w:pPr>
                  <w:r>
                    <w:rPr>
                      <w:color w:val="auto"/>
                      <w:sz w:val="18"/>
                      <w:szCs w:val="18"/>
                      <w:highlight w:val="none"/>
                    </w:rPr>
                    <w:t>[A4.1-1]自治区用水总量2025年、2030年控制在国家下达的指标内。[A4.1-4]地下水资源利用实行总量控制和水位控制。取用地下水资源，应当按照国家和自治区有关规定申请取水许可。地下水利用应当以浅层地下水为主。</w:t>
                  </w:r>
                </w:p>
              </w:tc>
              <w:tc>
                <w:tcPr>
                  <w:tcW w:w="1378" w:type="pct"/>
                  <w:tcMar>
                    <w:top w:w="57" w:type="dxa"/>
                    <w:left w:w="108" w:type="dxa"/>
                    <w:bottom w:w="57" w:type="dxa"/>
                    <w:right w:w="108" w:type="dxa"/>
                  </w:tcMar>
                  <w:vAlign w:val="center"/>
                </w:tcPr>
                <w:p w14:paraId="2268F16D">
                  <w:pPr>
                    <w:pStyle w:val="97"/>
                    <w:rPr>
                      <w:color w:val="auto"/>
                      <w:sz w:val="18"/>
                      <w:szCs w:val="18"/>
                      <w:highlight w:val="none"/>
                    </w:rPr>
                  </w:pPr>
                  <w:r>
                    <w:rPr>
                      <w:color w:val="auto"/>
                      <w:sz w:val="18"/>
                      <w:szCs w:val="18"/>
                      <w:highlight w:val="none"/>
                    </w:rPr>
                    <w:t>本项目</w:t>
                  </w:r>
                  <w:r>
                    <w:rPr>
                      <w:rFonts w:hint="eastAsia"/>
                      <w:color w:val="auto"/>
                      <w:sz w:val="18"/>
                      <w:szCs w:val="18"/>
                      <w:highlight w:val="none"/>
                    </w:rPr>
                    <w:t>施工用水采用罐车拉运，不涉及开采地下水</w:t>
                  </w:r>
                  <w:r>
                    <w:rPr>
                      <w:color w:val="auto"/>
                      <w:sz w:val="18"/>
                      <w:szCs w:val="18"/>
                      <w:highlight w:val="none"/>
                    </w:rPr>
                    <w:t>。</w:t>
                  </w:r>
                </w:p>
              </w:tc>
              <w:tc>
                <w:tcPr>
                  <w:tcW w:w="354" w:type="pct"/>
                  <w:tcMar>
                    <w:top w:w="57" w:type="dxa"/>
                    <w:left w:w="108" w:type="dxa"/>
                    <w:bottom w:w="57" w:type="dxa"/>
                    <w:right w:w="108" w:type="dxa"/>
                  </w:tcMar>
                  <w:vAlign w:val="center"/>
                </w:tcPr>
                <w:p w14:paraId="2F02A2AA">
                  <w:pPr>
                    <w:pStyle w:val="97"/>
                    <w:widowControl w:val="0"/>
                    <w:autoSpaceDE w:val="0"/>
                    <w:autoSpaceDN w:val="0"/>
                    <w:rPr>
                      <w:color w:val="auto"/>
                      <w:sz w:val="18"/>
                      <w:szCs w:val="18"/>
                      <w:highlight w:val="none"/>
                    </w:rPr>
                  </w:pPr>
                  <w:r>
                    <w:rPr>
                      <w:color w:val="auto"/>
                      <w:sz w:val="18"/>
                      <w:szCs w:val="18"/>
                      <w:highlight w:val="none"/>
                    </w:rPr>
                    <w:t>符合</w:t>
                  </w:r>
                </w:p>
              </w:tc>
            </w:tr>
            <w:tr w14:paraId="58459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5D0AE66C">
                  <w:pPr>
                    <w:pStyle w:val="97"/>
                    <w:rPr>
                      <w:color w:val="auto"/>
                      <w:sz w:val="18"/>
                      <w:szCs w:val="18"/>
                      <w:highlight w:val="none"/>
                    </w:rPr>
                  </w:pPr>
                </w:p>
              </w:tc>
              <w:tc>
                <w:tcPr>
                  <w:tcW w:w="469" w:type="pct"/>
                  <w:tcMar>
                    <w:top w:w="57" w:type="dxa"/>
                    <w:left w:w="108" w:type="dxa"/>
                    <w:bottom w:w="57" w:type="dxa"/>
                    <w:right w:w="108" w:type="dxa"/>
                  </w:tcMar>
                  <w:vAlign w:val="center"/>
                </w:tcPr>
                <w:p w14:paraId="0636A40A">
                  <w:pPr>
                    <w:pStyle w:val="97"/>
                    <w:rPr>
                      <w:color w:val="auto"/>
                      <w:sz w:val="18"/>
                      <w:szCs w:val="18"/>
                      <w:highlight w:val="none"/>
                    </w:rPr>
                  </w:pPr>
                  <w:r>
                    <w:rPr>
                      <w:color w:val="auto"/>
                      <w:sz w:val="18"/>
                      <w:szCs w:val="18"/>
                      <w:highlight w:val="none"/>
                    </w:rPr>
                    <w:t>A4.2土地资源</w:t>
                  </w:r>
                </w:p>
              </w:tc>
              <w:tc>
                <w:tcPr>
                  <w:tcW w:w="2397" w:type="pct"/>
                  <w:tcMar>
                    <w:top w:w="57" w:type="dxa"/>
                    <w:left w:w="108" w:type="dxa"/>
                    <w:bottom w:w="57" w:type="dxa"/>
                    <w:right w:w="108" w:type="dxa"/>
                  </w:tcMar>
                  <w:vAlign w:val="center"/>
                </w:tcPr>
                <w:p w14:paraId="793FCF33">
                  <w:pPr>
                    <w:pStyle w:val="97"/>
                    <w:rPr>
                      <w:color w:val="auto"/>
                      <w:sz w:val="18"/>
                      <w:szCs w:val="18"/>
                      <w:highlight w:val="none"/>
                    </w:rPr>
                  </w:pPr>
                  <w:r>
                    <w:rPr>
                      <w:color w:val="auto"/>
                      <w:sz w:val="18"/>
                      <w:szCs w:val="18"/>
                      <w:highlight w:val="none"/>
                    </w:rPr>
                    <w:t>[A4.2-1]土地资源上线指标控制在最终批复的国土空间规划控制指标内。</w:t>
                  </w:r>
                </w:p>
              </w:tc>
              <w:tc>
                <w:tcPr>
                  <w:tcW w:w="1378" w:type="pct"/>
                  <w:tcMar>
                    <w:top w:w="57" w:type="dxa"/>
                    <w:left w:w="108" w:type="dxa"/>
                    <w:bottom w:w="57" w:type="dxa"/>
                    <w:right w:w="108" w:type="dxa"/>
                  </w:tcMar>
                  <w:vAlign w:val="center"/>
                </w:tcPr>
                <w:p w14:paraId="1FFCC0E1">
                  <w:pPr>
                    <w:pStyle w:val="97"/>
                    <w:rPr>
                      <w:color w:val="auto"/>
                      <w:sz w:val="18"/>
                      <w:szCs w:val="18"/>
                      <w:highlight w:val="none"/>
                    </w:rPr>
                  </w:pPr>
                  <w:r>
                    <w:rPr>
                      <w:color w:val="auto"/>
                      <w:sz w:val="18"/>
                      <w:szCs w:val="18"/>
                      <w:highlight w:val="none"/>
                    </w:rPr>
                    <w:t>本项目符合</w:t>
                  </w:r>
                  <w:r>
                    <w:rPr>
                      <w:rFonts w:ascii="Segoe UI" w:hAnsi="Segoe UI" w:cs="Segoe UI"/>
                      <w:color w:val="auto"/>
                      <w:sz w:val="18"/>
                      <w:szCs w:val="18"/>
                      <w:highlight w:val="none"/>
                    </w:rPr>
                    <w:t>昌吉回族自治州</w:t>
                  </w:r>
                  <w:r>
                    <w:rPr>
                      <w:color w:val="auto"/>
                      <w:sz w:val="18"/>
                      <w:szCs w:val="18"/>
                      <w:highlight w:val="none"/>
                    </w:rPr>
                    <w:t>国土空间</w:t>
                  </w:r>
                  <w:r>
                    <w:rPr>
                      <w:rFonts w:hint="eastAsia"/>
                      <w:color w:val="auto"/>
                      <w:sz w:val="18"/>
                      <w:szCs w:val="18"/>
                      <w:highlight w:val="none"/>
                    </w:rPr>
                    <w:t>总体</w:t>
                  </w:r>
                  <w:r>
                    <w:rPr>
                      <w:color w:val="auto"/>
                      <w:sz w:val="18"/>
                      <w:szCs w:val="18"/>
                      <w:highlight w:val="none"/>
                    </w:rPr>
                    <w:t>规划。</w:t>
                  </w:r>
                </w:p>
              </w:tc>
              <w:tc>
                <w:tcPr>
                  <w:tcW w:w="354" w:type="pct"/>
                  <w:tcMar>
                    <w:top w:w="57" w:type="dxa"/>
                    <w:left w:w="108" w:type="dxa"/>
                    <w:bottom w:w="57" w:type="dxa"/>
                    <w:right w:w="108" w:type="dxa"/>
                  </w:tcMar>
                  <w:vAlign w:val="center"/>
                </w:tcPr>
                <w:p w14:paraId="3E803A33">
                  <w:pPr>
                    <w:pStyle w:val="97"/>
                    <w:rPr>
                      <w:color w:val="auto"/>
                      <w:sz w:val="18"/>
                      <w:szCs w:val="18"/>
                      <w:highlight w:val="none"/>
                    </w:rPr>
                  </w:pPr>
                  <w:r>
                    <w:rPr>
                      <w:color w:val="auto"/>
                      <w:sz w:val="18"/>
                      <w:szCs w:val="18"/>
                      <w:highlight w:val="none"/>
                    </w:rPr>
                    <w:t>符合</w:t>
                  </w:r>
                </w:p>
              </w:tc>
            </w:tr>
            <w:tr w14:paraId="567F1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0069D032">
                  <w:pPr>
                    <w:pStyle w:val="97"/>
                    <w:rPr>
                      <w:color w:val="auto"/>
                      <w:sz w:val="18"/>
                      <w:szCs w:val="18"/>
                      <w:highlight w:val="none"/>
                    </w:rPr>
                  </w:pPr>
                </w:p>
              </w:tc>
              <w:tc>
                <w:tcPr>
                  <w:tcW w:w="469" w:type="pct"/>
                  <w:vMerge w:val="restart"/>
                  <w:tcMar>
                    <w:top w:w="57" w:type="dxa"/>
                    <w:left w:w="108" w:type="dxa"/>
                    <w:bottom w:w="57" w:type="dxa"/>
                    <w:right w:w="108" w:type="dxa"/>
                  </w:tcMar>
                  <w:vAlign w:val="center"/>
                </w:tcPr>
                <w:p w14:paraId="7664B43A">
                  <w:pPr>
                    <w:pStyle w:val="97"/>
                    <w:rPr>
                      <w:rFonts w:hAnsi="Calibri"/>
                      <w:color w:val="auto"/>
                      <w:sz w:val="18"/>
                      <w:szCs w:val="18"/>
                      <w:highlight w:val="none"/>
                    </w:rPr>
                  </w:pPr>
                  <w:r>
                    <w:rPr>
                      <w:color w:val="auto"/>
                      <w:sz w:val="18"/>
                      <w:szCs w:val="18"/>
                      <w:highlight w:val="none"/>
                    </w:rPr>
                    <w:t>A4.3</w:t>
                  </w:r>
                </w:p>
                <w:p w14:paraId="1062F967">
                  <w:pPr>
                    <w:pStyle w:val="97"/>
                    <w:widowControl w:val="0"/>
                    <w:autoSpaceDE w:val="0"/>
                    <w:autoSpaceDN w:val="0"/>
                    <w:rPr>
                      <w:color w:val="auto"/>
                      <w:sz w:val="18"/>
                      <w:szCs w:val="18"/>
                      <w:highlight w:val="none"/>
                    </w:rPr>
                  </w:pPr>
                  <w:r>
                    <w:rPr>
                      <w:color w:val="auto"/>
                      <w:sz w:val="18"/>
                      <w:szCs w:val="18"/>
                      <w:highlight w:val="none"/>
                    </w:rPr>
                    <w:t>能源</w:t>
                  </w:r>
                </w:p>
                <w:p w14:paraId="4006AEAC">
                  <w:pPr>
                    <w:pStyle w:val="97"/>
                    <w:widowControl w:val="0"/>
                    <w:autoSpaceDE w:val="0"/>
                    <w:autoSpaceDN w:val="0"/>
                    <w:rPr>
                      <w:color w:val="auto"/>
                      <w:sz w:val="18"/>
                      <w:szCs w:val="18"/>
                      <w:highlight w:val="none"/>
                    </w:rPr>
                  </w:pPr>
                  <w:r>
                    <w:rPr>
                      <w:color w:val="auto"/>
                      <w:sz w:val="18"/>
                      <w:szCs w:val="18"/>
                      <w:highlight w:val="none"/>
                    </w:rPr>
                    <w:t>利用</w:t>
                  </w:r>
                </w:p>
              </w:tc>
              <w:tc>
                <w:tcPr>
                  <w:tcW w:w="2397" w:type="pct"/>
                  <w:tcMar>
                    <w:top w:w="57" w:type="dxa"/>
                    <w:left w:w="108" w:type="dxa"/>
                    <w:bottom w:w="57" w:type="dxa"/>
                    <w:right w:w="108" w:type="dxa"/>
                  </w:tcMar>
                  <w:vAlign w:val="center"/>
                </w:tcPr>
                <w:p w14:paraId="5B67D68C">
                  <w:pPr>
                    <w:pStyle w:val="97"/>
                    <w:rPr>
                      <w:color w:val="auto"/>
                      <w:sz w:val="18"/>
                      <w:szCs w:val="18"/>
                      <w:highlight w:val="none"/>
                    </w:rPr>
                  </w:pPr>
                  <w:r>
                    <w:rPr>
                      <w:color w:val="auto"/>
                      <w:sz w:val="18"/>
                      <w:szCs w:val="18"/>
                      <w:highlight w:val="none"/>
                    </w:rPr>
                    <w:t>[A4.3-1]单位地区生产总值二氧化碳排放降低水平完成国家下达指标。</w:t>
                  </w:r>
                </w:p>
                <w:p w14:paraId="399E9F70">
                  <w:pPr>
                    <w:pStyle w:val="97"/>
                    <w:rPr>
                      <w:rFonts w:hAnsi="Calibri"/>
                      <w:color w:val="auto"/>
                      <w:sz w:val="18"/>
                      <w:szCs w:val="18"/>
                      <w:highlight w:val="none"/>
                    </w:rPr>
                  </w:pPr>
                  <w:r>
                    <w:rPr>
                      <w:color w:val="auto"/>
                      <w:sz w:val="18"/>
                      <w:szCs w:val="18"/>
                      <w:highlight w:val="none"/>
                    </w:rPr>
                    <w:t>[A4.3-2]到2025年，自治区万元国内生产总值能耗比2020年下降14.5%。</w:t>
                  </w:r>
                </w:p>
                <w:p w14:paraId="155758B7">
                  <w:pPr>
                    <w:pStyle w:val="97"/>
                    <w:widowControl w:val="0"/>
                    <w:autoSpaceDE w:val="0"/>
                    <w:autoSpaceDN w:val="0"/>
                    <w:rPr>
                      <w:color w:val="auto"/>
                      <w:sz w:val="18"/>
                      <w:szCs w:val="18"/>
                      <w:highlight w:val="none"/>
                    </w:rPr>
                  </w:pPr>
                  <w:r>
                    <w:rPr>
                      <w:color w:val="auto"/>
                      <w:sz w:val="18"/>
                      <w:szCs w:val="18"/>
                      <w:highlight w:val="none"/>
                    </w:rPr>
                    <w:t>[A4.3-3]到2025年，非化石能源占一次能源消费比重达18%以上。</w:t>
                  </w:r>
                </w:p>
              </w:tc>
              <w:tc>
                <w:tcPr>
                  <w:tcW w:w="1378" w:type="pct"/>
                  <w:tcMar>
                    <w:top w:w="57" w:type="dxa"/>
                    <w:left w:w="108" w:type="dxa"/>
                    <w:bottom w:w="57" w:type="dxa"/>
                    <w:right w:w="108" w:type="dxa"/>
                  </w:tcMar>
                  <w:vAlign w:val="center"/>
                </w:tcPr>
                <w:p w14:paraId="52F333D4">
                  <w:pPr>
                    <w:pStyle w:val="97"/>
                    <w:widowControl w:val="0"/>
                    <w:autoSpaceDE w:val="0"/>
                    <w:autoSpaceDN w:val="0"/>
                    <w:rPr>
                      <w:color w:val="auto"/>
                      <w:sz w:val="18"/>
                      <w:szCs w:val="18"/>
                      <w:highlight w:val="none"/>
                    </w:rPr>
                  </w:pPr>
                  <w:r>
                    <w:rPr>
                      <w:color w:val="auto"/>
                      <w:sz w:val="18"/>
                      <w:szCs w:val="18"/>
                      <w:highlight w:val="none"/>
                    </w:rPr>
                    <w:t>本项目</w:t>
                  </w:r>
                  <w:r>
                    <w:rPr>
                      <w:rFonts w:hint="eastAsia"/>
                      <w:color w:val="auto"/>
                      <w:sz w:val="18"/>
                      <w:szCs w:val="18"/>
                      <w:highlight w:val="none"/>
                    </w:rPr>
                    <w:t>采用先进生产设备，降低能源消耗</w:t>
                  </w:r>
                  <w:r>
                    <w:rPr>
                      <w:color w:val="auto"/>
                      <w:sz w:val="18"/>
                      <w:szCs w:val="18"/>
                      <w:highlight w:val="none"/>
                    </w:rPr>
                    <w:t>。</w:t>
                  </w:r>
                </w:p>
              </w:tc>
              <w:tc>
                <w:tcPr>
                  <w:tcW w:w="354" w:type="pct"/>
                  <w:tcMar>
                    <w:top w:w="57" w:type="dxa"/>
                    <w:left w:w="108" w:type="dxa"/>
                    <w:bottom w:w="57" w:type="dxa"/>
                    <w:right w:w="108" w:type="dxa"/>
                  </w:tcMar>
                  <w:vAlign w:val="center"/>
                </w:tcPr>
                <w:p w14:paraId="57183391">
                  <w:pPr>
                    <w:pStyle w:val="97"/>
                    <w:rPr>
                      <w:color w:val="auto"/>
                      <w:sz w:val="18"/>
                      <w:szCs w:val="18"/>
                      <w:highlight w:val="none"/>
                    </w:rPr>
                  </w:pPr>
                  <w:r>
                    <w:rPr>
                      <w:color w:val="auto"/>
                      <w:sz w:val="18"/>
                      <w:szCs w:val="18"/>
                      <w:highlight w:val="none"/>
                    </w:rPr>
                    <w:t>符合</w:t>
                  </w:r>
                </w:p>
              </w:tc>
            </w:tr>
            <w:tr w14:paraId="1B4E7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6577A6D0">
                  <w:pPr>
                    <w:pStyle w:val="97"/>
                    <w:rPr>
                      <w:color w:val="auto"/>
                      <w:sz w:val="18"/>
                      <w:szCs w:val="18"/>
                      <w:highlight w:val="none"/>
                    </w:rPr>
                  </w:pPr>
                </w:p>
              </w:tc>
              <w:tc>
                <w:tcPr>
                  <w:tcW w:w="469" w:type="pct"/>
                  <w:vMerge w:val="continue"/>
                  <w:tcMar>
                    <w:top w:w="57" w:type="dxa"/>
                    <w:left w:w="108" w:type="dxa"/>
                    <w:bottom w:w="57" w:type="dxa"/>
                    <w:right w:w="108" w:type="dxa"/>
                  </w:tcMar>
                  <w:vAlign w:val="center"/>
                </w:tcPr>
                <w:p w14:paraId="3A4765FC">
                  <w:pPr>
                    <w:pStyle w:val="97"/>
                    <w:rPr>
                      <w:color w:val="auto"/>
                      <w:sz w:val="18"/>
                      <w:szCs w:val="18"/>
                      <w:highlight w:val="none"/>
                    </w:rPr>
                  </w:pPr>
                </w:p>
              </w:tc>
              <w:tc>
                <w:tcPr>
                  <w:tcW w:w="2397" w:type="pct"/>
                  <w:tcMar>
                    <w:top w:w="57" w:type="dxa"/>
                    <w:left w:w="108" w:type="dxa"/>
                    <w:bottom w:w="57" w:type="dxa"/>
                    <w:right w:w="108" w:type="dxa"/>
                  </w:tcMar>
                  <w:vAlign w:val="center"/>
                </w:tcPr>
                <w:p w14:paraId="60204804">
                  <w:pPr>
                    <w:pStyle w:val="97"/>
                    <w:rPr>
                      <w:color w:val="auto"/>
                      <w:sz w:val="18"/>
                      <w:szCs w:val="18"/>
                      <w:highlight w:val="none"/>
                    </w:rPr>
                  </w:pPr>
                  <w:r>
                    <w:rPr>
                      <w:color w:val="auto"/>
                      <w:sz w:val="18"/>
                      <w:szCs w:val="18"/>
                      <w:highlight w:val="none"/>
                    </w:rPr>
                    <w:t>[A4.3-4]鼓励使用清洁能源或电厂热力、工业余热等替代锅炉、炉窑燃料用煤。[A4.3-5]以碳达峰碳中和工作为引领，着力提高能源资源利用效率。引导重点行业深入实施清洁生产改造，钢铁、建材、石油化工等重点行业以及其他行业重点用能单位持续开展节能降耗。[A4.3-6]深入推进碳达峰碳中和行动。推动能源清洁低碳转型，加强能耗“双控”管理，优化能源消费结构。新增原料用能不纳入能源消费总量控制。持续推进散煤整治。</w:t>
                  </w:r>
                </w:p>
              </w:tc>
              <w:tc>
                <w:tcPr>
                  <w:tcW w:w="1378" w:type="pct"/>
                  <w:tcMar>
                    <w:top w:w="57" w:type="dxa"/>
                    <w:left w:w="108" w:type="dxa"/>
                    <w:bottom w:w="57" w:type="dxa"/>
                    <w:right w:w="108" w:type="dxa"/>
                  </w:tcMar>
                  <w:vAlign w:val="center"/>
                </w:tcPr>
                <w:p w14:paraId="5177A8A1">
                  <w:pPr>
                    <w:pStyle w:val="97"/>
                    <w:rPr>
                      <w:color w:val="auto"/>
                      <w:sz w:val="18"/>
                      <w:szCs w:val="18"/>
                      <w:highlight w:val="none"/>
                    </w:rPr>
                  </w:pPr>
                  <w:r>
                    <w:rPr>
                      <w:color w:val="auto"/>
                      <w:sz w:val="18"/>
                      <w:szCs w:val="18"/>
                      <w:highlight w:val="none"/>
                    </w:rPr>
                    <w:t>本项目</w:t>
                  </w:r>
                  <w:r>
                    <w:rPr>
                      <w:rFonts w:hint="eastAsia"/>
                      <w:color w:val="auto"/>
                      <w:sz w:val="18"/>
                      <w:szCs w:val="18"/>
                      <w:highlight w:val="none"/>
                    </w:rPr>
                    <w:t>施工过程中在</w:t>
                  </w:r>
                  <w:r>
                    <w:rPr>
                      <w:rFonts w:hint="eastAsia" w:hAnsi="宋体"/>
                      <w:snapToGrid w:val="0"/>
                      <w:color w:val="auto"/>
                      <w:sz w:val="18"/>
                      <w:szCs w:val="18"/>
                      <w:highlight w:val="none"/>
                    </w:rPr>
                    <w:t>井场外新建</w:t>
                  </w:r>
                  <w:r>
                    <w:rPr>
                      <w:rFonts w:hAnsi="宋体"/>
                      <w:snapToGrid w:val="0"/>
                      <w:color w:val="auto"/>
                      <w:sz w:val="18"/>
                      <w:szCs w:val="18"/>
                      <w:highlight w:val="none"/>
                    </w:rPr>
                    <w:t>2</w:t>
                  </w:r>
                  <w:r>
                    <w:rPr>
                      <w:rFonts w:hint="eastAsia" w:hAnsi="宋体"/>
                      <w:snapToGrid w:val="0"/>
                      <w:color w:val="auto"/>
                      <w:sz w:val="18"/>
                      <w:szCs w:val="18"/>
                      <w:highlight w:val="none"/>
                    </w:rPr>
                    <w:t>座</w:t>
                  </w:r>
                  <w:r>
                    <w:rPr>
                      <w:rFonts w:hAnsi="宋体"/>
                      <w:snapToGrid w:val="0"/>
                      <w:color w:val="auto"/>
                      <w:sz w:val="18"/>
                      <w:szCs w:val="18"/>
                      <w:highlight w:val="none"/>
                    </w:rPr>
                    <w:t>放喷池</w:t>
                  </w:r>
                  <w:r>
                    <w:rPr>
                      <w:rFonts w:hint="eastAsia" w:hAnsi="宋体"/>
                      <w:snapToGrid w:val="0"/>
                      <w:color w:val="auto"/>
                      <w:sz w:val="18"/>
                      <w:szCs w:val="18"/>
                      <w:highlight w:val="none"/>
                    </w:rPr>
                    <w:t>，伴生气经过液气分离后通过放喷池点火排放</w:t>
                  </w:r>
                  <w:r>
                    <w:rPr>
                      <w:color w:val="auto"/>
                      <w:sz w:val="18"/>
                      <w:szCs w:val="18"/>
                      <w:highlight w:val="none"/>
                    </w:rPr>
                    <w:t>。</w:t>
                  </w:r>
                  <w:r>
                    <w:rPr>
                      <w:rFonts w:hint="eastAsia"/>
                      <w:color w:val="auto"/>
                      <w:sz w:val="18"/>
                      <w:szCs w:val="18"/>
                      <w:highlight w:val="none"/>
                    </w:rPr>
                    <w:t>可有效减少温室气体的排放。</w:t>
                  </w:r>
                </w:p>
              </w:tc>
              <w:tc>
                <w:tcPr>
                  <w:tcW w:w="354" w:type="pct"/>
                  <w:tcMar>
                    <w:top w:w="57" w:type="dxa"/>
                    <w:left w:w="108" w:type="dxa"/>
                    <w:bottom w:w="57" w:type="dxa"/>
                    <w:right w:w="108" w:type="dxa"/>
                  </w:tcMar>
                  <w:vAlign w:val="center"/>
                </w:tcPr>
                <w:p w14:paraId="768D06E5">
                  <w:pPr>
                    <w:pStyle w:val="97"/>
                    <w:rPr>
                      <w:color w:val="auto"/>
                      <w:sz w:val="18"/>
                      <w:szCs w:val="18"/>
                      <w:highlight w:val="none"/>
                    </w:rPr>
                  </w:pPr>
                  <w:r>
                    <w:rPr>
                      <w:color w:val="auto"/>
                      <w:sz w:val="18"/>
                      <w:szCs w:val="18"/>
                      <w:highlight w:val="none"/>
                    </w:rPr>
                    <w:t>符合</w:t>
                  </w:r>
                </w:p>
              </w:tc>
            </w:tr>
            <w:tr w14:paraId="022F3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401" w:type="pct"/>
                  <w:vMerge w:val="continue"/>
                  <w:tcMar>
                    <w:top w:w="57" w:type="dxa"/>
                    <w:left w:w="108" w:type="dxa"/>
                    <w:bottom w:w="57" w:type="dxa"/>
                    <w:right w:w="108" w:type="dxa"/>
                  </w:tcMar>
                  <w:vAlign w:val="center"/>
                </w:tcPr>
                <w:p w14:paraId="2CB6A03C">
                  <w:pPr>
                    <w:pStyle w:val="97"/>
                    <w:rPr>
                      <w:color w:val="auto"/>
                      <w:sz w:val="18"/>
                      <w:szCs w:val="18"/>
                      <w:highlight w:val="none"/>
                    </w:rPr>
                  </w:pPr>
                </w:p>
              </w:tc>
              <w:tc>
                <w:tcPr>
                  <w:tcW w:w="469" w:type="pct"/>
                  <w:tcMar>
                    <w:top w:w="57" w:type="dxa"/>
                    <w:left w:w="108" w:type="dxa"/>
                    <w:bottom w:w="57" w:type="dxa"/>
                    <w:right w:w="108" w:type="dxa"/>
                  </w:tcMar>
                  <w:vAlign w:val="center"/>
                </w:tcPr>
                <w:p w14:paraId="752DE37A">
                  <w:pPr>
                    <w:pStyle w:val="97"/>
                    <w:rPr>
                      <w:color w:val="auto"/>
                      <w:sz w:val="18"/>
                      <w:szCs w:val="18"/>
                      <w:highlight w:val="none"/>
                    </w:rPr>
                  </w:pPr>
                  <w:r>
                    <w:rPr>
                      <w:color w:val="auto"/>
                      <w:sz w:val="18"/>
                      <w:szCs w:val="18"/>
                      <w:highlight w:val="none"/>
                    </w:rPr>
                    <w:t>A4.5</w:t>
                  </w:r>
                </w:p>
                <w:p w14:paraId="7C7CBCAC">
                  <w:pPr>
                    <w:pStyle w:val="97"/>
                    <w:rPr>
                      <w:color w:val="auto"/>
                      <w:sz w:val="18"/>
                      <w:szCs w:val="18"/>
                      <w:highlight w:val="none"/>
                    </w:rPr>
                  </w:pPr>
                  <w:r>
                    <w:rPr>
                      <w:color w:val="auto"/>
                      <w:sz w:val="18"/>
                      <w:szCs w:val="18"/>
                      <w:highlight w:val="none"/>
                    </w:rPr>
                    <w:t>资源</w:t>
                  </w:r>
                </w:p>
                <w:p w14:paraId="585F0E57">
                  <w:pPr>
                    <w:pStyle w:val="97"/>
                    <w:rPr>
                      <w:color w:val="auto"/>
                      <w:sz w:val="18"/>
                      <w:szCs w:val="18"/>
                      <w:highlight w:val="none"/>
                    </w:rPr>
                  </w:pPr>
                  <w:r>
                    <w:rPr>
                      <w:color w:val="auto"/>
                      <w:sz w:val="18"/>
                      <w:szCs w:val="18"/>
                      <w:highlight w:val="none"/>
                    </w:rPr>
                    <w:t>综合</w:t>
                  </w:r>
                </w:p>
                <w:p w14:paraId="51B6032F">
                  <w:pPr>
                    <w:pStyle w:val="97"/>
                    <w:rPr>
                      <w:color w:val="auto"/>
                      <w:sz w:val="18"/>
                      <w:szCs w:val="18"/>
                      <w:highlight w:val="none"/>
                    </w:rPr>
                  </w:pPr>
                  <w:r>
                    <w:rPr>
                      <w:color w:val="auto"/>
                      <w:sz w:val="18"/>
                      <w:szCs w:val="18"/>
                      <w:highlight w:val="none"/>
                    </w:rPr>
                    <w:t>利用</w:t>
                  </w:r>
                </w:p>
              </w:tc>
              <w:tc>
                <w:tcPr>
                  <w:tcW w:w="2397" w:type="pct"/>
                  <w:tcMar>
                    <w:top w:w="57" w:type="dxa"/>
                    <w:left w:w="108" w:type="dxa"/>
                    <w:bottom w:w="57" w:type="dxa"/>
                    <w:right w:w="108" w:type="dxa"/>
                  </w:tcMar>
                  <w:vAlign w:val="center"/>
                </w:tcPr>
                <w:p w14:paraId="4EA50B46">
                  <w:pPr>
                    <w:pStyle w:val="97"/>
                    <w:rPr>
                      <w:color w:val="auto"/>
                      <w:sz w:val="18"/>
                      <w:szCs w:val="18"/>
                      <w:highlight w:val="none"/>
                    </w:rPr>
                  </w:pPr>
                  <w:r>
                    <w:rPr>
                      <w:color w:val="auto"/>
                      <w:sz w:val="18"/>
                      <w:szCs w:val="18"/>
                      <w:highlight w:val="none"/>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w:t>
                  </w:r>
                </w:p>
              </w:tc>
              <w:tc>
                <w:tcPr>
                  <w:tcW w:w="1378" w:type="pct"/>
                  <w:tcMar>
                    <w:top w:w="57" w:type="dxa"/>
                    <w:left w:w="108" w:type="dxa"/>
                    <w:bottom w:w="57" w:type="dxa"/>
                    <w:right w:w="108" w:type="dxa"/>
                  </w:tcMar>
                  <w:vAlign w:val="center"/>
                </w:tcPr>
                <w:p w14:paraId="2CAE572B">
                  <w:pPr>
                    <w:pStyle w:val="97"/>
                    <w:rPr>
                      <w:color w:val="auto"/>
                      <w:sz w:val="18"/>
                      <w:szCs w:val="18"/>
                      <w:highlight w:val="none"/>
                    </w:rPr>
                  </w:pPr>
                  <w:r>
                    <w:rPr>
                      <w:color w:val="auto"/>
                      <w:sz w:val="18"/>
                      <w:szCs w:val="18"/>
                      <w:highlight w:val="none"/>
                    </w:rPr>
                    <w:t>本项目各项固体废物均能得到合理处置，符合固体废物源头减量、资源化利用和无害化处置的要求。</w:t>
                  </w:r>
                </w:p>
              </w:tc>
              <w:tc>
                <w:tcPr>
                  <w:tcW w:w="354" w:type="pct"/>
                  <w:tcMar>
                    <w:top w:w="57" w:type="dxa"/>
                    <w:left w:w="108" w:type="dxa"/>
                    <w:bottom w:w="57" w:type="dxa"/>
                    <w:right w:w="108" w:type="dxa"/>
                  </w:tcMar>
                  <w:vAlign w:val="center"/>
                </w:tcPr>
                <w:p w14:paraId="3752E530">
                  <w:pPr>
                    <w:pStyle w:val="97"/>
                    <w:rPr>
                      <w:color w:val="auto"/>
                      <w:sz w:val="18"/>
                      <w:szCs w:val="18"/>
                      <w:highlight w:val="none"/>
                    </w:rPr>
                  </w:pPr>
                  <w:r>
                    <w:rPr>
                      <w:color w:val="auto"/>
                      <w:sz w:val="18"/>
                      <w:szCs w:val="18"/>
                      <w:highlight w:val="none"/>
                    </w:rPr>
                    <w:t>符合</w:t>
                  </w:r>
                </w:p>
              </w:tc>
            </w:tr>
          </w:tbl>
          <w:p w14:paraId="676D9561">
            <w:pPr>
              <w:pStyle w:val="3"/>
              <w:ind w:firstLine="420"/>
              <w:rPr>
                <w:color w:val="auto"/>
                <w:sz w:val="21"/>
                <w:highlight w:val="none"/>
              </w:rPr>
            </w:pPr>
          </w:p>
          <w:p w14:paraId="72089875">
            <w:pPr>
              <w:pStyle w:val="3"/>
              <w:numPr>
                <w:ilvl w:val="0"/>
                <w:numId w:val="9"/>
              </w:numPr>
              <w:ind w:firstLine="420"/>
              <w:rPr>
                <w:color w:val="auto"/>
                <w:sz w:val="21"/>
                <w:highlight w:val="none"/>
              </w:rPr>
            </w:pPr>
            <w:r>
              <w:rPr>
                <w:rFonts w:hint="eastAsia"/>
                <w:color w:val="auto"/>
                <w:sz w:val="21"/>
                <w:highlight w:val="none"/>
              </w:rPr>
              <w:t>与昌吉回族自治州管控要求符合性分析</w:t>
            </w:r>
          </w:p>
          <w:p w14:paraId="4ECDB8C3">
            <w:pPr>
              <w:pStyle w:val="3"/>
              <w:ind w:firstLine="420"/>
              <w:rPr>
                <w:color w:val="auto"/>
                <w:sz w:val="21"/>
                <w:highlight w:val="none"/>
              </w:rPr>
            </w:pPr>
            <w:r>
              <w:rPr>
                <w:rFonts w:hint="eastAsia"/>
                <w:color w:val="auto"/>
                <w:sz w:val="21"/>
                <w:highlight w:val="none"/>
              </w:rPr>
              <w:t>根据《关于发布昌吉回族自治州生态环境分区管控动态更新成果的公告》（昌吉州人民政府，2025年1月10日），本项目与昌吉州总体管控要求相符性分析详见</w:t>
            </w:r>
            <w:r>
              <w:rPr>
                <w:color w:val="auto"/>
                <w:highlight w:val="none"/>
              </w:rPr>
              <w:fldChar w:fldCharType="begin"/>
            </w:r>
            <w:r>
              <w:rPr>
                <w:color w:val="auto"/>
              </w:rPr>
              <w:instrText xml:space="preserve"> REF _Ref1594031660 \h  \* MERGEFORMAT</w:instrText>
            </w:r>
            <w:r>
              <w:rPr>
                <w:color w:val="auto"/>
                <w:highlight w:val="none"/>
              </w:rPr>
              <w:fldChar w:fldCharType="separate"/>
            </w:r>
            <w:r>
              <w:rPr>
                <w:color w:val="auto"/>
                <w:sz w:val="21"/>
                <w:highlight w:val="none"/>
              </w:rPr>
              <w:t>表5</w:t>
            </w:r>
            <w:r>
              <w:rPr>
                <w:color w:val="auto"/>
                <w:highlight w:val="none"/>
              </w:rPr>
              <w:fldChar w:fldCharType="end"/>
            </w:r>
            <w:r>
              <w:rPr>
                <w:rFonts w:hint="eastAsia"/>
                <w:color w:val="auto"/>
                <w:sz w:val="21"/>
                <w:highlight w:val="none"/>
              </w:rPr>
              <w:t>。</w:t>
            </w:r>
          </w:p>
          <w:p w14:paraId="438C8373">
            <w:pPr>
              <w:pStyle w:val="13"/>
              <w:bidi w:val="0"/>
              <w:rPr>
                <w:color w:val="auto"/>
                <w:highlight w:val="none"/>
              </w:rPr>
            </w:pPr>
            <w:bookmarkStart w:id="5" w:name="_Ref1594031660"/>
            <w:r>
              <w:rPr>
                <w:color w:val="auto"/>
                <w:highlight w:val="none"/>
              </w:rPr>
              <w:t>表</w:t>
            </w:r>
            <w:r>
              <w:rPr>
                <w:color w:val="auto"/>
                <w:highlight w:val="none"/>
              </w:rPr>
              <w:fldChar w:fldCharType="begin"/>
            </w:r>
            <w:r>
              <w:rPr>
                <w:color w:val="auto"/>
                <w:highlight w:val="none"/>
              </w:rPr>
              <w:instrText xml:space="preserve"> SEQ 表 \*ARABIC </w:instrText>
            </w:r>
            <w:r>
              <w:rPr>
                <w:color w:val="auto"/>
                <w:highlight w:val="none"/>
              </w:rPr>
              <w:fldChar w:fldCharType="separate"/>
            </w:r>
            <w:r>
              <w:rPr>
                <w:color w:val="auto"/>
                <w:highlight w:val="none"/>
              </w:rPr>
              <w:t>5</w:t>
            </w:r>
            <w:r>
              <w:rPr>
                <w:color w:val="auto"/>
                <w:highlight w:val="none"/>
              </w:rPr>
              <w:fldChar w:fldCharType="end"/>
            </w:r>
            <w:bookmarkEnd w:id="5"/>
            <w:r>
              <w:rPr>
                <w:color w:val="auto"/>
                <w:highlight w:val="none"/>
              </w:rPr>
              <w:t xml:space="preserve">  </w:t>
            </w:r>
            <w:r>
              <w:rPr>
                <w:rFonts w:hint="eastAsia"/>
                <w:color w:val="auto"/>
                <w:highlight w:val="none"/>
              </w:rPr>
              <w:t>与昌吉回族自治州生态环境总体准入清单符合性分析</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494"/>
              <w:gridCol w:w="629"/>
              <w:gridCol w:w="3316"/>
              <w:gridCol w:w="1675"/>
              <w:gridCol w:w="712"/>
            </w:tblGrid>
            <w:tr w14:paraId="7B31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Mar>
                    <w:top w:w="57" w:type="dxa"/>
                    <w:left w:w="108" w:type="dxa"/>
                    <w:bottom w:w="57" w:type="dxa"/>
                    <w:right w:w="108" w:type="dxa"/>
                  </w:tcMar>
                  <w:vAlign w:val="center"/>
                </w:tcPr>
                <w:p w14:paraId="009B9B89">
                  <w:pPr>
                    <w:pStyle w:val="3"/>
                    <w:spacing w:line="240" w:lineRule="auto"/>
                    <w:ind w:firstLine="0" w:firstLineChars="0"/>
                    <w:jc w:val="center"/>
                    <w:rPr>
                      <w:color w:val="auto"/>
                      <w:sz w:val="18"/>
                      <w:szCs w:val="18"/>
                      <w:highlight w:val="none"/>
                    </w:rPr>
                  </w:pPr>
                  <w:r>
                    <w:rPr>
                      <w:rFonts w:hint="eastAsia"/>
                      <w:color w:val="auto"/>
                      <w:sz w:val="18"/>
                      <w:szCs w:val="18"/>
                      <w:highlight w:val="none"/>
                    </w:rPr>
                    <w:t>地区准入清单</w:t>
                  </w:r>
                </w:p>
              </w:tc>
              <w:tc>
                <w:tcPr>
                  <w:tcW w:w="1123" w:type="dxa"/>
                  <w:gridSpan w:val="2"/>
                  <w:tcMar>
                    <w:top w:w="57" w:type="dxa"/>
                    <w:left w:w="108" w:type="dxa"/>
                    <w:bottom w:w="57" w:type="dxa"/>
                    <w:right w:w="108" w:type="dxa"/>
                  </w:tcMar>
                  <w:vAlign w:val="center"/>
                </w:tcPr>
                <w:p w14:paraId="6CAA988E">
                  <w:pPr>
                    <w:pStyle w:val="3"/>
                    <w:spacing w:line="240" w:lineRule="auto"/>
                    <w:ind w:firstLine="0" w:firstLineChars="0"/>
                    <w:jc w:val="center"/>
                    <w:rPr>
                      <w:color w:val="auto"/>
                      <w:sz w:val="18"/>
                      <w:szCs w:val="18"/>
                      <w:highlight w:val="none"/>
                    </w:rPr>
                  </w:pPr>
                  <w:r>
                    <w:rPr>
                      <w:rFonts w:hint="eastAsia"/>
                      <w:color w:val="auto"/>
                      <w:sz w:val="18"/>
                      <w:szCs w:val="18"/>
                      <w:highlight w:val="none"/>
                    </w:rPr>
                    <w:t>管控类别</w:t>
                  </w:r>
                </w:p>
              </w:tc>
              <w:tc>
                <w:tcPr>
                  <w:tcW w:w="3316" w:type="dxa"/>
                  <w:tcMar>
                    <w:top w:w="57" w:type="dxa"/>
                    <w:left w:w="108" w:type="dxa"/>
                    <w:bottom w:w="57" w:type="dxa"/>
                    <w:right w:w="108" w:type="dxa"/>
                  </w:tcMar>
                  <w:vAlign w:val="center"/>
                </w:tcPr>
                <w:p w14:paraId="67AB6BDB">
                  <w:pPr>
                    <w:pStyle w:val="3"/>
                    <w:spacing w:line="240" w:lineRule="auto"/>
                    <w:ind w:firstLine="0" w:firstLineChars="0"/>
                    <w:jc w:val="center"/>
                    <w:rPr>
                      <w:color w:val="auto"/>
                      <w:sz w:val="18"/>
                      <w:szCs w:val="18"/>
                      <w:highlight w:val="none"/>
                    </w:rPr>
                  </w:pPr>
                  <w:r>
                    <w:rPr>
                      <w:rFonts w:hint="eastAsia"/>
                      <w:color w:val="auto"/>
                      <w:sz w:val="18"/>
                      <w:szCs w:val="18"/>
                      <w:highlight w:val="none"/>
                    </w:rPr>
                    <w:t>总体管控要求</w:t>
                  </w:r>
                </w:p>
              </w:tc>
              <w:tc>
                <w:tcPr>
                  <w:tcW w:w="1675" w:type="dxa"/>
                  <w:tcMar>
                    <w:top w:w="57" w:type="dxa"/>
                    <w:left w:w="108" w:type="dxa"/>
                    <w:bottom w:w="57" w:type="dxa"/>
                    <w:right w:w="108" w:type="dxa"/>
                  </w:tcMar>
                  <w:vAlign w:val="center"/>
                </w:tcPr>
                <w:p w14:paraId="3655A812">
                  <w:pPr>
                    <w:pStyle w:val="3"/>
                    <w:spacing w:line="240" w:lineRule="auto"/>
                    <w:ind w:firstLine="0" w:firstLineChars="0"/>
                    <w:jc w:val="center"/>
                    <w:rPr>
                      <w:color w:val="auto"/>
                      <w:sz w:val="18"/>
                      <w:szCs w:val="18"/>
                      <w:highlight w:val="none"/>
                    </w:rPr>
                  </w:pPr>
                  <w:r>
                    <w:rPr>
                      <w:rFonts w:hint="eastAsia"/>
                      <w:color w:val="auto"/>
                      <w:sz w:val="18"/>
                      <w:szCs w:val="18"/>
                      <w:highlight w:val="none"/>
                    </w:rPr>
                    <w:t>项目情况</w:t>
                  </w:r>
                </w:p>
              </w:tc>
              <w:tc>
                <w:tcPr>
                  <w:tcW w:w="712" w:type="dxa"/>
                  <w:tcMar>
                    <w:top w:w="57" w:type="dxa"/>
                    <w:left w:w="108" w:type="dxa"/>
                    <w:bottom w:w="57" w:type="dxa"/>
                    <w:right w:w="108" w:type="dxa"/>
                  </w:tcMar>
                  <w:vAlign w:val="center"/>
                </w:tcPr>
                <w:p w14:paraId="0F1D8984">
                  <w:pPr>
                    <w:pStyle w:val="3"/>
                    <w:spacing w:line="240" w:lineRule="auto"/>
                    <w:ind w:firstLine="0" w:firstLineChars="0"/>
                    <w:jc w:val="center"/>
                    <w:rPr>
                      <w:color w:val="auto"/>
                      <w:sz w:val="18"/>
                      <w:szCs w:val="18"/>
                      <w:highlight w:val="none"/>
                    </w:rPr>
                  </w:pPr>
                  <w:r>
                    <w:rPr>
                      <w:rFonts w:hint="eastAsia"/>
                      <w:color w:val="auto"/>
                      <w:sz w:val="18"/>
                      <w:szCs w:val="18"/>
                      <w:highlight w:val="none"/>
                    </w:rPr>
                    <w:t>符合性</w:t>
                  </w:r>
                </w:p>
              </w:tc>
            </w:tr>
            <w:tr w14:paraId="1561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restart"/>
                  <w:tcMar>
                    <w:top w:w="57" w:type="dxa"/>
                    <w:left w:w="108" w:type="dxa"/>
                    <w:bottom w:w="57" w:type="dxa"/>
                    <w:right w:w="108" w:type="dxa"/>
                  </w:tcMar>
                  <w:vAlign w:val="center"/>
                </w:tcPr>
                <w:p w14:paraId="2E16AFE4">
                  <w:pPr>
                    <w:pStyle w:val="3"/>
                    <w:spacing w:line="240" w:lineRule="auto"/>
                    <w:ind w:firstLine="0" w:firstLineChars="0"/>
                    <w:jc w:val="center"/>
                    <w:rPr>
                      <w:color w:val="auto"/>
                      <w:sz w:val="18"/>
                      <w:szCs w:val="18"/>
                      <w:highlight w:val="none"/>
                    </w:rPr>
                  </w:pPr>
                  <w:r>
                    <w:rPr>
                      <w:rFonts w:hint="eastAsia"/>
                      <w:color w:val="auto"/>
                      <w:sz w:val="18"/>
                      <w:szCs w:val="18"/>
                      <w:highlight w:val="none"/>
                    </w:rPr>
                    <w:t>昌吉回族自治</w:t>
                  </w:r>
                </w:p>
                <w:p w14:paraId="37667C18">
                  <w:pPr>
                    <w:pStyle w:val="3"/>
                    <w:spacing w:line="240" w:lineRule="auto"/>
                    <w:ind w:firstLine="0" w:firstLineChars="0"/>
                    <w:jc w:val="center"/>
                    <w:rPr>
                      <w:color w:val="auto"/>
                      <w:sz w:val="18"/>
                      <w:szCs w:val="18"/>
                      <w:highlight w:val="none"/>
                    </w:rPr>
                  </w:pPr>
                  <w:r>
                    <w:rPr>
                      <w:rFonts w:hint="eastAsia"/>
                      <w:color w:val="auto"/>
                      <w:sz w:val="18"/>
                      <w:szCs w:val="18"/>
                      <w:highlight w:val="none"/>
                    </w:rPr>
                    <w:t>州生态环境总体准入清单</w:t>
                  </w:r>
                </w:p>
              </w:tc>
              <w:tc>
                <w:tcPr>
                  <w:tcW w:w="494" w:type="dxa"/>
                  <w:vMerge w:val="restart"/>
                  <w:tcMar>
                    <w:top w:w="57" w:type="dxa"/>
                    <w:left w:w="108" w:type="dxa"/>
                    <w:bottom w:w="57" w:type="dxa"/>
                    <w:right w:w="108" w:type="dxa"/>
                  </w:tcMar>
                  <w:vAlign w:val="center"/>
                </w:tcPr>
                <w:p w14:paraId="71B37C62">
                  <w:pPr>
                    <w:pStyle w:val="3"/>
                    <w:spacing w:line="240" w:lineRule="auto"/>
                    <w:ind w:firstLine="0" w:firstLineChars="0"/>
                    <w:jc w:val="center"/>
                    <w:rPr>
                      <w:color w:val="auto"/>
                      <w:sz w:val="18"/>
                      <w:szCs w:val="18"/>
                      <w:highlight w:val="none"/>
                    </w:rPr>
                  </w:pPr>
                  <w:r>
                    <w:rPr>
                      <w:rFonts w:hint="eastAsia"/>
                      <w:color w:val="auto"/>
                      <w:sz w:val="18"/>
                      <w:szCs w:val="18"/>
                      <w:highlight w:val="none"/>
                    </w:rPr>
                    <w:t>空间布局约束</w:t>
                  </w:r>
                </w:p>
              </w:tc>
              <w:tc>
                <w:tcPr>
                  <w:tcW w:w="629" w:type="dxa"/>
                  <w:vMerge w:val="restart"/>
                  <w:tcMar>
                    <w:top w:w="57" w:type="dxa"/>
                    <w:left w:w="108" w:type="dxa"/>
                    <w:bottom w:w="57" w:type="dxa"/>
                    <w:right w:w="108" w:type="dxa"/>
                  </w:tcMar>
                  <w:vAlign w:val="center"/>
                </w:tcPr>
                <w:p w14:paraId="0DB7A960">
                  <w:pPr>
                    <w:pStyle w:val="3"/>
                    <w:spacing w:line="240" w:lineRule="auto"/>
                    <w:ind w:firstLine="0" w:firstLineChars="0"/>
                    <w:jc w:val="center"/>
                    <w:rPr>
                      <w:color w:val="auto"/>
                      <w:sz w:val="18"/>
                      <w:szCs w:val="18"/>
                      <w:highlight w:val="none"/>
                    </w:rPr>
                  </w:pPr>
                  <w:r>
                    <w:rPr>
                      <w:rFonts w:hint="eastAsia"/>
                      <w:color w:val="auto"/>
                      <w:sz w:val="18"/>
                      <w:szCs w:val="18"/>
                      <w:highlight w:val="none"/>
                    </w:rPr>
                    <w:t>禁止开发建设活动的要求</w:t>
                  </w:r>
                </w:p>
              </w:tc>
              <w:tc>
                <w:tcPr>
                  <w:tcW w:w="3316" w:type="dxa"/>
                  <w:tcMar>
                    <w:top w:w="57" w:type="dxa"/>
                    <w:left w:w="108" w:type="dxa"/>
                    <w:bottom w:w="57" w:type="dxa"/>
                    <w:right w:w="108" w:type="dxa"/>
                  </w:tcMar>
                  <w:vAlign w:val="center"/>
                </w:tcPr>
                <w:p w14:paraId="59E97F65">
                  <w:pPr>
                    <w:pStyle w:val="3"/>
                    <w:spacing w:line="240" w:lineRule="auto"/>
                    <w:ind w:firstLine="0" w:firstLineChars="0"/>
                    <w:jc w:val="center"/>
                    <w:rPr>
                      <w:color w:val="auto"/>
                      <w:sz w:val="18"/>
                      <w:szCs w:val="18"/>
                      <w:highlight w:val="none"/>
                    </w:rPr>
                  </w:pPr>
                  <w:r>
                    <w:rPr>
                      <w:rFonts w:hint="eastAsia"/>
                      <w:color w:val="auto"/>
                      <w:sz w:val="18"/>
                      <w:szCs w:val="18"/>
                      <w:highlight w:val="none"/>
                    </w:rPr>
                    <w:t>执行《中华人民共和国水污染防治法》（主席令第70号 2017修订）中对饮用水水源保护区的相关要求。</w:t>
                  </w:r>
                </w:p>
              </w:tc>
              <w:tc>
                <w:tcPr>
                  <w:tcW w:w="1675" w:type="dxa"/>
                  <w:tcMar>
                    <w:top w:w="57" w:type="dxa"/>
                    <w:left w:w="108" w:type="dxa"/>
                    <w:bottom w:w="57" w:type="dxa"/>
                    <w:right w:w="108" w:type="dxa"/>
                  </w:tcMar>
                  <w:vAlign w:val="center"/>
                </w:tcPr>
                <w:p w14:paraId="6DC93662">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本项目不在饮用水水源保护区内。</w:t>
                  </w:r>
                </w:p>
              </w:tc>
              <w:tc>
                <w:tcPr>
                  <w:tcW w:w="712" w:type="dxa"/>
                  <w:tcMar>
                    <w:top w:w="57" w:type="dxa"/>
                    <w:left w:w="108" w:type="dxa"/>
                    <w:bottom w:w="57" w:type="dxa"/>
                    <w:right w:w="108" w:type="dxa"/>
                  </w:tcMar>
                  <w:vAlign w:val="center"/>
                </w:tcPr>
                <w:p w14:paraId="5B382EA2">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0C50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66C386F8">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761DC629">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6F480C93">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3A176302">
                  <w:pPr>
                    <w:pStyle w:val="3"/>
                    <w:spacing w:line="240" w:lineRule="auto"/>
                    <w:ind w:firstLine="0" w:firstLineChars="0"/>
                    <w:jc w:val="center"/>
                    <w:rPr>
                      <w:color w:val="auto"/>
                      <w:sz w:val="18"/>
                      <w:szCs w:val="18"/>
                      <w:highlight w:val="none"/>
                    </w:rPr>
                  </w:pPr>
                  <w:r>
                    <w:rPr>
                      <w:rFonts w:hint="eastAsia"/>
                      <w:color w:val="auto"/>
                      <w:sz w:val="18"/>
                      <w:szCs w:val="18"/>
                      <w:highlight w:val="none"/>
                    </w:rPr>
                    <w:t>1、水质不能稳定达标的区域，禁止建设新增相应不达标污染物指标排放量的工业项目。</w:t>
                  </w:r>
                </w:p>
                <w:p w14:paraId="236DD262">
                  <w:pPr>
                    <w:pStyle w:val="3"/>
                    <w:spacing w:line="240" w:lineRule="auto"/>
                    <w:ind w:firstLine="0" w:firstLineChars="0"/>
                    <w:jc w:val="center"/>
                    <w:rPr>
                      <w:color w:val="auto"/>
                      <w:sz w:val="18"/>
                      <w:szCs w:val="18"/>
                      <w:highlight w:val="none"/>
                    </w:rPr>
                  </w:pPr>
                  <w:r>
                    <w:rPr>
                      <w:rFonts w:hint="eastAsia"/>
                      <w:color w:val="auto"/>
                      <w:sz w:val="18"/>
                      <w:szCs w:val="18"/>
                      <w:highlight w:val="none"/>
                    </w:rPr>
                    <w:t>2、禁止不符合环境管理要求的污泥进入耕地。</w:t>
                  </w:r>
                </w:p>
                <w:p w14:paraId="2E3E0417">
                  <w:pPr>
                    <w:pStyle w:val="3"/>
                    <w:spacing w:line="240" w:lineRule="auto"/>
                    <w:ind w:firstLine="0" w:firstLineChars="0"/>
                    <w:jc w:val="center"/>
                    <w:rPr>
                      <w:color w:val="auto"/>
                      <w:sz w:val="18"/>
                      <w:szCs w:val="18"/>
                      <w:highlight w:val="none"/>
                    </w:rPr>
                  </w:pPr>
                  <w:r>
                    <w:rPr>
                      <w:rFonts w:hint="eastAsia"/>
                      <w:color w:val="auto"/>
                      <w:sz w:val="18"/>
                      <w:szCs w:val="18"/>
                      <w:highlight w:val="none"/>
                    </w:rPr>
                    <w:t>3、禁止生产、销售不符合节水标准的产品、设备。</w:t>
                  </w:r>
                </w:p>
                <w:p w14:paraId="1C2FC152">
                  <w:pPr>
                    <w:pStyle w:val="3"/>
                    <w:spacing w:line="240" w:lineRule="auto"/>
                    <w:ind w:firstLine="0" w:firstLineChars="0"/>
                    <w:jc w:val="center"/>
                    <w:rPr>
                      <w:color w:val="auto"/>
                      <w:sz w:val="18"/>
                      <w:szCs w:val="18"/>
                      <w:highlight w:val="none"/>
                    </w:rPr>
                  </w:pPr>
                  <w:r>
                    <w:rPr>
                      <w:rFonts w:hint="eastAsia"/>
                      <w:color w:val="auto"/>
                      <w:sz w:val="18"/>
                      <w:szCs w:val="18"/>
                      <w:highlight w:val="none"/>
                    </w:rPr>
                    <w:t>4、禁止无证排污和不按许可证规定排污。</w:t>
                  </w:r>
                </w:p>
                <w:p w14:paraId="6F182DE5">
                  <w:pPr>
                    <w:pStyle w:val="3"/>
                    <w:spacing w:line="240" w:lineRule="auto"/>
                    <w:ind w:firstLine="0" w:firstLineChars="0"/>
                    <w:jc w:val="center"/>
                    <w:rPr>
                      <w:color w:val="auto"/>
                      <w:sz w:val="18"/>
                      <w:szCs w:val="18"/>
                      <w:highlight w:val="none"/>
                    </w:rPr>
                  </w:pPr>
                  <w:r>
                    <w:rPr>
                      <w:rFonts w:hint="eastAsia"/>
                      <w:color w:val="auto"/>
                      <w:sz w:val="18"/>
                      <w:szCs w:val="18"/>
                      <w:highlight w:val="none"/>
                    </w:rPr>
                    <w:t>5、禁止侵占自然湿地等水源涵养空间，已侵占的要限期予以恢复。</w:t>
                  </w:r>
                </w:p>
              </w:tc>
              <w:tc>
                <w:tcPr>
                  <w:tcW w:w="1675" w:type="dxa"/>
                  <w:tcMar>
                    <w:top w:w="57" w:type="dxa"/>
                    <w:left w:w="108" w:type="dxa"/>
                    <w:bottom w:w="57" w:type="dxa"/>
                    <w:right w:w="108" w:type="dxa"/>
                  </w:tcMar>
                  <w:vAlign w:val="center"/>
                </w:tcPr>
                <w:p w14:paraId="0DA5927F">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本项目不涉及自然湿地等水源涵养空间，不涉及生产、销售行为，无需申领排污许可证。</w:t>
                  </w:r>
                </w:p>
              </w:tc>
              <w:tc>
                <w:tcPr>
                  <w:tcW w:w="712" w:type="dxa"/>
                  <w:tcMar>
                    <w:top w:w="57" w:type="dxa"/>
                    <w:left w:w="108" w:type="dxa"/>
                    <w:bottom w:w="57" w:type="dxa"/>
                    <w:right w:w="108" w:type="dxa"/>
                  </w:tcMar>
                  <w:vAlign w:val="center"/>
                </w:tcPr>
                <w:p w14:paraId="23F1BF9F">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2161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18AF86E5">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20D6AF73">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6715815A">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3F104AD6">
                  <w:pPr>
                    <w:pStyle w:val="3"/>
                    <w:spacing w:line="240" w:lineRule="auto"/>
                    <w:ind w:firstLine="0" w:firstLineChars="0"/>
                    <w:jc w:val="center"/>
                    <w:rPr>
                      <w:color w:val="auto"/>
                      <w:sz w:val="18"/>
                      <w:szCs w:val="18"/>
                      <w:highlight w:val="none"/>
                    </w:rPr>
                  </w:pPr>
                  <w:r>
                    <w:rPr>
                      <w:rFonts w:hint="eastAsia"/>
                      <w:color w:val="auto"/>
                      <w:sz w:val="18"/>
                      <w:szCs w:val="18"/>
                      <w:highlight w:val="none"/>
                    </w:rPr>
                    <w:t>1、禁止使用国家明令淘汰的工艺或设备，生产国家禁止生产的产品。</w:t>
                  </w:r>
                </w:p>
              </w:tc>
              <w:tc>
                <w:tcPr>
                  <w:tcW w:w="1675" w:type="dxa"/>
                  <w:tcMar>
                    <w:top w:w="57" w:type="dxa"/>
                    <w:left w:w="108" w:type="dxa"/>
                    <w:bottom w:w="57" w:type="dxa"/>
                    <w:right w:w="108" w:type="dxa"/>
                  </w:tcMar>
                  <w:vAlign w:val="center"/>
                </w:tcPr>
                <w:p w14:paraId="6F13D838">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本项目不涉及国家明令淘汰的工艺或设备。</w:t>
                  </w:r>
                </w:p>
              </w:tc>
              <w:tc>
                <w:tcPr>
                  <w:tcW w:w="712" w:type="dxa"/>
                  <w:tcMar>
                    <w:top w:w="57" w:type="dxa"/>
                    <w:left w:w="108" w:type="dxa"/>
                    <w:bottom w:w="57" w:type="dxa"/>
                    <w:right w:w="108" w:type="dxa"/>
                  </w:tcMar>
                  <w:vAlign w:val="center"/>
                </w:tcPr>
                <w:p w14:paraId="675ACC6F">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727C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3C50244E">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698D8EBD">
                  <w:pPr>
                    <w:pStyle w:val="3"/>
                    <w:spacing w:line="240" w:lineRule="auto"/>
                    <w:ind w:firstLine="0" w:firstLineChars="0"/>
                    <w:jc w:val="center"/>
                    <w:rPr>
                      <w:color w:val="auto"/>
                      <w:sz w:val="18"/>
                      <w:szCs w:val="18"/>
                      <w:highlight w:val="none"/>
                    </w:rPr>
                  </w:pPr>
                </w:p>
              </w:tc>
              <w:tc>
                <w:tcPr>
                  <w:tcW w:w="629" w:type="dxa"/>
                  <w:vMerge w:val="restart"/>
                  <w:tcMar>
                    <w:top w:w="57" w:type="dxa"/>
                    <w:left w:w="108" w:type="dxa"/>
                    <w:bottom w:w="57" w:type="dxa"/>
                    <w:right w:w="108" w:type="dxa"/>
                  </w:tcMar>
                  <w:vAlign w:val="center"/>
                </w:tcPr>
                <w:p w14:paraId="76A9D0A8">
                  <w:pPr>
                    <w:pStyle w:val="3"/>
                    <w:spacing w:line="240" w:lineRule="auto"/>
                    <w:ind w:firstLine="0" w:firstLineChars="0"/>
                    <w:jc w:val="center"/>
                    <w:rPr>
                      <w:color w:val="auto"/>
                      <w:sz w:val="18"/>
                      <w:szCs w:val="18"/>
                      <w:highlight w:val="none"/>
                    </w:rPr>
                  </w:pPr>
                  <w:r>
                    <w:rPr>
                      <w:rFonts w:hint="eastAsia"/>
                      <w:color w:val="auto"/>
                      <w:sz w:val="18"/>
                      <w:szCs w:val="18"/>
                      <w:highlight w:val="none"/>
                    </w:rPr>
                    <w:t>限制开发建设活动的要求</w:t>
                  </w:r>
                </w:p>
              </w:tc>
              <w:tc>
                <w:tcPr>
                  <w:tcW w:w="3316" w:type="dxa"/>
                  <w:tcMar>
                    <w:top w:w="57" w:type="dxa"/>
                    <w:left w:w="108" w:type="dxa"/>
                    <w:bottom w:w="57" w:type="dxa"/>
                    <w:right w:w="108" w:type="dxa"/>
                  </w:tcMar>
                  <w:vAlign w:val="center"/>
                </w:tcPr>
                <w:p w14:paraId="6BB6C1BA">
                  <w:pPr>
                    <w:pStyle w:val="3"/>
                    <w:spacing w:line="240" w:lineRule="auto"/>
                    <w:ind w:firstLine="0" w:firstLineChars="0"/>
                    <w:jc w:val="center"/>
                    <w:rPr>
                      <w:color w:val="auto"/>
                      <w:sz w:val="18"/>
                      <w:szCs w:val="18"/>
                      <w:highlight w:val="none"/>
                    </w:rPr>
                  </w:pPr>
                  <w:r>
                    <w:rPr>
                      <w:rFonts w:hint="eastAsia"/>
                      <w:color w:val="auto"/>
                      <w:sz w:val="18"/>
                      <w:szCs w:val="18"/>
                      <w:highlight w:val="none"/>
                    </w:rPr>
                    <w:t>1、新建项目一律不得违规占用水域。</w:t>
                  </w:r>
                </w:p>
                <w:p w14:paraId="5D32F0C8">
                  <w:pPr>
                    <w:pStyle w:val="3"/>
                    <w:spacing w:line="240" w:lineRule="auto"/>
                    <w:ind w:firstLine="0" w:firstLineChars="0"/>
                    <w:jc w:val="center"/>
                    <w:rPr>
                      <w:color w:val="auto"/>
                      <w:sz w:val="18"/>
                      <w:szCs w:val="18"/>
                      <w:highlight w:val="none"/>
                    </w:rPr>
                  </w:pPr>
                  <w:r>
                    <w:rPr>
                      <w:rFonts w:hint="eastAsia"/>
                      <w:color w:val="auto"/>
                      <w:sz w:val="18"/>
                      <w:szCs w:val="18"/>
                      <w:highlight w:val="none"/>
                    </w:rPr>
                    <w:t>2、保障河流生态流量，严格控制在主要流域内新建水电项目。</w:t>
                  </w:r>
                </w:p>
                <w:p w14:paraId="064C1E5F">
                  <w:pPr>
                    <w:pStyle w:val="3"/>
                    <w:spacing w:line="240" w:lineRule="auto"/>
                    <w:ind w:firstLine="0" w:firstLineChars="0"/>
                    <w:jc w:val="center"/>
                    <w:rPr>
                      <w:color w:val="auto"/>
                      <w:sz w:val="18"/>
                      <w:szCs w:val="18"/>
                      <w:highlight w:val="none"/>
                    </w:rPr>
                  </w:pPr>
                  <w:r>
                    <w:rPr>
                      <w:rFonts w:hint="eastAsia"/>
                      <w:color w:val="auto"/>
                      <w:sz w:val="18"/>
                      <w:szCs w:val="18"/>
                      <w:highlight w:val="none"/>
                    </w:rPr>
                    <w:t>3、不符合河流最小生态流量要求的水电站限制运行。</w:t>
                  </w:r>
                </w:p>
                <w:p w14:paraId="3135E3B3">
                  <w:pPr>
                    <w:pStyle w:val="3"/>
                    <w:spacing w:line="240" w:lineRule="auto"/>
                    <w:ind w:firstLine="0" w:firstLineChars="0"/>
                    <w:jc w:val="center"/>
                    <w:rPr>
                      <w:color w:val="auto"/>
                      <w:sz w:val="18"/>
                      <w:szCs w:val="18"/>
                      <w:highlight w:val="none"/>
                    </w:rPr>
                  </w:pPr>
                  <w:r>
                    <w:rPr>
                      <w:rFonts w:hint="eastAsia"/>
                      <w:color w:val="auto"/>
                      <w:sz w:val="18"/>
                      <w:szCs w:val="18"/>
                      <w:highlight w:val="none"/>
                    </w:rPr>
                    <w:t>4、工业集聚区未按照规定建成污水集中处理设施并安装自动在线监控装置的，暂停审批和核准其增加水污染物排放的建设项目。</w:t>
                  </w:r>
                </w:p>
              </w:tc>
              <w:tc>
                <w:tcPr>
                  <w:tcW w:w="1675" w:type="dxa"/>
                  <w:tcMar>
                    <w:top w:w="57" w:type="dxa"/>
                    <w:left w:w="108" w:type="dxa"/>
                    <w:bottom w:w="57" w:type="dxa"/>
                    <w:right w:w="108" w:type="dxa"/>
                  </w:tcMar>
                  <w:vAlign w:val="center"/>
                </w:tcPr>
                <w:p w14:paraId="7B6D24E9">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本项目不占用水域。</w:t>
                  </w:r>
                </w:p>
              </w:tc>
              <w:tc>
                <w:tcPr>
                  <w:tcW w:w="712" w:type="dxa"/>
                  <w:tcMar>
                    <w:top w:w="57" w:type="dxa"/>
                    <w:left w:w="108" w:type="dxa"/>
                    <w:bottom w:w="57" w:type="dxa"/>
                    <w:right w:w="108" w:type="dxa"/>
                  </w:tcMar>
                  <w:vAlign w:val="center"/>
                </w:tcPr>
                <w:p w14:paraId="252E0B83">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13D6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297AC1C7">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6568B041">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7C3E99F5">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08A53EDF">
                  <w:pPr>
                    <w:pStyle w:val="3"/>
                    <w:spacing w:line="240" w:lineRule="auto"/>
                    <w:ind w:firstLine="0" w:firstLineChars="0"/>
                    <w:jc w:val="center"/>
                    <w:rPr>
                      <w:color w:val="auto"/>
                      <w:sz w:val="18"/>
                      <w:szCs w:val="18"/>
                      <w:highlight w:val="none"/>
                    </w:rPr>
                  </w:pPr>
                  <w:r>
                    <w:rPr>
                      <w:rFonts w:hint="eastAsia"/>
                      <w:color w:val="auto"/>
                      <w:sz w:val="18"/>
                      <w:szCs w:val="18"/>
                      <w:highlight w:val="none"/>
                    </w:rPr>
                    <w:t>1、严格控制高耗水、高污染行业发展。</w:t>
                  </w:r>
                </w:p>
              </w:tc>
              <w:tc>
                <w:tcPr>
                  <w:tcW w:w="1675" w:type="dxa"/>
                  <w:tcMar>
                    <w:top w:w="57" w:type="dxa"/>
                    <w:left w:w="108" w:type="dxa"/>
                    <w:bottom w:w="57" w:type="dxa"/>
                    <w:right w:w="108" w:type="dxa"/>
                  </w:tcMar>
                  <w:vAlign w:val="center"/>
                </w:tcPr>
                <w:p w14:paraId="4669B605">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本项目不属于高耗水、高污染行业。</w:t>
                  </w:r>
                </w:p>
              </w:tc>
              <w:tc>
                <w:tcPr>
                  <w:tcW w:w="712" w:type="dxa"/>
                  <w:tcMar>
                    <w:top w:w="57" w:type="dxa"/>
                    <w:left w:w="108" w:type="dxa"/>
                    <w:bottom w:w="57" w:type="dxa"/>
                    <w:right w:w="108" w:type="dxa"/>
                  </w:tcMar>
                  <w:vAlign w:val="center"/>
                </w:tcPr>
                <w:p w14:paraId="6078C2D1">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546B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3187697D">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32E6C018">
                  <w:pPr>
                    <w:pStyle w:val="3"/>
                    <w:spacing w:line="240" w:lineRule="auto"/>
                    <w:ind w:firstLine="0" w:firstLineChars="0"/>
                    <w:jc w:val="center"/>
                    <w:rPr>
                      <w:color w:val="auto"/>
                      <w:sz w:val="18"/>
                      <w:szCs w:val="18"/>
                      <w:highlight w:val="none"/>
                    </w:rPr>
                  </w:pPr>
                </w:p>
              </w:tc>
              <w:tc>
                <w:tcPr>
                  <w:tcW w:w="629" w:type="dxa"/>
                  <w:vMerge w:val="restart"/>
                  <w:tcMar>
                    <w:top w:w="57" w:type="dxa"/>
                    <w:left w:w="108" w:type="dxa"/>
                    <w:bottom w:w="57" w:type="dxa"/>
                    <w:right w:w="108" w:type="dxa"/>
                  </w:tcMar>
                  <w:vAlign w:val="center"/>
                </w:tcPr>
                <w:p w14:paraId="596430D5">
                  <w:pPr>
                    <w:pStyle w:val="3"/>
                    <w:spacing w:line="240" w:lineRule="auto"/>
                    <w:ind w:firstLine="0" w:firstLineChars="0"/>
                    <w:jc w:val="center"/>
                    <w:rPr>
                      <w:color w:val="auto"/>
                      <w:sz w:val="18"/>
                      <w:szCs w:val="18"/>
                      <w:highlight w:val="none"/>
                    </w:rPr>
                  </w:pPr>
                  <w:r>
                    <w:rPr>
                      <w:rFonts w:hint="eastAsia"/>
                      <w:color w:val="auto"/>
                      <w:sz w:val="18"/>
                      <w:szCs w:val="18"/>
                      <w:highlight w:val="none"/>
                    </w:rPr>
                    <w:t>不符合空间布局要求活动的退出要求</w:t>
                  </w:r>
                </w:p>
              </w:tc>
              <w:tc>
                <w:tcPr>
                  <w:tcW w:w="3316" w:type="dxa"/>
                  <w:tcMar>
                    <w:top w:w="57" w:type="dxa"/>
                    <w:left w:w="108" w:type="dxa"/>
                    <w:bottom w:w="57" w:type="dxa"/>
                    <w:right w:w="108" w:type="dxa"/>
                  </w:tcMar>
                  <w:vAlign w:val="center"/>
                </w:tcPr>
                <w:p w14:paraId="73B24C98">
                  <w:pPr>
                    <w:pStyle w:val="3"/>
                    <w:spacing w:line="240" w:lineRule="auto"/>
                    <w:ind w:firstLine="0" w:firstLineChars="0"/>
                    <w:jc w:val="center"/>
                    <w:rPr>
                      <w:color w:val="auto"/>
                      <w:sz w:val="18"/>
                      <w:szCs w:val="18"/>
                      <w:highlight w:val="none"/>
                    </w:rPr>
                  </w:pPr>
                  <w:r>
                    <w:rPr>
                      <w:rFonts w:hint="eastAsia"/>
                      <w:color w:val="auto"/>
                      <w:sz w:val="18"/>
                      <w:szCs w:val="18"/>
                      <w:highlight w:val="none"/>
                    </w:rPr>
                    <w:t>1、各县市、园区全面淘汰炉膛直径3米以下燃料类煤气发生炉。暂不能淘汰的煤气发生炉，煤气生产企业煤气应精脱硫后再供气。</w:t>
                  </w:r>
                </w:p>
              </w:tc>
              <w:tc>
                <w:tcPr>
                  <w:tcW w:w="1675" w:type="dxa"/>
                  <w:tcMar>
                    <w:top w:w="57" w:type="dxa"/>
                    <w:left w:w="108" w:type="dxa"/>
                    <w:bottom w:w="57" w:type="dxa"/>
                    <w:right w:w="108" w:type="dxa"/>
                  </w:tcMar>
                  <w:vAlign w:val="center"/>
                </w:tcPr>
                <w:p w14:paraId="1A314EAB">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本项目不建设燃煤锅炉。</w:t>
                  </w:r>
                </w:p>
              </w:tc>
              <w:tc>
                <w:tcPr>
                  <w:tcW w:w="712" w:type="dxa"/>
                  <w:tcMar>
                    <w:top w:w="57" w:type="dxa"/>
                    <w:left w:w="108" w:type="dxa"/>
                    <w:bottom w:w="57" w:type="dxa"/>
                    <w:right w:w="108" w:type="dxa"/>
                  </w:tcMar>
                  <w:vAlign w:val="center"/>
                </w:tcPr>
                <w:p w14:paraId="70A3BBE0">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798C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3BCE987A">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7FBC44CD">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74A86D6C">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7C7AB94C">
                  <w:pPr>
                    <w:pStyle w:val="3"/>
                    <w:spacing w:line="240" w:lineRule="auto"/>
                    <w:ind w:firstLine="0" w:firstLineChars="0"/>
                    <w:jc w:val="center"/>
                    <w:rPr>
                      <w:color w:val="auto"/>
                      <w:sz w:val="18"/>
                      <w:szCs w:val="18"/>
                      <w:highlight w:val="none"/>
                    </w:rPr>
                  </w:pPr>
                  <w:r>
                    <w:rPr>
                      <w:rFonts w:hint="eastAsia"/>
                      <w:color w:val="auto"/>
                      <w:sz w:val="18"/>
                      <w:szCs w:val="18"/>
                      <w:highlight w:val="none"/>
                    </w:rPr>
                    <w:t>1、持续开展现有畜禽养殖场限期治理工作，禁养区内现有的畜禽养殖场限期实现关停或搬迁；限养区内，不再新建、扩建各类排泄量较大的规模化畜禽养殖场（小区）；未经治理或治理后仍未达到国家规定治理要求的现有畜禽养殖场，实行关停或搬迁。</w:t>
                  </w:r>
                </w:p>
              </w:tc>
              <w:tc>
                <w:tcPr>
                  <w:tcW w:w="1675" w:type="dxa"/>
                  <w:tcMar>
                    <w:top w:w="57" w:type="dxa"/>
                    <w:left w:w="108" w:type="dxa"/>
                    <w:bottom w:w="57" w:type="dxa"/>
                    <w:right w:w="108" w:type="dxa"/>
                  </w:tcMar>
                  <w:vAlign w:val="center"/>
                </w:tcPr>
                <w:p w14:paraId="0B239C90">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本项目不属于畜禽养殖业。</w:t>
                  </w:r>
                </w:p>
              </w:tc>
              <w:tc>
                <w:tcPr>
                  <w:tcW w:w="712" w:type="dxa"/>
                  <w:tcMar>
                    <w:top w:w="57" w:type="dxa"/>
                    <w:left w:w="108" w:type="dxa"/>
                    <w:bottom w:w="57" w:type="dxa"/>
                    <w:right w:w="108" w:type="dxa"/>
                  </w:tcMar>
                  <w:vAlign w:val="center"/>
                </w:tcPr>
                <w:p w14:paraId="7039EED7">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3C93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23DFCBB2">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5B96213D">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2985F621">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13402915">
                  <w:pPr>
                    <w:pStyle w:val="3"/>
                    <w:spacing w:line="240" w:lineRule="auto"/>
                    <w:ind w:firstLine="0" w:firstLineChars="0"/>
                    <w:jc w:val="center"/>
                    <w:rPr>
                      <w:color w:val="auto"/>
                      <w:sz w:val="18"/>
                      <w:szCs w:val="18"/>
                      <w:highlight w:val="none"/>
                    </w:rPr>
                  </w:pPr>
                  <w:r>
                    <w:rPr>
                      <w:rFonts w:hint="eastAsia"/>
                      <w:color w:val="auto"/>
                      <w:sz w:val="18"/>
                      <w:szCs w:val="18"/>
                      <w:highlight w:val="none"/>
                    </w:rPr>
                    <w:t>1、严格执行国家产业政策，依法依规淘汰落后产能，推动水泥、电解铝、石化、焦化、铸造等重点行业绿色转型；</w:t>
                  </w:r>
                </w:p>
                <w:p w14:paraId="1F74BCFC">
                  <w:pPr>
                    <w:pStyle w:val="3"/>
                    <w:spacing w:line="240" w:lineRule="auto"/>
                    <w:ind w:firstLine="0" w:firstLineChars="0"/>
                    <w:jc w:val="center"/>
                    <w:rPr>
                      <w:color w:val="auto"/>
                      <w:sz w:val="18"/>
                      <w:szCs w:val="18"/>
                      <w:highlight w:val="none"/>
                    </w:rPr>
                  </w:pPr>
                  <w:r>
                    <w:rPr>
                      <w:rFonts w:hint="eastAsia"/>
                      <w:color w:val="auto"/>
                      <w:sz w:val="18"/>
                      <w:szCs w:val="18"/>
                      <w:highlight w:val="none"/>
                    </w:rPr>
                    <w:t>2、昌吉州7县市、2园区范围内的65蒸吨以下燃煤锅炉全面淘汰，统筹完成“煤改气”“煤改电”、清洁能源替代或接入集中供热管网等项目建设；</w:t>
                  </w:r>
                </w:p>
                <w:p w14:paraId="5C82C56B">
                  <w:pPr>
                    <w:pStyle w:val="3"/>
                    <w:spacing w:line="240" w:lineRule="auto"/>
                    <w:ind w:firstLine="0" w:firstLineChars="0"/>
                    <w:jc w:val="center"/>
                    <w:rPr>
                      <w:color w:val="auto"/>
                      <w:sz w:val="18"/>
                      <w:szCs w:val="18"/>
                      <w:highlight w:val="none"/>
                    </w:rPr>
                  </w:pPr>
                  <w:r>
                    <w:rPr>
                      <w:rFonts w:hint="eastAsia"/>
                      <w:color w:val="auto"/>
                      <w:sz w:val="18"/>
                      <w:szCs w:val="18"/>
                      <w:highlight w:val="none"/>
                    </w:rPr>
                    <w:t>3、大力淘汰老旧车辆和高能耗、高污染非道路移动机械，基本淘汰国三及以下排放标准汽车，推广使用新能源、清洁能源车辆和非道路移动机械。</w:t>
                  </w:r>
                </w:p>
              </w:tc>
              <w:tc>
                <w:tcPr>
                  <w:tcW w:w="1675" w:type="dxa"/>
                  <w:tcMar>
                    <w:top w:w="57" w:type="dxa"/>
                    <w:left w:w="108" w:type="dxa"/>
                    <w:bottom w:w="57" w:type="dxa"/>
                    <w:right w:w="108" w:type="dxa"/>
                  </w:tcMar>
                  <w:vAlign w:val="center"/>
                </w:tcPr>
                <w:p w14:paraId="1FDC8AB7">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本项目不建设燃煤锅炉。</w:t>
                  </w:r>
                </w:p>
              </w:tc>
              <w:tc>
                <w:tcPr>
                  <w:tcW w:w="712" w:type="dxa"/>
                  <w:tcMar>
                    <w:top w:w="57" w:type="dxa"/>
                    <w:left w:w="108" w:type="dxa"/>
                    <w:bottom w:w="57" w:type="dxa"/>
                    <w:right w:w="108" w:type="dxa"/>
                  </w:tcMar>
                  <w:vAlign w:val="center"/>
                </w:tcPr>
                <w:p w14:paraId="6AC25715">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41D2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0B67DC68">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2A7F4691">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6FC2F8C6">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25CEA470">
                  <w:pPr>
                    <w:pStyle w:val="3"/>
                    <w:spacing w:line="240" w:lineRule="auto"/>
                    <w:ind w:firstLine="0" w:firstLineChars="0"/>
                    <w:jc w:val="center"/>
                    <w:rPr>
                      <w:color w:val="auto"/>
                      <w:sz w:val="18"/>
                      <w:szCs w:val="18"/>
                      <w:highlight w:val="none"/>
                    </w:rPr>
                  </w:pPr>
                  <w:r>
                    <w:rPr>
                      <w:rFonts w:hint="eastAsia"/>
                      <w:color w:val="auto"/>
                      <w:sz w:val="18"/>
                      <w:szCs w:val="18"/>
                      <w:highlight w:val="none"/>
                    </w:rPr>
                    <w:t>1、对于现有不符合环保要求的晾晒池、蒸发塘等立即清理整顿。</w:t>
                  </w:r>
                </w:p>
                <w:p w14:paraId="038734BB">
                  <w:pPr>
                    <w:pStyle w:val="3"/>
                    <w:spacing w:line="240" w:lineRule="auto"/>
                    <w:ind w:firstLine="0" w:firstLineChars="0"/>
                    <w:jc w:val="center"/>
                    <w:rPr>
                      <w:color w:val="auto"/>
                      <w:sz w:val="18"/>
                      <w:szCs w:val="18"/>
                      <w:highlight w:val="none"/>
                    </w:rPr>
                  </w:pPr>
                  <w:r>
                    <w:rPr>
                      <w:rFonts w:hint="eastAsia"/>
                      <w:color w:val="auto"/>
                      <w:sz w:val="18"/>
                      <w:szCs w:val="18"/>
                      <w:highlight w:val="none"/>
                    </w:rPr>
                    <w:t>2、依法关闭或搬迁禁养区内的畜禽养殖场（小区）。</w:t>
                  </w:r>
                </w:p>
                <w:p w14:paraId="74FEADD1">
                  <w:pPr>
                    <w:pStyle w:val="3"/>
                    <w:spacing w:line="240" w:lineRule="auto"/>
                    <w:ind w:firstLine="0" w:firstLineChars="0"/>
                    <w:jc w:val="center"/>
                    <w:rPr>
                      <w:color w:val="auto"/>
                      <w:sz w:val="18"/>
                      <w:szCs w:val="18"/>
                      <w:highlight w:val="none"/>
                    </w:rPr>
                  </w:pPr>
                  <w:r>
                    <w:rPr>
                      <w:rFonts w:hint="eastAsia"/>
                      <w:color w:val="auto"/>
                      <w:sz w:val="18"/>
                      <w:szCs w:val="18"/>
                      <w:highlight w:val="none"/>
                    </w:rPr>
                    <w:t>3、城市建成区内现有钢铁、有色金属、造纸、印染、原料药制造、化工等污染较重的企业应有序搬迁改造或依法关闭。</w:t>
                  </w:r>
                </w:p>
                <w:p w14:paraId="695F1A7E">
                  <w:pPr>
                    <w:pStyle w:val="3"/>
                    <w:spacing w:line="240" w:lineRule="auto"/>
                    <w:ind w:firstLine="0" w:firstLineChars="0"/>
                    <w:jc w:val="center"/>
                    <w:rPr>
                      <w:color w:val="auto"/>
                      <w:sz w:val="18"/>
                      <w:szCs w:val="18"/>
                      <w:highlight w:val="none"/>
                    </w:rPr>
                  </w:pPr>
                  <w:r>
                    <w:rPr>
                      <w:rFonts w:hint="eastAsia"/>
                      <w:color w:val="auto"/>
                      <w:sz w:val="18"/>
                      <w:szCs w:val="18"/>
                      <w:highlight w:val="none"/>
                    </w:rPr>
                    <w:t>4、根据各级人民政府编制完成的河湖及水利工程管理和保护范围划界确权实施方案，将划定的管理和保护范围线作为河湖保护红线，非法挤占的应限期退出。</w:t>
                  </w:r>
                </w:p>
                <w:p w14:paraId="00883F73">
                  <w:pPr>
                    <w:pStyle w:val="3"/>
                    <w:spacing w:line="240" w:lineRule="auto"/>
                    <w:ind w:firstLine="0" w:firstLineChars="0"/>
                    <w:jc w:val="center"/>
                    <w:rPr>
                      <w:color w:val="auto"/>
                      <w:sz w:val="18"/>
                      <w:szCs w:val="18"/>
                      <w:highlight w:val="none"/>
                    </w:rPr>
                  </w:pPr>
                  <w:r>
                    <w:rPr>
                      <w:rFonts w:hint="eastAsia"/>
                      <w:color w:val="auto"/>
                      <w:sz w:val="18"/>
                      <w:szCs w:val="18"/>
                      <w:highlight w:val="none"/>
                    </w:rPr>
                    <w:t>5、未经批准的和公共供水管网覆盖范围内的自备水井予以逐步关闭。</w:t>
                  </w:r>
                </w:p>
              </w:tc>
              <w:tc>
                <w:tcPr>
                  <w:tcW w:w="1675" w:type="dxa"/>
                  <w:tcMar>
                    <w:top w:w="57" w:type="dxa"/>
                    <w:left w:w="108" w:type="dxa"/>
                    <w:bottom w:w="57" w:type="dxa"/>
                    <w:right w:w="108" w:type="dxa"/>
                  </w:tcMar>
                  <w:vAlign w:val="center"/>
                </w:tcPr>
                <w:p w14:paraId="05F6D2EE">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本项目不涉及管控要求内容。</w:t>
                  </w:r>
                </w:p>
              </w:tc>
              <w:tc>
                <w:tcPr>
                  <w:tcW w:w="712" w:type="dxa"/>
                  <w:tcMar>
                    <w:top w:w="57" w:type="dxa"/>
                    <w:left w:w="108" w:type="dxa"/>
                    <w:bottom w:w="57" w:type="dxa"/>
                    <w:right w:w="108" w:type="dxa"/>
                  </w:tcMar>
                  <w:vAlign w:val="center"/>
                </w:tcPr>
                <w:p w14:paraId="6906B81F">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1F18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3F3CFEE0">
                  <w:pPr>
                    <w:pStyle w:val="3"/>
                    <w:spacing w:line="240" w:lineRule="auto"/>
                    <w:ind w:firstLine="0" w:firstLineChars="0"/>
                    <w:jc w:val="center"/>
                    <w:rPr>
                      <w:color w:val="auto"/>
                      <w:sz w:val="18"/>
                      <w:szCs w:val="18"/>
                      <w:highlight w:val="none"/>
                    </w:rPr>
                  </w:pPr>
                </w:p>
              </w:tc>
              <w:tc>
                <w:tcPr>
                  <w:tcW w:w="494" w:type="dxa"/>
                  <w:vMerge w:val="restart"/>
                  <w:tcMar>
                    <w:top w:w="57" w:type="dxa"/>
                    <w:left w:w="108" w:type="dxa"/>
                    <w:bottom w:w="57" w:type="dxa"/>
                    <w:right w:w="108" w:type="dxa"/>
                  </w:tcMar>
                  <w:vAlign w:val="center"/>
                </w:tcPr>
                <w:p w14:paraId="220AACA5">
                  <w:pPr>
                    <w:pStyle w:val="3"/>
                    <w:spacing w:line="240" w:lineRule="auto"/>
                    <w:ind w:firstLine="0" w:firstLineChars="0"/>
                    <w:jc w:val="center"/>
                    <w:rPr>
                      <w:color w:val="auto"/>
                      <w:sz w:val="18"/>
                      <w:szCs w:val="18"/>
                      <w:highlight w:val="none"/>
                    </w:rPr>
                  </w:pPr>
                  <w:r>
                    <w:rPr>
                      <w:rFonts w:hint="eastAsia"/>
                      <w:color w:val="auto"/>
                      <w:sz w:val="18"/>
                      <w:szCs w:val="18"/>
                      <w:highlight w:val="none"/>
                    </w:rPr>
                    <w:t>污</w:t>
                  </w:r>
                </w:p>
                <w:p w14:paraId="0E8E048B">
                  <w:pPr>
                    <w:pStyle w:val="3"/>
                    <w:spacing w:line="240" w:lineRule="auto"/>
                    <w:ind w:firstLine="0" w:firstLineChars="0"/>
                    <w:jc w:val="center"/>
                    <w:rPr>
                      <w:color w:val="auto"/>
                      <w:sz w:val="18"/>
                      <w:szCs w:val="18"/>
                      <w:highlight w:val="none"/>
                    </w:rPr>
                  </w:pPr>
                  <w:r>
                    <w:rPr>
                      <w:rFonts w:hint="eastAsia"/>
                      <w:color w:val="auto"/>
                      <w:sz w:val="18"/>
                      <w:szCs w:val="18"/>
                      <w:highlight w:val="none"/>
                    </w:rPr>
                    <w:t>染</w:t>
                  </w:r>
                </w:p>
                <w:p w14:paraId="795110B9">
                  <w:pPr>
                    <w:pStyle w:val="3"/>
                    <w:spacing w:line="240" w:lineRule="auto"/>
                    <w:ind w:firstLine="0" w:firstLineChars="0"/>
                    <w:jc w:val="center"/>
                    <w:rPr>
                      <w:color w:val="auto"/>
                      <w:sz w:val="18"/>
                      <w:szCs w:val="18"/>
                      <w:highlight w:val="none"/>
                    </w:rPr>
                  </w:pPr>
                  <w:r>
                    <w:rPr>
                      <w:rFonts w:hint="eastAsia"/>
                      <w:color w:val="auto"/>
                      <w:sz w:val="18"/>
                      <w:szCs w:val="18"/>
                      <w:highlight w:val="none"/>
                    </w:rPr>
                    <w:t>物</w:t>
                  </w:r>
                </w:p>
                <w:p w14:paraId="35FB8D4E">
                  <w:pPr>
                    <w:pStyle w:val="3"/>
                    <w:spacing w:line="240" w:lineRule="auto"/>
                    <w:ind w:firstLine="0" w:firstLineChars="0"/>
                    <w:jc w:val="center"/>
                    <w:rPr>
                      <w:color w:val="auto"/>
                      <w:sz w:val="18"/>
                      <w:szCs w:val="18"/>
                      <w:highlight w:val="none"/>
                    </w:rPr>
                  </w:pPr>
                  <w:r>
                    <w:rPr>
                      <w:rFonts w:hint="eastAsia"/>
                      <w:color w:val="auto"/>
                      <w:sz w:val="18"/>
                      <w:szCs w:val="18"/>
                      <w:highlight w:val="none"/>
                    </w:rPr>
                    <w:t>排</w:t>
                  </w:r>
                </w:p>
                <w:p w14:paraId="0E68CC2B">
                  <w:pPr>
                    <w:pStyle w:val="3"/>
                    <w:spacing w:line="240" w:lineRule="auto"/>
                    <w:ind w:firstLine="0" w:firstLineChars="0"/>
                    <w:jc w:val="center"/>
                    <w:rPr>
                      <w:color w:val="auto"/>
                      <w:sz w:val="18"/>
                      <w:szCs w:val="18"/>
                      <w:highlight w:val="none"/>
                    </w:rPr>
                  </w:pPr>
                  <w:r>
                    <w:rPr>
                      <w:rFonts w:hint="eastAsia"/>
                      <w:color w:val="auto"/>
                      <w:sz w:val="18"/>
                      <w:szCs w:val="18"/>
                      <w:highlight w:val="none"/>
                    </w:rPr>
                    <w:t>放</w:t>
                  </w:r>
                </w:p>
                <w:p w14:paraId="656D5780">
                  <w:pPr>
                    <w:pStyle w:val="3"/>
                    <w:spacing w:line="240" w:lineRule="auto"/>
                    <w:ind w:firstLine="0" w:firstLineChars="0"/>
                    <w:jc w:val="center"/>
                    <w:rPr>
                      <w:color w:val="auto"/>
                      <w:sz w:val="18"/>
                      <w:szCs w:val="18"/>
                      <w:highlight w:val="none"/>
                    </w:rPr>
                  </w:pPr>
                  <w:r>
                    <w:rPr>
                      <w:rFonts w:hint="eastAsia"/>
                      <w:color w:val="auto"/>
                      <w:sz w:val="18"/>
                      <w:szCs w:val="18"/>
                      <w:highlight w:val="none"/>
                    </w:rPr>
                    <w:t>管</w:t>
                  </w:r>
                </w:p>
                <w:p w14:paraId="2EC2A716">
                  <w:pPr>
                    <w:pStyle w:val="3"/>
                    <w:spacing w:line="240" w:lineRule="auto"/>
                    <w:ind w:firstLine="0" w:firstLineChars="0"/>
                    <w:jc w:val="center"/>
                    <w:rPr>
                      <w:color w:val="auto"/>
                      <w:sz w:val="18"/>
                      <w:szCs w:val="18"/>
                      <w:highlight w:val="none"/>
                    </w:rPr>
                  </w:pPr>
                  <w:r>
                    <w:rPr>
                      <w:rFonts w:hint="eastAsia"/>
                      <w:color w:val="auto"/>
                      <w:sz w:val="18"/>
                      <w:szCs w:val="18"/>
                      <w:highlight w:val="none"/>
                    </w:rPr>
                    <w:t>控</w:t>
                  </w:r>
                </w:p>
              </w:tc>
              <w:tc>
                <w:tcPr>
                  <w:tcW w:w="629" w:type="dxa"/>
                  <w:vMerge w:val="restart"/>
                  <w:tcMar>
                    <w:top w:w="57" w:type="dxa"/>
                    <w:left w:w="108" w:type="dxa"/>
                    <w:bottom w:w="57" w:type="dxa"/>
                    <w:right w:w="108" w:type="dxa"/>
                  </w:tcMar>
                  <w:vAlign w:val="center"/>
                </w:tcPr>
                <w:p w14:paraId="7C90CBCF">
                  <w:pPr>
                    <w:pStyle w:val="3"/>
                    <w:spacing w:line="240" w:lineRule="auto"/>
                    <w:ind w:firstLine="0" w:firstLineChars="0"/>
                    <w:jc w:val="center"/>
                    <w:rPr>
                      <w:color w:val="auto"/>
                      <w:sz w:val="18"/>
                      <w:szCs w:val="18"/>
                      <w:highlight w:val="none"/>
                    </w:rPr>
                  </w:pPr>
                  <w:r>
                    <w:rPr>
                      <w:rFonts w:hint="eastAsia"/>
                      <w:color w:val="auto"/>
                      <w:sz w:val="18"/>
                      <w:szCs w:val="18"/>
                      <w:highlight w:val="none"/>
                    </w:rPr>
                    <w:t>允许排放量要求</w:t>
                  </w:r>
                </w:p>
              </w:tc>
              <w:tc>
                <w:tcPr>
                  <w:tcW w:w="3316" w:type="dxa"/>
                  <w:tcMar>
                    <w:top w:w="57" w:type="dxa"/>
                    <w:left w:w="108" w:type="dxa"/>
                    <w:bottom w:w="57" w:type="dxa"/>
                    <w:right w:w="108" w:type="dxa"/>
                  </w:tcMar>
                  <w:vAlign w:val="center"/>
                </w:tcPr>
                <w:p w14:paraId="59E7B5B7">
                  <w:pPr>
                    <w:pStyle w:val="3"/>
                    <w:spacing w:line="240" w:lineRule="auto"/>
                    <w:ind w:firstLine="0" w:firstLineChars="0"/>
                    <w:jc w:val="center"/>
                    <w:rPr>
                      <w:color w:val="auto"/>
                      <w:sz w:val="18"/>
                      <w:szCs w:val="18"/>
                      <w:highlight w:val="none"/>
                    </w:rPr>
                  </w:pPr>
                  <w:r>
                    <w:rPr>
                      <w:rFonts w:hint="eastAsia"/>
                      <w:color w:val="auto"/>
                      <w:sz w:val="18"/>
                      <w:szCs w:val="18"/>
                      <w:highlight w:val="none"/>
                    </w:rPr>
                    <w:t>满足自治区下达的任务目标考核</w:t>
                  </w:r>
                </w:p>
                <w:p w14:paraId="29330E84">
                  <w:pPr>
                    <w:pStyle w:val="3"/>
                    <w:spacing w:line="240" w:lineRule="auto"/>
                    <w:ind w:firstLine="0" w:firstLineChars="0"/>
                    <w:jc w:val="center"/>
                    <w:rPr>
                      <w:color w:val="auto"/>
                      <w:sz w:val="18"/>
                      <w:szCs w:val="18"/>
                      <w:highlight w:val="none"/>
                    </w:rPr>
                  </w:pPr>
                  <w:r>
                    <w:rPr>
                      <w:rFonts w:hint="eastAsia"/>
                      <w:color w:val="auto"/>
                      <w:sz w:val="18"/>
                      <w:szCs w:val="18"/>
                      <w:highlight w:val="none"/>
                    </w:rPr>
                    <w:t>要求。</w:t>
                  </w:r>
                </w:p>
              </w:tc>
              <w:tc>
                <w:tcPr>
                  <w:tcW w:w="1675" w:type="dxa"/>
                  <w:tcMar>
                    <w:top w:w="57" w:type="dxa"/>
                    <w:left w:w="108" w:type="dxa"/>
                    <w:bottom w:w="57" w:type="dxa"/>
                    <w:right w:w="108" w:type="dxa"/>
                  </w:tcMar>
                  <w:vAlign w:val="center"/>
                </w:tcPr>
                <w:p w14:paraId="26C09A0C">
                  <w:pPr>
                    <w:pStyle w:val="3"/>
                    <w:spacing w:line="240" w:lineRule="auto"/>
                    <w:ind w:firstLine="0" w:firstLineChars="0"/>
                    <w:jc w:val="center"/>
                    <w:rPr>
                      <w:color w:val="auto"/>
                      <w:sz w:val="18"/>
                      <w:szCs w:val="18"/>
                      <w:highlight w:val="none"/>
                    </w:rPr>
                  </w:pPr>
                  <w:r>
                    <w:rPr>
                      <w:rFonts w:hint="eastAsia"/>
                      <w:color w:val="auto"/>
                      <w:sz w:val="18"/>
                      <w:szCs w:val="18"/>
                      <w:highlight w:val="none"/>
                    </w:rPr>
                    <w:t>/</w:t>
                  </w:r>
                </w:p>
              </w:tc>
              <w:tc>
                <w:tcPr>
                  <w:tcW w:w="712" w:type="dxa"/>
                  <w:tcMar>
                    <w:top w:w="57" w:type="dxa"/>
                    <w:left w:w="108" w:type="dxa"/>
                    <w:bottom w:w="57" w:type="dxa"/>
                    <w:right w:w="108" w:type="dxa"/>
                  </w:tcMar>
                  <w:vAlign w:val="center"/>
                </w:tcPr>
                <w:p w14:paraId="45E28BC3">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5ACD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0A800A12">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6D0F0AEF">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75236E14">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6B42EDD3">
                  <w:pPr>
                    <w:pStyle w:val="3"/>
                    <w:spacing w:line="240" w:lineRule="auto"/>
                    <w:ind w:firstLine="0" w:firstLineChars="0"/>
                    <w:jc w:val="center"/>
                    <w:rPr>
                      <w:color w:val="auto"/>
                      <w:sz w:val="18"/>
                      <w:szCs w:val="18"/>
                      <w:highlight w:val="none"/>
                    </w:rPr>
                  </w:pPr>
                  <w:r>
                    <w:rPr>
                      <w:rFonts w:hint="eastAsia"/>
                      <w:color w:val="auto"/>
                      <w:sz w:val="18"/>
                      <w:szCs w:val="18"/>
                      <w:highlight w:val="none"/>
                    </w:rPr>
                    <w:t>1、到2025年全州挥发性有机物、氮氧化物、化学需氧量、氨氮等主要污染物排放总量减排率均控制在自治区下达的指标范围内。</w:t>
                  </w:r>
                </w:p>
                <w:p w14:paraId="01AA9B89">
                  <w:pPr>
                    <w:pStyle w:val="3"/>
                    <w:spacing w:line="240" w:lineRule="auto"/>
                    <w:ind w:firstLine="0" w:firstLineChars="0"/>
                    <w:jc w:val="center"/>
                    <w:rPr>
                      <w:color w:val="auto"/>
                      <w:sz w:val="18"/>
                      <w:szCs w:val="18"/>
                      <w:highlight w:val="none"/>
                    </w:rPr>
                  </w:pPr>
                  <w:r>
                    <w:rPr>
                      <w:rFonts w:hint="eastAsia"/>
                      <w:color w:val="auto"/>
                      <w:sz w:val="18"/>
                      <w:szCs w:val="18"/>
                      <w:highlight w:val="none"/>
                    </w:rPr>
                    <w:t>2、全州各县市65蒸吨/小时及以上的燃煤锅炉（除层燃炉、抛煤机炉外）全部实现超低排放，其他燃煤锅炉全部达到特别排放限值要求。</w:t>
                  </w:r>
                </w:p>
                <w:p w14:paraId="091D8F32">
                  <w:pPr>
                    <w:pStyle w:val="3"/>
                    <w:spacing w:line="240" w:lineRule="auto"/>
                    <w:ind w:firstLine="0" w:firstLineChars="0"/>
                    <w:jc w:val="center"/>
                    <w:rPr>
                      <w:color w:val="auto"/>
                      <w:sz w:val="18"/>
                      <w:szCs w:val="18"/>
                      <w:highlight w:val="none"/>
                    </w:rPr>
                  </w:pPr>
                  <w:r>
                    <w:rPr>
                      <w:rFonts w:hint="eastAsia"/>
                      <w:color w:val="auto"/>
                      <w:sz w:val="18"/>
                      <w:szCs w:val="18"/>
                      <w:highlight w:val="none"/>
                    </w:rPr>
                    <w:t>3、提升城镇生活污水处理设施治污效能，新建城镇生活污水处理厂出水必须达到一级A标准。</w:t>
                  </w:r>
                </w:p>
              </w:tc>
              <w:tc>
                <w:tcPr>
                  <w:tcW w:w="1675" w:type="dxa"/>
                  <w:vMerge w:val="restart"/>
                  <w:tcMar>
                    <w:top w:w="57" w:type="dxa"/>
                    <w:left w:w="108" w:type="dxa"/>
                    <w:bottom w:w="57" w:type="dxa"/>
                    <w:right w:w="108" w:type="dxa"/>
                  </w:tcMar>
                  <w:vAlign w:val="center"/>
                </w:tcPr>
                <w:p w14:paraId="4E0B1C06">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本项目柴油发电机废气执行《大气污染物综合排放标准》（GB 16297-1996）无组织排放监控浓度限值；非甲烷总烃排放标准参照《陆上石油天然气开采工业大气污染物排放标准》（GB 39728-2020）中的无组织排放浓度限值（4.0mg/m</w:t>
                  </w:r>
                  <w:r>
                    <w:rPr>
                      <w:rFonts w:hint="eastAsia"/>
                      <w:color w:val="auto"/>
                      <w:sz w:val="18"/>
                      <w:szCs w:val="18"/>
                      <w:highlight w:val="none"/>
                      <w:vertAlign w:val="superscript"/>
                    </w:rPr>
                    <w:t>3</w:t>
                  </w:r>
                  <w:r>
                    <w:rPr>
                      <w:rFonts w:hint="eastAsia"/>
                      <w:color w:val="auto"/>
                      <w:sz w:val="18"/>
                      <w:szCs w:val="18"/>
                      <w:highlight w:val="none"/>
                    </w:rPr>
                    <w:t>）执行。</w:t>
                  </w:r>
                </w:p>
              </w:tc>
              <w:tc>
                <w:tcPr>
                  <w:tcW w:w="712" w:type="dxa"/>
                  <w:tcMar>
                    <w:top w:w="57" w:type="dxa"/>
                    <w:left w:w="108" w:type="dxa"/>
                    <w:bottom w:w="57" w:type="dxa"/>
                    <w:right w:w="108" w:type="dxa"/>
                  </w:tcMar>
                  <w:vAlign w:val="center"/>
                </w:tcPr>
                <w:p w14:paraId="1B3EFF1E">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741C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299026BC">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1A2AB1AC">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72EECFE0">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4EA9ADA6">
                  <w:pPr>
                    <w:pStyle w:val="3"/>
                    <w:spacing w:line="240" w:lineRule="auto"/>
                    <w:ind w:firstLine="0" w:firstLineChars="0"/>
                    <w:jc w:val="center"/>
                    <w:rPr>
                      <w:color w:val="auto"/>
                      <w:sz w:val="18"/>
                      <w:szCs w:val="18"/>
                      <w:highlight w:val="none"/>
                    </w:rPr>
                  </w:pPr>
                  <w:r>
                    <w:rPr>
                      <w:rFonts w:hint="eastAsia"/>
                      <w:color w:val="auto"/>
                      <w:sz w:val="18"/>
                      <w:szCs w:val="18"/>
                      <w:highlight w:val="none"/>
                    </w:rPr>
                    <w:t>1、“乌-昌-石”区域内，已实施超低排放的涉气排污单位，其实施超低排放改造的污染因子执行超低排放限值，其他污染因子执行特别排放限值和特别控制要求。</w:t>
                  </w:r>
                </w:p>
              </w:tc>
              <w:tc>
                <w:tcPr>
                  <w:tcW w:w="1675" w:type="dxa"/>
                  <w:vMerge w:val="continue"/>
                  <w:tcMar>
                    <w:top w:w="57" w:type="dxa"/>
                    <w:left w:w="108" w:type="dxa"/>
                    <w:bottom w:w="57" w:type="dxa"/>
                    <w:right w:w="108" w:type="dxa"/>
                  </w:tcMar>
                  <w:vAlign w:val="center"/>
                </w:tcPr>
                <w:p w14:paraId="5E779B16">
                  <w:pPr>
                    <w:pStyle w:val="3"/>
                    <w:spacing w:line="240" w:lineRule="auto"/>
                    <w:ind w:firstLine="0" w:firstLineChars="0"/>
                    <w:jc w:val="center"/>
                    <w:rPr>
                      <w:color w:val="auto"/>
                      <w:sz w:val="18"/>
                      <w:szCs w:val="18"/>
                      <w:highlight w:val="none"/>
                    </w:rPr>
                  </w:pPr>
                </w:p>
              </w:tc>
              <w:tc>
                <w:tcPr>
                  <w:tcW w:w="712" w:type="dxa"/>
                  <w:tcMar>
                    <w:top w:w="57" w:type="dxa"/>
                    <w:left w:w="108" w:type="dxa"/>
                    <w:bottom w:w="57" w:type="dxa"/>
                    <w:right w:w="108" w:type="dxa"/>
                  </w:tcMar>
                  <w:vAlign w:val="center"/>
                </w:tcPr>
                <w:p w14:paraId="2D857668">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29A6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7A9038D0">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09E0802C">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04A1CE29">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4E6EBAE2">
                  <w:pPr>
                    <w:pStyle w:val="3"/>
                    <w:spacing w:line="240" w:lineRule="auto"/>
                    <w:ind w:firstLine="0" w:firstLineChars="0"/>
                    <w:jc w:val="center"/>
                    <w:rPr>
                      <w:color w:val="auto"/>
                      <w:sz w:val="18"/>
                      <w:szCs w:val="18"/>
                      <w:highlight w:val="none"/>
                    </w:rPr>
                  </w:pPr>
                  <w:r>
                    <w:rPr>
                      <w:rFonts w:hint="eastAsia"/>
                      <w:color w:val="auto"/>
                      <w:sz w:val="18"/>
                      <w:szCs w:val="18"/>
                      <w:highlight w:val="none"/>
                    </w:rPr>
                    <w:t>1、“十四五”期间，严格落实控制污染物排污许可制，建设项目按程序申领排污许可证。</w:t>
                  </w:r>
                </w:p>
              </w:tc>
              <w:tc>
                <w:tcPr>
                  <w:tcW w:w="1675" w:type="dxa"/>
                  <w:tcMar>
                    <w:top w:w="57" w:type="dxa"/>
                    <w:left w:w="108" w:type="dxa"/>
                    <w:bottom w:w="57" w:type="dxa"/>
                    <w:right w:w="108" w:type="dxa"/>
                  </w:tcMar>
                  <w:vAlign w:val="center"/>
                </w:tcPr>
                <w:p w14:paraId="09044E97">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本项目无需申领排污许可证。</w:t>
                  </w:r>
                </w:p>
              </w:tc>
              <w:tc>
                <w:tcPr>
                  <w:tcW w:w="712" w:type="dxa"/>
                  <w:tcMar>
                    <w:top w:w="57" w:type="dxa"/>
                    <w:left w:w="108" w:type="dxa"/>
                    <w:bottom w:w="57" w:type="dxa"/>
                    <w:right w:w="108" w:type="dxa"/>
                  </w:tcMar>
                  <w:vAlign w:val="center"/>
                </w:tcPr>
                <w:p w14:paraId="0547AC35">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4732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672561E0">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2028CC55">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58339951">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4E8D9A5B">
                  <w:pPr>
                    <w:pStyle w:val="3"/>
                    <w:spacing w:line="240" w:lineRule="auto"/>
                    <w:ind w:firstLine="0" w:firstLineChars="0"/>
                    <w:jc w:val="center"/>
                    <w:rPr>
                      <w:color w:val="auto"/>
                      <w:sz w:val="18"/>
                      <w:szCs w:val="18"/>
                      <w:highlight w:val="none"/>
                    </w:rPr>
                  </w:pPr>
                  <w:r>
                    <w:rPr>
                      <w:rFonts w:hint="eastAsia"/>
                      <w:color w:val="auto"/>
                      <w:sz w:val="18"/>
                      <w:szCs w:val="18"/>
                      <w:highlight w:val="none"/>
                    </w:rPr>
                    <w:t>1、新改扩建城镇污水处理设施要执行一级A排放标准。</w:t>
                  </w:r>
                </w:p>
                <w:p w14:paraId="29677E69">
                  <w:pPr>
                    <w:pStyle w:val="3"/>
                    <w:spacing w:line="240" w:lineRule="auto"/>
                    <w:ind w:firstLine="0" w:firstLineChars="0"/>
                    <w:jc w:val="center"/>
                    <w:rPr>
                      <w:color w:val="auto"/>
                      <w:sz w:val="18"/>
                      <w:szCs w:val="18"/>
                      <w:highlight w:val="none"/>
                    </w:rPr>
                  </w:pPr>
                  <w:r>
                    <w:rPr>
                      <w:rFonts w:hint="eastAsia"/>
                      <w:color w:val="auto"/>
                      <w:sz w:val="18"/>
                      <w:szCs w:val="18"/>
                      <w:highlight w:val="none"/>
                    </w:rPr>
                    <w:t>2、严格控制污染物新增排放量，对超过重点污染物排放总量控制指标的地区，暂停审批新增重点水污染物排放总量的项目。</w:t>
                  </w:r>
                </w:p>
                <w:p w14:paraId="02694476">
                  <w:pPr>
                    <w:pStyle w:val="3"/>
                    <w:spacing w:line="240" w:lineRule="auto"/>
                    <w:ind w:firstLine="0" w:firstLineChars="0"/>
                    <w:jc w:val="center"/>
                    <w:rPr>
                      <w:color w:val="auto"/>
                      <w:sz w:val="18"/>
                      <w:szCs w:val="18"/>
                      <w:highlight w:val="none"/>
                    </w:rPr>
                  </w:pPr>
                  <w:r>
                    <w:rPr>
                      <w:rFonts w:hint="eastAsia"/>
                      <w:color w:val="auto"/>
                      <w:sz w:val="18"/>
                      <w:szCs w:val="18"/>
                      <w:highlight w:val="none"/>
                    </w:rPr>
                    <w:t>3、工业集聚区内工业废水必须经预处理达到集中处理要求，方可进入污水集中处理设施。工业集聚区应按照规定建成污水集中处理设施并安装自动在线监控装置。</w:t>
                  </w:r>
                </w:p>
              </w:tc>
              <w:tc>
                <w:tcPr>
                  <w:tcW w:w="1675" w:type="dxa"/>
                  <w:tcMar>
                    <w:top w:w="57" w:type="dxa"/>
                    <w:left w:w="108" w:type="dxa"/>
                    <w:bottom w:w="57" w:type="dxa"/>
                    <w:right w:w="108" w:type="dxa"/>
                  </w:tcMar>
                  <w:vAlign w:val="center"/>
                </w:tcPr>
                <w:p w14:paraId="1B740CD4">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本项目废水不外排，不涉及总量控制指标。</w:t>
                  </w:r>
                </w:p>
              </w:tc>
              <w:tc>
                <w:tcPr>
                  <w:tcW w:w="712" w:type="dxa"/>
                  <w:tcMar>
                    <w:top w:w="57" w:type="dxa"/>
                    <w:left w:w="108" w:type="dxa"/>
                    <w:bottom w:w="57" w:type="dxa"/>
                    <w:right w:w="108" w:type="dxa"/>
                  </w:tcMar>
                  <w:vAlign w:val="center"/>
                </w:tcPr>
                <w:p w14:paraId="4E1CF011">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133C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7C0519DC">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6ABE191C">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19D641AF">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4BA28960">
                  <w:pPr>
                    <w:pStyle w:val="3"/>
                    <w:spacing w:line="240" w:lineRule="auto"/>
                    <w:ind w:firstLine="0" w:firstLineChars="0"/>
                    <w:jc w:val="center"/>
                    <w:rPr>
                      <w:color w:val="auto"/>
                      <w:sz w:val="18"/>
                      <w:szCs w:val="18"/>
                      <w:highlight w:val="none"/>
                    </w:rPr>
                  </w:pPr>
                  <w:r>
                    <w:rPr>
                      <w:rFonts w:hint="eastAsia"/>
                      <w:color w:val="auto"/>
                      <w:sz w:val="18"/>
                      <w:szCs w:val="18"/>
                      <w:highlight w:val="none"/>
                    </w:rPr>
                    <w:t>1、2023年起，在五彩湾矿区、大井矿区、西黑山矿区、白杨河矿区、阜康矿区、将军庙矿区、老君庙矿区、北塔山矿区、玛纳斯塔西河矿区等矿产资源开发活动集中区域及各县（市）安全利用类耕地集中区域，执行《铅、锌工业污染物排放标准》《铜、镍、钴工业污染物排放标准》《无机化学工业污染物排放标准》中颗粒物和镉等重点重金属特别排放限值。</w:t>
                  </w:r>
                </w:p>
              </w:tc>
              <w:tc>
                <w:tcPr>
                  <w:tcW w:w="1675" w:type="dxa"/>
                  <w:tcMar>
                    <w:top w:w="57" w:type="dxa"/>
                    <w:left w:w="108" w:type="dxa"/>
                    <w:bottom w:w="57" w:type="dxa"/>
                    <w:right w:w="108" w:type="dxa"/>
                  </w:tcMar>
                  <w:vAlign w:val="center"/>
                </w:tcPr>
                <w:p w14:paraId="357D078F">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本项目不涉及镉等重点重金属排放；本项目柴油发电机废气执行《大气污染物综合排放标准》（GB 16297-1996）无组织排放监控浓度限值。</w:t>
                  </w:r>
                </w:p>
              </w:tc>
              <w:tc>
                <w:tcPr>
                  <w:tcW w:w="712" w:type="dxa"/>
                  <w:tcMar>
                    <w:top w:w="57" w:type="dxa"/>
                    <w:left w:w="108" w:type="dxa"/>
                    <w:bottom w:w="57" w:type="dxa"/>
                    <w:right w:w="108" w:type="dxa"/>
                  </w:tcMar>
                  <w:vAlign w:val="center"/>
                </w:tcPr>
                <w:p w14:paraId="1897D111">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3CD6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0A0AABFE">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5674F4E1">
                  <w:pPr>
                    <w:pStyle w:val="3"/>
                    <w:spacing w:line="240" w:lineRule="auto"/>
                    <w:ind w:firstLine="0" w:firstLineChars="0"/>
                    <w:jc w:val="center"/>
                    <w:rPr>
                      <w:color w:val="auto"/>
                      <w:sz w:val="18"/>
                      <w:szCs w:val="18"/>
                      <w:highlight w:val="none"/>
                    </w:rPr>
                  </w:pPr>
                </w:p>
              </w:tc>
              <w:tc>
                <w:tcPr>
                  <w:tcW w:w="629" w:type="dxa"/>
                  <w:tcMar>
                    <w:top w:w="57" w:type="dxa"/>
                    <w:left w:w="108" w:type="dxa"/>
                    <w:bottom w:w="57" w:type="dxa"/>
                    <w:right w:w="108" w:type="dxa"/>
                  </w:tcMar>
                  <w:vAlign w:val="center"/>
                </w:tcPr>
                <w:p w14:paraId="5FE35220">
                  <w:pPr>
                    <w:pStyle w:val="3"/>
                    <w:spacing w:line="240" w:lineRule="auto"/>
                    <w:ind w:firstLine="0" w:firstLineChars="0"/>
                    <w:jc w:val="center"/>
                    <w:rPr>
                      <w:color w:val="auto"/>
                      <w:sz w:val="18"/>
                      <w:szCs w:val="18"/>
                      <w:highlight w:val="none"/>
                    </w:rPr>
                  </w:pPr>
                  <w:r>
                    <w:rPr>
                      <w:rFonts w:hint="eastAsia"/>
                      <w:color w:val="auto"/>
                      <w:sz w:val="18"/>
                      <w:szCs w:val="18"/>
                      <w:highlight w:val="none"/>
                    </w:rPr>
                    <w:t>现有源提标升级改造</w:t>
                  </w:r>
                </w:p>
              </w:tc>
              <w:tc>
                <w:tcPr>
                  <w:tcW w:w="3316" w:type="dxa"/>
                  <w:tcMar>
                    <w:top w:w="57" w:type="dxa"/>
                    <w:left w:w="108" w:type="dxa"/>
                    <w:bottom w:w="57" w:type="dxa"/>
                    <w:right w:w="108" w:type="dxa"/>
                  </w:tcMar>
                  <w:vAlign w:val="center"/>
                </w:tcPr>
                <w:p w14:paraId="2ED26F2A">
                  <w:pPr>
                    <w:pStyle w:val="3"/>
                    <w:spacing w:line="240" w:lineRule="auto"/>
                    <w:ind w:firstLine="0" w:firstLineChars="0"/>
                    <w:jc w:val="center"/>
                    <w:rPr>
                      <w:color w:val="auto"/>
                      <w:sz w:val="18"/>
                      <w:szCs w:val="18"/>
                      <w:highlight w:val="none"/>
                    </w:rPr>
                  </w:pPr>
                  <w:r>
                    <w:rPr>
                      <w:rFonts w:hint="eastAsia"/>
                      <w:color w:val="auto"/>
                      <w:sz w:val="18"/>
                      <w:szCs w:val="18"/>
                      <w:highlight w:val="none"/>
                    </w:rPr>
                    <w:t>1、“乌-昌-石”区域内，已实施超低排放的涉气排污单位，其实施超低排放改造的污染因子执行超低排放限值，其他污染因子执行特别排放限值和特别控制要求。非重点区域引导企业实施大气污染物特别排放限值提标改造。</w:t>
                  </w:r>
                </w:p>
                <w:p w14:paraId="59FF7A6B">
                  <w:pPr>
                    <w:pStyle w:val="3"/>
                    <w:spacing w:line="240" w:lineRule="auto"/>
                    <w:ind w:firstLine="0" w:firstLineChars="0"/>
                    <w:jc w:val="center"/>
                    <w:rPr>
                      <w:color w:val="auto"/>
                      <w:sz w:val="18"/>
                      <w:szCs w:val="18"/>
                      <w:highlight w:val="none"/>
                    </w:rPr>
                  </w:pPr>
                  <w:r>
                    <w:rPr>
                      <w:rFonts w:hint="eastAsia"/>
                      <w:color w:val="auto"/>
                      <w:sz w:val="18"/>
                      <w:szCs w:val="18"/>
                      <w:highlight w:val="none"/>
                    </w:rPr>
                    <w:t>2、阜康市、呼图壁县、吉木萨尔县有序推进钢铁行业超低排放改造。</w:t>
                  </w:r>
                </w:p>
              </w:tc>
              <w:tc>
                <w:tcPr>
                  <w:tcW w:w="1675" w:type="dxa"/>
                  <w:tcMar>
                    <w:top w:w="57" w:type="dxa"/>
                    <w:left w:w="108" w:type="dxa"/>
                    <w:bottom w:w="57" w:type="dxa"/>
                    <w:right w:w="108" w:type="dxa"/>
                  </w:tcMar>
                  <w:vAlign w:val="center"/>
                </w:tcPr>
                <w:p w14:paraId="390844BF">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本项目柴油发电机废气执行《大气污染物综合排放标准》（GB 16297-1996）无组织排放监控浓度限值；非甲烷总烃排放标准参照《陆上石油天然气开采工业大气污染物排放标准》（GB 39728-2020）中的无组织排放浓度限值（4.0mg/m</w:t>
                  </w:r>
                  <w:r>
                    <w:rPr>
                      <w:rFonts w:hint="eastAsia"/>
                      <w:color w:val="auto"/>
                      <w:sz w:val="18"/>
                      <w:szCs w:val="18"/>
                      <w:highlight w:val="none"/>
                      <w:vertAlign w:val="superscript"/>
                    </w:rPr>
                    <w:t>3</w:t>
                  </w:r>
                  <w:r>
                    <w:rPr>
                      <w:rFonts w:hint="eastAsia"/>
                      <w:color w:val="auto"/>
                      <w:sz w:val="18"/>
                      <w:szCs w:val="18"/>
                      <w:highlight w:val="none"/>
                    </w:rPr>
                    <w:t>）执行。</w:t>
                  </w:r>
                </w:p>
              </w:tc>
              <w:tc>
                <w:tcPr>
                  <w:tcW w:w="712" w:type="dxa"/>
                  <w:tcMar>
                    <w:top w:w="57" w:type="dxa"/>
                    <w:left w:w="108" w:type="dxa"/>
                    <w:bottom w:w="57" w:type="dxa"/>
                    <w:right w:w="108" w:type="dxa"/>
                  </w:tcMar>
                  <w:vAlign w:val="center"/>
                </w:tcPr>
                <w:p w14:paraId="0D42201E">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02BE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18517E8D">
                  <w:pPr>
                    <w:pStyle w:val="3"/>
                    <w:spacing w:line="240" w:lineRule="auto"/>
                    <w:ind w:firstLine="0" w:firstLineChars="0"/>
                    <w:jc w:val="center"/>
                    <w:rPr>
                      <w:color w:val="auto"/>
                      <w:sz w:val="18"/>
                      <w:szCs w:val="18"/>
                      <w:highlight w:val="none"/>
                    </w:rPr>
                  </w:pPr>
                </w:p>
              </w:tc>
              <w:tc>
                <w:tcPr>
                  <w:tcW w:w="494" w:type="dxa"/>
                  <w:vMerge w:val="restart"/>
                  <w:tcMar>
                    <w:top w:w="57" w:type="dxa"/>
                    <w:left w:w="108" w:type="dxa"/>
                    <w:bottom w:w="57" w:type="dxa"/>
                    <w:right w:w="108" w:type="dxa"/>
                  </w:tcMar>
                  <w:vAlign w:val="center"/>
                </w:tcPr>
                <w:p w14:paraId="09709A41">
                  <w:pPr>
                    <w:pStyle w:val="3"/>
                    <w:spacing w:line="240" w:lineRule="auto"/>
                    <w:ind w:firstLine="0" w:firstLineChars="0"/>
                    <w:jc w:val="center"/>
                    <w:rPr>
                      <w:color w:val="auto"/>
                      <w:sz w:val="18"/>
                      <w:szCs w:val="18"/>
                      <w:highlight w:val="none"/>
                    </w:rPr>
                  </w:pPr>
                  <w:r>
                    <w:rPr>
                      <w:rFonts w:hint="eastAsia"/>
                      <w:color w:val="auto"/>
                      <w:sz w:val="18"/>
                      <w:szCs w:val="18"/>
                      <w:highlight w:val="none"/>
                    </w:rPr>
                    <w:t>环</w:t>
                  </w:r>
                </w:p>
                <w:p w14:paraId="3FDA577A">
                  <w:pPr>
                    <w:pStyle w:val="3"/>
                    <w:spacing w:line="240" w:lineRule="auto"/>
                    <w:ind w:firstLine="0" w:firstLineChars="0"/>
                    <w:jc w:val="center"/>
                    <w:rPr>
                      <w:color w:val="auto"/>
                      <w:sz w:val="18"/>
                      <w:szCs w:val="18"/>
                      <w:highlight w:val="none"/>
                    </w:rPr>
                  </w:pPr>
                  <w:r>
                    <w:rPr>
                      <w:rFonts w:hint="eastAsia"/>
                      <w:color w:val="auto"/>
                      <w:sz w:val="18"/>
                      <w:szCs w:val="18"/>
                      <w:highlight w:val="none"/>
                    </w:rPr>
                    <w:t>境</w:t>
                  </w:r>
                </w:p>
                <w:p w14:paraId="365AAF13">
                  <w:pPr>
                    <w:pStyle w:val="3"/>
                    <w:spacing w:line="240" w:lineRule="auto"/>
                    <w:ind w:firstLine="0" w:firstLineChars="0"/>
                    <w:jc w:val="center"/>
                    <w:rPr>
                      <w:color w:val="auto"/>
                      <w:sz w:val="18"/>
                      <w:szCs w:val="18"/>
                      <w:highlight w:val="none"/>
                    </w:rPr>
                  </w:pPr>
                  <w:r>
                    <w:rPr>
                      <w:rFonts w:hint="eastAsia"/>
                      <w:color w:val="auto"/>
                      <w:sz w:val="18"/>
                      <w:szCs w:val="18"/>
                      <w:highlight w:val="none"/>
                    </w:rPr>
                    <w:t>风</w:t>
                  </w:r>
                </w:p>
                <w:p w14:paraId="4FFB37E1">
                  <w:pPr>
                    <w:pStyle w:val="3"/>
                    <w:spacing w:line="240" w:lineRule="auto"/>
                    <w:ind w:firstLine="0" w:firstLineChars="0"/>
                    <w:jc w:val="center"/>
                    <w:rPr>
                      <w:color w:val="auto"/>
                      <w:sz w:val="18"/>
                      <w:szCs w:val="18"/>
                      <w:highlight w:val="none"/>
                    </w:rPr>
                  </w:pPr>
                  <w:r>
                    <w:rPr>
                      <w:rFonts w:hint="eastAsia"/>
                      <w:color w:val="auto"/>
                      <w:sz w:val="18"/>
                      <w:szCs w:val="18"/>
                      <w:highlight w:val="none"/>
                    </w:rPr>
                    <w:t>险</w:t>
                  </w:r>
                </w:p>
                <w:p w14:paraId="739B939E">
                  <w:pPr>
                    <w:pStyle w:val="3"/>
                    <w:spacing w:line="240" w:lineRule="auto"/>
                    <w:ind w:firstLine="0" w:firstLineChars="0"/>
                    <w:jc w:val="center"/>
                    <w:rPr>
                      <w:color w:val="auto"/>
                      <w:sz w:val="18"/>
                      <w:szCs w:val="18"/>
                      <w:highlight w:val="none"/>
                    </w:rPr>
                  </w:pPr>
                  <w:r>
                    <w:rPr>
                      <w:rFonts w:hint="eastAsia"/>
                      <w:color w:val="auto"/>
                      <w:sz w:val="18"/>
                      <w:szCs w:val="18"/>
                      <w:highlight w:val="none"/>
                    </w:rPr>
                    <w:t>防</w:t>
                  </w:r>
                </w:p>
                <w:p w14:paraId="327B0F48">
                  <w:pPr>
                    <w:pStyle w:val="3"/>
                    <w:spacing w:line="240" w:lineRule="auto"/>
                    <w:ind w:firstLine="0" w:firstLineChars="0"/>
                    <w:jc w:val="center"/>
                    <w:rPr>
                      <w:color w:val="auto"/>
                      <w:sz w:val="18"/>
                      <w:szCs w:val="18"/>
                      <w:highlight w:val="none"/>
                    </w:rPr>
                  </w:pPr>
                  <w:r>
                    <w:rPr>
                      <w:rFonts w:hint="eastAsia"/>
                      <w:color w:val="auto"/>
                      <w:sz w:val="18"/>
                      <w:szCs w:val="18"/>
                      <w:highlight w:val="none"/>
                    </w:rPr>
                    <w:t>控</w:t>
                  </w:r>
                </w:p>
              </w:tc>
              <w:tc>
                <w:tcPr>
                  <w:tcW w:w="629" w:type="dxa"/>
                  <w:vMerge w:val="restart"/>
                  <w:tcMar>
                    <w:top w:w="57" w:type="dxa"/>
                    <w:left w:w="108" w:type="dxa"/>
                    <w:bottom w:w="57" w:type="dxa"/>
                    <w:right w:w="108" w:type="dxa"/>
                  </w:tcMar>
                  <w:vAlign w:val="center"/>
                </w:tcPr>
                <w:p w14:paraId="360612CD">
                  <w:pPr>
                    <w:pStyle w:val="3"/>
                    <w:spacing w:line="240" w:lineRule="auto"/>
                    <w:ind w:firstLine="0" w:firstLineChars="0"/>
                    <w:jc w:val="center"/>
                    <w:rPr>
                      <w:color w:val="auto"/>
                      <w:sz w:val="18"/>
                      <w:szCs w:val="18"/>
                      <w:highlight w:val="none"/>
                    </w:rPr>
                  </w:pPr>
                  <w:r>
                    <w:rPr>
                      <w:rFonts w:hint="eastAsia"/>
                      <w:color w:val="auto"/>
                      <w:sz w:val="18"/>
                      <w:szCs w:val="18"/>
                      <w:highlight w:val="none"/>
                    </w:rPr>
                    <w:t>联防联控要求</w:t>
                  </w:r>
                </w:p>
              </w:tc>
              <w:tc>
                <w:tcPr>
                  <w:tcW w:w="3316" w:type="dxa"/>
                  <w:tcMar>
                    <w:top w:w="57" w:type="dxa"/>
                    <w:left w:w="108" w:type="dxa"/>
                    <w:bottom w:w="57" w:type="dxa"/>
                    <w:right w:w="108" w:type="dxa"/>
                  </w:tcMar>
                  <w:vAlign w:val="center"/>
                </w:tcPr>
                <w:p w14:paraId="220C0D8E">
                  <w:pPr>
                    <w:pStyle w:val="3"/>
                    <w:spacing w:line="240" w:lineRule="auto"/>
                    <w:ind w:firstLine="0" w:firstLineChars="0"/>
                    <w:jc w:val="center"/>
                    <w:rPr>
                      <w:color w:val="auto"/>
                      <w:sz w:val="18"/>
                      <w:szCs w:val="18"/>
                      <w:highlight w:val="none"/>
                    </w:rPr>
                  </w:pPr>
                  <w:r>
                    <w:rPr>
                      <w:rFonts w:hint="eastAsia"/>
                      <w:color w:val="auto"/>
                      <w:sz w:val="18"/>
                      <w:szCs w:val="18"/>
                      <w:highlight w:val="none"/>
                    </w:rPr>
                    <w:t>1、加强土壤环境管理信息共享，建立部门联动监管机制。各级自然资源部门及时与生态环境部门共享用途变更为“一住两公”的地块信息，土壤污染重点监管单位生产经营用地用途变更或土地使用权收回、转让信息，以及涉及疑似污染地块、污染地块国土空间规划等相关信息。</w:t>
                  </w:r>
                </w:p>
              </w:tc>
              <w:tc>
                <w:tcPr>
                  <w:tcW w:w="1675" w:type="dxa"/>
                  <w:tcMar>
                    <w:top w:w="57" w:type="dxa"/>
                    <w:left w:w="108" w:type="dxa"/>
                    <w:bottom w:w="57" w:type="dxa"/>
                    <w:right w:w="108" w:type="dxa"/>
                  </w:tcMar>
                  <w:vAlign w:val="center"/>
                </w:tcPr>
                <w:p w14:paraId="4370B436">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本项目不涉及管控要求内容。</w:t>
                  </w:r>
                </w:p>
              </w:tc>
              <w:tc>
                <w:tcPr>
                  <w:tcW w:w="712" w:type="dxa"/>
                  <w:tcMar>
                    <w:top w:w="57" w:type="dxa"/>
                    <w:left w:w="108" w:type="dxa"/>
                    <w:bottom w:w="57" w:type="dxa"/>
                    <w:right w:w="108" w:type="dxa"/>
                  </w:tcMar>
                  <w:vAlign w:val="center"/>
                </w:tcPr>
                <w:p w14:paraId="55BE5B3A">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1AC8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63D5E051">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1F0B6E81">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149B04A3">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1A0D966B">
                  <w:pPr>
                    <w:pStyle w:val="3"/>
                    <w:spacing w:line="240" w:lineRule="auto"/>
                    <w:ind w:firstLine="0" w:firstLineChars="0"/>
                    <w:jc w:val="center"/>
                    <w:rPr>
                      <w:color w:val="auto"/>
                      <w:sz w:val="18"/>
                      <w:szCs w:val="18"/>
                      <w:highlight w:val="none"/>
                    </w:rPr>
                  </w:pPr>
                  <w:r>
                    <w:rPr>
                      <w:rFonts w:hint="eastAsia"/>
                      <w:color w:val="auto"/>
                      <w:sz w:val="18"/>
                      <w:szCs w:val="18"/>
                      <w:highlight w:val="none"/>
                    </w:rPr>
                    <w:t>1、以用途变更为住宅、公共管理与公共服务用地的地块，以及腾退工矿企业用地为重点，依法开展土壤污染状况调查和风险评估。</w:t>
                  </w:r>
                </w:p>
                <w:p w14:paraId="16503900">
                  <w:pPr>
                    <w:pStyle w:val="3"/>
                    <w:spacing w:line="240" w:lineRule="auto"/>
                    <w:ind w:firstLine="0" w:firstLineChars="0"/>
                    <w:jc w:val="center"/>
                    <w:rPr>
                      <w:color w:val="auto"/>
                      <w:sz w:val="18"/>
                      <w:szCs w:val="18"/>
                      <w:highlight w:val="none"/>
                    </w:rPr>
                  </w:pPr>
                  <w:r>
                    <w:rPr>
                      <w:rFonts w:hint="eastAsia"/>
                      <w:color w:val="auto"/>
                      <w:sz w:val="18"/>
                      <w:szCs w:val="18"/>
                      <w:highlight w:val="none"/>
                    </w:rPr>
                    <w:t>2、列入建设用地土壤污染风险管控和修复名录的地块，不得作为住宅、公共管理与公共服务用地，未达到土壤污染风险评估报告确定的风险管控、修复目标的建设用地地块，禁止开工建设任何与风险管控、修复无关的项目。</w:t>
                  </w:r>
                </w:p>
                <w:p w14:paraId="1EA77C56">
                  <w:pPr>
                    <w:pStyle w:val="3"/>
                    <w:spacing w:line="240" w:lineRule="auto"/>
                    <w:ind w:firstLine="0" w:firstLineChars="0"/>
                    <w:jc w:val="center"/>
                    <w:rPr>
                      <w:color w:val="auto"/>
                      <w:sz w:val="18"/>
                      <w:szCs w:val="18"/>
                      <w:highlight w:val="none"/>
                    </w:rPr>
                  </w:pPr>
                  <w:r>
                    <w:rPr>
                      <w:rFonts w:hint="eastAsia"/>
                      <w:color w:val="auto"/>
                      <w:sz w:val="18"/>
                      <w:szCs w:val="18"/>
                      <w:highlight w:val="none"/>
                    </w:rPr>
                    <w:t>3、重点强化准东开发区以及昌吉高新技术产业开发区、阜康市工业园区环境风险防控，深入推进园区有毒有害气体环境预警体系和水污染物多级防控体系试点建设。</w:t>
                  </w:r>
                </w:p>
                <w:p w14:paraId="1A599FB9">
                  <w:pPr>
                    <w:pStyle w:val="3"/>
                    <w:spacing w:line="240" w:lineRule="auto"/>
                    <w:ind w:firstLine="0" w:firstLineChars="0"/>
                    <w:jc w:val="center"/>
                    <w:rPr>
                      <w:color w:val="auto"/>
                      <w:sz w:val="18"/>
                      <w:szCs w:val="18"/>
                      <w:highlight w:val="none"/>
                    </w:rPr>
                  </w:pPr>
                  <w:r>
                    <w:rPr>
                      <w:rFonts w:hint="eastAsia"/>
                      <w:color w:val="auto"/>
                      <w:sz w:val="18"/>
                      <w:szCs w:val="18"/>
                      <w:highlight w:val="none"/>
                    </w:rPr>
                    <w:t>4、健全环境应急管理指挥体系，加强应急、公安、消防、水利、交通运输、住建、生态环境等部门间的应急联动，推进跨行政区域、跨流域环境应急联动机制建设，提高信息互通、资源共享和协同处置。</w:t>
                  </w:r>
                </w:p>
              </w:tc>
              <w:tc>
                <w:tcPr>
                  <w:tcW w:w="1675" w:type="dxa"/>
                  <w:tcMar>
                    <w:top w:w="57" w:type="dxa"/>
                    <w:left w:w="108" w:type="dxa"/>
                    <w:bottom w:w="57" w:type="dxa"/>
                    <w:right w:w="108" w:type="dxa"/>
                  </w:tcMar>
                  <w:vAlign w:val="center"/>
                </w:tcPr>
                <w:p w14:paraId="7B5143AF">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本项目不涉及管控要求内容。</w:t>
                  </w:r>
                </w:p>
              </w:tc>
              <w:tc>
                <w:tcPr>
                  <w:tcW w:w="712" w:type="dxa"/>
                  <w:tcMar>
                    <w:top w:w="57" w:type="dxa"/>
                    <w:left w:w="108" w:type="dxa"/>
                    <w:bottom w:w="57" w:type="dxa"/>
                    <w:right w:w="108" w:type="dxa"/>
                  </w:tcMar>
                  <w:vAlign w:val="center"/>
                </w:tcPr>
                <w:p w14:paraId="779E9BB7">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68C7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1DDB681B">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05358EDB">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72B62020">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4FFB7126">
                  <w:pPr>
                    <w:pStyle w:val="3"/>
                    <w:spacing w:line="240" w:lineRule="auto"/>
                    <w:ind w:firstLine="0" w:firstLineChars="0"/>
                    <w:jc w:val="center"/>
                    <w:rPr>
                      <w:color w:val="auto"/>
                      <w:sz w:val="18"/>
                      <w:szCs w:val="18"/>
                      <w:highlight w:val="none"/>
                    </w:rPr>
                  </w:pPr>
                  <w:r>
                    <w:rPr>
                      <w:rFonts w:hint="eastAsia"/>
                      <w:color w:val="auto"/>
                      <w:sz w:val="18"/>
                      <w:szCs w:val="18"/>
                      <w:highlight w:val="none"/>
                    </w:rPr>
                    <w:t>1、加强流域环境应急队伍建设，定期开展流域环境应急演练。各县（市、区）重点针对重大环境风险企业突发污染事件，开展应急演练，加强多部门联合演练，加强环境应急专家队伍与救援队伍建设，加大环境应急资金投入。</w:t>
                  </w:r>
                </w:p>
              </w:tc>
              <w:tc>
                <w:tcPr>
                  <w:tcW w:w="1675" w:type="dxa"/>
                  <w:tcMar>
                    <w:top w:w="57" w:type="dxa"/>
                    <w:left w:w="108" w:type="dxa"/>
                    <w:bottom w:w="57" w:type="dxa"/>
                    <w:right w:w="108" w:type="dxa"/>
                  </w:tcMar>
                  <w:vAlign w:val="center"/>
                </w:tcPr>
                <w:p w14:paraId="7C308CA7">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周边无地表水体；本项目属于陆地矿产资源地质勘查，项目制定了较为周全的风险事故防范措施和事故应急预案，定期演练；若该井显示能够达到工业开采要求，则后期转入产能开发方案井中，纳入区块整体应急预案。</w:t>
                  </w:r>
                </w:p>
              </w:tc>
              <w:tc>
                <w:tcPr>
                  <w:tcW w:w="712" w:type="dxa"/>
                  <w:tcMar>
                    <w:top w:w="57" w:type="dxa"/>
                    <w:left w:w="108" w:type="dxa"/>
                    <w:bottom w:w="57" w:type="dxa"/>
                    <w:right w:w="108" w:type="dxa"/>
                  </w:tcMar>
                  <w:vAlign w:val="center"/>
                </w:tcPr>
                <w:p w14:paraId="6D90D84E">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1C26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36B3BE33">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28946905">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608DAB06">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35E6E696">
                  <w:pPr>
                    <w:pStyle w:val="3"/>
                    <w:spacing w:line="240" w:lineRule="auto"/>
                    <w:ind w:firstLine="0" w:firstLineChars="0"/>
                    <w:jc w:val="center"/>
                    <w:rPr>
                      <w:color w:val="auto"/>
                      <w:sz w:val="18"/>
                      <w:szCs w:val="18"/>
                      <w:highlight w:val="none"/>
                    </w:rPr>
                  </w:pPr>
                  <w:r>
                    <w:rPr>
                      <w:rFonts w:hint="eastAsia"/>
                      <w:color w:val="auto"/>
                      <w:sz w:val="18"/>
                      <w:szCs w:val="18"/>
                      <w:highlight w:val="none"/>
                    </w:rPr>
                    <w:t>1、头屯河、三屯河、塔西河、呼图壁河、三工河、甘河子河、开垦河、木垒河等主要流域干流沿岸，要严格控制石油加工、化工原料和化学制品制造、医药制造、化学纤维制造、有色金属冶炼、造纸等项目环境风险，合理布局生产装置及危险化学品仓储等设施。根据县市人民政府批复的生态基流方案，保障重点河流生态基流，逐步恢复河湖生态环境。</w:t>
                  </w:r>
                </w:p>
              </w:tc>
              <w:tc>
                <w:tcPr>
                  <w:tcW w:w="1675" w:type="dxa"/>
                  <w:tcMar>
                    <w:top w:w="57" w:type="dxa"/>
                    <w:left w:w="108" w:type="dxa"/>
                    <w:bottom w:w="57" w:type="dxa"/>
                    <w:right w:w="108" w:type="dxa"/>
                  </w:tcMar>
                  <w:vAlign w:val="center"/>
                </w:tcPr>
                <w:p w14:paraId="7628E76C">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本项目周边无地表水体。</w:t>
                  </w:r>
                </w:p>
              </w:tc>
              <w:tc>
                <w:tcPr>
                  <w:tcW w:w="712" w:type="dxa"/>
                  <w:tcMar>
                    <w:top w:w="57" w:type="dxa"/>
                    <w:left w:w="108" w:type="dxa"/>
                    <w:bottom w:w="57" w:type="dxa"/>
                    <w:right w:w="108" w:type="dxa"/>
                  </w:tcMar>
                  <w:vAlign w:val="center"/>
                </w:tcPr>
                <w:p w14:paraId="1A431FC2">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3003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7E261CC9">
                  <w:pPr>
                    <w:pStyle w:val="3"/>
                    <w:spacing w:line="240" w:lineRule="auto"/>
                    <w:ind w:firstLine="0" w:firstLineChars="0"/>
                    <w:jc w:val="center"/>
                    <w:rPr>
                      <w:color w:val="auto"/>
                      <w:sz w:val="18"/>
                      <w:szCs w:val="18"/>
                      <w:highlight w:val="none"/>
                    </w:rPr>
                  </w:pPr>
                </w:p>
              </w:tc>
              <w:tc>
                <w:tcPr>
                  <w:tcW w:w="494" w:type="dxa"/>
                  <w:vMerge w:val="restart"/>
                  <w:tcMar>
                    <w:top w:w="57" w:type="dxa"/>
                    <w:left w:w="108" w:type="dxa"/>
                    <w:bottom w:w="57" w:type="dxa"/>
                    <w:right w:w="108" w:type="dxa"/>
                  </w:tcMar>
                  <w:vAlign w:val="center"/>
                </w:tcPr>
                <w:p w14:paraId="172B51F8">
                  <w:pPr>
                    <w:pStyle w:val="3"/>
                    <w:spacing w:line="240" w:lineRule="auto"/>
                    <w:ind w:firstLine="0" w:firstLineChars="0"/>
                    <w:jc w:val="center"/>
                    <w:rPr>
                      <w:color w:val="auto"/>
                      <w:sz w:val="18"/>
                      <w:szCs w:val="18"/>
                      <w:highlight w:val="none"/>
                    </w:rPr>
                  </w:pPr>
                  <w:r>
                    <w:rPr>
                      <w:rFonts w:hint="eastAsia"/>
                      <w:color w:val="auto"/>
                      <w:sz w:val="18"/>
                      <w:szCs w:val="18"/>
                      <w:highlight w:val="none"/>
                    </w:rPr>
                    <w:t>资源利用效率要求</w:t>
                  </w:r>
                </w:p>
              </w:tc>
              <w:tc>
                <w:tcPr>
                  <w:tcW w:w="629" w:type="dxa"/>
                  <w:vMerge w:val="restart"/>
                  <w:tcMar>
                    <w:top w:w="57" w:type="dxa"/>
                    <w:left w:w="108" w:type="dxa"/>
                    <w:bottom w:w="57" w:type="dxa"/>
                    <w:right w:w="108" w:type="dxa"/>
                  </w:tcMar>
                  <w:vAlign w:val="center"/>
                </w:tcPr>
                <w:p w14:paraId="73F44FD0">
                  <w:pPr>
                    <w:pStyle w:val="3"/>
                    <w:spacing w:line="240" w:lineRule="auto"/>
                    <w:ind w:firstLine="0" w:firstLineChars="0"/>
                    <w:jc w:val="center"/>
                    <w:rPr>
                      <w:color w:val="auto"/>
                      <w:sz w:val="18"/>
                      <w:szCs w:val="18"/>
                      <w:highlight w:val="none"/>
                    </w:rPr>
                  </w:pPr>
                  <w:r>
                    <w:rPr>
                      <w:rFonts w:hint="eastAsia"/>
                      <w:color w:val="auto"/>
                      <w:sz w:val="18"/>
                      <w:szCs w:val="18"/>
                      <w:highlight w:val="none"/>
                    </w:rPr>
                    <w:t>水资源利用总量及效率要求</w:t>
                  </w:r>
                </w:p>
              </w:tc>
              <w:tc>
                <w:tcPr>
                  <w:tcW w:w="3316" w:type="dxa"/>
                  <w:tcMar>
                    <w:top w:w="57" w:type="dxa"/>
                    <w:left w:w="108" w:type="dxa"/>
                    <w:bottom w:w="57" w:type="dxa"/>
                    <w:right w:w="108" w:type="dxa"/>
                  </w:tcMar>
                  <w:vAlign w:val="center"/>
                </w:tcPr>
                <w:p w14:paraId="7EA6CBA8">
                  <w:pPr>
                    <w:pStyle w:val="3"/>
                    <w:spacing w:line="240" w:lineRule="auto"/>
                    <w:ind w:firstLine="0" w:firstLineChars="0"/>
                    <w:jc w:val="center"/>
                    <w:rPr>
                      <w:color w:val="auto"/>
                      <w:sz w:val="18"/>
                      <w:szCs w:val="18"/>
                      <w:highlight w:val="none"/>
                    </w:rPr>
                  </w:pPr>
                  <w:r>
                    <w:rPr>
                      <w:rFonts w:hint="eastAsia"/>
                      <w:color w:val="auto"/>
                      <w:sz w:val="18"/>
                      <w:szCs w:val="18"/>
                      <w:highlight w:val="none"/>
                    </w:rPr>
                    <w:t>1、用水总量控制在自治区下达的用水总量指标内。</w:t>
                  </w:r>
                </w:p>
              </w:tc>
              <w:tc>
                <w:tcPr>
                  <w:tcW w:w="1675" w:type="dxa"/>
                  <w:vMerge w:val="restart"/>
                  <w:tcMar>
                    <w:top w:w="57" w:type="dxa"/>
                    <w:left w:w="108" w:type="dxa"/>
                    <w:bottom w:w="57" w:type="dxa"/>
                    <w:right w:w="108" w:type="dxa"/>
                  </w:tcMar>
                  <w:vAlign w:val="center"/>
                </w:tcPr>
                <w:p w14:paraId="5FDFD7DA">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本项目施工期钻井废水循环利用，消耗新鲜水量较少，符合资源利用上线的要求。</w:t>
                  </w:r>
                </w:p>
              </w:tc>
              <w:tc>
                <w:tcPr>
                  <w:tcW w:w="712" w:type="dxa"/>
                  <w:tcMar>
                    <w:top w:w="57" w:type="dxa"/>
                    <w:left w:w="108" w:type="dxa"/>
                    <w:bottom w:w="57" w:type="dxa"/>
                    <w:right w:w="108" w:type="dxa"/>
                  </w:tcMar>
                  <w:vAlign w:val="center"/>
                </w:tcPr>
                <w:p w14:paraId="2968AEB9">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7DAC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18C0EB83">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3C17CB85">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77E7795E">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0627F301">
                  <w:pPr>
                    <w:pStyle w:val="3"/>
                    <w:spacing w:line="240" w:lineRule="auto"/>
                    <w:ind w:firstLine="0" w:firstLineChars="0"/>
                    <w:jc w:val="center"/>
                    <w:rPr>
                      <w:color w:val="auto"/>
                      <w:sz w:val="18"/>
                      <w:szCs w:val="18"/>
                      <w:highlight w:val="none"/>
                    </w:rPr>
                  </w:pPr>
                  <w:r>
                    <w:rPr>
                      <w:rFonts w:hint="eastAsia"/>
                      <w:color w:val="auto"/>
                      <w:sz w:val="18"/>
                      <w:szCs w:val="18"/>
                      <w:highlight w:val="none"/>
                    </w:rPr>
                    <w:t>1、深入实施最严格水资源管理。严守水资源开发利用控制、用水效率控制和水功能区限制纳污“三条红线”，严格实行区域用水总量和强度控制，强化用水定额管理。推进地下水超采综合治理。开展河湖生态流量（水量）确定工作，强化生态用水保障。</w:t>
                  </w:r>
                </w:p>
              </w:tc>
              <w:tc>
                <w:tcPr>
                  <w:tcW w:w="1675" w:type="dxa"/>
                  <w:vMerge w:val="continue"/>
                  <w:tcMar>
                    <w:top w:w="57" w:type="dxa"/>
                    <w:left w:w="108" w:type="dxa"/>
                    <w:bottom w:w="57" w:type="dxa"/>
                    <w:right w:w="108" w:type="dxa"/>
                  </w:tcMar>
                  <w:vAlign w:val="center"/>
                </w:tcPr>
                <w:p w14:paraId="45A2178C">
                  <w:pPr>
                    <w:pStyle w:val="3"/>
                    <w:spacing w:line="240" w:lineRule="auto"/>
                    <w:ind w:firstLine="0" w:firstLineChars="0"/>
                    <w:jc w:val="center"/>
                    <w:rPr>
                      <w:color w:val="auto"/>
                      <w:sz w:val="18"/>
                      <w:szCs w:val="18"/>
                      <w:highlight w:val="none"/>
                    </w:rPr>
                  </w:pPr>
                </w:p>
              </w:tc>
              <w:tc>
                <w:tcPr>
                  <w:tcW w:w="712" w:type="dxa"/>
                  <w:tcMar>
                    <w:top w:w="57" w:type="dxa"/>
                    <w:left w:w="108" w:type="dxa"/>
                    <w:bottom w:w="57" w:type="dxa"/>
                    <w:right w:w="108" w:type="dxa"/>
                  </w:tcMar>
                  <w:vAlign w:val="center"/>
                </w:tcPr>
                <w:p w14:paraId="766E39D0">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4B3C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683DFEBB">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2D622D6B">
                  <w:pPr>
                    <w:pStyle w:val="3"/>
                    <w:spacing w:line="240" w:lineRule="auto"/>
                    <w:ind w:firstLine="0" w:firstLineChars="0"/>
                    <w:jc w:val="center"/>
                    <w:rPr>
                      <w:color w:val="auto"/>
                      <w:sz w:val="18"/>
                      <w:szCs w:val="18"/>
                      <w:highlight w:val="none"/>
                    </w:rPr>
                  </w:pPr>
                </w:p>
              </w:tc>
              <w:tc>
                <w:tcPr>
                  <w:tcW w:w="629" w:type="dxa"/>
                  <w:vMerge w:val="restart"/>
                  <w:tcMar>
                    <w:top w:w="57" w:type="dxa"/>
                    <w:left w:w="108" w:type="dxa"/>
                    <w:bottom w:w="57" w:type="dxa"/>
                    <w:right w:w="108" w:type="dxa"/>
                  </w:tcMar>
                  <w:vAlign w:val="center"/>
                </w:tcPr>
                <w:p w14:paraId="2A752169">
                  <w:pPr>
                    <w:pStyle w:val="3"/>
                    <w:spacing w:line="240" w:lineRule="auto"/>
                    <w:ind w:firstLine="0" w:firstLineChars="0"/>
                    <w:jc w:val="center"/>
                    <w:rPr>
                      <w:color w:val="auto"/>
                      <w:sz w:val="18"/>
                      <w:szCs w:val="18"/>
                      <w:highlight w:val="none"/>
                    </w:rPr>
                  </w:pPr>
                  <w:r>
                    <w:rPr>
                      <w:rFonts w:hint="eastAsia"/>
                      <w:color w:val="auto"/>
                      <w:sz w:val="18"/>
                      <w:szCs w:val="18"/>
                      <w:highlight w:val="none"/>
                    </w:rPr>
                    <w:t>能源利用总量及效率要求</w:t>
                  </w:r>
                </w:p>
              </w:tc>
              <w:tc>
                <w:tcPr>
                  <w:tcW w:w="3316" w:type="dxa"/>
                  <w:tcMar>
                    <w:top w:w="57" w:type="dxa"/>
                    <w:left w:w="108" w:type="dxa"/>
                    <w:bottom w:w="57" w:type="dxa"/>
                    <w:right w:w="108" w:type="dxa"/>
                  </w:tcMar>
                  <w:vAlign w:val="center"/>
                </w:tcPr>
                <w:p w14:paraId="6A8F942E">
                  <w:pPr>
                    <w:pStyle w:val="3"/>
                    <w:spacing w:line="240" w:lineRule="auto"/>
                    <w:ind w:firstLine="0" w:firstLineChars="0"/>
                    <w:jc w:val="center"/>
                    <w:rPr>
                      <w:color w:val="auto"/>
                      <w:sz w:val="18"/>
                      <w:szCs w:val="18"/>
                      <w:highlight w:val="none"/>
                    </w:rPr>
                  </w:pPr>
                  <w:r>
                    <w:rPr>
                      <w:rFonts w:hint="eastAsia"/>
                      <w:color w:val="auto"/>
                      <w:sz w:val="18"/>
                      <w:szCs w:val="18"/>
                      <w:highlight w:val="none"/>
                    </w:rPr>
                    <w:t>1、“十四五”期间，昌吉州单位地区生产总值能耗下降15.5%，规模以上单位工业增加值能耗下降18%。</w:t>
                  </w:r>
                </w:p>
                <w:p w14:paraId="21349D27">
                  <w:pPr>
                    <w:pStyle w:val="3"/>
                    <w:spacing w:line="240" w:lineRule="auto"/>
                    <w:ind w:firstLine="0" w:firstLineChars="0"/>
                    <w:jc w:val="center"/>
                    <w:rPr>
                      <w:color w:val="auto"/>
                      <w:sz w:val="18"/>
                      <w:szCs w:val="18"/>
                      <w:highlight w:val="none"/>
                    </w:rPr>
                  </w:pPr>
                  <w:r>
                    <w:rPr>
                      <w:rFonts w:hint="eastAsia"/>
                      <w:color w:val="auto"/>
                      <w:sz w:val="18"/>
                      <w:szCs w:val="18"/>
                      <w:highlight w:val="none"/>
                    </w:rPr>
                    <w:t>2、新上项目的单位工业增加值能耗原则上要低于全州和所属行业规模以上工业增加值能耗均值，仅低于其中一项的，实行能耗等量减量替代；新上项目可采用新增负荷消纳等方式配套建设新能源项目，实现用能绿色替代。</w:t>
                  </w:r>
                </w:p>
              </w:tc>
              <w:tc>
                <w:tcPr>
                  <w:tcW w:w="1675" w:type="dxa"/>
                  <w:vMerge w:val="restart"/>
                  <w:tcMar>
                    <w:top w:w="57" w:type="dxa"/>
                    <w:left w:w="108" w:type="dxa"/>
                    <w:bottom w:w="57" w:type="dxa"/>
                    <w:right w:w="108" w:type="dxa"/>
                  </w:tcMar>
                  <w:vAlign w:val="center"/>
                </w:tcPr>
                <w:p w14:paraId="7A7D9EFB">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本项目不涉及总量控制指标。</w:t>
                  </w:r>
                </w:p>
              </w:tc>
              <w:tc>
                <w:tcPr>
                  <w:tcW w:w="712" w:type="dxa"/>
                  <w:tcMar>
                    <w:top w:w="57" w:type="dxa"/>
                    <w:left w:w="108" w:type="dxa"/>
                    <w:bottom w:w="57" w:type="dxa"/>
                    <w:right w:w="108" w:type="dxa"/>
                  </w:tcMar>
                  <w:vAlign w:val="center"/>
                </w:tcPr>
                <w:p w14:paraId="4048FDC4">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6C4B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5DE446CE">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197D2554">
                  <w:pPr>
                    <w:pStyle w:val="3"/>
                    <w:spacing w:line="240" w:lineRule="auto"/>
                    <w:ind w:firstLine="0" w:firstLineChars="0"/>
                    <w:jc w:val="center"/>
                    <w:rPr>
                      <w:color w:val="auto"/>
                      <w:sz w:val="18"/>
                      <w:szCs w:val="18"/>
                      <w:highlight w:val="none"/>
                    </w:rPr>
                  </w:pPr>
                </w:p>
              </w:tc>
              <w:tc>
                <w:tcPr>
                  <w:tcW w:w="629" w:type="dxa"/>
                  <w:vMerge w:val="continue"/>
                  <w:tcMar>
                    <w:top w:w="57" w:type="dxa"/>
                    <w:left w:w="108" w:type="dxa"/>
                    <w:bottom w:w="57" w:type="dxa"/>
                    <w:right w:w="108" w:type="dxa"/>
                  </w:tcMar>
                  <w:vAlign w:val="center"/>
                </w:tcPr>
                <w:p w14:paraId="710DCED8">
                  <w:pPr>
                    <w:pStyle w:val="3"/>
                    <w:spacing w:line="240" w:lineRule="auto"/>
                    <w:ind w:firstLine="0" w:firstLineChars="0"/>
                    <w:jc w:val="center"/>
                    <w:rPr>
                      <w:color w:val="auto"/>
                      <w:sz w:val="18"/>
                      <w:szCs w:val="18"/>
                      <w:highlight w:val="none"/>
                    </w:rPr>
                  </w:pPr>
                </w:p>
              </w:tc>
              <w:tc>
                <w:tcPr>
                  <w:tcW w:w="3316" w:type="dxa"/>
                  <w:tcMar>
                    <w:top w:w="57" w:type="dxa"/>
                    <w:left w:w="108" w:type="dxa"/>
                    <w:bottom w:w="57" w:type="dxa"/>
                    <w:right w:w="108" w:type="dxa"/>
                  </w:tcMar>
                  <w:vAlign w:val="center"/>
                </w:tcPr>
                <w:p w14:paraId="39C531AD">
                  <w:pPr>
                    <w:pStyle w:val="3"/>
                    <w:spacing w:line="240" w:lineRule="auto"/>
                    <w:ind w:firstLine="0" w:firstLineChars="0"/>
                    <w:jc w:val="center"/>
                    <w:rPr>
                      <w:color w:val="auto"/>
                      <w:sz w:val="18"/>
                      <w:szCs w:val="18"/>
                      <w:highlight w:val="none"/>
                    </w:rPr>
                  </w:pPr>
                  <w:r>
                    <w:rPr>
                      <w:rFonts w:hint="eastAsia"/>
                      <w:color w:val="auto"/>
                      <w:sz w:val="18"/>
                      <w:szCs w:val="18"/>
                      <w:highlight w:val="none"/>
                    </w:rPr>
                    <w:t>1、到2025年，绿色低碳循环发展经济体系初步形成。单位地区生产总值二氧化碳排放下降强度完成国家和自治区下达指标。</w:t>
                  </w:r>
                </w:p>
              </w:tc>
              <w:tc>
                <w:tcPr>
                  <w:tcW w:w="1675" w:type="dxa"/>
                  <w:vMerge w:val="continue"/>
                  <w:tcMar>
                    <w:top w:w="57" w:type="dxa"/>
                    <w:left w:w="108" w:type="dxa"/>
                    <w:bottom w:w="57" w:type="dxa"/>
                    <w:right w:w="108" w:type="dxa"/>
                  </w:tcMar>
                  <w:vAlign w:val="center"/>
                </w:tcPr>
                <w:p w14:paraId="5D0F8167">
                  <w:pPr>
                    <w:pStyle w:val="3"/>
                    <w:spacing w:line="240" w:lineRule="auto"/>
                    <w:ind w:firstLine="0" w:firstLineChars="0"/>
                    <w:jc w:val="center"/>
                    <w:rPr>
                      <w:color w:val="auto"/>
                      <w:sz w:val="18"/>
                      <w:szCs w:val="18"/>
                      <w:highlight w:val="none"/>
                    </w:rPr>
                  </w:pPr>
                </w:p>
              </w:tc>
              <w:tc>
                <w:tcPr>
                  <w:tcW w:w="712" w:type="dxa"/>
                  <w:tcMar>
                    <w:top w:w="57" w:type="dxa"/>
                    <w:left w:w="108" w:type="dxa"/>
                    <w:bottom w:w="57" w:type="dxa"/>
                    <w:right w:w="108" w:type="dxa"/>
                  </w:tcMar>
                  <w:vAlign w:val="center"/>
                </w:tcPr>
                <w:p w14:paraId="36E4382A">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r w14:paraId="74C6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vMerge w:val="continue"/>
                  <w:tcMar>
                    <w:top w:w="57" w:type="dxa"/>
                    <w:left w:w="108" w:type="dxa"/>
                    <w:bottom w:w="57" w:type="dxa"/>
                    <w:right w:w="108" w:type="dxa"/>
                  </w:tcMar>
                  <w:vAlign w:val="center"/>
                </w:tcPr>
                <w:p w14:paraId="28302C90">
                  <w:pPr>
                    <w:pStyle w:val="3"/>
                    <w:spacing w:line="240" w:lineRule="auto"/>
                    <w:ind w:firstLine="0" w:firstLineChars="0"/>
                    <w:jc w:val="center"/>
                    <w:rPr>
                      <w:color w:val="auto"/>
                      <w:sz w:val="18"/>
                      <w:szCs w:val="18"/>
                      <w:highlight w:val="none"/>
                    </w:rPr>
                  </w:pPr>
                </w:p>
              </w:tc>
              <w:tc>
                <w:tcPr>
                  <w:tcW w:w="494" w:type="dxa"/>
                  <w:vMerge w:val="continue"/>
                  <w:tcMar>
                    <w:top w:w="57" w:type="dxa"/>
                    <w:left w:w="108" w:type="dxa"/>
                    <w:bottom w:w="57" w:type="dxa"/>
                    <w:right w:w="108" w:type="dxa"/>
                  </w:tcMar>
                  <w:vAlign w:val="center"/>
                </w:tcPr>
                <w:p w14:paraId="5B2A6B59">
                  <w:pPr>
                    <w:pStyle w:val="3"/>
                    <w:spacing w:line="240" w:lineRule="auto"/>
                    <w:ind w:firstLine="0" w:firstLineChars="0"/>
                    <w:jc w:val="center"/>
                    <w:rPr>
                      <w:color w:val="auto"/>
                      <w:sz w:val="18"/>
                      <w:szCs w:val="18"/>
                      <w:highlight w:val="none"/>
                    </w:rPr>
                  </w:pPr>
                </w:p>
              </w:tc>
              <w:tc>
                <w:tcPr>
                  <w:tcW w:w="629" w:type="dxa"/>
                  <w:tcMar>
                    <w:top w:w="57" w:type="dxa"/>
                    <w:left w:w="108" w:type="dxa"/>
                    <w:bottom w:w="57" w:type="dxa"/>
                    <w:right w:w="108" w:type="dxa"/>
                  </w:tcMar>
                  <w:vAlign w:val="center"/>
                </w:tcPr>
                <w:p w14:paraId="056529C6">
                  <w:pPr>
                    <w:pStyle w:val="3"/>
                    <w:spacing w:line="240" w:lineRule="auto"/>
                    <w:ind w:firstLine="0" w:firstLineChars="0"/>
                    <w:jc w:val="center"/>
                    <w:rPr>
                      <w:color w:val="auto"/>
                      <w:sz w:val="18"/>
                      <w:szCs w:val="18"/>
                      <w:highlight w:val="none"/>
                    </w:rPr>
                  </w:pPr>
                  <w:r>
                    <w:rPr>
                      <w:rFonts w:hint="eastAsia"/>
                      <w:color w:val="auto"/>
                      <w:sz w:val="18"/>
                      <w:szCs w:val="18"/>
                      <w:highlight w:val="none"/>
                    </w:rPr>
                    <w:t>禁燃区要求</w:t>
                  </w:r>
                </w:p>
              </w:tc>
              <w:tc>
                <w:tcPr>
                  <w:tcW w:w="3316" w:type="dxa"/>
                  <w:tcMar>
                    <w:top w:w="57" w:type="dxa"/>
                    <w:left w:w="108" w:type="dxa"/>
                    <w:bottom w:w="57" w:type="dxa"/>
                    <w:right w:w="108" w:type="dxa"/>
                  </w:tcMar>
                  <w:vAlign w:val="center"/>
                </w:tcPr>
                <w:p w14:paraId="15004EC0">
                  <w:pPr>
                    <w:pStyle w:val="3"/>
                    <w:spacing w:line="240" w:lineRule="auto"/>
                    <w:ind w:firstLine="0" w:firstLineChars="0"/>
                    <w:jc w:val="center"/>
                    <w:rPr>
                      <w:color w:val="auto"/>
                      <w:sz w:val="18"/>
                      <w:szCs w:val="18"/>
                      <w:highlight w:val="none"/>
                    </w:rPr>
                  </w:pPr>
                  <w:r>
                    <w:rPr>
                      <w:rFonts w:hint="eastAsia"/>
                      <w:color w:val="auto"/>
                      <w:sz w:val="18"/>
                      <w:szCs w:val="18"/>
                      <w:highlight w:val="none"/>
                    </w:rPr>
                    <w:t>1、禁燃区内的单位、个体经营户和个人禁止生产、销售、燃用高污染燃料。</w:t>
                  </w:r>
                </w:p>
                <w:p w14:paraId="47D9C99B">
                  <w:pPr>
                    <w:pStyle w:val="3"/>
                    <w:spacing w:line="240" w:lineRule="auto"/>
                    <w:ind w:firstLine="0" w:firstLineChars="0"/>
                    <w:jc w:val="center"/>
                    <w:rPr>
                      <w:color w:val="auto"/>
                      <w:sz w:val="18"/>
                      <w:szCs w:val="18"/>
                      <w:highlight w:val="none"/>
                    </w:rPr>
                  </w:pPr>
                  <w:r>
                    <w:rPr>
                      <w:rFonts w:hint="eastAsia"/>
                      <w:color w:val="auto"/>
                      <w:sz w:val="18"/>
                      <w:szCs w:val="18"/>
                      <w:highlight w:val="none"/>
                    </w:rPr>
                    <w:t>2、禁燃区内的单位、个体经营户和个人禁止新建、扩建使用高污染燃料的设施；已建成的应当在各县（市）人民政府规定的期限内停止燃用高污染燃料，改用天然气、页岩气、液化气、油气、电等清洁能源或者在规定的期限内拆除。</w:t>
                  </w:r>
                </w:p>
              </w:tc>
              <w:tc>
                <w:tcPr>
                  <w:tcW w:w="1675" w:type="dxa"/>
                  <w:tcMar>
                    <w:top w:w="57" w:type="dxa"/>
                    <w:left w:w="108" w:type="dxa"/>
                    <w:bottom w:w="57" w:type="dxa"/>
                    <w:right w:w="108" w:type="dxa"/>
                  </w:tcMar>
                  <w:vAlign w:val="center"/>
                </w:tcPr>
                <w:p w14:paraId="09181F72">
                  <w:pPr>
                    <w:pStyle w:val="3"/>
                    <w:spacing w:line="240" w:lineRule="auto"/>
                    <w:ind w:firstLine="0" w:firstLineChars="0"/>
                    <w:jc w:val="center"/>
                    <w:rPr>
                      <w:color w:val="auto"/>
                      <w:sz w:val="18"/>
                      <w:szCs w:val="18"/>
                      <w:highlight w:val="none"/>
                    </w:rPr>
                  </w:pPr>
                  <w:r>
                    <w:rPr>
                      <w:rFonts w:hint="eastAsia"/>
                      <w:color w:val="auto"/>
                      <w:sz w:val="18"/>
                      <w:szCs w:val="18"/>
                      <w:highlight w:val="none"/>
                    </w:rPr>
                    <w:t>本项目不涉及生产、销售、燃用高污染燃料。</w:t>
                  </w:r>
                </w:p>
              </w:tc>
              <w:tc>
                <w:tcPr>
                  <w:tcW w:w="712" w:type="dxa"/>
                  <w:tcMar>
                    <w:top w:w="57" w:type="dxa"/>
                    <w:left w:w="108" w:type="dxa"/>
                    <w:bottom w:w="57" w:type="dxa"/>
                    <w:right w:w="108" w:type="dxa"/>
                  </w:tcMar>
                  <w:vAlign w:val="center"/>
                </w:tcPr>
                <w:p w14:paraId="7D7B0D9C">
                  <w:pPr>
                    <w:pStyle w:val="3"/>
                    <w:spacing w:line="240" w:lineRule="auto"/>
                    <w:ind w:firstLine="0" w:firstLineChars="0"/>
                    <w:jc w:val="center"/>
                    <w:rPr>
                      <w:color w:val="auto"/>
                      <w:sz w:val="18"/>
                      <w:szCs w:val="18"/>
                      <w:highlight w:val="none"/>
                    </w:rPr>
                  </w:pPr>
                  <w:r>
                    <w:rPr>
                      <w:rFonts w:hint="eastAsia"/>
                      <w:color w:val="auto"/>
                      <w:sz w:val="18"/>
                      <w:szCs w:val="18"/>
                      <w:highlight w:val="none"/>
                    </w:rPr>
                    <w:t>符合</w:t>
                  </w:r>
                </w:p>
              </w:tc>
            </w:tr>
          </w:tbl>
          <w:p w14:paraId="6EA7BA72">
            <w:pPr>
              <w:pStyle w:val="3"/>
              <w:ind w:firstLine="0" w:firstLineChars="0"/>
              <w:rPr>
                <w:color w:val="auto"/>
                <w:sz w:val="21"/>
                <w:highlight w:val="none"/>
              </w:rPr>
            </w:pPr>
          </w:p>
          <w:p w14:paraId="33A8ABAA">
            <w:pPr>
              <w:pStyle w:val="3"/>
              <w:numPr>
                <w:ilvl w:val="0"/>
                <w:numId w:val="9"/>
              </w:numPr>
              <w:ind w:firstLine="420"/>
              <w:rPr>
                <w:color w:val="auto"/>
                <w:sz w:val="21"/>
                <w:highlight w:val="none"/>
              </w:rPr>
            </w:pPr>
            <w:r>
              <w:rPr>
                <w:rFonts w:hint="eastAsia"/>
                <w:color w:val="auto"/>
                <w:sz w:val="21"/>
                <w:highlight w:val="none"/>
              </w:rPr>
              <w:t>与阜康市环境管控要求符合性分析</w:t>
            </w:r>
          </w:p>
          <w:p w14:paraId="68CE6329">
            <w:pPr>
              <w:pStyle w:val="3"/>
              <w:ind w:firstLine="420"/>
              <w:rPr>
                <w:color w:val="auto"/>
                <w:sz w:val="21"/>
                <w:highlight w:val="none"/>
              </w:rPr>
            </w:pPr>
            <w:r>
              <w:rPr>
                <w:rFonts w:hint="eastAsia" w:cs="宋体"/>
                <w:color w:val="auto"/>
                <w:sz w:val="21"/>
                <w:szCs w:val="20"/>
                <w:highlight w:val="none"/>
              </w:rPr>
              <w:t>根据《关于发布昌吉回族自治州生态环境分区管控动态更新成果的公告》（昌吉州人民政府，</w:t>
            </w:r>
            <w:r>
              <w:rPr>
                <w:rFonts w:cs="宋体"/>
                <w:color w:val="auto"/>
                <w:sz w:val="21"/>
                <w:szCs w:val="20"/>
                <w:highlight w:val="none"/>
              </w:rPr>
              <w:t>2025</w:t>
            </w:r>
            <w:r>
              <w:rPr>
                <w:rFonts w:hint="eastAsia" w:cs="宋体"/>
                <w:color w:val="auto"/>
                <w:sz w:val="21"/>
                <w:szCs w:val="20"/>
                <w:highlight w:val="none"/>
              </w:rPr>
              <w:t>年1月</w:t>
            </w:r>
            <w:r>
              <w:rPr>
                <w:rFonts w:cs="宋体"/>
                <w:color w:val="auto"/>
                <w:sz w:val="21"/>
                <w:szCs w:val="20"/>
                <w:highlight w:val="none"/>
              </w:rPr>
              <w:t>10</w:t>
            </w:r>
            <w:r>
              <w:rPr>
                <w:rFonts w:hint="eastAsia" w:cs="宋体"/>
                <w:color w:val="auto"/>
                <w:sz w:val="21"/>
                <w:szCs w:val="20"/>
                <w:highlight w:val="none"/>
              </w:rPr>
              <w:t>日），本项目属于阜康市一般管控单元，本项目与管控要求符合性分析</w:t>
            </w:r>
            <w:r>
              <w:rPr>
                <w:color w:val="auto"/>
                <w:highlight w:val="none"/>
              </w:rPr>
              <w:fldChar w:fldCharType="begin"/>
            </w:r>
            <w:r>
              <w:rPr>
                <w:color w:val="auto"/>
              </w:rPr>
              <w:instrText xml:space="preserve"> REF _Ref1571286924 \h  \* MERGEFORMAT</w:instrText>
            </w:r>
            <w:r>
              <w:rPr>
                <w:color w:val="auto"/>
                <w:highlight w:val="none"/>
              </w:rPr>
              <w:fldChar w:fldCharType="separate"/>
            </w:r>
            <w:r>
              <w:rPr>
                <w:color w:val="auto"/>
                <w:sz w:val="21"/>
                <w:highlight w:val="none"/>
              </w:rPr>
              <w:t>表6</w:t>
            </w:r>
            <w:r>
              <w:rPr>
                <w:color w:val="auto"/>
                <w:highlight w:val="none"/>
              </w:rPr>
              <w:fldChar w:fldCharType="end"/>
            </w:r>
            <w:r>
              <w:rPr>
                <w:rFonts w:hint="eastAsia"/>
                <w:color w:val="auto"/>
                <w:sz w:val="21"/>
                <w:highlight w:val="none"/>
              </w:rPr>
              <w:t>，与昌吉回族自治州环境管控单元位置关系见附图</w:t>
            </w:r>
            <w:r>
              <w:rPr>
                <w:rFonts w:hint="eastAsia"/>
                <w:color w:val="auto"/>
                <w:sz w:val="21"/>
                <w:highlight w:val="none"/>
                <w:lang w:val="en-US" w:eastAsia="zh-CN"/>
              </w:rPr>
              <w:t>7</w:t>
            </w:r>
            <w:r>
              <w:rPr>
                <w:rFonts w:hint="eastAsia" w:cs="宋体"/>
                <w:color w:val="auto"/>
                <w:sz w:val="21"/>
                <w:szCs w:val="20"/>
                <w:highlight w:val="none"/>
              </w:rPr>
              <w:t>。</w:t>
            </w:r>
          </w:p>
          <w:p w14:paraId="50BF03E5">
            <w:pPr>
              <w:pStyle w:val="13"/>
              <w:bidi w:val="0"/>
              <w:rPr>
                <w:color w:val="auto"/>
                <w:highlight w:val="none"/>
              </w:rPr>
            </w:pPr>
            <w:bookmarkStart w:id="6" w:name="_Ref1571286924"/>
            <w:r>
              <w:rPr>
                <w:color w:val="auto"/>
                <w:highlight w:val="none"/>
              </w:rPr>
              <w:t>表</w:t>
            </w:r>
            <w:r>
              <w:rPr>
                <w:color w:val="auto"/>
                <w:highlight w:val="none"/>
              </w:rPr>
              <w:fldChar w:fldCharType="begin"/>
            </w:r>
            <w:r>
              <w:rPr>
                <w:color w:val="auto"/>
                <w:highlight w:val="none"/>
              </w:rPr>
              <w:instrText xml:space="preserve"> SEQ 表 \*ARABIC </w:instrText>
            </w:r>
            <w:r>
              <w:rPr>
                <w:color w:val="auto"/>
                <w:highlight w:val="none"/>
              </w:rPr>
              <w:fldChar w:fldCharType="separate"/>
            </w:r>
            <w:r>
              <w:rPr>
                <w:color w:val="auto"/>
                <w:highlight w:val="none"/>
              </w:rPr>
              <w:t>6</w:t>
            </w:r>
            <w:r>
              <w:rPr>
                <w:color w:val="auto"/>
                <w:highlight w:val="none"/>
              </w:rPr>
              <w:fldChar w:fldCharType="end"/>
            </w:r>
            <w:bookmarkEnd w:id="6"/>
            <w:r>
              <w:rPr>
                <w:color w:val="auto"/>
                <w:highlight w:val="none"/>
              </w:rPr>
              <w:t xml:space="preserve">  </w:t>
            </w:r>
            <w:r>
              <w:rPr>
                <w:rFonts w:hint="eastAsia"/>
                <w:color w:val="auto"/>
                <w:highlight w:val="none"/>
              </w:rPr>
              <w:t>本项目与“阜康市一般管控单元管控要求”符合性分析</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773"/>
              <w:gridCol w:w="962"/>
              <w:gridCol w:w="2443"/>
              <w:gridCol w:w="1926"/>
              <w:gridCol w:w="396"/>
            </w:tblGrid>
            <w:tr w14:paraId="0F1F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0"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B054687">
                  <w:pPr>
                    <w:pStyle w:val="97"/>
                    <w:rPr>
                      <w:rFonts w:hAnsi="宋体" w:cs="宋体"/>
                      <w:color w:val="auto"/>
                      <w:sz w:val="18"/>
                      <w:szCs w:val="18"/>
                      <w:highlight w:val="none"/>
                    </w:rPr>
                  </w:pPr>
                  <w:r>
                    <w:rPr>
                      <w:rFonts w:hint="eastAsia" w:hAnsi="宋体" w:cs="宋体"/>
                      <w:color w:val="auto"/>
                      <w:sz w:val="18"/>
                      <w:szCs w:val="18"/>
                      <w:highlight w:val="none"/>
                    </w:rPr>
                    <w:t>单元编号</w:t>
                  </w:r>
                </w:p>
              </w:tc>
              <w:tc>
                <w:tcPr>
                  <w:tcW w:w="79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46F76D2">
                  <w:pPr>
                    <w:pStyle w:val="97"/>
                    <w:rPr>
                      <w:rFonts w:hAnsi="宋体" w:cs="宋体"/>
                      <w:color w:val="auto"/>
                      <w:sz w:val="18"/>
                      <w:szCs w:val="18"/>
                      <w:highlight w:val="none"/>
                    </w:rPr>
                  </w:pPr>
                  <w:r>
                    <w:rPr>
                      <w:rFonts w:hint="eastAsia" w:hAnsi="宋体" w:cs="宋体"/>
                      <w:color w:val="auto"/>
                      <w:sz w:val="18"/>
                      <w:szCs w:val="18"/>
                      <w:highlight w:val="none"/>
                    </w:rPr>
                    <w:t>环境管控</w:t>
                  </w:r>
                </w:p>
              </w:tc>
              <w:tc>
                <w:tcPr>
                  <w:tcW w:w="3541" w:type="dxa"/>
                  <w:gridSpan w:val="2"/>
                  <w:tcBorders>
                    <w:top w:val="single" w:color="auto" w:sz="4" w:space="0"/>
                    <w:left w:val="single" w:color="auto" w:sz="4" w:space="0"/>
                    <w:right w:val="single" w:color="auto" w:sz="4" w:space="0"/>
                  </w:tcBorders>
                  <w:tcMar>
                    <w:top w:w="57" w:type="dxa"/>
                    <w:left w:w="108" w:type="dxa"/>
                    <w:bottom w:w="57" w:type="dxa"/>
                    <w:right w:w="108" w:type="dxa"/>
                  </w:tcMar>
                  <w:vAlign w:val="center"/>
                </w:tcPr>
                <w:p w14:paraId="632E1E98">
                  <w:pPr>
                    <w:pStyle w:val="97"/>
                    <w:rPr>
                      <w:rFonts w:hAnsi="宋体" w:cs="宋体"/>
                      <w:color w:val="auto"/>
                      <w:sz w:val="18"/>
                      <w:szCs w:val="18"/>
                      <w:highlight w:val="none"/>
                    </w:rPr>
                  </w:pPr>
                  <w:r>
                    <w:rPr>
                      <w:rFonts w:hint="eastAsia" w:hAnsi="宋体" w:cs="宋体"/>
                      <w:color w:val="auto"/>
                      <w:sz w:val="18"/>
                      <w:szCs w:val="18"/>
                      <w:highlight w:val="none"/>
                    </w:rPr>
                    <w:t>管控要求</w:t>
                  </w:r>
                </w:p>
              </w:tc>
              <w:tc>
                <w:tcPr>
                  <w:tcW w:w="198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B5891EB">
                  <w:pPr>
                    <w:pStyle w:val="97"/>
                    <w:rPr>
                      <w:rFonts w:hAnsi="宋体" w:cs="宋体"/>
                      <w:color w:val="auto"/>
                      <w:sz w:val="18"/>
                      <w:szCs w:val="18"/>
                      <w:highlight w:val="none"/>
                    </w:rPr>
                  </w:pPr>
                  <w:r>
                    <w:rPr>
                      <w:rFonts w:hint="eastAsia" w:hAnsi="宋体" w:cs="宋体"/>
                      <w:color w:val="auto"/>
                      <w:sz w:val="18"/>
                      <w:szCs w:val="18"/>
                      <w:highlight w:val="none"/>
                    </w:rPr>
                    <w:t>项目情况</w:t>
                  </w:r>
                </w:p>
              </w:tc>
              <w:tc>
                <w:tcPr>
                  <w:tcW w:w="0" w:type="auto"/>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FE2E95F">
                  <w:pPr>
                    <w:pStyle w:val="97"/>
                    <w:rPr>
                      <w:rFonts w:hAnsi="宋体" w:cs="宋体"/>
                      <w:color w:val="auto"/>
                      <w:sz w:val="18"/>
                      <w:szCs w:val="18"/>
                      <w:highlight w:val="none"/>
                    </w:rPr>
                  </w:pPr>
                  <w:r>
                    <w:rPr>
                      <w:rFonts w:hint="eastAsia" w:hAnsi="宋体" w:cs="宋体"/>
                      <w:color w:val="auto"/>
                      <w:sz w:val="18"/>
                      <w:szCs w:val="18"/>
                      <w:highlight w:val="none"/>
                    </w:rPr>
                    <w:t>符合性</w:t>
                  </w:r>
                </w:p>
              </w:tc>
            </w:tr>
            <w:tr w14:paraId="30B2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0" w:type="dxa"/>
                  <w:vMerge w:val="restart"/>
                  <w:tcBorders>
                    <w:top w:val="single" w:color="auto" w:sz="4" w:space="0"/>
                    <w:left w:val="single" w:color="auto" w:sz="4" w:space="0"/>
                    <w:right w:val="single" w:color="auto" w:sz="4" w:space="0"/>
                  </w:tcBorders>
                  <w:tcMar>
                    <w:top w:w="57" w:type="dxa"/>
                    <w:left w:w="108" w:type="dxa"/>
                    <w:bottom w:w="57" w:type="dxa"/>
                    <w:right w:w="108" w:type="dxa"/>
                  </w:tcMar>
                  <w:vAlign w:val="center"/>
                </w:tcPr>
                <w:p w14:paraId="602015CF">
                  <w:pPr>
                    <w:pStyle w:val="97"/>
                    <w:rPr>
                      <w:rFonts w:hAnsi="宋体" w:cs="宋体"/>
                      <w:color w:val="auto"/>
                      <w:sz w:val="18"/>
                      <w:szCs w:val="18"/>
                      <w:highlight w:val="none"/>
                    </w:rPr>
                  </w:pPr>
                  <w:r>
                    <w:rPr>
                      <w:rFonts w:hint="eastAsia" w:hAnsi="宋体" w:cs="宋体"/>
                      <w:color w:val="auto"/>
                      <w:sz w:val="18"/>
                      <w:szCs w:val="18"/>
                      <w:highlight w:val="none"/>
                    </w:rPr>
                    <w:t>ZH65230</w:t>
                  </w:r>
                </w:p>
                <w:p w14:paraId="72B20156">
                  <w:pPr>
                    <w:pStyle w:val="97"/>
                    <w:rPr>
                      <w:rFonts w:hAnsi="宋体" w:cs="宋体"/>
                      <w:color w:val="auto"/>
                      <w:sz w:val="18"/>
                      <w:szCs w:val="18"/>
                      <w:highlight w:val="none"/>
                    </w:rPr>
                  </w:pPr>
                  <w:r>
                    <w:rPr>
                      <w:rFonts w:hint="eastAsia" w:hAnsi="宋体" w:cs="宋体"/>
                      <w:color w:val="auto"/>
                      <w:sz w:val="18"/>
                      <w:szCs w:val="18"/>
                      <w:highlight w:val="none"/>
                    </w:rPr>
                    <w:t>2300</w:t>
                  </w:r>
                  <w:r>
                    <w:rPr>
                      <w:rFonts w:ascii="仿宋" w:hAnsi="仿宋" w:eastAsia="仿宋" w:cs="仿宋"/>
                      <w:color w:val="auto"/>
                      <w:kern w:val="0"/>
                      <w:sz w:val="20"/>
                      <w:szCs w:val="20"/>
                      <w:highlight w:val="none"/>
                      <w:lang w:bidi="ar"/>
                    </w:rPr>
                    <w:t>01</w:t>
                  </w:r>
                </w:p>
              </w:tc>
              <w:tc>
                <w:tcPr>
                  <w:tcW w:w="79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1EA3787">
                  <w:pPr>
                    <w:pStyle w:val="97"/>
                    <w:rPr>
                      <w:rFonts w:hAnsi="宋体" w:cs="宋体"/>
                      <w:color w:val="auto"/>
                      <w:sz w:val="18"/>
                      <w:szCs w:val="18"/>
                      <w:highlight w:val="none"/>
                    </w:rPr>
                  </w:pPr>
                  <w:r>
                    <w:rPr>
                      <w:rFonts w:hint="eastAsia" w:hAnsi="宋体" w:cs="宋体"/>
                      <w:color w:val="auto"/>
                      <w:sz w:val="18"/>
                      <w:szCs w:val="18"/>
                      <w:highlight w:val="none"/>
                    </w:rPr>
                    <w:t>空间布</w:t>
                  </w:r>
                </w:p>
                <w:p w14:paraId="0161167B">
                  <w:pPr>
                    <w:pStyle w:val="97"/>
                    <w:rPr>
                      <w:rFonts w:hAnsi="宋体" w:cs="宋体"/>
                      <w:color w:val="auto"/>
                      <w:sz w:val="18"/>
                      <w:szCs w:val="18"/>
                      <w:highlight w:val="none"/>
                    </w:rPr>
                  </w:pPr>
                  <w:r>
                    <w:rPr>
                      <w:rFonts w:hint="eastAsia" w:hAnsi="宋体" w:cs="宋体"/>
                      <w:color w:val="auto"/>
                      <w:sz w:val="18"/>
                      <w:szCs w:val="18"/>
                      <w:highlight w:val="none"/>
                    </w:rPr>
                    <w:t>局约束</w:t>
                  </w:r>
                </w:p>
              </w:tc>
              <w:tc>
                <w:tcPr>
                  <w:tcW w:w="996" w:type="dxa"/>
                  <w:tcBorders>
                    <w:left w:val="single" w:color="auto" w:sz="4" w:space="0"/>
                    <w:right w:val="single" w:color="auto" w:sz="4" w:space="0"/>
                  </w:tcBorders>
                  <w:tcMar>
                    <w:top w:w="57" w:type="dxa"/>
                    <w:left w:w="108" w:type="dxa"/>
                    <w:bottom w:w="57" w:type="dxa"/>
                    <w:right w:w="108" w:type="dxa"/>
                  </w:tcMar>
                  <w:vAlign w:val="center"/>
                </w:tcPr>
                <w:p w14:paraId="04A81766">
                  <w:pPr>
                    <w:pStyle w:val="97"/>
                    <w:rPr>
                      <w:rFonts w:hAnsi="宋体" w:cs="宋体"/>
                      <w:color w:val="auto"/>
                      <w:sz w:val="18"/>
                      <w:szCs w:val="18"/>
                      <w:highlight w:val="none"/>
                    </w:rPr>
                  </w:pPr>
                  <w:r>
                    <w:rPr>
                      <w:rFonts w:hint="eastAsia" w:hAnsi="宋体" w:cs="宋体"/>
                      <w:color w:val="auto"/>
                      <w:sz w:val="18"/>
                      <w:szCs w:val="18"/>
                      <w:highlight w:val="none"/>
                    </w:rPr>
                    <w:t>执行自治区总体准入要求中关于一般环境管控单元的准入要求</w:t>
                  </w:r>
                </w:p>
              </w:tc>
              <w:tc>
                <w:tcPr>
                  <w:tcW w:w="2545" w:type="dxa"/>
                  <w:tcBorders>
                    <w:left w:val="single" w:color="auto" w:sz="4" w:space="0"/>
                    <w:right w:val="single" w:color="auto" w:sz="4" w:space="0"/>
                  </w:tcBorders>
                  <w:tcMar>
                    <w:top w:w="57" w:type="dxa"/>
                    <w:left w:w="108" w:type="dxa"/>
                    <w:bottom w:w="57" w:type="dxa"/>
                    <w:right w:w="108" w:type="dxa"/>
                  </w:tcMar>
                  <w:vAlign w:val="center"/>
                </w:tcPr>
                <w:p w14:paraId="3F9645B3">
                  <w:pPr>
                    <w:pStyle w:val="97"/>
                    <w:jc w:val="both"/>
                    <w:rPr>
                      <w:rFonts w:hAnsi="宋体" w:cs="宋体"/>
                      <w:color w:val="auto"/>
                      <w:sz w:val="18"/>
                      <w:szCs w:val="18"/>
                      <w:highlight w:val="none"/>
                    </w:rPr>
                  </w:pPr>
                  <w:r>
                    <w:rPr>
                      <w:rFonts w:hint="eastAsia" w:hAnsi="宋体" w:cs="宋体"/>
                      <w:color w:val="auto"/>
                      <w:sz w:val="18"/>
                      <w:szCs w:val="18"/>
                      <w:highlight w:val="none"/>
                    </w:rPr>
                    <w:t>1、应符合国土空间规划要求。</w:t>
                  </w:r>
                </w:p>
                <w:p w14:paraId="02FCB85C">
                  <w:pPr>
                    <w:pStyle w:val="97"/>
                    <w:jc w:val="both"/>
                    <w:rPr>
                      <w:rFonts w:hAnsi="宋体" w:cs="宋体"/>
                      <w:color w:val="auto"/>
                      <w:sz w:val="18"/>
                      <w:szCs w:val="18"/>
                      <w:highlight w:val="none"/>
                    </w:rPr>
                  </w:pPr>
                  <w:r>
                    <w:rPr>
                      <w:rFonts w:hint="eastAsia" w:hAnsi="宋体" w:cs="宋体"/>
                      <w:color w:val="auto"/>
                      <w:sz w:val="18"/>
                      <w:szCs w:val="18"/>
                      <w:highlight w:val="none"/>
                    </w:rPr>
                    <w:t>2、应符合《产业结构调整指导目录（2024年本）》《市场准入负面清单》（202</w:t>
                  </w:r>
                  <w:r>
                    <w:rPr>
                      <w:rFonts w:hAnsi="宋体" w:cs="宋体"/>
                      <w:color w:val="auto"/>
                      <w:sz w:val="18"/>
                      <w:szCs w:val="18"/>
                      <w:highlight w:val="none"/>
                    </w:rPr>
                    <w:t>2</w:t>
                  </w:r>
                  <w:r>
                    <w:rPr>
                      <w:rFonts w:hint="eastAsia" w:hAnsi="宋体" w:cs="宋体"/>
                      <w:color w:val="auto"/>
                      <w:sz w:val="18"/>
                      <w:szCs w:val="18"/>
                      <w:highlight w:val="none"/>
                    </w:rPr>
                    <w:t>年版）。</w:t>
                  </w:r>
                </w:p>
              </w:tc>
              <w:tc>
                <w:tcPr>
                  <w:tcW w:w="198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4394ADC">
                  <w:pPr>
                    <w:pStyle w:val="97"/>
                    <w:jc w:val="both"/>
                    <w:rPr>
                      <w:rFonts w:hAnsi="宋体" w:cs="宋体"/>
                      <w:color w:val="auto"/>
                      <w:sz w:val="18"/>
                      <w:szCs w:val="18"/>
                      <w:highlight w:val="none"/>
                    </w:rPr>
                  </w:pPr>
                  <w:r>
                    <w:rPr>
                      <w:rFonts w:hint="eastAsia" w:hAnsi="宋体" w:cs="宋体"/>
                      <w:color w:val="auto"/>
                      <w:sz w:val="18"/>
                      <w:szCs w:val="18"/>
                      <w:highlight w:val="none"/>
                    </w:rPr>
                    <w:t>本项目不占用基本农田、生态保护红线，符合国土空间规划要求。</w:t>
                  </w:r>
                </w:p>
                <w:p w14:paraId="14F99E90">
                  <w:pPr>
                    <w:pStyle w:val="97"/>
                    <w:jc w:val="both"/>
                    <w:rPr>
                      <w:rFonts w:hAnsi="宋体" w:cs="宋体"/>
                      <w:color w:val="auto"/>
                      <w:sz w:val="18"/>
                      <w:szCs w:val="18"/>
                      <w:highlight w:val="none"/>
                    </w:rPr>
                  </w:pPr>
                  <w:r>
                    <w:rPr>
                      <w:rFonts w:hint="eastAsia" w:hAnsi="宋体" w:cs="宋体"/>
                      <w:color w:val="auto"/>
                      <w:sz w:val="18"/>
                      <w:szCs w:val="18"/>
                      <w:highlight w:val="none"/>
                    </w:rPr>
                    <w:t>根据</w:t>
                  </w:r>
                  <w:r>
                    <w:rPr>
                      <w:color w:val="auto"/>
                      <w:sz w:val="18"/>
                      <w:szCs w:val="18"/>
                      <w:highlight w:val="none"/>
                    </w:rPr>
                    <w:t>《产业结构调整指导目录（2024年本）》</w:t>
                  </w:r>
                  <w:r>
                    <w:rPr>
                      <w:rFonts w:hint="eastAsia"/>
                      <w:color w:val="auto"/>
                      <w:sz w:val="18"/>
                      <w:szCs w:val="18"/>
                      <w:highlight w:val="none"/>
                    </w:rPr>
                    <w:t>（国家发展和改革委员会令</w:t>
                  </w:r>
                  <w:r>
                    <w:rPr>
                      <w:color w:val="auto"/>
                      <w:sz w:val="18"/>
                      <w:szCs w:val="18"/>
                      <w:highlight w:val="none"/>
                    </w:rPr>
                    <w:t>[2023]第7号</w:t>
                  </w:r>
                  <w:r>
                    <w:rPr>
                      <w:rFonts w:hint="eastAsia"/>
                      <w:color w:val="auto"/>
                      <w:sz w:val="18"/>
                      <w:szCs w:val="18"/>
                      <w:highlight w:val="none"/>
                    </w:rPr>
                    <w:t>）</w:t>
                  </w:r>
                  <w:r>
                    <w:rPr>
                      <w:rFonts w:hint="eastAsia" w:hAnsi="宋体" w:cs="宋体"/>
                      <w:color w:val="auto"/>
                      <w:sz w:val="18"/>
                      <w:szCs w:val="18"/>
                      <w:highlight w:val="none"/>
                    </w:rPr>
                    <w:t>，本项目属于鼓励类，石油天然气开采：常规石油、天然气勘探与开采，页岩气、页岩油、致密油（气）、油砂、天然气水合物等非常规资源勘探开发。根据《市场准入负面清单（2025年版）》（发改体改规〔2025〕466号），本项目属于“许可准入类-采矿”，不属于“禁止准入类”。</w:t>
                  </w:r>
                </w:p>
              </w:tc>
              <w:tc>
                <w:tcPr>
                  <w:tcW w:w="0" w:type="auto"/>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744AD1D">
                  <w:pPr>
                    <w:pStyle w:val="97"/>
                    <w:rPr>
                      <w:rFonts w:hAnsi="宋体" w:cs="宋体"/>
                      <w:color w:val="auto"/>
                      <w:sz w:val="18"/>
                      <w:szCs w:val="18"/>
                      <w:highlight w:val="none"/>
                    </w:rPr>
                  </w:pPr>
                  <w:r>
                    <w:rPr>
                      <w:rFonts w:hint="eastAsia" w:hAnsi="宋体" w:cs="宋体"/>
                      <w:color w:val="auto"/>
                      <w:sz w:val="18"/>
                      <w:szCs w:val="18"/>
                      <w:highlight w:val="none"/>
                    </w:rPr>
                    <w:t>符合</w:t>
                  </w:r>
                </w:p>
              </w:tc>
            </w:tr>
            <w:tr w14:paraId="6822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0" w:type="dxa"/>
                  <w:vMerge w:val="continue"/>
                  <w:tcBorders>
                    <w:left w:val="single" w:color="auto" w:sz="4" w:space="0"/>
                    <w:right w:val="single" w:color="auto" w:sz="4" w:space="0"/>
                  </w:tcBorders>
                  <w:tcMar>
                    <w:top w:w="57" w:type="dxa"/>
                    <w:left w:w="108" w:type="dxa"/>
                    <w:bottom w:w="57" w:type="dxa"/>
                    <w:right w:w="108" w:type="dxa"/>
                  </w:tcMar>
                  <w:vAlign w:val="center"/>
                </w:tcPr>
                <w:p w14:paraId="3A4B6976">
                  <w:pPr>
                    <w:pStyle w:val="97"/>
                    <w:jc w:val="both"/>
                    <w:rPr>
                      <w:rFonts w:hAnsi="宋体" w:cs="宋体"/>
                      <w:color w:val="auto"/>
                      <w:sz w:val="18"/>
                      <w:szCs w:val="18"/>
                      <w:highlight w:val="none"/>
                    </w:rPr>
                  </w:pPr>
                </w:p>
              </w:tc>
              <w:tc>
                <w:tcPr>
                  <w:tcW w:w="79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A199EB8">
                  <w:pPr>
                    <w:pStyle w:val="97"/>
                    <w:rPr>
                      <w:rFonts w:hAnsi="宋体" w:cs="宋体"/>
                      <w:color w:val="auto"/>
                      <w:sz w:val="18"/>
                      <w:szCs w:val="18"/>
                      <w:highlight w:val="none"/>
                    </w:rPr>
                  </w:pPr>
                  <w:r>
                    <w:rPr>
                      <w:rFonts w:hint="eastAsia" w:hAnsi="宋体" w:cs="宋体"/>
                      <w:color w:val="auto"/>
                      <w:sz w:val="18"/>
                      <w:szCs w:val="18"/>
                      <w:highlight w:val="none"/>
                    </w:rPr>
                    <w:t>污染物</w:t>
                  </w:r>
                </w:p>
                <w:p w14:paraId="43EAE44B">
                  <w:pPr>
                    <w:pStyle w:val="97"/>
                    <w:rPr>
                      <w:rFonts w:hAnsi="宋体" w:cs="宋体"/>
                      <w:color w:val="auto"/>
                      <w:sz w:val="18"/>
                      <w:szCs w:val="18"/>
                      <w:highlight w:val="none"/>
                    </w:rPr>
                  </w:pPr>
                  <w:r>
                    <w:rPr>
                      <w:rFonts w:hint="eastAsia" w:hAnsi="宋体" w:cs="宋体"/>
                      <w:color w:val="auto"/>
                      <w:sz w:val="18"/>
                      <w:szCs w:val="18"/>
                      <w:highlight w:val="none"/>
                    </w:rPr>
                    <w:t>排放管控</w:t>
                  </w:r>
                </w:p>
              </w:tc>
              <w:tc>
                <w:tcPr>
                  <w:tcW w:w="996" w:type="dxa"/>
                  <w:tcBorders>
                    <w:left w:val="single" w:color="auto" w:sz="4" w:space="0"/>
                    <w:right w:val="single" w:color="auto" w:sz="4" w:space="0"/>
                  </w:tcBorders>
                  <w:tcMar>
                    <w:top w:w="57" w:type="dxa"/>
                    <w:left w:w="108" w:type="dxa"/>
                    <w:bottom w:w="57" w:type="dxa"/>
                    <w:right w:w="108" w:type="dxa"/>
                  </w:tcMar>
                  <w:vAlign w:val="center"/>
                </w:tcPr>
                <w:p w14:paraId="2544D702">
                  <w:pPr>
                    <w:pStyle w:val="97"/>
                    <w:rPr>
                      <w:rFonts w:hAnsi="宋体" w:cs="宋体"/>
                      <w:color w:val="auto"/>
                      <w:sz w:val="18"/>
                      <w:szCs w:val="18"/>
                      <w:highlight w:val="none"/>
                    </w:rPr>
                  </w:pPr>
                  <w:r>
                    <w:rPr>
                      <w:rFonts w:hint="eastAsia" w:hAnsi="宋体" w:cs="宋体"/>
                      <w:color w:val="auto"/>
                      <w:sz w:val="18"/>
                      <w:szCs w:val="18"/>
                      <w:highlight w:val="none"/>
                    </w:rPr>
                    <w:t>执行自治区总体准入要求中关于一般环境管控单元的准入要求</w:t>
                  </w:r>
                </w:p>
              </w:tc>
              <w:tc>
                <w:tcPr>
                  <w:tcW w:w="2545" w:type="dxa"/>
                  <w:tcBorders>
                    <w:left w:val="single" w:color="auto" w:sz="4" w:space="0"/>
                    <w:right w:val="single" w:color="auto" w:sz="4" w:space="0"/>
                  </w:tcBorders>
                  <w:tcMar>
                    <w:top w:w="57" w:type="dxa"/>
                    <w:left w:w="108" w:type="dxa"/>
                    <w:bottom w:w="57" w:type="dxa"/>
                    <w:right w:w="108" w:type="dxa"/>
                  </w:tcMar>
                  <w:vAlign w:val="center"/>
                </w:tcPr>
                <w:p w14:paraId="5CF91F52">
                  <w:pPr>
                    <w:pStyle w:val="97"/>
                    <w:numPr>
                      <w:ilvl w:val="0"/>
                      <w:numId w:val="10"/>
                    </w:numPr>
                    <w:jc w:val="both"/>
                    <w:rPr>
                      <w:rFonts w:hAnsi="宋体" w:cs="宋体"/>
                      <w:color w:val="auto"/>
                      <w:sz w:val="18"/>
                      <w:szCs w:val="18"/>
                      <w:highlight w:val="none"/>
                    </w:rPr>
                  </w:pPr>
                  <w:r>
                    <w:rPr>
                      <w:rFonts w:hint="eastAsia" w:hAnsi="宋体" w:cs="宋体"/>
                      <w:color w:val="auto"/>
                      <w:sz w:val="18"/>
                      <w:szCs w:val="18"/>
                      <w:highlight w:val="none"/>
                    </w:rPr>
                    <w:t>污染物排放执行国家和地方相关标准中普适性要求。</w:t>
                  </w:r>
                </w:p>
                <w:p w14:paraId="5C338473">
                  <w:pPr>
                    <w:pStyle w:val="97"/>
                    <w:jc w:val="both"/>
                    <w:rPr>
                      <w:rFonts w:hAnsi="宋体" w:cs="宋体"/>
                      <w:color w:val="auto"/>
                      <w:sz w:val="18"/>
                      <w:szCs w:val="18"/>
                      <w:highlight w:val="none"/>
                    </w:rPr>
                  </w:pPr>
                  <w:r>
                    <w:rPr>
                      <w:rFonts w:hint="eastAsia" w:hAnsi="宋体" w:cs="宋体"/>
                      <w:color w:val="auto"/>
                      <w:sz w:val="18"/>
                      <w:szCs w:val="18"/>
                      <w:highlight w:val="none"/>
                    </w:rPr>
                    <w:t>2、“乌-昌-石”区域内，已实施超低排放的涉气排污单位，其实施超低排放改造的污染因子执行超低排放限值，其他污染因子执行特别排放限值和特别控制要求。</w:t>
                  </w:r>
                </w:p>
                <w:p w14:paraId="3F6D0CB0">
                  <w:pPr>
                    <w:pStyle w:val="97"/>
                    <w:jc w:val="both"/>
                    <w:rPr>
                      <w:rFonts w:hAnsi="宋体" w:cs="宋体"/>
                      <w:color w:val="auto"/>
                      <w:sz w:val="18"/>
                      <w:szCs w:val="18"/>
                      <w:highlight w:val="none"/>
                    </w:rPr>
                  </w:pPr>
                  <w:r>
                    <w:rPr>
                      <w:rFonts w:hint="eastAsia" w:hAnsi="宋体" w:cs="宋体"/>
                      <w:color w:val="auto"/>
                      <w:sz w:val="18"/>
                      <w:szCs w:val="18"/>
                      <w:highlight w:val="none"/>
                    </w:rPr>
                    <w:t>3、加强农业面源污染治理，科学合理使用化肥农药，逐步削减农业面源污染物排放量。</w:t>
                  </w:r>
                </w:p>
                <w:p w14:paraId="558C9EC4">
                  <w:pPr>
                    <w:pStyle w:val="97"/>
                    <w:jc w:val="both"/>
                    <w:rPr>
                      <w:rFonts w:hAnsi="宋体" w:cs="宋体"/>
                      <w:color w:val="auto"/>
                      <w:sz w:val="18"/>
                      <w:szCs w:val="18"/>
                      <w:highlight w:val="none"/>
                    </w:rPr>
                  </w:pPr>
                  <w:r>
                    <w:rPr>
                      <w:rFonts w:hint="eastAsia" w:hAnsi="宋体" w:cs="宋体"/>
                      <w:color w:val="auto"/>
                      <w:sz w:val="18"/>
                      <w:szCs w:val="18"/>
                      <w:highlight w:val="none"/>
                    </w:rPr>
                    <w:t>4、施工工地全面落实“六个百分之百”（施工工地周边围挡、物料堆放覆盖、出入车辆冲洗、施工现场地面硬化、拆迁工地湿法作业、渣土车辆密闭运输）。</w:t>
                  </w:r>
                </w:p>
              </w:tc>
              <w:tc>
                <w:tcPr>
                  <w:tcW w:w="198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EB3B573">
                  <w:pPr>
                    <w:pStyle w:val="97"/>
                    <w:jc w:val="both"/>
                    <w:rPr>
                      <w:rFonts w:hAnsi="宋体" w:cs="宋体"/>
                      <w:color w:val="auto"/>
                      <w:sz w:val="18"/>
                      <w:szCs w:val="18"/>
                      <w:highlight w:val="none"/>
                    </w:rPr>
                  </w:pPr>
                  <w:r>
                    <w:rPr>
                      <w:rFonts w:hint="eastAsia" w:hAnsi="宋体" w:cs="宋体"/>
                      <w:color w:val="auto"/>
                      <w:sz w:val="18"/>
                      <w:szCs w:val="18"/>
                      <w:highlight w:val="none"/>
                    </w:rPr>
                    <w:t>（1）本项目产生的废气、废水、噪声、固废均得到妥善处置，能够满足国家和地方的对应标准。</w:t>
                  </w:r>
                </w:p>
                <w:p w14:paraId="1F44B400">
                  <w:pPr>
                    <w:pStyle w:val="97"/>
                    <w:jc w:val="both"/>
                    <w:rPr>
                      <w:rFonts w:hAnsi="宋体" w:cs="宋体"/>
                      <w:color w:val="auto"/>
                      <w:sz w:val="18"/>
                      <w:szCs w:val="18"/>
                      <w:highlight w:val="none"/>
                    </w:rPr>
                  </w:pPr>
                  <w:r>
                    <w:rPr>
                      <w:rFonts w:hint="eastAsia" w:hAnsi="宋体" w:cs="宋体"/>
                      <w:color w:val="auto"/>
                      <w:sz w:val="18"/>
                      <w:szCs w:val="18"/>
                      <w:highlight w:val="none"/>
                    </w:rPr>
                    <w:t>（2）施工场地设置围挡，场地地面硬化，减少扬尘的产生。</w:t>
                  </w:r>
                </w:p>
              </w:tc>
              <w:tc>
                <w:tcPr>
                  <w:tcW w:w="0" w:type="auto"/>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9BA38D2">
                  <w:pPr>
                    <w:pStyle w:val="97"/>
                    <w:jc w:val="both"/>
                    <w:rPr>
                      <w:rFonts w:hAnsi="宋体" w:cs="宋体"/>
                      <w:color w:val="auto"/>
                      <w:sz w:val="18"/>
                      <w:szCs w:val="18"/>
                      <w:highlight w:val="none"/>
                    </w:rPr>
                  </w:pPr>
                  <w:r>
                    <w:rPr>
                      <w:rFonts w:hint="eastAsia" w:hAnsi="宋体" w:cs="宋体"/>
                      <w:color w:val="auto"/>
                      <w:sz w:val="18"/>
                      <w:szCs w:val="18"/>
                      <w:highlight w:val="none"/>
                    </w:rPr>
                    <w:t>符合</w:t>
                  </w:r>
                </w:p>
              </w:tc>
            </w:tr>
            <w:tr w14:paraId="6F8F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0" w:type="dxa"/>
                  <w:vMerge w:val="continue"/>
                  <w:tcBorders>
                    <w:left w:val="single" w:color="auto" w:sz="4" w:space="0"/>
                    <w:right w:val="single" w:color="auto" w:sz="4" w:space="0"/>
                  </w:tcBorders>
                  <w:tcMar>
                    <w:top w:w="57" w:type="dxa"/>
                    <w:left w:w="108" w:type="dxa"/>
                    <w:bottom w:w="57" w:type="dxa"/>
                    <w:right w:w="108" w:type="dxa"/>
                  </w:tcMar>
                  <w:vAlign w:val="center"/>
                </w:tcPr>
                <w:p w14:paraId="12B21F03">
                  <w:pPr>
                    <w:pStyle w:val="97"/>
                    <w:jc w:val="both"/>
                    <w:rPr>
                      <w:rFonts w:hAnsi="宋体" w:cs="宋体"/>
                      <w:color w:val="auto"/>
                      <w:sz w:val="18"/>
                      <w:szCs w:val="18"/>
                      <w:highlight w:val="none"/>
                    </w:rPr>
                  </w:pPr>
                </w:p>
              </w:tc>
              <w:tc>
                <w:tcPr>
                  <w:tcW w:w="79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65C6B37">
                  <w:pPr>
                    <w:pStyle w:val="97"/>
                    <w:rPr>
                      <w:rFonts w:hAnsi="宋体" w:cs="宋体"/>
                      <w:color w:val="auto"/>
                      <w:sz w:val="18"/>
                      <w:szCs w:val="18"/>
                      <w:highlight w:val="none"/>
                      <w:shd w:val="clear" w:color="auto" w:fill="FFFFFF"/>
                    </w:rPr>
                  </w:pPr>
                  <w:r>
                    <w:rPr>
                      <w:rFonts w:hint="eastAsia" w:hAnsi="宋体" w:cs="宋体"/>
                      <w:color w:val="auto"/>
                      <w:sz w:val="18"/>
                      <w:szCs w:val="18"/>
                      <w:highlight w:val="none"/>
                      <w:shd w:val="clear" w:color="auto" w:fill="FFFFFF"/>
                    </w:rPr>
                    <w:t>环境风</w:t>
                  </w:r>
                </w:p>
                <w:p w14:paraId="3289EE81">
                  <w:pPr>
                    <w:pStyle w:val="97"/>
                    <w:rPr>
                      <w:rFonts w:hAnsi="宋体" w:cs="宋体"/>
                      <w:color w:val="auto"/>
                      <w:sz w:val="18"/>
                      <w:szCs w:val="18"/>
                      <w:highlight w:val="none"/>
                    </w:rPr>
                  </w:pPr>
                  <w:r>
                    <w:rPr>
                      <w:rFonts w:hint="eastAsia" w:hAnsi="宋体" w:cs="宋体"/>
                      <w:color w:val="auto"/>
                      <w:sz w:val="18"/>
                      <w:szCs w:val="18"/>
                      <w:highlight w:val="none"/>
                      <w:shd w:val="clear" w:color="auto" w:fill="FFFFFF"/>
                    </w:rPr>
                    <w:t>险防控</w:t>
                  </w:r>
                </w:p>
              </w:tc>
              <w:tc>
                <w:tcPr>
                  <w:tcW w:w="996" w:type="dxa"/>
                  <w:tcBorders>
                    <w:left w:val="single" w:color="auto" w:sz="4" w:space="0"/>
                    <w:right w:val="single" w:color="auto" w:sz="4" w:space="0"/>
                  </w:tcBorders>
                  <w:tcMar>
                    <w:top w:w="57" w:type="dxa"/>
                    <w:left w:w="108" w:type="dxa"/>
                    <w:bottom w:w="57" w:type="dxa"/>
                    <w:right w:w="108" w:type="dxa"/>
                  </w:tcMar>
                  <w:vAlign w:val="center"/>
                </w:tcPr>
                <w:p w14:paraId="708F9650">
                  <w:pPr>
                    <w:pStyle w:val="97"/>
                    <w:rPr>
                      <w:rFonts w:hAnsi="宋体" w:cs="宋体"/>
                      <w:color w:val="auto"/>
                      <w:sz w:val="18"/>
                      <w:szCs w:val="18"/>
                      <w:highlight w:val="none"/>
                    </w:rPr>
                  </w:pPr>
                  <w:r>
                    <w:rPr>
                      <w:rFonts w:hint="eastAsia" w:hAnsi="宋体" w:cs="宋体"/>
                      <w:color w:val="auto"/>
                      <w:sz w:val="18"/>
                      <w:szCs w:val="18"/>
                      <w:highlight w:val="none"/>
                      <w:shd w:val="clear" w:color="auto" w:fill="FFFFFF"/>
                    </w:rPr>
                    <w:t>执行自治区总体要求中纳入关于一般环境管控单元的准入要求</w:t>
                  </w:r>
                </w:p>
              </w:tc>
              <w:tc>
                <w:tcPr>
                  <w:tcW w:w="2545" w:type="dxa"/>
                  <w:tcBorders>
                    <w:left w:val="single" w:color="auto" w:sz="4" w:space="0"/>
                    <w:right w:val="single" w:color="auto" w:sz="4" w:space="0"/>
                  </w:tcBorders>
                  <w:tcMar>
                    <w:top w:w="57" w:type="dxa"/>
                    <w:left w:w="108" w:type="dxa"/>
                    <w:bottom w:w="57" w:type="dxa"/>
                    <w:right w:w="108" w:type="dxa"/>
                  </w:tcMar>
                  <w:vAlign w:val="center"/>
                </w:tcPr>
                <w:p w14:paraId="4F8677E4">
                  <w:pPr>
                    <w:pStyle w:val="97"/>
                    <w:numPr>
                      <w:ilvl w:val="0"/>
                      <w:numId w:val="11"/>
                    </w:numPr>
                    <w:jc w:val="both"/>
                    <w:rPr>
                      <w:rFonts w:hAnsi="宋体" w:cs="宋体"/>
                      <w:color w:val="auto"/>
                      <w:sz w:val="18"/>
                      <w:szCs w:val="18"/>
                      <w:highlight w:val="none"/>
                      <w:shd w:val="clear" w:color="auto" w:fill="FFFFFF"/>
                    </w:rPr>
                  </w:pPr>
                  <w:r>
                    <w:rPr>
                      <w:rFonts w:hint="eastAsia" w:hAnsi="宋体" w:cs="宋体"/>
                      <w:color w:val="auto"/>
                      <w:sz w:val="18"/>
                      <w:szCs w:val="18"/>
                      <w:highlight w:val="none"/>
                      <w:shd w:val="clear" w:color="auto" w:fill="FFFFFF"/>
                    </w:rPr>
                    <w:t>执行区域资源能源利用的基本要求。</w:t>
                  </w:r>
                </w:p>
                <w:p w14:paraId="74B25757">
                  <w:pPr>
                    <w:pStyle w:val="97"/>
                    <w:jc w:val="both"/>
                    <w:rPr>
                      <w:rFonts w:hAnsi="宋体" w:cs="宋体"/>
                      <w:color w:val="auto"/>
                      <w:sz w:val="18"/>
                      <w:szCs w:val="18"/>
                      <w:highlight w:val="none"/>
                    </w:rPr>
                  </w:pPr>
                  <w:r>
                    <w:rPr>
                      <w:rFonts w:hint="eastAsia" w:hAnsi="宋体" w:cs="宋体"/>
                      <w:color w:val="auto"/>
                      <w:sz w:val="18"/>
                      <w:szCs w:val="18"/>
                      <w:highlight w:val="none"/>
                      <w:shd w:val="clear" w:color="auto" w:fill="FFFFFF"/>
                    </w:rPr>
                    <w:t>2、执行昌吉州总体准入清单中的要求。</w:t>
                  </w:r>
                </w:p>
              </w:tc>
              <w:tc>
                <w:tcPr>
                  <w:tcW w:w="198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8CDABEC">
                  <w:pPr>
                    <w:pStyle w:val="97"/>
                    <w:jc w:val="both"/>
                    <w:rPr>
                      <w:rStyle w:val="33"/>
                      <w:rFonts w:ascii="Times New Roman"/>
                      <w:color w:val="auto"/>
                      <w:sz w:val="18"/>
                      <w:szCs w:val="18"/>
                      <w:highlight w:val="none"/>
                    </w:rPr>
                  </w:pPr>
                  <w:r>
                    <w:rPr>
                      <w:rStyle w:val="33"/>
                      <w:rFonts w:ascii="Times New Roman"/>
                      <w:color w:val="auto"/>
                      <w:sz w:val="18"/>
                      <w:szCs w:val="18"/>
                      <w:highlight w:val="none"/>
                    </w:rPr>
                    <w:t>（1）本项目属于油气勘探项目，位于国家战略项目，满足区域</w:t>
                  </w:r>
                  <w:r>
                    <w:rPr>
                      <w:rFonts w:hint="eastAsia" w:hAnsi="宋体" w:cs="宋体"/>
                      <w:color w:val="auto"/>
                      <w:sz w:val="18"/>
                      <w:szCs w:val="18"/>
                      <w:highlight w:val="none"/>
                      <w:shd w:val="clear" w:color="auto" w:fill="FFFFFF"/>
                    </w:rPr>
                    <w:t>资源能源利用的基本要求</w:t>
                  </w:r>
                  <w:r>
                    <w:rPr>
                      <w:rFonts w:hAnsi="宋体" w:cs="宋体"/>
                      <w:color w:val="auto"/>
                      <w:sz w:val="18"/>
                      <w:szCs w:val="18"/>
                      <w:highlight w:val="none"/>
                      <w:shd w:val="clear" w:color="auto" w:fill="FFFFFF"/>
                    </w:rPr>
                    <w:t>。</w:t>
                  </w:r>
                </w:p>
                <w:p w14:paraId="4008E733">
                  <w:pPr>
                    <w:pStyle w:val="97"/>
                    <w:jc w:val="both"/>
                    <w:rPr>
                      <w:rStyle w:val="33"/>
                      <w:rFonts w:ascii="Times New Roman"/>
                      <w:color w:val="auto"/>
                      <w:sz w:val="18"/>
                      <w:szCs w:val="18"/>
                      <w:highlight w:val="none"/>
                    </w:rPr>
                  </w:pPr>
                  <w:r>
                    <w:rPr>
                      <w:rStyle w:val="33"/>
                      <w:rFonts w:ascii="Times New Roman"/>
                      <w:color w:val="auto"/>
                      <w:sz w:val="18"/>
                      <w:szCs w:val="18"/>
                      <w:highlight w:val="none"/>
                    </w:rPr>
                    <w:t>（2）由表4可知，本项目满足昌吉州总体准入清单中的要求。</w:t>
                  </w:r>
                </w:p>
              </w:tc>
              <w:tc>
                <w:tcPr>
                  <w:tcW w:w="0" w:type="auto"/>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5497EBD">
                  <w:pPr>
                    <w:pStyle w:val="97"/>
                    <w:jc w:val="both"/>
                    <w:rPr>
                      <w:rFonts w:hAnsi="宋体" w:cs="宋体"/>
                      <w:color w:val="auto"/>
                      <w:sz w:val="18"/>
                      <w:szCs w:val="18"/>
                      <w:highlight w:val="none"/>
                    </w:rPr>
                  </w:pPr>
                  <w:r>
                    <w:rPr>
                      <w:rFonts w:hint="eastAsia" w:hAnsi="宋体" w:cs="宋体"/>
                      <w:color w:val="auto"/>
                      <w:sz w:val="18"/>
                      <w:szCs w:val="18"/>
                      <w:highlight w:val="none"/>
                    </w:rPr>
                    <w:t>符合</w:t>
                  </w:r>
                </w:p>
              </w:tc>
            </w:tr>
            <w:tr w14:paraId="647C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0" w:type="dxa"/>
                  <w:vMerge w:val="continue"/>
                  <w:tcBorders>
                    <w:left w:val="single" w:color="auto" w:sz="4" w:space="0"/>
                    <w:bottom w:val="single" w:color="auto" w:sz="4" w:space="0"/>
                    <w:right w:val="single" w:color="auto" w:sz="4" w:space="0"/>
                  </w:tcBorders>
                  <w:tcMar>
                    <w:top w:w="57" w:type="dxa"/>
                    <w:left w:w="108" w:type="dxa"/>
                    <w:bottom w:w="57" w:type="dxa"/>
                    <w:right w:w="108" w:type="dxa"/>
                  </w:tcMar>
                  <w:vAlign w:val="center"/>
                </w:tcPr>
                <w:p w14:paraId="7B71A28E">
                  <w:pPr>
                    <w:pStyle w:val="97"/>
                    <w:jc w:val="both"/>
                    <w:rPr>
                      <w:rFonts w:hAnsi="宋体" w:cs="宋体"/>
                      <w:color w:val="auto"/>
                      <w:sz w:val="18"/>
                      <w:szCs w:val="18"/>
                      <w:highlight w:val="none"/>
                    </w:rPr>
                  </w:pPr>
                </w:p>
              </w:tc>
              <w:tc>
                <w:tcPr>
                  <w:tcW w:w="79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1761B32">
                  <w:pPr>
                    <w:pStyle w:val="97"/>
                    <w:rPr>
                      <w:rFonts w:hAnsi="宋体" w:cs="宋体"/>
                      <w:color w:val="auto"/>
                      <w:sz w:val="18"/>
                      <w:szCs w:val="18"/>
                      <w:highlight w:val="none"/>
                      <w:shd w:val="clear" w:color="auto" w:fill="FFFFFF"/>
                    </w:rPr>
                  </w:pPr>
                  <w:r>
                    <w:rPr>
                      <w:rFonts w:hint="eastAsia" w:hAnsi="宋体" w:cs="宋体"/>
                      <w:color w:val="auto"/>
                      <w:sz w:val="18"/>
                      <w:szCs w:val="18"/>
                      <w:highlight w:val="none"/>
                      <w:shd w:val="clear" w:color="auto" w:fill="FFFFFF"/>
                    </w:rPr>
                    <w:t>资源利</w:t>
                  </w:r>
                </w:p>
                <w:p w14:paraId="3AFE1F83">
                  <w:pPr>
                    <w:pStyle w:val="97"/>
                    <w:rPr>
                      <w:rFonts w:hAnsi="宋体" w:cs="宋体"/>
                      <w:color w:val="auto"/>
                      <w:sz w:val="18"/>
                      <w:szCs w:val="18"/>
                      <w:highlight w:val="none"/>
                    </w:rPr>
                  </w:pPr>
                  <w:r>
                    <w:rPr>
                      <w:rFonts w:hint="eastAsia" w:hAnsi="宋体" w:cs="宋体"/>
                      <w:color w:val="auto"/>
                      <w:sz w:val="18"/>
                      <w:szCs w:val="18"/>
                      <w:highlight w:val="none"/>
                      <w:shd w:val="clear" w:color="auto" w:fill="FFFFFF"/>
                    </w:rPr>
                    <w:t>用效率</w:t>
                  </w:r>
                </w:p>
              </w:tc>
              <w:tc>
                <w:tcPr>
                  <w:tcW w:w="996" w:type="dxa"/>
                  <w:tcBorders>
                    <w:left w:val="single" w:color="auto" w:sz="4" w:space="0"/>
                    <w:right w:val="single" w:color="auto" w:sz="4" w:space="0"/>
                  </w:tcBorders>
                  <w:tcMar>
                    <w:top w:w="57" w:type="dxa"/>
                    <w:left w:w="108" w:type="dxa"/>
                    <w:bottom w:w="57" w:type="dxa"/>
                    <w:right w:w="108" w:type="dxa"/>
                  </w:tcMar>
                  <w:vAlign w:val="center"/>
                </w:tcPr>
                <w:p w14:paraId="420BAFF8">
                  <w:pPr>
                    <w:pStyle w:val="97"/>
                    <w:rPr>
                      <w:rFonts w:hAnsi="宋体" w:cs="宋体"/>
                      <w:color w:val="auto"/>
                      <w:sz w:val="18"/>
                      <w:szCs w:val="18"/>
                      <w:highlight w:val="none"/>
                    </w:rPr>
                  </w:pPr>
                  <w:r>
                    <w:rPr>
                      <w:rFonts w:hint="eastAsia" w:hAnsi="宋体" w:cs="宋体"/>
                      <w:color w:val="auto"/>
                      <w:sz w:val="18"/>
                      <w:szCs w:val="18"/>
                      <w:highlight w:val="none"/>
                      <w:shd w:val="clear" w:color="auto" w:fill="FFFFFF"/>
                    </w:rPr>
                    <w:t>执行自治区总体准入要求中关于一般环境管控单元的准入要求</w:t>
                  </w:r>
                </w:p>
              </w:tc>
              <w:tc>
                <w:tcPr>
                  <w:tcW w:w="2545" w:type="dxa"/>
                  <w:tcBorders>
                    <w:left w:val="single" w:color="auto" w:sz="4" w:space="0"/>
                    <w:right w:val="single" w:color="auto" w:sz="4" w:space="0"/>
                  </w:tcBorders>
                  <w:tcMar>
                    <w:top w:w="57" w:type="dxa"/>
                    <w:left w:w="108" w:type="dxa"/>
                    <w:bottom w:w="57" w:type="dxa"/>
                    <w:right w:w="108" w:type="dxa"/>
                  </w:tcMar>
                  <w:vAlign w:val="center"/>
                </w:tcPr>
                <w:p w14:paraId="556A8C97">
                  <w:pPr>
                    <w:pStyle w:val="97"/>
                    <w:numPr>
                      <w:ilvl w:val="0"/>
                      <w:numId w:val="12"/>
                    </w:numPr>
                    <w:jc w:val="both"/>
                    <w:rPr>
                      <w:rFonts w:hAnsi="宋体" w:cs="宋体"/>
                      <w:color w:val="auto"/>
                      <w:sz w:val="18"/>
                      <w:szCs w:val="18"/>
                      <w:highlight w:val="none"/>
                      <w:shd w:val="clear" w:color="auto" w:fill="FFFFFF"/>
                    </w:rPr>
                  </w:pPr>
                  <w:r>
                    <w:rPr>
                      <w:rFonts w:hint="eastAsia" w:hAnsi="宋体" w:cs="宋体"/>
                      <w:color w:val="auto"/>
                      <w:sz w:val="18"/>
                      <w:szCs w:val="18"/>
                      <w:highlight w:val="none"/>
                      <w:shd w:val="clear" w:color="auto" w:fill="FFFFFF"/>
                    </w:rPr>
                    <w:t>执行区域资源能源利用的基本要求。</w:t>
                  </w:r>
                </w:p>
                <w:p w14:paraId="73A07257">
                  <w:pPr>
                    <w:pStyle w:val="97"/>
                    <w:jc w:val="both"/>
                    <w:rPr>
                      <w:rFonts w:hAnsi="宋体" w:cs="宋体"/>
                      <w:color w:val="auto"/>
                      <w:sz w:val="18"/>
                      <w:szCs w:val="18"/>
                      <w:highlight w:val="none"/>
                    </w:rPr>
                  </w:pPr>
                  <w:r>
                    <w:rPr>
                      <w:rFonts w:hint="eastAsia" w:hAnsi="宋体" w:cs="宋体"/>
                      <w:color w:val="auto"/>
                      <w:sz w:val="18"/>
                      <w:szCs w:val="18"/>
                      <w:highlight w:val="none"/>
                      <w:shd w:val="clear" w:color="auto" w:fill="FFFFFF"/>
                    </w:rPr>
                    <w:t>2、执行昌吉州总体准入清单中的要求。</w:t>
                  </w:r>
                </w:p>
              </w:tc>
              <w:tc>
                <w:tcPr>
                  <w:tcW w:w="1986"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D4F6C9D">
                  <w:pPr>
                    <w:pStyle w:val="97"/>
                    <w:jc w:val="both"/>
                    <w:rPr>
                      <w:rFonts w:hAnsi="宋体" w:cs="宋体"/>
                      <w:color w:val="auto"/>
                      <w:sz w:val="18"/>
                      <w:szCs w:val="18"/>
                      <w:highlight w:val="none"/>
                      <w:shd w:val="clear" w:color="auto" w:fill="FFFFFF"/>
                    </w:rPr>
                  </w:pPr>
                  <w:r>
                    <w:rPr>
                      <w:rFonts w:hint="eastAsia" w:hAnsi="宋体" w:cs="宋体"/>
                      <w:color w:val="auto"/>
                      <w:sz w:val="18"/>
                      <w:szCs w:val="18"/>
                      <w:highlight w:val="none"/>
                      <w:shd w:val="clear" w:color="auto" w:fill="FFFFFF"/>
                    </w:rPr>
                    <w:t>本项目属于油气勘探项目，满足区域矿产资源总体规划要求。</w:t>
                  </w:r>
                </w:p>
                <w:p w14:paraId="1B06AA5D">
                  <w:pPr>
                    <w:pStyle w:val="97"/>
                    <w:jc w:val="both"/>
                    <w:rPr>
                      <w:rFonts w:hAnsi="宋体" w:cs="宋体"/>
                      <w:color w:val="auto"/>
                      <w:sz w:val="18"/>
                      <w:szCs w:val="18"/>
                      <w:highlight w:val="none"/>
                      <w:shd w:val="clear" w:color="auto" w:fill="FFFFFF"/>
                    </w:rPr>
                  </w:pPr>
                  <w:r>
                    <w:rPr>
                      <w:rFonts w:hint="eastAsia" w:hAnsi="宋体" w:cs="宋体"/>
                      <w:color w:val="auto"/>
                      <w:sz w:val="18"/>
                      <w:szCs w:val="18"/>
                      <w:highlight w:val="none"/>
                      <w:shd w:val="clear" w:color="auto" w:fill="FFFFFF"/>
                    </w:rPr>
                    <w:t>由</w:t>
                  </w:r>
                  <w:r>
                    <w:rPr>
                      <w:rFonts w:hint="eastAsia" w:hAnsi="宋体" w:cs="宋体"/>
                      <w:color w:val="auto"/>
                      <w:sz w:val="18"/>
                      <w:szCs w:val="18"/>
                      <w:highlight w:val="none"/>
                      <w:shd w:val="clear" w:color="auto" w:fill="FFFFFF"/>
                      <w:lang w:val="en-US" w:eastAsia="zh-CN"/>
                    </w:rPr>
                    <w:t>表4</w:t>
                  </w:r>
                  <w:r>
                    <w:rPr>
                      <w:rFonts w:hint="eastAsia" w:hAnsi="宋体" w:cs="宋体"/>
                      <w:color w:val="auto"/>
                      <w:sz w:val="18"/>
                      <w:szCs w:val="18"/>
                      <w:highlight w:val="none"/>
                      <w:shd w:val="clear" w:color="auto" w:fill="FFFFFF"/>
                    </w:rPr>
                    <w:t>可知，本项目满足昌吉州总体准入清单中的要求。</w:t>
                  </w:r>
                </w:p>
              </w:tc>
              <w:tc>
                <w:tcPr>
                  <w:tcW w:w="0" w:type="auto"/>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9C277D7">
                  <w:pPr>
                    <w:pStyle w:val="97"/>
                    <w:jc w:val="both"/>
                    <w:rPr>
                      <w:rFonts w:hAnsi="宋体" w:cs="宋体"/>
                      <w:color w:val="auto"/>
                      <w:sz w:val="18"/>
                      <w:szCs w:val="18"/>
                      <w:highlight w:val="none"/>
                    </w:rPr>
                  </w:pPr>
                  <w:r>
                    <w:rPr>
                      <w:rFonts w:hint="eastAsia" w:hAnsi="宋体" w:cs="宋体"/>
                      <w:color w:val="auto"/>
                      <w:sz w:val="18"/>
                      <w:szCs w:val="18"/>
                      <w:highlight w:val="none"/>
                    </w:rPr>
                    <w:t>符合</w:t>
                  </w:r>
                </w:p>
              </w:tc>
            </w:tr>
          </w:tbl>
          <w:p w14:paraId="08C080FD">
            <w:pPr>
              <w:autoSpaceDE w:val="0"/>
              <w:autoSpaceDN w:val="0"/>
              <w:adjustRightInd w:val="0"/>
              <w:snapToGrid w:val="0"/>
              <w:spacing w:line="360" w:lineRule="auto"/>
              <w:ind w:firstLine="480"/>
              <w:rPr>
                <w:rFonts w:ascii="Times New Roman" w:hAnsi="Times New Roman" w:cs="Times New Roman"/>
                <w:color w:val="auto"/>
                <w:kern w:val="0"/>
                <w:sz w:val="24"/>
                <w:szCs w:val="24"/>
                <w:highlight w:val="none"/>
                <w:lang w:bidi="ar"/>
              </w:rPr>
            </w:pPr>
          </w:p>
          <w:p w14:paraId="5D35EA28">
            <w:pPr>
              <w:adjustRightInd w:val="0"/>
              <w:snapToGrid w:val="0"/>
              <w:ind w:firstLine="420"/>
              <w:rPr>
                <w:color w:val="auto"/>
                <w:highlight w:val="none"/>
              </w:rPr>
            </w:pPr>
            <w:r>
              <w:rPr>
                <w:color w:val="auto"/>
                <w:highlight w:val="none"/>
              </w:rPr>
              <w:t>综上，本项目</w:t>
            </w:r>
            <w:r>
              <w:rPr>
                <w:rFonts w:hint="eastAsia"/>
                <w:color w:val="auto"/>
                <w:highlight w:val="none"/>
              </w:rPr>
              <w:t>符合</w:t>
            </w:r>
            <w:r>
              <w:rPr>
                <w:color w:val="auto"/>
                <w:highlight w:val="none"/>
              </w:rPr>
              <w:t>阜康市</w:t>
            </w:r>
            <w:r>
              <w:rPr>
                <w:rFonts w:hint="eastAsia"/>
                <w:color w:val="auto"/>
                <w:highlight w:val="none"/>
              </w:rPr>
              <w:t>一般管控单元生态准入清单动态更新成果</w:t>
            </w:r>
            <w:r>
              <w:rPr>
                <w:color w:val="auto"/>
                <w:highlight w:val="none"/>
              </w:rPr>
              <w:t>相关要求。</w:t>
            </w:r>
          </w:p>
          <w:p w14:paraId="123C4033">
            <w:pPr>
              <w:pStyle w:val="3"/>
              <w:numPr>
                <w:ilvl w:val="0"/>
                <w:numId w:val="7"/>
              </w:numPr>
              <w:ind w:firstLine="420"/>
              <w:rPr>
                <w:color w:val="auto"/>
                <w:sz w:val="21"/>
                <w:highlight w:val="none"/>
              </w:rPr>
            </w:pPr>
            <w:r>
              <w:rPr>
                <w:rFonts w:hint="eastAsia"/>
                <w:color w:val="auto"/>
                <w:sz w:val="21"/>
                <w:highlight w:val="none"/>
              </w:rPr>
              <w:t>与“环办环评函[2019]910号”符合性分析</w:t>
            </w:r>
          </w:p>
          <w:p w14:paraId="2C7792E9">
            <w:pPr>
              <w:pStyle w:val="3"/>
              <w:ind w:firstLine="420"/>
              <w:rPr>
                <w:color w:val="auto"/>
                <w:sz w:val="21"/>
                <w:highlight w:val="none"/>
              </w:rPr>
            </w:pPr>
            <w:r>
              <w:rPr>
                <w:rFonts w:hint="eastAsia"/>
                <w:color w:val="auto"/>
                <w:sz w:val="21"/>
                <w:highlight w:val="none"/>
              </w:rPr>
              <w:t>本项目与《关于进一步加强石油天然气行业环境影响评价管理的通知》（环办环评函[2019]910号）中要求的相符性分析详见</w:t>
            </w:r>
            <w:r>
              <w:rPr>
                <w:color w:val="auto"/>
                <w:highlight w:val="none"/>
              </w:rPr>
              <w:fldChar w:fldCharType="begin"/>
            </w:r>
            <w:r>
              <w:rPr>
                <w:color w:val="auto"/>
              </w:rPr>
              <w:instrText xml:space="preserve"> REF _Ref205824506 \h  \* MERGEFORMAT</w:instrText>
            </w:r>
            <w:r>
              <w:rPr>
                <w:color w:val="auto"/>
                <w:highlight w:val="none"/>
              </w:rPr>
              <w:fldChar w:fldCharType="separate"/>
            </w:r>
            <w:r>
              <w:rPr>
                <w:color w:val="auto"/>
                <w:sz w:val="21"/>
                <w:highlight w:val="none"/>
              </w:rPr>
              <w:t>表7</w:t>
            </w:r>
            <w:r>
              <w:rPr>
                <w:color w:val="auto"/>
                <w:highlight w:val="none"/>
              </w:rPr>
              <w:fldChar w:fldCharType="end"/>
            </w:r>
            <w:r>
              <w:rPr>
                <w:rFonts w:hint="eastAsia"/>
                <w:color w:val="auto"/>
                <w:sz w:val="21"/>
                <w:highlight w:val="none"/>
              </w:rPr>
              <w:t>。</w:t>
            </w:r>
          </w:p>
          <w:p w14:paraId="024BB8D5">
            <w:pPr>
              <w:pStyle w:val="13"/>
              <w:bidi w:val="0"/>
              <w:rPr>
                <w:color w:val="auto"/>
                <w:highlight w:val="none"/>
              </w:rPr>
            </w:pPr>
            <w:bookmarkStart w:id="7" w:name="_Ref205824506"/>
            <w:r>
              <w:rPr>
                <w:color w:val="auto"/>
                <w:highlight w:val="none"/>
              </w:rPr>
              <w:t>表</w:t>
            </w:r>
            <w:r>
              <w:rPr>
                <w:color w:val="auto"/>
                <w:highlight w:val="none"/>
              </w:rPr>
              <w:fldChar w:fldCharType="begin"/>
            </w:r>
            <w:r>
              <w:rPr>
                <w:color w:val="auto"/>
                <w:highlight w:val="none"/>
              </w:rPr>
              <w:instrText xml:space="preserve"> SEQ 表 \*ARABIC </w:instrText>
            </w:r>
            <w:r>
              <w:rPr>
                <w:color w:val="auto"/>
                <w:highlight w:val="none"/>
              </w:rPr>
              <w:fldChar w:fldCharType="separate"/>
            </w:r>
            <w:r>
              <w:rPr>
                <w:color w:val="auto"/>
                <w:highlight w:val="none"/>
              </w:rPr>
              <w:t>7</w:t>
            </w:r>
            <w:r>
              <w:rPr>
                <w:color w:val="auto"/>
                <w:highlight w:val="none"/>
              </w:rPr>
              <w:fldChar w:fldCharType="end"/>
            </w:r>
            <w:bookmarkEnd w:id="7"/>
            <w:r>
              <w:rPr>
                <w:color w:val="auto"/>
                <w:highlight w:val="none"/>
              </w:rPr>
              <w:t xml:space="preserve">  </w:t>
            </w:r>
            <w:r>
              <w:rPr>
                <w:rFonts w:hint="eastAsia"/>
                <w:color w:val="auto"/>
                <w:highlight w:val="none"/>
              </w:rPr>
              <w:t>与“环办环评函[2019]910号”的相符性分析</w:t>
            </w:r>
          </w:p>
          <w:tbl>
            <w:tblPr>
              <w:tblStyle w:val="6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2749"/>
              <w:gridCol w:w="3172"/>
              <w:gridCol w:w="747"/>
            </w:tblGrid>
            <w:tr w14:paraId="0074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shd w:val="clear" w:color="auto" w:fill="auto"/>
                  <w:tcMar>
                    <w:top w:w="57" w:type="dxa"/>
                    <w:left w:w="108" w:type="dxa"/>
                    <w:bottom w:w="57" w:type="dxa"/>
                    <w:right w:w="108" w:type="dxa"/>
                  </w:tcMar>
                  <w:vAlign w:val="center"/>
                </w:tcPr>
                <w:p w14:paraId="2DFE8218">
                  <w:pPr>
                    <w:pStyle w:val="41"/>
                    <w:rPr>
                      <w:color w:val="auto"/>
                      <w:szCs w:val="18"/>
                      <w:highlight w:val="none"/>
                    </w:rPr>
                  </w:pPr>
                  <w:r>
                    <w:rPr>
                      <w:rFonts w:hint="eastAsia"/>
                      <w:color w:val="auto"/>
                      <w:szCs w:val="18"/>
                      <w:highlight w:val="none"/>
                    </w:rPr>
                    <w:t>序号</w:t>
                  </w:r>
                </w:p>
              </w:tc>
              <w:tc>
                <w:tcPr>
                  <w:tcW w:w="1852" w:type="pct"/>
                  <w:tcMar>
                    <w:top w:w="57" w:type="dxa"/>
                    <w:left w:w="108" w:type="dxa"/>
                    <w:bottom w:w="57" w:type="dxa"/>
                    <w:right w:w="108" w:type="dxa"/>
                  </w:tcMar>
                  <w:vAlign w:val="center"/>
                </w:tcPr>
                <w:p w14:paraId="17D1ADD6">
                  <w:pPr>
                    <w:pStyle w:val="41"/>
                    <w:rPr>
                      <w:color w:val="auto"/>
                      <w:szCs w:val="18"/>
                      <w:highlight w:val="none"/>
                    </w:rPr>
                  </w:pPr>
                  <w:r>
                    <w:rPr>
                      <w:rFonts w:hint="eastAsia"/>
                      <w:color w:val="auto"/>
                      <w:szCs w:val="18"/>
                      <w:highlight w:val="none"/>
                    </w:rPr>
                    <w:t>《关于进一步加强石油天然气行业环境影响评价管理的通知》（</w:t>
                  </w:r>
                  <w:r>
                    <w:rPr>
                      <w:color w:val="auto"/>
                      <w:szCs w:val="18"/>
                      <w:highlight w:val="none"/>
                    </w:rPr>
                    <w:t>环办环评函</w:t>
                  </w:r>
                  <w:r>
                    <w:rPr>
                      <w:rFonts w:hint="eastAsia"/>
                      <w:color w:val="auto"/>
                      <w:szCs w:val="18"/>
                      <w:highlight w:val="none"/>
                    </w:rPr>
                    <w:t>[</w:t>
                  </w:r>
                  <w:r>
                    <w:rPr>
                      <w:color w:val="auto"/>
                      <w:szCs w:val="18"/>
                      <w:highlight w:val="none"/>
                    </w:rPr>
                    <w:t>2019]910号</w:t>
                  </w:r>
                  <w:r>
                    <w:rPr>
                      <w:rFonts w:hint="eastAsia"/>
                      <w:color w:val="auto"/>
                      <w:szCs w:val="18"/>
                      <w:highlight w:val="none"/>
                    </w:rPr>
                    <w:t>）中相关规定</w:t>
                  </w:r>
                </w:p>
              </w:tc>
              <w:tc>
                <w:tcPr>
                  <w:tcW w:w="2137" w:type="pct"/>
                  <w:tcMar>
                    <w:top w:w="57" w:type="dxa"/>
                    <w:left w:w="108" w:type="dxa"/>
                    <w:bottom w:w="57" w:type="dxa"/>
                    <w:right w:w="108" w:type="dxa"/>
                  </w:tcMar>
                  <w:vAlign w:val="center"/>
                </w:tcPr>
                <w:p w14:paraId="6206B06C">
                  <w:pPr>
                    <w:pStyle w:val="41"/>
                    <w:rPr>
                      <w:color w:val="auto"/>
                      <w:szCs w:val="18"/>
                      <w:highlight w:val="none"/>
                    </w:rPr>
                  </w:pPr>
                  <w:r>
                    <w:rPr>
                      <w:rFonts w:hint="eastAsia"/>
                      <w:color w:val="auto"/>
                      <w:szCs w:val="18"/>
                      <w:highlight w:val="none"/>
                    </w:rPr>
                    <w:t>本项目实施过程中采取的措施</w:t>
                  </w:r>
                </w:p>
              </w:tc>
              <w:tc>
                <w:tcPr>
                  <w:tcW w:w="503" w:type="pct"/>
                  <w:tcMar>
                    <w:top w:w="57" w:type="dxa"/>
                    <w:left w:w="108" w:type="dxa"/>
                    <w:bottom w:w="57" w:type="dxa"/>
                    <w:right w:w="108" w:type="dxa"/>
                  </w:tcMar>
                  <w:vAlign w:val="center"/>
                </w:tcPr>
                <w:p w14:paraId="35AB1C97">
                  <w:pPr>
                    <w:pStyle w:val="41"/>
                    <w:rPr>
                      <w:color w:val="auto"/>
                      <w:szCs w:val="18"/>
                      <w:highlight w:val="none"/>
                    </w:rPr>
                  </w:pPr>
                  <w:r>
                    <w:rPr>
                      <w:rFonts w:hint="eastAsia"/>
                      <w:color w:val="auto"/>
                      <w:szCs w:val="18"/>
                      <w:highlight w:val="none"/>
                    </w:rPr>
                    <w:t>相符性</w:t>
                  </w:r>
                </w:p>
              </w:tc>
            </w:tr>
            <w:tr w14:paraId="30EA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shd w:val="clear" w:color="auto" w:fill="auto"/>
                  <w:tcMar>
                    <w:top w:w="57" w:type="dxa"/>
                    <w:left w:w="108" w:type="dxa"/>
                    <w:bottom w:w="57" w:type="dxa"/>
                    <w:right w:w="108" w:type="dxa"/>
                  </w:tcMar>
                  <w:vAlign w:val="center"/>
                </w:tcPr>
                <w:p w14:paraId="577414C3">
                  <w:pPr>
                    <w:pStyle w:val="41"/>
                    <w:rPr>
                      <w:rFonts w:hint="eastAsia" w:ascii="宋体" w:hAnsi="宋体" w:eastAsia="宋体" w:cstheme="minorBidi"/>
                      <w:color w:val="auto"/>
                      <w:kern w:val="2"/>
                      <w:sz w:val="18"/>
                      <w:szCs w:val="18"/>
                      <w:highlight w:val="none"/>
                      <w:lang w:val="en-US" w:eastAsia="zh-CN" w:bidi="ar-SA"/>
                    </w:rPr>
                  </w:pPr>
                  <w:r>
                    <w:rPr>
                      <w:rFonts w:hint="eastAsia"/>
                      <w:color w:val="auto"/>
                      <w:szCs w:val="18"/>
                      <w:highlight w:val="none"/>
                    </w:rPr>
                    <w:t>1</w:t>
                  </w:r>
                </w:p>
              </w:tc>
              <w:tc>
                <w:tcPr>
                  <w:tcW w:w="1852" w:type="pct"/>
                  <w:tcMar>
                    <w:top w:w="57" w:type="dxa"/>
                    <w:left w:w="108" w:type="dxa"/>
                    <w:bottom w:w="57" w:type="dxa"/>
                    <w:right w:w="108" w:type="dxa"/>
                  </w:tcMar>
                  <w:vAlign w:val="center"/>
                </w:tcPr>
                <w:p w14:paraId="5C06DC32">
                  <w:pPr>
                    <w:pStyle w:val="41"/>
                    <w:rPr>
                      <w:rFonts w:hint="eastAsia"/>
                      <w:color w:val="auto"/>
                      <w:szCs w:val="18"/>
                      <w:highlight w:val="none"/>
                    </w:rPr>
                  </w:pPr>
                  <w:r>
                    <w:rPr>
                      <w:rFonts w:hint="eastAsia"/>
                      <w:color w:val="auto"/>
                      <w:szCs w:val="18"/>
                      <w:highlight w:val="none"/>
                    </w:rPr>
                    <w:t>未确定产能建设规模的陆地油气开采新区块，建设勘探井应当依法编制环境影响报告表。确定产能建设规模后，原则上不得以勘探名义继续开展单井环评。勘探井转为生产井的，可以纳入区块环评。</w:t>
                  </w:r>
                </w:p>
              </w:tc>
              <w:tc>
                <w:tcPr>
                  <w:tcW w:w="2137" w:type="pct"/>
                  <w:tcMar>
                    <w:top w:w="57" w:type="dxa"/>
                    <w:left w:w="108" w:type="dxa"/>
                    <w:bottom w:w="57" w:type="dxa"/>
                    <w:right w:w="108" w:type="dxa"/>
                  </w:tcMar>
                  <w:vAlign w:val="center"/>
                </w:tcPr>
                <w:p w14:paraId="65BAB481">
                  <w:pPr>
                    <w:pStyle w:val="41"/>
                    <w:rPr>
                      <w:rFonts w:hint="eastAsia" w:eastAsia="宋体"/>
                      <w:color w:val="auto"/>
                      <w:szCs w:val="18"/>
                      <w:highlight w:val="none"/>
                      <w:lang w:val="en-US" w:eastAsia="zh-CN"/>
                    </w:rPr>
                  </w:pPr>
                  <w:r>
                    <w:rPr>
                      <w:rFonts w:hint="eastAsia"/>
                      <w:color w:val="auto"/>
                      <w:szCs w:val="18"/>
                      <w:highlight w:val="none"/>
                      <w:lang w:val="en-US" w:eastAsia="zh-CN"/>
                    </w:rPr>
                    <w:t>本项目为勘探井，为</w:t>
                  </w:r>
                  <w:r>
                    <w:rPr>
                      <w:rFonts w:hint="eastAsia"/>
                      <w:color w:val="auto"/>
                      <w:szCs w:val="18"/>
                      <w:highlight w:val="none"/>
                    </w:rPr>
                    <w:t>未确定产能建设规模的陆地油气开采新区块</w:t>
                  </w:r>
                  <w:r>
                    <w:rPr>
                      <w:rFonts w:hint="eastAsia"/>
                      <w:color w:val="auto"/>
                      <w:szCs w:val="18"/>
                      <w:highlight w:val="none"/>
                      <w:lang w:eastAsia="zh-CN"/>
                    </w:rPr>
                    <w:t>。如果勘探过程中未出现油气显示或油气显示不能达到工业开采要求，建设单位则按照《油气田开采废弃井永久性封井处置作业规程》（GB/T 43672-2024）、</w:t>
                  </w:r>
                  <w:r>
                    <w:rPr>
                      <w:rFonts w:hint="eastAsia"/>
                      <w:color w:val="auto"/>
                      <w:highlight w:val="none"/>
                      <w:lang w:eastAsia="zh-CN"/>
                    </w:rPr>
                    <w:t>《废弃井封井回填技术指南（试行）》、《矿山生态环境保护与恢复治理技术规范（试行）》（HJ651-2013）</w:t>
                  </w:r>
                  <w:r>
                    <w:rPr>
                      <w:rFonts w:hint="eastAsia"/>
                      <w:color w:val="auto"/>
                      <w:szCs w:val="18"/>
                      <w:highlight w:val="none"/>
                      <w:lang w:eastAsia="zh-CN"/>
                    </w:rPr>
                    <w:t>中封井规范</w:t>
                  </w:r>
                  <w:r>
                    <w:rPr>
                      <w:rFonts w:hint="eastAsia"/>
                      <w:color w:val="auto"/>
                      <w:szCs w:val="18"/>
                      <w:highlight w:val="none"/>
                      <w:lang w:val="en-US" w:eastAsia="zh-CN"/>
                    </w:rPr>
                    <w:t>要求</w:t>
                  </w:r>
                  <w:r>
                    <w:rPr>
                      <w:rFonts w:hint="eastAsia"/>
                      <w:color w:val="auto"/>
                      <w:szCs w:val="18"/>
                      <w:highlight w:val="none"/>
                      <w:lang w:eastAsia="zh-CN"/>
                    </w:rPr>
                    <w:t>进行退役封井处置，并将临时占地恢复原貌；如果董深斜2井油气显示能够达到工业开采要求，将对董深斜2井进行临时封井，暂时封存，将该井转入区域产能开发方案井中，并重新在产能建设项目环境影响评价中另行评价。</w:t>
                  </w:r>
                </w:p>
              </w:tc>
              <w:tc>
                <w:tcPr>
                  <w:tcW w:w="503" w:type="pct"/>
                  <w:tcMar>
                    <w:top w:w="57" w:type="dxa"/>
                    <w:left w:w="108" w:type="dxa"/>
                    <w:bottom w:w="57" w:type="dxa"/>
                    <w:right w:w="108" w:type="dxa"/>
                  </w:tcMar>
                  <w:vAlign w:val="center"/>
                </w:tcPr>
                <w:p w14:paraId="5E6026A9">
                  <w:pPr>
                    <w:pStyle w:val="41"/>
                    <w:rPr>
                      <w:rFonts w:hint="eastAsia" w:eastAsia="宋体"/>
                      <w:color w:val="auto"/>
                      <w:szCs w:val="18"/>
                      <w:highlight w:val="none"/>
                      <w:lang w:val="en-US" w:eastAsia="zh-CN"/>
                    </w:rPr>
                  </w:pPr>
                  <w:r>
                    <w:rPr>
                      <w:rFonts w:hint="eastAsia"/>
                      <w:color w:val="auto"/>
                      <w:szCs w:val="18"/>
                      <w:highlight w:val="none"/>
                      <w:lang w:val="en-US" w:eastAsia="zh-CN"/>
                    </w:rPr>
                    <w:t>符合</w:t>
                  </w:r>
                </w:p>
              </w:tc>
            </w:tr>
            <w:tr w14:paraId="6269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shd w:val="clear" w:color="auto" w:fill="auto"/>
                  <w:tcMar>
                    <w:top w:w="57" w:type="dxa"/>
                    <w:left w:w="108" w:type="dxa"/>
                    <w:bottom w:w="57" w:type="dxa"/>
                    <w:right w:w="108" w:type="dxa"/>
                  </w:tcMar>
                  <w:vAlign w:val="center"/>
                </w:tcPr>
                <w:p w14:paraId="158233F8">
                  <w:pPr>
                    <w:pStyle w:val="41"/>
                    <w:rPr>
                      <w:rFonts w:ascii="宋体" w:hAnsi="宋体" w:eastAsia="宋体" w:cstheme="minorBidi"/>
                      <w:color w:val="auto"/>
                      <w:kern w:val="2"/>
                      <w:sz w:val="18"/>
                      <w:szCs w:val="18"/>
                      <w:highlight w:val="none"/>
                      <w:lang w:val="en-US" w:eastAsia="zh-CN" w:bidi="ar-SA"/>
                    </w:rPr>
                  </w:pPr>
                  <w:r>
                    <w:rPr>
                      <w:color w:val="auto"/>
                      <w:szCs w:val="18"/>
                      <w:highlight w:val="none"/>
                    </w:rPr>
                    <w:t>2</w:t>
                  </w:r>
                </w:p>
              </w:tc>
              <w:tc>
                <w:tcPr>
                  <w:tcW w:w="1852" w:type="pct"/>
                  <w:tcMar>
                    <w:top w:w="57" w:type="dxa"/>
                    <w:left w:w="108" w:type="dxa"/>
                    <w:bottom w:w="57" w:type="dxa"/>
                    <w:right w:w="108" w:type="dxa"/>
                  </w:tcMar>
                  <w:vAlign w:val="center"/>
                </w:tcPr>
                <w:p w14:paraId="3F107116">
                  <w:pPr>
                    <w:pStyle w:val="41"/>
                    <w:rPr>
                      <w:color w:val="auto"/>
                      <w:szCs w:val="18"/>
                      <w:highlight w:val="none"/>
                    </w:rPr>
                  </w:pPr>
                  <w:r>
                    <w:rPr>
                      <w:color w:val="auto"/>
                      <w:szCs w:val="18"/>
                      <w:highlight w:val="none"/>
                    </w:rPr>
                    <w:t>涉及向地表水体排放污染物的陆地油气开采项目，应当符合国家和地方污染物排放标准，满足重点污染物排放总量控制要求。</w:t>
                  </w:r>
                </w:p>
              </w:tc>
              <w:tc>
                <w:tcPr>
                  <w:tcW w:w="2137" w:type="pct"/>
                  <w:tcMar>
                    <w:top w:w="57" w:type="dxa"/>
                    <w:left w:w="108" w:type="dxa"/>
                    <w:bottom w:w="57" w:type="dxa"/>
                    <w:right w:w="108" w:type="dxa"/>
                  </w:tcMar>
                  <w:vAlign w:val="center"/>
                </w:tcPr>
                <w:p w14:paraId="74CF1C9D">
                  <w:pPr>
                    <w:pStyle w:val="41"/>
                    <w:rPr>
                      <w:color w:val="auto"/>
                      <w:szCs w:val="18"/>
                      <w:highlight w:val="none"/>
                    </w:rPr>
                  </w:pPr>
                  <w:r>
                    <w:rPr>
                      <w:color w:val="auto"/>
                      <w:szCs w:val="18"/>
                      <w:highlight w:val="none"/>
                    </w:rPr>
                    <w:t>本项目</w:t>
                  </w:r>
                  <w:r>
                    <w:rPr>
                      <w:rFonts w:hint="eastAsia"/>
                      <w:color w:val="auto"/>
                      <w:szCs w:val="18"/>
                      <w:highlight w:val="none"/>
                    </w:rPr>
                    <w:t>无</w:t>
                  </w:r>
                  <w:r>
                    <w:rPr>
                      <w:color w:val="auto"/>
                      <w:szCs w:val="18"/>
                      <w:highlight w:val="none"/>
                    </w:rPr>
                    <w:t>废水外排。</w:t>
                  </w:r>
                </w:p>
              </w:tc>
              <w:tc>
                <w:tcPr>
                  <w:tcW w:w="503" w:type="pct"/>
                  <w:tcMar>
                    <w:top w:w="57" w:type="dxa"/>
                    <w:left w:w="108" w:type="dxa"/>
                    <w:bottom w:w="57" w:type="dxa"/>
                    <w:right w:w="108" w:type="dxa"/>
                  </w:tcMar>
                  <w:vAlign w:val="center"/>
                </w:tcPr>
                <w:p w14:paraId="48899D6F">
                  <w:pPr>
                    <w:pStyle w:val="41"/>
                    <w:rPr>
                      <w:color w:val="auto"/>
                      <w:szCs w:val="18"/>
                      <w:highlight w:val="none"/>
                    </w:rPr>
                  </w:pPr>
                  <w:r>
                    <w:rPr>
                      <w:rFonts w:hint="eastAsia"/>
                      <w:color w:val="auto"/>
                      <w:szCs w:val="18"/>
                      <w:highlight w:val="none"/>
                    </w:rPr>
                    <w:t>符合</w:t>
                  </w:r>
                </w:p>
              </w:tc>
            </w:tr>
            <w:tr w14:paraId="7501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shd w:val="clear" w:color="auto" w:fill="auto"/>
                  <w:tcMar>
                    <w:top w:w="57" w:type="dxa"/>
                    <w:left w:w="108" w:type="dxa"/>
                    <w:bottom w:w="57" w:type="dxa"/>
                    <w:right w:w="108" w:type="dxa"/>
                  </w:tcMar>
                  <w:vAlign w:val="center"/>
                </w:tcPr>
                <w:p w14:paraId="04BEF297">
                  <w:pPr>
                    <w:pStyle w:val="41"/>
                    <w:rPr>
                      <w:rFonts w:ascii="宋体" w:hAnsi="宋体" w:eastAsia="宋体" w:cstheme="minorBidi"/>
                      <w:color w:val="auto"/>
                      <w:kern w:val="2"/>
                      <w:sz w:val="18"/>
                      <w:szCs w:val="18"/>
                      <w:highlight w:val="none"/>
                      <w:lang w:val="en-US" w:eastAsia="zh-CN" w:bidi="ar-SA"/>
                    </w:rPr>
                  </w:pPr>
                  <w:r>
                    <w:rPr>
                      <w:color w:val="auto"/>
                      <w:szCs w:val="18"/>
                      <w:highlight w:val="none"/>
                    </w:rPr>
                    <w:t>3</w:t>
                  </w:r>
                </w:p>
              </w:tc>
              <w:tc>
                <w:tcPr>
                  <w:tcW w:w="1852" w:type="pct"/>
                  <w:tcMar>
                    <w:top w:w="57" w:type="dxa"/>
                    <w:left w:w="108" w:type="dxa"/>
                    <w:bottom w:w="57" w:type="dxa"/>
                    <w:right w:w="108" w:type="dxa"/>
                  </w:tcMar>
                  <w:vAlign w:val="center"/>
                </w:tcPr>
                <w:p w14:paraId="2C6D38CA">
                  <w:pPr>
                    <w:pStyle w:val="41"/>
                    <w:rPr>
                      <w:color w:val="auto"/>
                      <w:szCs w:val="18"/>
                      <w:highlight w:val="none"/>
                    </w:rPr>
                  </w:pPr>
                  <w:r>
                    <w:rPr>
                      <w:color w:val="auto"/>
                      <w:szCs w:val="18"/>
                      <w:highlight w:val="none"/>
                    </w:rPr>
                    <w:t>涉及废水回注的，应当论证回注的环境可行性，采取切实可行的地下水污染防治和监控措施，不得回注与油气开采无关的废水，严禁造成地下水污染。在相关行业污染控制标准发布前，回注的开采废水应当经处理并符合</w:t>
                  </w:r>
                  <w:r>
                    <w:rPr>
                      <w:rFonts w:hint="eastAsia"/>
                      <w:color w:val="auto"/>
                      <w:szCs w:val="18"/>
                      <w:highlight w:val="none"/>
                    </w:rPr>
                    <w:t>《碎屑岩油藏注水水质指标技术要求及分析方法》（SY/T 5329-2019）</w:t>
                  </w:r>
                  <w:r>
                    <w:rPr>
                      <w:color w:val="auto"/>
                      <w:szCs w:val="18"/>
                      <w:highlight w:val="none"/>
                    </w:rPr>
                    <w:t>等相关标准要求后回注，同步采取切实可行措施防治污染。</w:t>
                  </w:r>
                </w:p>
              </w:tc>
              <w:tc>
                <w:tcPr>
                  <w:tcW w:w="2137" w:type="pct"/>
                  <w:tcMar>
                    <w:top w:w="57" w:type="dxa"/>
                    <w:left w:w="108" w:type="dxa"/>
                    <w:bottom w:w="57" w:type="dxa"/>
                    <w:right w:w="108" w:type="dxa"/>
                  </w:tcMar>
                  <w:vAlign w:val="center"/>
                </w:tcPr>
                <w:p w14:paraId="75285E1E">
                  <w:pPr>
                    <w:pStyle w:val="41"/>
                    <w:rPr>
                      <w:color w:val="auto"/>
                      <w:szCs w:val="18"/>
                      <w:highlight w:val="none"/>
                    </w:rPr>
                  </w:pPr>
                  <w:r>
                    <w:rPr>
                      <w:rFonts w:hint="eastAsia"/>
                      <w:color w:val="auto"/>
                      <w:kern w:val="0"/>
                      <w:szCs w:val="18"/>
                      <w:highlight w:val="none"/>
                    </w:rPr>
                    <w:t>本项目井下作业废液、压裂返排液拉运至</w:t>
                  </w:r>
                  <w:r>
                    <w:rPr>
                      <w:rFonts w:hint="eastAsia"/>
                      <w:color w:val="auto"/>
                      <w:kern w:val="0"/>
                      <w:szCs w:val="18"/>
                      <w:highlight w:val="none"/>
                      <w:lang w:eastAsia="zh-CN"/>
                    </w:rPr>
                    <w:t>春风联合站</w:t>
                  </w:r>
                  <w:r>
                    <w:rPr>
                      <w:rFonts w:hint="eastAsia"/>
                      <w:color w:val="auto"/>
                      <w:kern w:val="0"/>
                      <w:szCs w:val="18"/>
                      <w:highlight w:val="none"/>
                    </w:rPr>
                    <w:t>采出水处理系统处理，经处理达到《碎屑岩油藏注水水质指标技术要求及分析方法》（SY/T 5329-2022）</w:t>
                  </w:r>
                  <w:r>
                    <w:rPr>
                      <w:rFonts w:hint="eastAsia"/>
                      <w:color w:val="auto"/>
                      <w:szCs w:val="18"/>
                      <w:highlight w:val="none"/>
                    </w:rPr>
                    <w:t>对应储层空气渗透率下的水质主要控制指标后回注含油层用于产能开发，不外排</w:t>
                  </w:r>
                  <w:r>
                    <w:rPr>
                      <w:rFonts w:hint="eastAsia"/>
                      <w:color w:val="auto"/>
                      <w:kern w:val="0"/>
                      <w:szCs w:val="18"/>
                      <w:highlight w:val="none"/>
                    </w:rPr>
                    <w:t>。</w:t>
                  </w:r>
                </w:p>
              </w:tc>
              <w:tc>
                <w:tcPr>
                  <w:tcW w:w="503" w:type="pct"/>
                  <w:tcMar>
                    <w:top w:w="57" w:type="dxa"/>
                    <w:left w:w="108" w:type="dxa"/>
                    <w:bottom w:w="57" w:type="dxa"/>
                    <w:right w:w="108" w:type="dxa"/>
                  </w:tcMar>
                  <w:vAlign w:val="center"/>
                </w:tcPr>
                <w:p w14:paraId="28AFA2B4">
                  <w:pPr>
                    <w:pStyle w:val="41"/>
                    <w:rPr>
                      <w:color w:val="auto"/>
                      <w:szCs w:val="18"/>
                      <w:highlight w:val="none"/>
                    </w:rPr>
                  </w:pPr>
                  <w:r>
                    <w:rPr>
                      <w:rFonts w:hint="eastAsia"/>
                      <w:color w:val="auto"/>
                      <w:szCs w:val="18"/>
                      <w:highlight w:val="none"/>
                    </w:rPr>
                    <w:t>符合</w:t>
                  </w:r>
                </w:p>
              </w:tc>
            </w:tr>
            <w:tr w14:paraId="4608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shd w:val="clear" w:color="auto" w:fill="auto"/>
                  <w:tcMar>
                    <w:top w:w="57" w:type="dxa"/>
                    <w:left w:w="108" w:type="dxa"/>
                    <w:bottom w:w="57" w:type="dxa"/>
                    <w:right w:w="108" w:type="dxa"/>
                  </w:tcMar>
                  <w:vAlign w:val="center"/>
                </w:tcPr>
                <w:p w14:paraId="5C3D03A8">
                  <w:pPr>
                    <w:pStyle w:val="41"/>
                    <w:rPr>
                      <w:rFonts w:ascii="宋体" w:hAnsi="宋体" w:eastAsia="宋体" w:cstheme="minorBidi"/>
                      <w:color w:val="auto"/>
                      <w:kern w:val="2"/>
                      <w:sz w:val="18"/>
                      <w:szCs w:val="18"/>
                      <w:highlight w:val="none"/>
                      <w:lang w:val="en-US" w:eastAsia="zh-CN" w:bidi="ar-SA"/>
                    </w:rPr>
                  </w:pPr>
                  <w:r>
                    <w:rPr>
                      <w:color w:val="auto"/>
                      <w:szCs w:val="18"/>
                      <w:highlight w:val="none"/>
                    </w:rPr>
                    <w:t>4</w:t>
                  </w:r>
                </w:p>
              </w:tc>
              <w:tc>
                <w:tcPr>
                  <w:tcW w:w="1852" w:type="pct"/>
                  <w:tcMar>
                    <w:top w:w="57" w:type="dxa"/>
                    <w:left w:w="108" w:type="dxa"/>
                    <w:bottom w:w="57" w:type="dxa"/>
                    <w:right w:w="108" w:type="dxa"/>
                  </w:tcMar>
                  <w:vAlign w:val="center"/>
                </w:tcPr>
                <w:p w14:paraId="2BC228A9">
                  <w:pPr>
                    <w:pStyle w:val="41"/>
                    <w:rPr>
                      <w:color w:val="auto"/>
                      <w:szCs w:val="18"/>
                      <w:highlight w:val="none"/>
                    </w:rPr>
                  </w:pPr>
                  <w:r>
                    <w:rPr>
                      <w:color w:val="auto"/>
                      <w:szCs w:val="18"/>
                      <w:highlight w:val="none"/>
                    </w:rPr>
                    <w:t>油气开采产生的废弃油基泥浆、含油钻屑及其他固体废物，应当遵循减量化、资源化、无害化原则，按照国家和地方有关固体废物的管理规定进行处置。</w:t>
                  </w:r>
                </w:p>
              </w:tc>
              <w:tc>
                <w:tcPr>
                  <w:tcW w:w="2137" w:type="pct"/>
                  <w:tcMar>
                    <w:top w:w="57" w:type="dxa"/>
                    <w:left w:w="108" w:type="dxa"/>
                    <w:bottom w:w="57" w:type="dxa"/>
                    <w:right w:w="108" w:type="dxa"/>
                  </w:tcMar>
                  <w:vAlign w:val="center"/>
                </w:tcPr>
                <w:p w14:paraId="529EB30F">
                  <w:pPr>
                    <w:pStyle w:val="41"/>
                    <w:rPr>
                      <w:color w:val="auto"/>
                      <w:szCs w:val="18"/>
                      <w:highlight w:val="none"/>
                    </w:rPr>
                  </w:pPr>
                  <w:r>
                    <w:rPr>
                      <w:rFonts w:hint="eastAsia"/>
                      <w:color w:val="auto"/>
                      <w:kern w:val="0"/>
                      <w:szCs w:val="18"/>
                      <w:highlight w:val="none"/>
                    </w:rPr>
                    <w:t>本项目采用无毒、低毒钻井液。</w:t>
                  </w:r>
                  <w:r>
                    <w:rPr>
                      <w:color w:val="auto"/>
                      <w:kern w:val="0"/>
                      <w:szCs w:val="18"/>
                      <w:highlight w:val="none"/>
                    </w:rPr>
                    <w:t>钻井固废全部</w:t>
                  </w:r>
                  <w:r>
                    <w:rPr>
                      <w:rFonts w:hint="eastAsia"/>
                      <w:color w:val="auto"/>
                      <w:kern w:val="0"/>
                      <w:szCs w:val="18"/>
                      <w:highlight w:val="none"/>
                    </w:rPr>
                    <w:t>排至</w:t>
                  </w:r>
                  <w:r>
                    <w:rPr>
                      <w:color w:val="auto"/>
                      <w:kern w:val="0"/>
                      <w:szCs w:val="18"/>
                      <w:highlight w:val="none"/>
                    </w:rPr>
                    <w:t>“</w:t>
                  </w:r>
                  <w:r>
                    <w:rPr>
                      <w:rFonts w:hint="eastAsia"/>
                      <w:color w:val="auto"/>
                      <w:kern w:val="0"/>
                      <w:szCs w:val="18"/>
                      <w:highlight w:val="none"/>
                    </w:rPr>
                    <w:t>泥浆不落地</w:t>
                  </w:r>
                  <w:r>
                    <w:rPr>
                      <w:color w:val="auto"/>
                      <w:kern w:val="0"/>
                      <w:szCs w:val="18"/>
                      <w:highlight w:val="none"/>
                    </w:rPr>
                    <w:t>”</w:t>
                  </w:r>
                  <w:r>
                    <w:rPr>
                      <w:rFonts w:hint="eastAsia"/>
                      <w:color w:val="auto"/>
                      <w:kern w:val="0"/>
                      <w:szCs w:val="18"/>
                      <w:highlight w:val="none"/>
                    </w:rPr>
                    <w:t>设备处理，导管、</w:t>
                  </w:r>
                  <w:r>
                    <w:rPr>
                      <w:rFonts w:hint="eastAsia"/>
                      <w:color w:val="auto"/>
                      <w:szCs w:val="18"/>
                      <w:highlight w:val="none"/>
                    </w:rPr>
                    <w:t>一开、二开产生的钻井固废集中拉运至</w:t>
                  </w:r>
                  <w:r>
                    <w:rPr>
                      <w:rFonts w:hint="eastAsia"/>
                      <w:color w:val="auto"/>
                      <w:szCs w:val="18"/>
                      <w:highlight w:val="none"/>
                      <w:lang w:eastAsia="zh-CN"/>
                    </w:rPr>
                    <w:t>山东奥友环保工程有限责任公司乌苏分公司</w:t>
                  </w:r>
                  <w:r>
                    <w:rPr>
                      <w:rFonts w:hint="eastAsia"/>
                      <w:color w:val="auto"/>
                      <w:szCs w:val="18"/>
                      <w:highlight w:val="none"/>
                    </w:rPr>
                    <w:t>处理</w:t>
                  </w:r>
                  <w:r>
                    <w:rPr>
                      <w:rFonts w:hint="eastAsia"/>
                      <w:color w:val="auto"/>
                      <w:kern w:val="0"/>
                      <w:szCs w:val="18"/>
                      <w:highlight w:val="none"/>
                    </w:rPr>
                    <w:t>；三开产生的钻井固废</w:t>
                  </w:r>
                  <w:r>
                    <w:rPr>
                      <w:rFonts w:hint="eastAsia"/>
                      <w:color w:val="auto"/>
                      <w:szCs w:val="18"/>
                      <w:highlight w:val="none"/>
                    </w:rPr>
                    <w:t>委托有资质单位清运处置</w:t>
                  </w:r>
                  <w:r>
                    <w:rPr>
                      <w:rFonts w:hint="eastAsia"/>
                      <w:color w:val="auto"/>
                      <w:kern w:val="0"/>
                      <w:szCs w:val="18"/>
                      <w:highlight w:val="none"/>
                    </w:rPr>
                    <w:t>。</w:t>
                  </w:r>
                </w:p>
              </w:tc>
              <w:tc>
                <w:tcPr>
                  <w:tcW w:w="503" w:type="pct"/>
                  <w:tcMar>
                    <w:top w:w="57" w:type="dxa"/>
                    <w:left w:w="108" w:type="dxa"/>
                    <w:bottom w:w="57" w:type="dxa"/>
                    <w:right w:w="108" w:type="dxa"/>
                  </w:tcMar>
                  <w:vAlign w:val="center"/>
                </w:tcPr>
                <w:p w14:paraId="2D483438">
                  <w:pPr>
                    <w:pStyle w:val="41"/>
                    <w:rPr>
                      <w:color w:val="auto"/>
                      <w:szCs w:val="18"/>
                      <w:highlight w:val="none"/>
                    </w:rPr>
                  </w:pPr>
                  <w:r>
                    <w:rPr>
                      <w:rFonts w:hint="eastAsia"/>
                      <w:color w:val="auto"/>
                      <w:szCs w:val="18"/>
                      <w:highlight w:val="none"/>
                    </w:rPr>
                    <w:t>符合</w:t>
                  </w:r>
                </w:p>
              </w:tc>
            </w:tr>
            <w:tr w14:paraId="541B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shd w:val="clear" w:color="auto" w:fill="auto"/>
                  <w:tcMar>
                    <w:top w:w="57" w:type="dxa"/>
                    <w:left w:w="108" w:type="dxa"/>
                    <w:bottom w:w="57" w:type="dxa"/>
                    <w:right w:w="108" w:type="dxa"/>
                  </w:tcMar>
                  <w:vAlign w:val="center"/>
                </w:tcPr>
                <w:p w14:paraId="41AC8FE4">
                  <w:pPr>
                    <w:pStyle w:val="41"/>
                    <w:rPr>
                      <w:rFonts w:ascii="宋体" w:hAnsi="宋体" w:eastAsia="宋体" w:cstheme="minorBidi"/>
                      <w:color w:val="auto"/>
                      <w:kern w:val="2"/>
                      <w:sz w:val="18"/>
                      <w:szCs w:val="18"/>
                      <w:highlight w:val="none"/>
                      <w:lang w:val="en-US" w:eastAsia="zh-CN" w:bidi="ar-SA"/>
                    </w:rPr>
                  </w:pPr>
                  <w:r>
                    <w:rPr>
                      <w:color w:val="auto"/>
                      <w:szCs w:val="18"/>
                      <w:highlight w:val="none"/>
                    </w:rPr>
                    <w:t>5</w:t>
                  </w:r>
                </w:p>
              </w:tc>
              <w:tc>
                <w:tcPr>
                  <w:tcW w:w="1852" w:type="pct"/>
                  <w:tcMar>
                    <w:top w:w="57" w:type="dxa"/>
                    <w:left w:w="108" w:type="dxa"/>
                    <w:bottom w:w="57" w:type="dxa"/>
                    <w:right w:w="108" w:type="dxa"/>
                  </w:tcMar>
                  <w:vAlign w:val="center"/>
                </w:tcPr>
                <w:p w14:paraId="141902FC">
                  <w:pPr>
                    <w:pStyle w:val="41"/>
                    <w:rPr>
                      <w:color w:val="auto"/>
                      <w:szCs w:val="18"/>
                      <w:highlight w:val="none"/>
                    </w:rPr>
                  </w:pPr>
                  <w:r>
                    <w:rPr>
                      <w:color w:val="auto"/>
                      <w:szCs w:val="18"/>
                      <w:highlight w:val="none"/>
                    </w:rPr>
                    <w:t>施工期应当尽量减少施工占地、缩短施工时间、选择合理施工方式、落实环境敏感区管控要求以及其他生态环境保护措施，降低生态环境影响。钻井和压裂设备应当优先使用网电、高标准清洁燃油，减少废气排放。选用低噪声设备，避免噪声扰民。施工结束后，应当及时落实环评提出的生态保护措施</w:t>
                  </w:r>
                  <w:r>
                    <w:rPr>
                      <w:rFonts w:hint="eastAsia"/>
                      <w:color w:val="auto"/>
                      <w:szCs w:val="18"/>
                      <w:highlight w:val="none"/>
                    </w:rPr>
                    <w:t>。</w:t>
                  </w:r>
                </w:p>
              </w:tc>
              <w:tc>
                <w:tcPr>
                  <w:tcW w:w="2137" w:type="pct"/>
                  <w:tcMar>
                    <w:top w:w="57" w:type="dxa"/>
                    <w:left w:w="108" w:type="dxa"/>
                    <w:bottom w:w="57" w:type="dxa"/>
                    <w:right w:w="108" w:type="dxa"/>
                  </w:tcMar>
                  <w:vAlign w:val="center"/>
                </w:tcPr>
                <w:p w14:paraId="1E943944">
                  <w:pPr>
                    <w:pStyle w:val="41"/>
                    <w:rPr>
                      <w:color w:val="auto"/>
                      <w:szCs w:val="18"/>
                      <w:highlight w:val="none"/>
                    </w:rPr>
                  </w:pPr>
                  <w:r>
                    <w:rPr>
                      <w:rFonts w:hint="eastAsia" w:cs="宋体"/>
                      <w:color w:val="auto"/>
                      <w:kern w:val="0"/>
                      <w:szCs w:val="18"/>
                      <w:highlight w:val="none"/>
                    </w:rPr>
                    <w:t>本项目施工期减少施工占地；施工机械、车辆和设备使用达标燃油，减少废气排放；</w:t>
                  </w:r>
                  <w:r>
                    <w:rPr>
                      <w:rFonts w:hint="eastAsia"/>
                      <w:color w:val="auto"/>
                      <w:kern w:val="0"/>
                      <w:szCs w:val="18"/>
                      <w:highlight w:val="none"/>
                    </w:rPr>
                    <w:t>施工过程中采取隔音降噪措施，避免了噪声扰民</w:t>
                  </w:r>
                  <w:r>
                    <w:rPr>
                      <w:rFonts w:hint="eastAsia"/>
                      <w:color w:val="auto"/>
                      <w:szCs w:val="18"/>
                      <w:highlight w:val="none"/>
                    </w:rPr>
                    <w:t>。</w:t>
                  </w:r>
                </w:p>
              </w:tc>
              <w:tc>
                <w:tcPr>
                  <w:tcW w:w="503" w:type="pct"/>
                  <w:tcMar>
                    <w:top w:w="57" w:type="dxa"/>
                    <w:left w:w="108" w:type="dxa"/>
                    <w:bottom w:w="57" w:type="dxa"/>
                    <w:right w:w="108" w:type="dxa"/>
                  </w:tcMar>
                  <w:vAlign w:val="center"/>
                </w:tcPr>
                <w:p w14:paraId="3765B6A0">
                  <w:pPr>
                    <w:pStyle w:val="41"/>
                    <w:rPr>
                      <w:color w:val="auto"/>
                      <w:szCs w:val="18"/>
                      <w:highlight w:val="none"/>
                    </w:rPr>
                  </w:pPr>
                  <w:r>
                    <w:rPr>
                      <w:rFonts w:hint="eastAsia"/>
                      <w:color w:val="auto"/>
                      <w:szCs w:val="18"/>
                      <w:highlight w:val="none"/>
                    </w:rPr>
                    <w:t>符合</w:t>
                  </w:r>
                </w:p>
              </w:tc>
            </w:tr>
            <w:tr w14:paraId="50F5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7" w:type="pct"/>
                  <w:shd w:val="clear" w:color="auto" w:fill="auto"/>
                  <w:tcMar>
                    <w:top w:w="57" w:type="dxa"/>
                    <w:left w:w="108" w:type="dxa"/>
                    <w:bottom w:w="57" w:type="dxa"/>
                    <w:right w:w="108" w:type="dxa"/>
                  </w:tcMar>
                  <w:vAlign w:val="center"/>
                </w:tcPr>
                <w:p w14:paraId="501B5705">
                  <w:pPr>
                    <w:pStyle w:val="41"/>
                    <w:rPr>
                      <w:rFonts w:hint="eastAsia" w:eastAsia="宋体"/>
                      <w:color w:val="auto"/>
                      <w:szCs w:val="18"/>
                      <w:highlight w:val="none"/>
                      <w:lang w:val="en-US" w:eastAsia="zh-CN"/>
                    </w:rPr>
                  </w:pPr>
                  <w:r>
                    <w:rPr>
                      <w:rFonts w:hint="eastAsia"/>
                      <w:color w:val="auto"/>
                      <w:szCs w:val="18"/>
                      <w:highlight w:val="none"/>
                      <w:lang w:val="en-US" w:eastAsia="zh-CN"/>
                    </w:rPr>
                    <w:t>6</w:t>
                  </w:r>
                </w:p>
              </w:tc>
              <w:tc>
                <w:tcPr>
                  <w:tcW w:w="1852" w:type="pct"/>
                  <w:tcMar>
                    <w:top w:w="57" w:type="dxa"/>
                    <w:left w:w="108" w:type="dxa"/>
                    <w:bottom w:w="57" w:type="dxa"/>
                    <w:right w:w="108" w:type="dxa"/>
                  </w:tcMar>
                  <w:vAlign w:val="center"/>
                </w:tcPr>
                <w:p w14:paraId="43E64930">
                  <w:pPr>
                    <w:pStyle w:val="41"/>
                    <w:rPr>
                      <w:color w:val="auto"/>
                      <w:szCs w:val="18"/>
                      <w:highlight w:val="none"/>
                    </w:rPr>
                  </w:pPr>
                  <w:r>
                    <w:rPr>
                      <w:color w:val="auto"/>
                      <w:szCs w:val="18"/>
                      <w:highlight w:val="none"/>
                    </w:rPr>
                    <w:t>建设单位或生产经营单位按规定开展建设项目竣工环境保护验收，并录入全国建设项目竣工环境保护验收信息平台。分期建设、分期投入生产或者使用的建设项目，其相应的环境保护设施应当分期验收。</w:t>
                  </w:r>
                </w:p>
              </w:tc>
              <w:tc>
                <w:tcPr>
                  <w:tcW w:w="2137" w:type="pct"/>
                  <w:tcMar>
                    <w:top w:w="57" w:type="dxa"/>
                    <w:left w:w="108" w:type="dxa"/>
                    <w:bottom w:w="57" w:type="dxa"/>
                    <w:right w:w="108" w:type="dxa"/>
                  </w:tcMar>
                  <w:vAlign w:val="center"/>
                </w:tcPr>
                <w:p w14:paraId="74927F44">
                  <w:pPr>
                    <w:pStyle w:val="41"/>
                    <w:rPr>
                      <w:color w:val="auto"/>
                      <w:szCs w:val="18"/>
                      <w:highlight w:val="none"/>
                    </w:rPr>
                  </w:pPr>
                  <w:r>
                    <w:rPr>
                      <w:color w:val="auto"/>
                      <w:szCs w:val="18"/>
                      <w:highlight w:val="none"/>
                    </w:rPr>
                    <w:t>本项目建成后</w:t>
                  </w:r>
                  <w:r>
                    <w:rPr>
                      <w:rFonts w:hint="eastAsia"/>
                      <w:color w:val="auto"/>
                      <w:szCs w:val="18"/>
                      <w:highlight w:val="none"/>
                    </w:rPr>
                    <w:t>将由建设单位</w:t>
                  </w:r>
                  <w:r>
                    <w:rPr>
                      <w:color w:val="auto"/>
                      <w:szCs w:val="18"/>
                      <w:highlight w:val="none"/>
                    </w:rPr>
                    <w:t>按规定开展建设项目竣工环境保护验收。</w:t>
                  </w:r>
                </w:p>
              </w:tc>
              <w:tc>
                <w:tcPr>
                  <w:tcW w:w="503" w:type="pct"/>
                  <w:tcMar>
                    <w:top w:w="57" w:type="dxa"/>
                    <w:left w:w="108" w:type="dxa"/>
                    <w:bottom w:w="57" w:type="dxa"/>
                    <w:right w:w="108" w:type="dxa"/>
                  </w:tcMar>
                  <w:vAlign w:val="center"/>
                </w:tcPr>
                <w:p w14:paraId="332942D3">
                  <w:pPr>
                    <w:pStyle w:val="41"/>
                    <w:rPr>
                      <w:color w:val="auto"/>
                      <w:szCs w:val="18"/>
                      <w:highlight w:val="none"/>
                    </w:rPr>
                  </w:pPr>
                  <w:r>
                    <w:rPr>
                      <w:rFonts w:hint="eastAsia"/>
                      <w:color w:val="auto"/>
                      <w:szCs w:val="18"/>
                      <w:highlight w:val="none"/>
                    </w:rPr>
                    <w:t>符合</w:t>
                  </w:r>
                </w:p>
              </w:tc>
            </w:tr>
          </w:tbl>
          <w:p w14:paraId="2D445E72">
            <w:pPr>
              <w:pStyle w:val="3"/>
              <w:ind w:firstLine="420"/>
              <w:rPr>
                <w:color w:val="auto"/>
                <w:sz w:val="21"/>
                <w:highlight w:val="none"/>
              </w:rPr>
            </w:pPr>
          </w:p>
          <w:p w14:paraId="26101ACB">
            <w:pPr>
              <w:pStyle w:val="3"/>
              <w:numPr>
                <w:ilvl w:val="0"/>
                <w:numId w:val="7"/>
              </w:numPr>
              <w:ind w:firstLine="420"/>
              <w:rPr>
                <w:color w:val="auto"/>
                <w:sz w:val="21"/>
                <w:highlight w:val="none"/>
              </w:rPr>
            </w:pPr>
            <w:r>
              <w:rPr>
                <w:rFonts w:hint="eastAsia"/>
                <w:color w:val="auto"/>
                <w:sz w:val="21"/>
                <w:highlight w:val="none"/>
              </w:rPr>
              <w:t>与《石油天然气开采业污染防治技术政策》（公告 2012年 第18号）相符性分析</w:t>
            </w:r>
          </w:p>
          <w:p w14:paraId="52E0A740">
            <w:pPr>
              <w:adjustRightInd w:val="0"/>
              <w:snapToGrid w:val="0"/>
              <w:ind w:firstLine="420"/>
              <w:rPr>
                <w:color w:val="auto"/>
                <w:highlight w:val="none"/>
              </w:rPr>
            </w:pPr>
            <w:r>
              <w:rPr>
                <w:rFonts w:hint="eastAsia"/>
                <w:color w:val="auto"/>
                <w:highlight w:val="none"/>
              </w:rPr>
              <w:t>本项目与《石油天然气开采业污染防治技术政策》（公告 2012年 第18号）中要求的相符性分析详见</w:t>
            </w:r>
            <w:r>
              <w:rPr>
                <w:color w:val="auto"/>
                <w:highlight w:val="none"/>
              </w:rPr>
              <w:fldChar w:fldCharType="begin"/>
            </w:r>
            <w:r>
              <w:rPr>
                <w:color w:val="auto"/>
              </w:rPr>
              <w:instrText xml:space="preserve"> REF _Ref205836626 \h  \* MERGEFORMAT</w:instrText>
            </w:r>
            <w:r>
              <w:rPr>
                <w:color w:val="auto"/>
                <w:highlight w:val="none"/>
              </w:rPr>
              <w:fldChar w:fldCharType="separate"/>
            </w:r>
            <w:r>
              <w:rPr>
                <w:rFonts w:hint="eastAsia"/>
                <w:color w:val="auto"/>
                <w:szCs w:val="21"/>
                <w:highlight w:val="none"/>
              </w:rPr>
              <w:t>表8</w:t>
            </w:r>
            <w:r>
              <w:rPr>
                <w:color w:val="auto"/>
                <w:highlight w:val="none"/>
              </w:rPr>
              <w:fldChar w:fldCharType="end"/>
            </w:r>
            <w:r>
              <w:rPr>
                <w:rFonts w:hint="eastAsia"/>
                <w:color w:val="auto"/>
                <w:highlight w:val="none"/>
              </w:rPr>
              <w:t>。</w:t>
            </w:r>
          </w:p>
          <w:p w14:paraId="0F7D235C">
            <w:pPr>
              <w:pStyle w:val="13"/>
              <w:bidi w:val="0"/>
              <w:rPr>
                <w:color w:val="auto"/>
                <w:highlight w:val="none"/>
              </w:rPr>
            </w:pPr>
            <w:bookmarkStart w:id="8" w:name="_Ref205836626"/>
            <w:r>
              <w:rPr>
                <w:rFonts w:hint="eastAsia"/>
                <w:color w:val="auto"/>
                <w:highlight w:val="none"/>
              </w:rPr>
              <w:t>表</w:t>
            </w:r>
            <w:r>
              <w:rPr>
                <w:color w:val="auto"/>
                <w:highlight w:val="none"/>
              </w:rPr>
              <w:fldChar w:fldCharType="begin"/>
            </w:r>
            <w:r>
              <w:rPr>
                <w:color w:val="auto"/>
                <w:highlight w:val="none"/>
              </w:rPr>
              <w:instrText xml:space="preserve"> </w:instrText>
            </w:r>
            <w:r>
              <w:rPr>
                <w:rFonts w:hint="eastAsia"/>
                <w:color w:val="auto"/>
                <w:highlight w:val="none"/>
              </w:rPr>
              <w:instrText xml:space="preserve">SEQ 表 \*ARABIC</w:instrText>
            </w:r>
            <w:r>
              <w:rPr>
                <w:color w:val="auto"/>
                <w:highlight w:val="none"/>
              </w:rPr>
              <w:instrText xml:space="preserve"> </w:instrText>
            </w:r>
            <w:r>
              <w:rPr>
                <w:color w:val="auto"/>
                <w:highlight w:val="none"/>
              </w:rPr>
              <w:fldChar w:fldCharType="separate"/>
            </w:r>
            <w:r>
              <w:rPr>
                <w:rFonts w:hint="eastAsia"/>
                <w:color w:val="auto"/>
                <w:highlight w:val="none"/>
              </w:rPr>
              <w:t>8</w:t>
            </w:r>
            <w:r>
              <w:rPr>
                <w:color w:val="auto"/>
                <w:highlight w:val="none"/>
              </w:rPr>
              <w:fldChar w:fldCharType="end"/>
            </w:r>
            <w:bookmarkEnd w:id="8"/>
            <w:r>
              <w:rPr>
                <w:color w:val="auto"/>
                <w:highlight w:val="none"/>
              </w:rPr>
              <w:t xml:space="preserve">  </w:t>
            </w:r>
            <w:r>
              <w:rPr>
                <w:rFonts w:hint="eastAsia"/>
                <w:color w:val="auto"/>
                <w:highlight w:val="none"/>
              </w:rPr>
              <w:t>与《石油天然气开采业污染防治技术政策》（公告 2012年 第18号）的相符性分析</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0"/>
              <w:gridCol w:w="2458"/>
              <w:gridCol w:w="797"/>
            </w:tblGrid>
            <w:tr w14:paraId="7231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DA3B555">
                  <w:pPr>
                    <w:pStyle w:val="41"/>
                    <w:rPr>
                      <w:color w:val="auto"/>
                      <w:kern w:val="0"/>
                      <w:szCs w:val="18"/>
                      <w:highlight w:val="none"/>
                    </w:rPr>
                  </w:pPr>
                  <w:r>
                    <w:rPr>
                      <w:rFonts w:hint="eastAsia"/>
                      <w:color w:val="auto"/>
                      <w:kern w:val="0"/>
                      <w:szCs w:val="18"/>
                      <w:highlight w:val="none"/>
                    </w:rPr>
                    <w:t>文件要求</w:t>
                  </w:r>
                </w:p>
              </w:tc>
              <w:tc>
                <w:tcPr>
                  <w:tcW w:w="16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C7023B7">
                  <w:pPr>
                    <w:pStyle w:val="41"/>
                    <w:rPr>
                      <w:color w:val="auto"/>
                      <w:kern w:val="0"/>
                      <w:szCs w:val="18"/>
                      <w:highlight w:val="none"/>
                    </w:rPr>
                  </w:pPr>
                  <w:r>
                    <w:rPr>
                      <w:rFonts w:hint="eastAsia"/>
                      <w:bCs/>
                      <w:color w:val="auto"/>
                      <w:kern w:val="0"/>
                      <w:szCs w:val="18"/>
                      <w:highlight w:val="none"/>
                    </w:rPr>
                    <w:t>项目情况</w:t>
                  </w:r>
                </w:p>
              </w:tc>
              <w:tc>
                <w:tcPr>
                  <w:tcW w:w="53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5171944">
                  <w:pPr>
                    <w:pStyle w:val="41"/>
                    <w:rPr>
                      <w:color w:val="auto"/>
                      <w:kern w:val="0"/>
                      <w:szCs w:val="18"/>
                      <w:highlight w:val="none"/>
                    </w:rPr>
                  </w:pPr>
                  <w:r>
                    <w:rPr>
                      <w:rFonts w:hint="eastAsia"/>
                      <w:color w:val="auto"/>
                      <w:kern w:val="0"/>
                      <w:szCs w:val="18"/>
                      <w:highlight w:val="none"/>
                    </w:rPr>
                    <w:t>符合情况</w:t>
                  </w:r>
                </w:p>
              </w:tc>
            </w:tr>
            <w:tr w14:paraId="664F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00" w:type="pct"/>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4AD4579">
                  <w:pPr>
                    <w:pStyle w:val="41"/>
                    <w:rPr>
                      <w:color w:val="auto"/>
                      <w:kern w:val="0"/>
                      <w:szCs w:val="18"/>
                      <w:highlight w:val="none"/>
                    </w:rPr>
                  </w:pPr>
                  <w:r>
                    <w:rPr>
                      <w:rFonts w:hint="eastAsia"/>
                      <w:color w:val="auto"/>
                      <w:kern w:val="0"/>
                      <w:szCs w:val="18"/>
                      <w:highlight w:val="none"/>
                    </w:rPr>
                    <w:t>一、总则</w:t>
                  </w:r>
                </w:p>
              </w:tc>
            </w:tr>
            <w:tr w14:paraId="2317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3A4A906">
                  <w:pPr>
                    <w:pStyle w:val="41"/>
                    <w:rPr>
                      <w:color w:val="auto"/>
                      <w:kern w:val="0"/>
                      <w:szCs w:val="18"/>
                      <w:highlight w:val="none"/>
                    </w:rPr>
                  </w:pPr>
                  <w:r>
                    <w:rPr>
                      <w:rFonts w:hint="eastAsia"/>
                      <w:color w:val="auto"/>
                      <w:kern w:val="0"/>
                      <w:szCs w:val="18"/>
                      <w:highlight w:val="none"/>
                    </w:rPr>
                    <w:t>（三）到2015年末，行业新、改、扩建项目均采用清洁生产工艺和技术，工业废水回用率达到90%以上，工业固体废物资源化及无害化处理处置率达到100%。要遏制重大、杜绝特别重大环境污染和生态破坏事故的发生。要逐步实现对行业排放的石油类污染物进行总量控制。</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EF501CD">
                  <w:pPr>
                    <w:pStyle w:val="41"/>
                    <w:rPr>
                      <w:color w:val="auto"/>
                      <w:kern w:val="0"/>
                      <w:szCs w:val="18"/>
                      <w:highlight w:val="none"/>
                    </w:rPr>
                  </w:pPr>
                  <w:r>
                    <w:rPr>
                      <w:rFonts w:hint="eastAsia"/>
                      <w:color w:val="auto"/>
                      <w:kern w:val="0"/>
                      <w:szCs w:val="18"/>
                      <w:highlight w:val="none"/>
                    </w:rPr>
                    <w:t>项目采用清洁生产工艺和技术</w:t>
                  </w:r>
                  <w:r>
                    <w:rPr>
                      <w:rFonts w:hint="eastAsia"/>
                      <w:color w:val="auto"/>
                      <w:kern w:val="0"/>
                      <w:szCs w:val="18"/>
                      <w:highlight w:val="none"/>
                      <w:lang w:eastAsia="zh-CN"/>
                    </w:rPr>
                    <w:t>，</w:t>
                  </w:r>
                  <w:r>
                    <w:rPr>
                      <w:rFonts w:hint="eastAsia"/>
                      <w:color w:val="auto"/>
                      <w:kern w:val="0"/>
                      <w:szCs w:val="18"/>
                      <w:highlight w:val="none"/>
                      <w:lang w:val="en-US" w:eastAsia="zh-CN"/>
                    </w:rPr>
                    <w:t>采用</w:t>
                  </w:r>
                  <w:r>
                    <w:rPr>
                      <w:rFonts w:hint="eastAsia"/>
                      <w:color w:val="auto"/>
                      <w:kern w:val="0"/>
                      <w:szCs w:val="18"/>
                      <w:highlight w:val="none"/>
                      <w:lang w:eastAsia="zh-CN"/>
                    </w:rPr>
                    <w:t>“</w:t>
                  </w:r>
                  <w:r>
                    <w:rPr>
                      <w:rFonts w:hint="eastAsia" w:hAnsi="宋体"/>
                      <w:color w:val="auto"/>
                      <w:kern w:val="0"/>
                      <w:highlight w:val="none"/>
                    </w:rPr>
                    <w:t>泥浆不落地”工艺</w:t>
                  </w:r>
                  <w:r>
                    <w:rPr>
                      <w:rFonts w:hint="eastAsia"/>
                      <w:color w:val="auto"/>
                      <w:kern w:val="0"/>
                      <w:szCs w:val="18"/>
                      <w:highlight w:val="none"/>
                    </w:rPr>
                    <w:t>，</w:t>
                  </w:r>
                  <w:r>
                    <w:rPr>
                      <w:rFonts w:hint="eastAsia"/>
                      <w:color w:val="auto"/>
                      <w:kern w:val="0"/>
                      <w:szCs w:val="18"/>
                      <w:highlight w:val="none"/>
                      <w:lang w:val="en-US" w:eastAsia="zh-CN"/>
                    </w:rPr>
                    <w:t>工业</w:t>
                  </w:r>
                  <w:r>
                    <w:rPr>
                      <w:rFonts w:hint="eastAsia"/>
                      <w:color w:val="auto"/>
                      <w:kern w:val="0"/>
                      <w:szCs w:val="18"/>
                      <w:highlight w:val="none"/>
                    </w:rPr>
                    <w:t>废水</w:t>
                  </w:r>
                  <w:r>
                    <w:rPr>
                      <w:rFonts w:hint="eastAsia"/>
                      <w:color w:val="auto"/>
                      <w:kern w:val="0"/>
                      <w:szCs w:val="18"/>
                      <w:highlight w:val="none"/>
                      <w:lang w:val="en-US" w:eastAsia="zh-CN"/>
                    </w:rPr>
                    <w:t>全部回用</w:t>
                  </w:r>
                  <w:r>
                    <w:rPr>
                      <w:rFonts w:hint="eastAsia"/>
                      <w:color w:val="auto"/>
                      <w:kern w:val="0"/>
                      <w:szCs w:val="18"/>
                      <w:highlight w:val="none"/>
                    </w:rPr>
                    <w:t>，固体废物资源化及无害化处理处置率达到100%。</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852FF45">
                  <w:pPr>
                    <w:pStyle w:val="41"/>
                    <w:rPr>
                      <w:color w:val="auto"/>
                      <w:kern w:val="0"/>
                      <w:szCs w:val="18"/>
                      <w:highlight w:val="none"/>
                    </w:rPr>
                  </w:pPr>
                  <w:r>
                    <w:rPr>
                      <w:rFonts w:hint="eastAsia"/>
                      <w:color w:val="auto"/>
                      <w:kern w:val="0"/>
                      <w:szCs w:val="18"/>
                      <w:highlight w:val="none"/>
                    </w:rPr>
                    <w:t>符合</w:t>
                  </w:r>
                </w:p>
              </w:tc>
            </w:tr>
            <w:tr w14:paraId="62A4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6E69D78">
                  <w:pPr>
                    <w:pStyle w:val="41"/>
                    <w:rPr>
                      <w:color w:val="auto"/>
                      <w:kern w:val="0"/>
                      <w:szCs w:val="18"/>
                      <w:highlight w:val="none"/>
                    </w:rPr>
                  </w:pPr>
                  <w:r>
                    <w:rPr>
                      <w:rFonts w:hint="eastAsia"/>
                      <w:color w:val="auto"/>
                      <w:kern w:val="0"/>
                      <w:szCs w:val="18"/>
                      <w:highlight w:val="none"/>
                    </w:rPr>
                    <w:t>（四）石油天然气开采要坚持油气开发与环境保护并举，油气田整体开发与优化布局相结合，污染防治与生态保护并重。大力推行清洁生产，发展循环经济，强化末端治理，注重环境风险防范，因地制宜进行生态恢复与建设，实现绿色发展。</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8340339">
                  <w:pPr>
                    <w:pStyle w:val="41"/>
                    <w:rPr>
                      <w:color w:val="auto"/>
                      <w:kern w:val="0"/>
                      <w:szCs w:val="18"/>
                      <w:highlight w:val="none"/>
                    </w:rPr>
                  </w:pPr>
                  <w:r>
                    <w:rPr>
                      <w:rFonts w:hint="eastAsia"/>
                      <w:color w:val="auto"/>
                      <w:kern w:val="0"/>
                      <w:szCs w:val="18"/>
                      <w:highlight w:val="none"/>
                    </w:rPr>
                    <w:t>拟实施污染防治与生态保护措施。推行清洁生产，发展循环经济，强化末端治理，注重环境风险防范，因地制宜进行生态恢复与建设。</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E6C7A7F">
                  <w:pPr>
                    <w:pStyle w:val="41"/>
                    <w:rPr>
                      <w:color w:val="auto"/>
                      <w:kern w:val="0"/>
                      <w:szCs w:val="18"/>
                      <w:highlight w:val="none"/>
                    </w:rPr>
                  </w:pPr>
                  <w:r>
                    <w:rPr>
                      <w:rFonts w:hint="eastAsia"/>
                      <w:color w:val="auto"/>
                      <w:kern w:val="0"/>
                      <w:szCs w:val="18"/>
                      <w:highlight w:val="none"/>
                    </w:rPr>
                    <w:t>符合</w:t>
                  </w:r>
                </w:p>
              </w:tc>
            </w:tr>
            <w:tr w14:paraId="6215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1D21F53">
                  <w:pPr>
                    <w:pStyle w:val="41"/>
                    <w:rPr>
                      <w:color w:val="auto"/>
                      <w:kern w:val="0"/>
                      <w:szCs w:val="18"/>
                      <w:highlight w:val="none"/>
                    </w:rPr>
                  </w:pPr>
                  <w:r>
                    <w:rPr>
                      <w:rFonts w:hint="eastAsia"/>
                      <w:color w:val="auto"/>
                      <w:kern w:val="0"/>
                      <w:szCs w:val="18"/>
                      <w:highlight w:val="none"/>
                    </w:rPr>
                    <w:t>（五）在环境敏感区进行石油天然气勘探、开采的，要在开发前对生态、环境影响进行充分论证，并严格执行环境影响评价文件的要求，积极采取缓解生态、环境破坏的措施。</w:t>
                  </w:r>
                </w:p>
              </w:tc>
              <w:tc>
                <w:tcPr>
                  <w:tcW w:w="16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508A280">
                  <w:pPr>
                    <w:pStyle w:val="41"/>
                    <w:rPr>
                      <w:color w:val="auto"/>
                      <w:kern w:val="0"/>
                      <w:szCs w:val="18"/>
                      <w:highlight w:val="none"/>
                    </w:rPr>
                  </w:pPr>
                  <w:r>
                    <w:rPr>
                      <w:rFonts w:hint="eastAsia"/>
                      <w:color w:val="auto"/>
                      <w:kern w:val="0"/>
                      <w:szCs w:val="18"/>
                      <w:highlight w:val="none"/>
                    </w:rPr>
                    <w:t>本项目不在环境敏感区，在开发前对生态、环境影响进行了充分论证，并将严格执行环境影响评价文件的要求，积极采取缓解生态、环境破坏的措施。</w:t>
                  </w:r>
                </w:p>
              </w:tc>
              <w:tc>
                <w:tcPr>
                  <w:tcW w:w="53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74EB8D4">
                  <w:pPr>
                    <w:pStyle w:val="41"/>
                    <w:rPr>
                      <w:color w:val="auto"/>
                      <w:kern w:val="0"/>
                      <w:szCs w:val="18"/>
                      <w:highlight w:val="none"/>
                    </w:rPr>
                  </w:pPr>
                  <w:r>
                    <w:rPr>
                      <w:rFonts w:hint="eastAsia"/>
                      <w:color w:val="auto"/>
                      <w:kern w:val="0"/>
                      <w:szCs w:val="18"/>
                      <w:highlight w:val="none"/>
                    </w:rPr>
                    <w:t>符合</w:t>
                  </w:r>
                </w:p>
              </w:tc>
            </w:tr>
            <w:tr w14:paraId="0A1B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D6656C1">
                  <w:pPr>
                    <w:pStyle w:val="41"/>
                    <w:rPr>
                      <w:color w:val="auto"/>
                      <w:kern w:val="0"/>
                      <w:szCs w:val="18"/>
                      <w:highlight w:val="none"/>
                    </w:rPr>
                  </w:pPr>
                  <w:r>
                    <w:rPr>
                      <w:rFonts w:hint="eastAsia"/>
                      <w:color w:val="auto"/>
                      <w:kern w:val="0"/>
                      <w:szCs w:val="18"/>
                      <w:highlight w:val="none"/>
                    </w:rPr>
                    <w:t>二、清洁生产</w:t>
                  </w:r>
                </w:p>
              </w:tc>
            </w:tr>
            <w:tr w14:paraId="6C6E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B1A0673">
                  <w:pPr>
                    <w:pStyle w:val="41"/>
                    <w:rPr>
                      <w:color w:val="auto"/>
                      <w:kern w:val="0"/>
                      <w:szCs w:val="18"/>
                      <w:highlight w:val="none"/>
                    </w:rPr>
                  </w:pPr>
                  <w:r>
                    <w:rPr>
                      <w:rFonts w:hint="eastAsia"/>
                      <w:color w:val="auto"/>
                      <w:kern w:val="0"/>
                      <w:szCs w:val="18"/>
                      <w:highlight w:val="none"/>
                    </w:rPr>
                    <w:t>（一）油气田建设应总体规划，优化布局，整体开发，减少占地和油气损失，实现油气和废物的集中收集、处理处置。</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076591F">
                  <w:pPr>
                    <w:pStyle w:val="41"/>
                    <w:rPr>
                      <w:color w:val="auto"/>
                      <w:kern w:val="0"/>
                      <w:szCs w:val="18"/>
                      <w:highlight w:val="none"/>
                    </w:rPr>
                  </w:pPr>
                  <w:r>
                    <w:rPr>
                      <w:rFonts w:hint="eastAsia"/>
                      <w:color w:val="auto"/>
                      <w:kern w:val="0"/>
                      <w:szCs w:val="18"/>
                      <w:highlight w:val="none"/>
                    </w:rPr>
                    <w:t>本项目为预探井，不属于开发井。</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745D0F5">
                  <w:pPr>
                    <w:pStyle w:val="41"/>
                    <w:rPr>
                      <w:color w:val="auto"/>
                      <w:kern w:val="0"/>
                      <w:szCs w:val="18"/>
                      <w:highlight w:val="none"/>
                    </w:rPr>
                  </w:pPr>
                  <w:r>
                    <w:rPr>
                      <w:rFonts w:hint="eastAsia"/>
                      <w:color w:val="auto"/>
                      <w:kern w:val="0"/>
                      <w:szCs w:val="18"/>
                      <w:highlight w:val="none"/>
                    </w:rPr>
                    <w:t>符合</w:t>
                  </w:r>
                </w:p>
              </w:tc>
            </w:tr>
            <w:tr w14:paraId="01EF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317E7E1">
                  <w:pPr>
                    <w:pStyle w:val="41"/>
                    <w:rPr>
                      <w:color w:val="auto"/>
                      <w:kern w:val="0"/>
                      <w:szCs w:val="18"/>
                      <w:highlight w:val="none"/>
                    </w:rPr>
                  </w:pPr>
                  <w:r>
                    <w:rPr>
                      <w:rFonts w:hint="eastAsia"/>
                      <w:color w:val="auto"/>
                      <w:kern w:val="0"/>
                      <w:szCs w:val="18"/>
                      <w:highlight w:val="none"/>
                    </w:rPr>
                    <w:t>（二）油气田开发不得使用含有国际公约禁用化学物质的油气田化学剂，逐步淘汰微毒及以上油气田化学剂，鼓励使用无毒油气田化学剂。</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72787AA">
                  <w:pPr>
                    <w:pStyle w:val="41"/>
                    <w:rPr>
                      <w:color w:val="auto"/>
                      <w:kern w:val="0"/>
                      <w:szCs w:val="18"/>
                      <w:highlight w:val="none"/>
                    </w:rPr>
                  </w:pPr>
                  <w:r>
                    <w:rPr>
                      <w:rFonts w:hint="eastAsia"/>
                      <w:color w:val="auto"/>
                      <w:kern w:val="0"/>
                      <w:szCs w:val="18"/>
                      <w:highlight w:val="none"/>
                    </w:rPr>
                    <w:t>本项目使用环保型无毒无害的钻井液。</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228C784D">
                  <w:pPr>
                    <w:pStyle w:val="41"/>
                    <w:rPr>
                      <w:color w:val="auto"/>
                      <w:kern w:val="0"/>
                      <w:szCs w:val="18"/>
                      <w:highlight w:val="none"/>
                    </w:rPr>
                  </w:pPr>
                  <w:r>
                    <w:rPr>
                      <w:rFonts w:hint="eastAsia"/>
                      <w:color w:val="auto"/>
                      <w:kern w:val="0"/>
                      <w:szCs w:val="18"/>
                      <w:highlight w:val="none"/>
                    </w:rPr>
                    <w:t>符合</w:t>
                  </w:r>
                </w:p>
              </w:tc>
            </w:tr>
            <w:tr w14:paraId="183C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960A87F">
                  <w:pPr>
                    <w:pStyle w:val="41"/>
                    <w:rPr>
                      <w:color w:val="auto"/>
                      <w:kern w:val="0"/>
                      <w:szCs w:val="18"/>
                      <w:highlight w:val="none"/>
                    </w:rPr>
                  </w:pPr>
                  <w:r>
                    <w:rPr>
                      <w:rFonts w:hint="eastAsia"/>
                      <w:color w:val="auto"/>
                      <w:kern w:val="0"/>
                      <w:szCs w:val="18"/>
                      <w:highlight w:val="none"/>
                    </w:rPr>
                    <w:t>（三）在勘探开发过程中，应防止产生落地原油。其中井下作业过程中应配备泄油器、刮油器等。落地原油应及时回收，落地原油回收率应达到100%。</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C2D1224">
                  <w:pPr>
                    <w:pStyle w:val="41"/>
                    <w:rPr>
                      <w:color w:val="auto"/>
                      <w:kern w:val="0"/>
                      <w:szCs w:val="18"/>
                      <w:highlight w:val="none"/>
                    </w:rPr>
                  </w:pPr>
                  <w:r>
                    <w:rPr>
                      <w:rFonts w:hint="eastAsia"/>
                      <w:color w:val="auto"/>
                      <w:kern w:val="0"/>
                      <w:szCs w:val="18"/>
                      <w:highlight w:val="none"/>
                    </w:rPr>
                    <w:t>本项目试油期间采用船型围堰，防止产生落地原油。井下作业过程中配备</w:t>
                  </w:r>
                  <w:r>
                    <w:rPr>
                      <w:rFonts w:hint="eastAsia"/>
                      <w:color w:val="auto"/>
                      <w:kern w:val="0"/>
                      <w:szCs w:val="18"/>
                      <w:highlight w:val="none"/>
                      <w:lang w:val="en-US" w:eastAsia="zh-CN"/>
                    </w:rPr>
                    <w:t>有</w:t>
                  </w:r>
                  <w:r>
                    <w:rPr>
                      <w:rFonts w:hint="eastAsia"/>
                      <w:color w:val="auto"/>
                      <w:kern w:val="0"/>
                      <w:szCs w:val="18"/>
                      <w:highlight w:val="none"/>
                    </w:rPr>
                    <w:t>泄油、刮油</w:t>
                  </w:r>
                  <w:r>
                    <w:rPr>
                      <w:rFonts w:hint="eastAsia"/>
                      <w:color w:val="auto"/>
                      <w:kern w:val="0"/>
                      <w:szCs w:val="18"/>
                      <w:highlight w:val="none"/>
                      <w:lang w:val="en-US" w:eastAsia="zh-CN"/>
                    </w:rPr>
                    <w:t>功能的设施设备</w:t>
                  </w:r>
                  <w:r>
                    <w:rPr>
                      <w:rFonts w:hint="eastAsia"/>
                      <w:color w:val="auto"/>
                      <w:kern w:val="0"/>
                      <w:szCs w:val="18"/>
                      <w:highlight w:val="none"/>
                    </w:rPr>
                    <w:t>等。</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281DBF2E">
                  <w:pPr>
                    <w:pStyle w:val="41"/>
                    <w:rPr>
                      <w:color w:val="auto"/>
                      <w:kern w:val="0"/>
                      <w:szCs w:val="18"/>
                      <w:highlight w:val="none"/>
                    </w:rPr>
                  </w:pPr>
                  <w:r>
                    <w:rPr>
                      <w:rFonts w:hint="eastAsia"/>
                      <w:color w:val="auto"/>
                      <w:kern w:val="0"/>
                      <w:szCs w:val="18"/>
                      <w:highlight w:val="none"/>
                    </w:rPr>
                    <w:t>符合</w:t>
                  </w:r>
                </w:p>
              </w:tc>
            </w:tr>
            <w:tr w14:paraId="5747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1200699">
                  <w:pPr>
                    <w:pStyle w:val="41"/>
                    <w:rPr>
                      <w:color w:val="auto"/>
                      <w:kern w:val="0"/>
                      <w:szCs w:val="18"/>
                      <w:highlight w:val="none"/>
                    </w:rPr>
                  </w:pPr>
                  <w:r>
                    <w:rPr>
                      <w:rFonts w:hint="eastAsia"/>
                      <w:color w:val="auto"/>
                      <w:kern w:val="0"/>
                      <w:szCs w:val="18"/>
                      <w:highlight w:val="none"/>
                    </w:rPr>
                    <w:t>（四）在油气勘探过程中，宜使用环保型炸药和可控震源，应采取防渗等措施预防燃料泄漏对环境的污染。</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4AA05D4">
                  <w:pPr>
                    <w:pStyle w:val="41"/>
                    <w:rPr>
                      <w:color w:val="auto"/>
                      <w:kern w:val="0"/>
                      <w:szCs w:val="18"/>
                      <w:highlight w:val="none"/>
                    </w:rPr>
                  </w:pPr>
                  <w:r>
                    <w:rPr>
                      <w:rFonts w:hint="eastAsia"/>
                      <w:color w:val="auto"/>
                      <w:kern w:val="0"/>
                      <w:szCs w:val="18"/>
                      <w:highlight w:val="none"/>
                    </w:rPr>
                    <w:t>本项目不涉及使用炸药等。</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9AE8596">
                  <w:pPr>
                    <w:pStyle w:val="41"/>
                    <w:rPr>
                      <w:color w:val="auto"/>
                      <w:kern w:val="0"/>
                      <w:szCs w:val="18"/>
                      <w:highlight w:val="none"/>
                    </w:rPr>
                  </w:pPr>
                  <w:r>
                    <w:rPr>
                      <w:rFonts w:hint="eastAsia"/>
                      <w:color w:val="auto"/>
                      <w:kern w:val="0"/>
                      <w:szCs w:val="18"/>
                      <w:highlight w:val="none"/>
                    </w:rPr>
                    <w:t>符合</w:t>
                  </w:r>
                </w:p>
              </w:tc>
            </w:tr>
            <w:tr w14:paraId="63B5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F88031D">
                  <w:pPr>
                    <w:pStyle w:val="41"/>
                    <w:rPr>
                      <w:color w:val="auto"/>
                      <w:kern w:val="0"/>
                      <w:szCs w:val="18"/>
                      <w:highlight w:val="none"/>
                    </w:rPr>
                  </w:pPr>
                  <w:r>
                    <w:rPr>
                      <w:rFonts w:hint="eastAsia"/>
                      <w:color w:val="auto"/>
                      <w:kern w:val="0"/>
                      <w:szCs w:val="18"/>
                      <w:highlight w:val="none"/>
                    </w:rPr>
                    <w:t>（五）在钻井过程中，鼓励采用环境友好的钻井液体系；配备完善的固控设备，钻井液循环率达到95%以上；钻井过程产生的废水应回用。</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FEC5DAE">
                  <w:pPr>
                    <w:pStyle w:val="41"/>
                    <w:rPr>
                      <w:color w:val="auto"/>
                      <w:kern w:val="0"/>
                      <w:szCs w:val="18"/>
                      <w:highlight w:val="none"/>
                    </w:rPr>
                  </w:pPr>
                  <w:r>
                    <w:rPr>
                      <w:rFonts w:hint="eastAsia"/>
                      <w:color w:val="auto"/>
                      <w:kern w:val="0"/>
                      <w:szCs w:val="18"/>
                      <w:highlight w:val="none"/>
                    </w:rPr>
                    <w:t>本项目采用环保型钻井液，配备完善的固控设备</w:t>
                  </w:r>
                  <w:r>
                    <w:rPr>
                      <w:rFonts w:hint="eastAsia"/>
                      <w:color w:val="auto"/>
                      <w:kern w:val="0"/>
                      <w:szCs w:val="18"/>
                      <w:highlight w:val="none"/>
                      <w:lang w:eastAsia="zh-CN"/>
                    </w:rPr>
                    <w:t>，</w:t>
                  </w:r>
                  <w:r>
                    <w:rPr>
                      <w:rFonts w:hint="eastAsia"/>
                      <w:color w:val="auto"/>
                      <w:kern w:val="0"/>
                      <w:szCs w:val="18"/>
                      <w:highlight w:val="none"/>
                      <w:lang w:val="en-US" w:eastAsia="zh-CN"/>
                    </w:rPr>
                    <w:t>如振动筛、除砂器、除泥器、离心机</w:t>
                  </w:r>
                  <w:r>
                    <w:rPr>
                      <w:rFonts w:hint="eastAsia"/>
                      <w:color w:val="auto"/>
                      <w:kern w:val="0"/>
                      <w:szCs w:val="18"/>
                      <w:highlight w:val="none"/>
                    </w:rPr>
                    <w:t>；钻井液循环率达到95%以上；钻井结束后，钻井固废不在现场进行固液分离，现场无钻井废水产生。</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9D2B6A6">
                  <w:pPr>
                    <w:pStyle w:val="41"/>
                    <w:rPr>
                      <w:color w:val="auto"/>
                      <w:kern w:val="0"/>
                      <w:szCs w:val="18"/>
                      <w:highlight w:val="none"/>
                    </w:rPr>
                  </w:pPr>
                  <w:r>
                    <w:rPr>
                      <w:rFonts w:hint="eastAsia"/>
                      <w:color w:val="auto"/>
                      <w:kern w:val="0"/>
                      <w:szCs w:val="18"/>
                      <w:highlight w:val="none"/>
                    </w:rPr>
                    <w:t>符合</w:t>
                  </w:r>
                </w:p>
              </w:tc>
            </w:tr>
            <w:tr w14:paraId="7028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3936535">
                  <w:pPr>
                    <w:pStyle w:val="41"/>
                    <w:rPr>
                      <w:color w:val="auto"/>
                      <w:kern w:val="0"/>
                      <w:szCs w:val="18"/>
                      <w:highlight w:val="none"/>
                    </w:rPr>
                  </w:pPr>
                  <w:r>
                    <w:rPr>
                      <w:rFonts w:hint="eastAsia"/>
                      <w:color w:val="auto"/>
                      <w:kern w:val="0"/>
                      <w:szCs w:val="18"/>
                      <w:highlight w:val="none"/>
                    </w:rPr>
                    <w:t>（六）在井下作业过程中，酸化液和压裂液宜集中配制，酸化残液、压裂残液和返排液应回收利用或进行无害化处置，压裂放喷返排入罐率应达到100%。酸化、压裂作业和试油（气）过程应采取防喷、地面管线防刺、防漏、防溢等措施。</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89E737A">
                  <w:pPr>
                    <w:pStyle w:val="41"/>
                    <w:rPr>
                      <w:color w:val="auto"/>
                      <w:kern w:val="0"/>
                      <w:szCs w:val="18"/>
                      <w:highlight w:val="none"/>
                    </w:rPr>
                  </w:pPr>
                  <w:r>
                    <w:rPr>
                      <w:rFonts w:hint="eastAsia"/>
                      <w:color w:val="auto"/>
                      <w:kern w:val="0"/>
                      <w:szCs w:val="18"/>
                      <w:highlight w:val="none"/>
                    </w:rPr>
                    <w:t>本项目不涉及酸化，压裂返排液拉运至</w:t>
                  </w:r>
                  <w:r>
                    <w:rPr>
                      <w:rFonts w:hint="eastAsia"/>
                      <w:color w:val="auto"/>
                      <w:kern w:val="0"/>
                      <w:szCs w:val="18"/>
                      <w:highlight w:val="none"/>
                      <w:lang w:eastAsia="zh-CN"/>
                    </w:rPr>
                    <w:t>春风联合站</w:t>
                  </w:r>
                  <w:r>
                    <w:rPr>
                      <w:rFonts w:hint="eastAsia"/>
                      <w:color w:val="auto"/>
                      <w:kern w:val="0"/>
                      <w:szCs w:val="18"/>
                      <w:highlight w:val="none"/>
                    </w:rPr>
                    <w:t>采出水处理系统处理，经处理达到《碎屑岩油藏注水水质指标技术要求及分析方法》（SY/T 5329-2022）中水质主要控制指标后回注含油层用于产能开发，不外排。压裂作业</w:t>
                  </w:r>
                  <w:r>
                    <w:rPr>
                      <w:rFonts w:hint="eastAsia"/>
                      <w:color w:val="auto"/>
                      <w:kern w:val="0"/>
                      <w:szCs w:val="18"/>
                      <w:highlight w:val="none"/>
                      <w:lang w:val="en-US" w:eastAsia="zh-CN"/>
                    </w:rPr>
                    <w:t>和试油过程中采用全程监控环空压力变化、压裂车出口至水泥头处连接全部采用硬管线进行连接，并对硬管线应进行固定，地面部分采用锚定装置对硬管线进行锚定，其余部分分段就近采用固定绳套进行捆绑固定等</w:t>
                  </w:r>
                  <w:r>
                    <w:rPr>
                      <w:rFonts w:hint="eastAsia"/>
                      <w:color w:val="auto"/>
                      <w:kern w:val="0"/>
                      <w:szCs w:val="18"/>
                      <w:highlight w:val="none"/>
                    </w:rPr>
                    <w:t>防喷、地面管线防刺、防漏、防溢等措施。</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1C0E543">
                  <w:pPr>
                    <w:pStyle w:val="41"/>
                    <w:rPr>
                      <w:color w:val="auto"/>
                      <w:kern w:val="0"/>
                      <w:szCs w:val="18"/>
                      <w:highlight w:val="none"/>
                    </w:rPr>
                  </w:pPr>
                  <w:r>
                    <w:rPr>
                      <w:rFonts w:hint="eastAsia"/>
                      <w:color w:val="auto"/>
                      <w:kern w:val="0"/>
                      <w:szCs w:val="18"/>
                      <w:highlight w:val="none"/>
                    </w:rPr>
                    <w:t>符合</w:t>
                  </w:r>
                </w:p>
              </w:tc>
            </w:tr>
            <w:tr w14:paraId="548C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EB860C0">
                  <w:pPr>
                    <w:pStyle w:val="41"/>
                    <w:rPr>
                      <w:color w:val="auto"/>
                      <w:kern w:val="0"/>
                      <w:szCs w:val="18"/>
                      <w:highlight w:val="none"/>
                    </w:rPr>
                  </w:pPr>
                  <w:r>
                    <w:rPr>
                      <w:rFonts w:hint="eastAsia"/>
                      <w:color w:val="auto"/>
                      <w:kern w:val="0"/>
                      <w:szCs w:val="18"/>
                      <w:highlight w:val="none"/>
                    </w:rPr>
                    <w:t>（七）在开发过程中，适宜注水开采的油气田，应将采出水处理满足标准后回注；对于稠油注汽开采，鼓励采出水处理后回用于注汽锅炉。</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26486EF">
                  <w:pPr>
                    <w:pStyle w:val="41"/>
                    <w:rPr>
                      <w:color w:val="auto"/>
                      <w:kern w:val="0"/>
                      <w:szCs w:val="18"/>
                      <w:highlight w:val="none"/>
                    </w:rPr>
                  </w:pPr>
                  <w:r>
                    <w:rPr>
                      <w:rFonts w:hint="eastAsia"/>
                      <w:color w:val="auto"/>
                      <w:kern w:val="0"/>
                      <w:szCs w:val="18"/>
                      <w:highlight w:val="none"/>
                    </w:rPr>
                    <w:t>本项目为预探井，不涉及开发。</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59948DB">
                  <w:pPr>
                    <w:pStyle w:val="41"/>
                    <w:rPr>
                      <w:color w:val="auto"/>
                      <w:kern w:val="0"/>
                      <w:szCs w:val="18"/>
                      <w:highlight w:val="none"/>
                    </w:rPr>
                  </w:pPr>
                  <w:r>
                    <w:rPr>
                      <w:rFonts w:hint="eastAsia"/>
                      <w:color w:val="auto"/>
                      <w:kern w:val="0"/>
                      <w:szCs w:val="18"/>
                      <w:highlight w:val="none"/>
                    </w:rPr>
                    <w:t>符合</w:t>
                  </w:r>
                </w:p>
              </w:tc>
            </w:tr>
            <w:tr w14:paraId="5AB2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67D656C">
                  <w:pPr>
                    <w:pStyle w:val="41"/>
                    <w:rPr>
                      <w:color w:val="auto"/>
                      <w:kern w:val="0"/>
                      <w:szCs w:val="18"/>
                      <w:highlight w:val="none"/>
                    </w:rPr>
                  </w:pPr>
                  <w:r>
                    <w:rPr>
                      <w:rFonts w:hint="eastAsia"/>
                      <w:color w:val="auto"/>
                      <w:kern w:val="0"/>
                      <w:szCs w:val="18"/>
                      <w:highlight w:val="none"/>
                    </w:rPr>
                    <w:t>（八）在油气集输过程中，应采用密闭流程，减少烃类气体排放。新建3000m</w:t>
                  </w:r>
                  <w:r>
                    <w:rPr>
                      <w:rFonts w:hint="eastAsia"/>
                      <w:color w:val="auto"/>
                      <w:kern w:val="0"/>
                      <w:szCs w:val="18"/>
                      <w:highlight w:val="none"/>
                      <w:vertAlign w:val="superscript"/>
                    </w:rPr>
                    <w:t>3</w:t>
                  </w:r>
                  <w:r>
                    <w:rPr>
                      <w:rFonts w:hint="eastAsia"/>
                      <w:color w:val="auto"/>
                      <w:kern w:val="0"/>
                      <w:szCs w:val="18"/>
                      <w:highlight w:val="none"/>
                    </w:rPr>
                    <w:t>及以上原油储罐应采用浮顶型式，新、改、扩建油气储罐应安装泄漏报警系统。新、改、扩建油气田油气集输损耗率不高于0.5%，2010年12月31日前建设的油气田油气集输损耗率不高于0.8%。</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3A8AC24">
                  <w:pPr>
                    <w:pStyle w:val="41"/>
                    <w:rPr>
                      <w:color w:val="auto"/>
                      <w:kern w:val="0"/>
                      <w:szCs w:val="18"/>
                      <w:highlight w:val="none"/>
                    </w:rPr>
                  </w:pPr>
                  <w:r>
                    <w:rPr>
                      <w:rFonts w:hint="eastAsia"/>
                      <w:color w:val="auto"/>
                      <w:kern w:val="0"/>
                      <w:szCs w:val="18"/>
                      <w:highlight w:val="none"/>
                    </w:rPr>
                    <w:t>本项目不涉及油气集输。</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8E094A0">
                  <w:pPr>
                    <w:pStyle w:val="41"/>
                    <w:rPr>
                      <w:color w:val="auto"/>
                      <w:kern w:val="0"/>
                      <w:szCs w:val="18"/>
                      <w:highlight w:val="none"/>
                    </w:rPr>
                  </w:pPr>
                  <w:r>
                    <w:rPr>
                      <w:rFonts w:hint="eastAsia"/>
                      <w:color w:val="auto"/>
                      <w:kern w:val="0"/>
                      <w:szCs w:val="18"/>
                      <w:highlight w:val="none"/>
                    </w:rPr>
                    <w:t>符合</w:t>
                  </w:r>
                </w:p>
              </w:tc>
            </w:tr>
            <w:tr w14:paraId="0494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60E7056">
                  <w:pPr>
                    <w:pStyle w:val="41"/>
                    <w:rPr>
                      <w:color w:val="auto"/>
                      <w:kern w:val="0"/>
                      <w:szCs w:val="18"/>
                      <w:highlight w:val="none"/>
                    </w:rPr>
                  </w:pPr>
                  <w:r>
                    <w:rPr>
                      <w:rFonts w:hint="eastAsia"/>
                      <w:color w:val="auto"/>
                      <w:kern w:val="0"/>
                      <w:szCs w:val="18"/>
                      <w:highlight w:val="none"/>
                    </w:rPr>
                    <w:t>（九）在天然气净化过程中，应采用两级及以上克劳斯或其他实用高效的硫回收技术，在回收硫资源的同时，控制二氧化硫排放。</w:t>
                  </w:r>
                </w:p>
              </w:tc>
              <w:tc>
                <w:tcPr>
                  <w:tcW w:w="16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2F84272">
                  <w:pPr>
                    <w:pStyle w:val="41"/>
                    <w:rPr>
                      <w:color w:val="auto"/>
                      <w:kern w:val="0"/>
                      <w:szCs w:val="18"/>
                      <w:highlight w:val="none"/>
                    </w:rPr>
                  </w:pPr>
                  <w:r>
                    <w:rPr>
                      <w:rFonts w:hint="eastAsia"/>
                      <w:color w:val="auto"/>
                      <w:kern w:val="0"/>
                      <w:szCs w:val="18"/>
                      <w:highlight w:val="none"/>
                    </w:rPr>
                    <w:t>本项目不涉及天然气净化。</w:t>
                  </w:r>
                </w:p>
              </w:tc>
              <w:tc>
                <w:tcPr>
                  <w:tcW w:w="53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919F9E3">
                  <w:pPr>
                    <w:pStyle w:val="41"/>
                    <w:rPr>
                      <w:color w:val="auto"/>
                      <w:kern w:val="0"/>
                      <w:szCs w:val="18"/>
                      <w:highlight w:val="none"/>
                    </w:rPr>
                  </w:pPr>
                  <w:r>
                    <w:rPr>
                      <w:rFonts w:hint="eastAsia"/>
                      <w:color w:val="auto"/>
                      <w:kern w:val="0"/>
                      <w:szCs w:val="18"/>
                      <w:highlight w:val="none"/>
                    </w:rPr>
                    <w:t>符合</w:t>
                  </w:r>
                </w:p>
              </w:tc>
            </w:tr>
            <w:tr w14:paraId="2AAA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9F081A3">
                  <w:pPr>
                    <w:pStyle w:val="41"/>
                    <w:rPr>
                      <w:color w:val="auto"/>
                      <w:kern w:val="0"/>
                      <w:szCs w:val="18"/>
                      <w:highlight w:val="none"/>
                    </w:rPr>
                  </w:pPr>
                  <w:r>
                    <w:rPr>
                      <w:rFonts w:hint="eastAsia"/>
                      <w:color w:val="auto"/>
                      <w:kern w:val="0"/>
                      <w:szCs w:val="18"/>
                      <w:highlight w:val="none"/>
                    </w:rPr>
                    <w:t>三、生态保护</w:t>
                  </w:r>
                </w:p>
              </w:tc>
            </w:tr>
            <w:tr w14:paraId="7923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B6FA7AE">
                  <w:pPr>
                    <w:pStyle w:val="41"/>
                    <w:rPr>
                      <w:color w:val="auto"/>
                      <w:kern w:val="0"/>
                      <w:szCs w:val="18"/>
                      <w:highlight w:val="none"/>
                    </w:rPr>
                  </w:pPr>
                  <w:r>
                    <w:rPr>
                      <w:rFonts w:hint="eastAsia"/>
                      <w:color w:val="auto"/>
                      <w:kern w:val="0"/>
                      <w:szCs w:val="18"/>
                      <w:highlight w:val="none"/>
                    </w:rPr>
                    <w:t>（一）油气田建设宜布置丛式井组，采用多分支井、水平井、小孔钻井、空气钻井等钻井技术，以减少废物产生和占地。</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580A769">
                  <w:pPr>
                    <w:pStyle w:val="41"/>
                    <w:rPr>
                      <w:color w:val="auto"/>
                      <w:kern w:val="0"/>
                      <w:szCs w:val="18"/>
                      <w:highlight w:val="none"/>
                    </w:rPr>
                  </w:pPr>
                  <w:r>
                    <w:rPr>
                      <w:rFonts w:hint="eastAsia"/>
                      <w:color w:val="auto"/>
                      <w:kern w:val="0"/>
                      <w:szCs w:val="18"/>
                      <w:highlight w:val="none"/>
                    </w:rPr>
                    <w:t>本项目为预探井，不属于开发井。</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3A341E3">
                  <w:pPr>
                    <w:pStyle w:val="41"/>
                    <w:rPr>
                      <w:color w:val="auto"/>
                      <w:kern w:val="0"/>
                      <w:szCs w:val="18"/>
                      <w:highlight w:val="none"/>
                    </w:rPr>
                  </w:pPr>
                  <w:r>
                    <w:rPr>
                      <w:rFonts w:hint="eastAsia"/>
                      <w:color w:val="auto"/>
                      <w:kern w:val="0"/>
                      <w:szCs w:val="18"/>
                      <w:highlight w:val="none"/>
                    </w:rPr>
                    <w:t>符合</w:t>
                  </w:r>
                </w:p>
              </w:tc>
            </w:tr>
            <w:tr w14:paraId="6991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B4D956B">
                  <w:pPr>
                    <w:pStyle w:val="41"/>
                    <w:rPr>
                      <w:color w:val="auto"/>
                      <w:kern w:val="0"/>
                      <w:szCs w:val="18"/>
                      <w:highlight w:val="none"/>
                    </w:rPr>
                  </w:pPr>
                  <w:r>
                    <w:rPr>
                      <w:rFonts w:hint="eastAsia"/>
                      <w:color w:val="auto"/>
                      <w:kern w:val="0"/>
                      <w:szCs w:val="18"/>
                      <w:highlight w:val="none"/>
                    </w:rPr>
                    <w:t>（二）在油气勘探过程中，应根据工区测线布设，合理规划行车线路和爆炸点，避让环境敏感区和环境敏感时间。对爆点地表应立即进行恢复。</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A6A2308">
                  <w:pPr>
                    <w:pStyle w:val="41"/>
                    <w:rPr>
                      <w:color w:val="auto"/>
                      <w:kern w:val="0"/>
                      <w:szCs w:val="18"/>
                      <w:highlight w:val="none"/>
                    </w:rPr>
                  </w:pPr>
                  <w:r>
                    <w:rPr>
                      <w:rFonts w:hint="eastAsia"/>
                      <w:color w:val="auto"/>
                      <w:kern w:val="0"/>
                      <w:szCs w:val="18"/>
                      <w:highlight w:val="none"/>
                    </w:rPr>
                    <w:t>本项目不涉及爆炸。</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4CEB8BB">
                  <w:pPr>
                    <w:pStyle w:val="41"/>
                    <w:rPr>
                      <w:color w:val="auto"/>
                      <w:kern w:val="0"/>
                      <w:szCs w:val="18"/>
                      <w:highlight w:val="none"/>
                    </w:rPr>
                  </w:pPr>
                  <w:r>
                    <w:rPr>
                      <w:rFonts w:hint="eastAsia"/>
                      <w:color w:val="auto"/>
                      <w:kern w:val="0"/>
                      <w:szCs w:val="18"/>
                      <w:highlight w:val="none"/>
                    </w:rPr>
                    <w:t>符合</w:t>
                  </w:r>
                </w:p>
              </w:tc>
            </w:tr>
            <w:tr w14:paraId="00A1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6C272EA">
                  <w:pPr>
                    <w:pStyle w:val="41"/>
                    <w:rPr>
                      <w:color w:val="auto"/>
                      <w:kern w:val="0"/>
                      <w:szCs w:val="18"/>
                      <w:highlight w:val="none"/>
                    </w:rPr>
                  </w:pPr>
                  <w:r>
                    <w:rPr>
                      <w:rFonts w:hint="eastAsia"/>
                      <w:color w:val="auto"/>
                      <w:kern w:val="0"/>
                      <w:szCs w:val="18"/>
                      <w:highlight w:val="none"/>
                    </w:rPr>
                    <w:t>（三）在测井过程中，鼓励应用核磁共振测井技术，减少生态破坏；运输测井放射源车辆应加装定位系统。</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CBF3886">
                  <w:pPr>
                    <w:pStyle w:val="41"/>
                    <w:rPr>
                      <w:color w:val="auto"/>
                      <w:kern w:val="0"/>
                      <w:szCs w:val="18"/>
                      <w:highlight w:val="none"/>
                    </w:rPr>
                  </w:pPr>
                  <w:r>
                    <w:rPr>
                      <w:rFonts w:hint="eastAsia"/>
                      <w:color w:val="auto"/>
                      <w:kern w:val="0"/>
                      <w:szCs w:val="18"/>
                      <w:highlight w:val="none"/>
                    </w:rPr>
                    <w:t>本项目测井过程中，优先应用核磁共振测井技术，减少生态破坏；运输测井放射源车辆加装定位系统。</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EE84B64">
                  <w:pPr>
                    <w:pStyle w:val="41"/>
                    <w:rPr>
                      <w:color w:val="auto"/>
                      <w:kern w:val="0"/>
                      <w:szCs w:val="18"/>
                      <w:highlight w:val="none"/>
                    </w:rPr>
                  </w:pPr>
                  <w:r>
                    <w:rPr>
                      <w:rFonts w:hint="eastAsia"/>
                      <w:color w:val="auto"/>
                      <w:kern w:val="0"/>
                      <w:szCs w:val="18"/>
                      <w:highlight w:val="none"/>
                    </w:rPr>
                    <w:t>符合</w:t>
                  </w:r>
                </w:p>
              </w:tc>
            </w:tr>
            <w:tr w14:paraId="5543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C5FFF31">
                  <w:pPr>
                    <w:pStyle w:val="41"/>
                    <w:rPr>
                      <w:color w:val="auto"/>
                      <w:kern w:val="0"/>
                      <w:szCs w:val="18"/>
                      <w:highlight w:val="none"/>
                    </w:rPr>
                  </w:pPr>
                  <w:r>
                    <w:rPr>
                      <w:rFonts w:hint="eastAsia"/>
                      <w:color w:val="auto"/>
                      <w:kern w:val="0"/>
                      <w:szCs w:val="18"/>
                      <w:highlight w:val="none"/>
                    </w:rPr>
                    <w:t>（四）在开发过程中，伴生气应回收利用，减少温室气体排放，不具备回收利用条件的，应充分燃烧，伴生气回收利用率应达到80%以上；站场放空天然气应充分燃烧。燃烧放空设施应避开鸟类迁徙通道。</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9CDE161">
                  <w:pPr>
                    <w:pStyle w:val="41"/>
                    <w:rPr>
                      <w:color w:val="auto"/>
                      <w:kern w:val="0"/>
                      <w:szCs w:val="18"/>
                      <w:highlight w:val="none"/>
                    </w:rPr>
                  </w:pPr>
                  <w:r>
                    <w:rPr>
                      <w:rFonts w:hint="eastAsia"/>
                      <w:color w:val="auto"/>
                      <w:kern w:val="0"/>
                      <w:szCs w:val="18"/>
                      <w:highlight w:val="none"/>
                    </w:rPr>
                    <w:t>本项目不涉及开发。</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A4C1EBA">
                  <w:pPr>
                    <w:pStyle w:val="41"/>
                    <w:rPr>
                      <w:color w:val="auto"/>
                      <w:kern w:val="0"/>
                      <w:szCs w:val="18"/>
                      <w:highlight w:val="none"/>
                    </w:rPr>
                  </w:pPr>
                  <w:r>
                    <w:rPr>
                      <w:rFonts w:hint="eastAsia"/>
                      <w:color w:val="auto"/>
                      <w:kern w:val="0"/>
                      <w:szCs w:val="18"/>
                      <w:highlight w:val="none"/>
                    </w:rPr>
                    <w:t>符合</w:t>
                  </w:r>
                </w:p>
              </w:tc>
            </w:tr>
            <w:tr w14:paraId="47CB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21410E8C">
                  <w:pPr>
                    <w:pStyle w:val="41"/>
                    <w:rPr>
                      <w:color w:val="auto"/>
                      <w:kern w:val="0"/>
                      <w:szCs w:val="18"/>
                      <w:highlight w:val="none"/>
                    </w:rPr>
                  </w:pPr>
                  <w:r>
                    <w:rPr>
                      <w:rFonts w:hint="eastAsia"/>
                      <w:color w:val="auto"/>
                      <w:kern w:val="0"/>
                      <w:szCs w:val="18"/>
                      <w:highlight w:val="none"/>
                    </w:rPr>
                    <w:t>（五）在油气开发过程中，应采取措施减轻生态影响并及时用适地植物进行植被恢复。井场周围应设置围堤或井界沟。应设立地下水水质监测井，加强对油气田地下水水质的监控，防止回注过程对地下水造成污染。</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7D7D857">
                  <w:pPr>
                    <w:pStyle w:val="41"/>
                    <w:rPr>
                      <w:color w:val="auto"/>
                      <w:kern w:val="0"/>
                      <w:szCs w:val="18"/>
                      <w:highlight w:val="none"/>
                    </w:rPr>
                  </w:pPr>
                  <w:r>
                    <w:rPr>
                      <w:rFonts w:hint="eastAsia"/>
                      <w:color w:val="auto"/>
                      <w:kern w:val="0"/>
                      <w:szCs w:val="18"/>
                      <w:highlight w:val="none"/>
                    </w:rPr>
                    <w:t>本项目不涉及开发。</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E936663">
                  <w:pPr>
                    <w:pStyle w:val="41"/>
                    <w:rPr>
                      <w:color w:val="auto"/>
                      <w:kern w:val="0"/>
                      <w:szCs w:val="18"/>
                      <w:highlight w:val="none"/>
                    </w:rPr>
                  </w:pPr>
                  <w:r>
                    <w:rPr>
                      <w:rFonts w:hint="eastAsia"/>
                      <w:color w:val="auto"/>
                      <w:kern w:val="0"/>
                      <w:szCs w:val="18"/>
                      <w:highlight w:val="none"/>
                    </w:rPr>
                    <w:t>符合</w:t>
                  </w:r>
                </w:p>
              </w:tc>
            </w:tr>
            <w:tr w14:paraId="76BD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A40E76B">
                  <w:pPr>
                    <w:pStyle w:val="41"/>
                    <w:rPr>
                      <w:color w:val="auto"/>
                      <w:kern w:val="0"/>
                      <w:szCs w:val="18"/>
                      <w:highlight w:val="none"/>
                    </w:rPr>
                  </w:pPr>
                  <w:r>
                    <w:rPr>
                      <w:rFonts w:hint="eastAsia"/>
                      <w:color w:val="auto"/>
                      <w:kern w:val="0"/>
                      <w:szCs w:val="18"/>
                      <w:highlight w:val="none"/>
                    </w:rPr>
                    <w:t>（六）位于湿地自然保护区和鸟类迁徙通道上的油田、油井，若有较大的生态影响，应将电线、采油管线地下敷设。在油田作业区，应采取措施，保护零散自然湿地。</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6FAD26E">
                  <w:pPr>
                    <w:pStyle w:val="41"/>
                    <w:rPr>
                      <w:color w:val="auto"/>
                      <w:kern w:val="0"/>
                      <w:szCs w:val="18"/>
                      <w:highlight w:val="none"/>
                    </w:rPr>
                  </w:pPr>
                  <w:r>
                    <w:rPr>
                      <w:rFonts w:hint="eastAsia"/>
                      <w:color w:val="auto"/>
                      <w:kern w:val="0"/>
                      <w:szCs w:val="18"/>
                      <w:highlight w:val="none"/>
                    </w:rPr>
                    <w:t>本项目不在湿地自然保护区和鸟类迁徙通道上，对生态影响较小。</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F67A8A4">
                  <w:pPr>
                    <w:pStyle w:val="41"/>
                    <w:rPr>
                      <w:color w:val="auto"/>
                      <w:kern w:val="0"/>
                      <w:szCs w:val="18"/>
                      <w:highlight w:val="none"/>
                    </w:rPr>
                  </w:pPr>
                  <w:r>
                    <w:rPr>
                      <w:rFonts w:hint="eastAsia"/>
                      <w:color w:val="auto"/>
                      <w:kern w:val="0"/>
                      <w:szCs w:val="18"/>
                      <w:highlight w:val="none"/>
                    </w:rPr>
                    <w:t>符合</w:t>
                  </w:r>
                </w:p>
              </w:tc>
            </w:tr>
            <w:tr w14:paraId="1164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E932CED">
                  <w:pPr>
                    <w:pStyle w:val="41"/>
                    <w:rPr>
                      <w:color w:val="auto"/>
                      <w:kern w:val="0"/>
                      <w:szCs w:val="18"/>
                      <w:highlight w:val="none"/>
                    </w:rPr>
                  </w:pPr>
                  <w:r>
                    <w:rPr>
                      <w:rFonts w:hint="eastAsia"/>
                      <w:color w:val="auto"/>
                      <w:kern w:val="0"/>
                      <w:szCs w:val="18"/>
                      <w:highlight w:val="none"/>
                    </w:rPr>
                    <w:t>（七）油气田退役前应进行环境影响后评价，油气田企业应按照后评价要求进行生态恢复。</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F2F7A9B">
                  <w:pPr>
                    <w:pStyle w:val="41"/>
                    <w:rPr>
                      <w:color w:val="auto"/>
                      <w:kern w:val="0"/>
                      <w:szCs w:val="18"/>
                      <w:highlight w:val="none"/>
                    </w:rPr>
                  </w:pPr>
                  <w:r>
                    <w:rPr>
                      <w:rFonts w:hint="eastAsia"/>
                      <w:color w:val="auto"/>
                      <w:kern w:val="0"/>
                      <w:szCs w:val="18"/>
                      <w:highlight w:val="none"/>
                    </w:rPr>
                    <w:t>油气田退役前拟进行环境影响后评价，建设单位将按照后评价要求进行生态恢复。</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B7F6579">
                  <w:pPr>
                    <w:pStyle w:val="41"/>
                    <w:rPr>
                      <w:color w:val="auto"/>
                      <w:kern w:val="0"/>
                      <w:szCs w:val="18"/>
                      <w:highlight w:val="none"/>
                    </w:rPr>
                  </w:pPr>
                  <w:r>
                    <w:rPr>
                      <w:rFonts w:hint="eastAsia"/>
                      <w:color w:val="auto"/>
                      <w:kern w:val="0"/>
                      <w:szCs w:val="18"/>
                      <w:highlight w:val="none"/>
                    </w:rPr>
                    <w:t>符合</w:t>
                  </w:r>
                </w:p>
              </w:tc>
            </w:tr>
            <w:tr w14:paraId="531D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F2615C4">
                  <w:pPr>
                    <w:pStyle w:val="41"/>
                    <w:rPr>
                      <w:color w:val="auto"/>
                      <w:kern w:val="0"/>
                      <w:szCs w:val="18"/>
                      <w:highlight w:val="none"/>
                    </w:rPr>
                  </w:pPr>
                  <w:r>
                    <w:rPr>
                      <w:rFonts w:hint="eastAsia"/>
                      <w:color w:val="auto"/>
                      <w:kern w:val="0"/>
                      <w:szCs w:val="18"/>
                      <w:highlight w:val="none"/>
                    </w:rPr>
                    <w:t>四、污染治理</w:t>
                  </w:r>
                </w:p>
              </w:tc>
            </w:tr>
            <w:tr w14:paraId="49C2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FCED54B">
                  <w:pPr>
                    <w:pStyle w:val="41"/>
                    <w:rPr>
                      <w:color w:val="auto"/>
                      <w:kern w:val="0"/>
                      <w:szCs w:val="18"/>
                      <w:highlight w:val="none"/>
                    </w:rPr>
                  </w:pPr>
                  <w:r>
                    <w:rPr>
                      <w:rFonts w:hint="eastAsia"/>
                      <w:color w:val="auto"/>
                      <w:kern w:val="0"/>
                      <w:szCs w:val="18"/>
                      <w:highlight w:val="none"/>
                    </w:rPr>
                    <w:t>（一）在钻井和井下作业过程中，鼓励污油、污水进入生产流程循环利用，未进入生产流程的污油、污水应采用固液分离、废水处理一体化装置等处理后达标外排。在油气开发过程中，未回注的油气田采出水宜采用混凝气浮和生化处理相结合的方式。</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CD9643A">
                  <w:pPr>
                    <w:pStyle w:val="41"/>
                    <w:rPr>
                      <w:color w:val="auto"/>
                      <w:kern w:val="0"/>
                      <w:szCs w:val="18"/>
                      <w:highlight w:val="none"/>
                    </w:rPr>
                  </w:pPr>
                  <w:r>
                    <w:rPr>
                      <w:rFonts w:hint="eastAsia"/>
                      <w:color w:val="auto"/>
                      <w:kern w:val="0"/>
                      <w:szCs w:val="18"/>
                      <w:highlight w:val="none"/>
                    </w:rPr>
                    <w:t>本项目井下作业废液、压裂返排液</w:t>
                  </w:r>
                  <w:r>
                    <w:rPr>
                      <w:rFonts w:hint="eastAsia"/>
                      <w:snapToGrid w:val="0"/>
                      <w:color w:val="auto"/>
                      <w:kern w:val="0"/>
                      <w:szCs w:val="18"/>
                      <w:highlight w:val="none"/>
                    </w:rPr>
                    <w:t>定期由罐车运至</w:t>
                  </w:r>
                  <w:r>
                    <w:rPr>
                      <w:rFonts w:hint="eastAsia"/>
                      <w:snapToGrid w:val="0"/>
                      <w:color w:val="auto"/>
                      <w:kern w:val="0"/>
                      <w:szCs w:val="18"/>
                      <w:highlight w:val="none"/>
                      <w:lang w:eastAsia="zh-CN"/>
                    </w:rPr>
                    <w:t>春风联合站</w:t>
                  </w:r>
                  <w:r>
                    <w:rPr>
                      <w:rFonts w:hint="eastAsia"/>
                      <w:snapToGrid w:val="0"/>
                      <w:color w:val="auto"/>
                      <w:kern w:val="0"/>
                      <w:szCs w:val="18"/>
                      <w:highlight w:val="none"/>
                    </w:rPr>
                    <w:t>进行处理，</w:t>
                  </w:r>
                  <w:r>
                    <w:rPr>
                      <w:rFonts w:hint="eastAsia"/>
                      <w:color w:val="auto"/>
                      <w:kern w:val="0"/>
                      <w:szCs w:val="18"/>
                      <w:highlight w:val="none"/>
                    </w:rPr>
                    <w:t>经处理达到《碎屑岩油藏注水水质指标技术要求及分析方法》（SY/T 5329-2022）对应储层空气渗透率下的水质主要控制指标后回注含油层用于产能开发，不外排。</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AE6F7F0">
                  <w:pPr>
                    <w:pStyle w:val="41"/>
                    <w:rPr>
                      <w:color w:val="auto"/>
                      <w:kern w:val="0"/>
                      <w:szCs w:val="18"/>
                      <w:highlight w:val="none"/>
                    </w:rPr>
                  </w:pPr>
                  <w:r>
                    <w:rPr>
                      <w:rFonts w:hint="eastAsia"/>
                      <w:color w:val="auto"/>
                      <w:kern w:val="0"/>
                      <w:szCs w:val="18"/>
                      <w:highlight w:val="none"/>
                    </w:rPr>
                    <w:t>符合</w:t>
                  </w:r>
                </w:p>
              </w:tc>
            </w:tr>
            <w:tr w14:paraId="1835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4639E2B">
                  <w:pPr>
                    <w:pStyle w:val="41"/>
                    <w:rPr>
                      <w:color w:val="auto"/>
                      <w:kern w:val="0"/>
                      <w:szCs w:val="18"/>
                      <w:highlight w:val="none"/>
                    </w:rPr>
                  </w:pPr>
                  <w:r>
                    <w:rPr>
                      <w:rFonts w:hint="eastAsia"/>
                      <w:color w:val="auto"/>
                      <w:kern w:val="0"/>
                      <w:szCs w:val="18"/>
                      <w:highlight w:val="none"/>
                    </w:rPr>
                    <w:t>（二）在天然气净化过程中，鼓励采用二氧化硫尾气处理技术，提高去除效率。</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CB7ABC4">
                  <w:pPr>
                    <w:pStyle w:val="41"/>
                    <w:rPr>
                      <w:color w:val="auto"/>
                      <w:kern w:val="0"/>
                      <w:szCs w:val="18"/>
                      <w:highlight w:val="none"/>
                    </w:rPr>
                  </w:pPr>
                  <w:r>
                    <w:rPr>
                      <w:rFonts w:hint="eastAsia"/>
                      <w:color w:val="auto"/>
                      <w:kern w:val="0"/>
                      <w:szCs w:val="18"/>
                      <w:highlight w:val="none"/>
                    </w:rPr>
                    <w:t>本项目不涉及天然气净化。</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D45575E">
                  <w:pPr>
                    <w:pStyle w:val="41"/>
                    <w:rPr>
                      <w:color w:val="auto"/>
                      <w:kern w:val="0"/>
                      <w:szCs w:val="18"/>
                      <w:highlight w:val="none"/>
                    </w:rPr>
                  </w:pPr>
                  <w:r>
                    <w:rPr>
                      <w:rFonts w:hint="eastAsia"/>
                      <w:color w:val="auto"/>
                      <w:kern w:val="0"/>
                      <w:szCs w:val="18"/>
                      <w:highlight w:val="none"/>
                    </w:rPr>
                    <w:t>符合</w:t>
                  </w:r>
                </w:p>
              </w:tc>
            </w:tr>
            <w:tr w14:paraId="0D64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A021391">
                  <w:pPr>
                    <w:pStyle w:val="41"/>
                    <w:rPr>
                      <w:color w:val="auto"/>
                      <w:kern w:val="0"/>
                      <w:szCs w:val="18"/>
                      <w:highlight w:val="none"/>
                    </w:rPr>
                  </w:pPr>
                  <w:r>
                    <w:rPr>
                      <w:rFonts w:hint="eastAsia"/>
                      <w:color w:val="auto"/>
                      <w:kern w:val="0"/>
                      <w:szCs w:val="18"/>
                      <w:highlight w:val="none"/>
                    </w:rPr>
                    <w:t>（三）固体废物收集、贮存、处理处置设施应按照标准要求采取防渗措施。试油（气）后应立即封闭废弃钻井液贮池。</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CB599DD">
                  <w:pPr>
                    <w:pStyle w:val="41"/>
                    <w:rPr>
                      <w:color w:val="auto"/>
                      <w:kern w:val="0"/>
                      <w:szCs w:val="18"/>
                      <w:highlight w:val="none"/>
                    </w:rPr>
                  </w:pPr>
                  <w:r>
                    <w:rPr>
                      <w:rFonts w:hint="eastAsia"/>
                      <w:color w:val="auto"/>
                      <w:kern w:val="0"/>
                      <w:szCs w:val="18"/>
                      <w:highlight w:val="none"/>
                    </w:rPr>
                    <w:t>钻井固废使用“泥浆不落地”工艺处置，不采用泥浆池，符合防渗要求。</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DDC743F">
                  <w:pPr>
                    <w:pStyle w:val="41"/>
                    <w:rPr>
                      <w:color w:val="auto"/>
                      <w:kern w:val="0"/>
                      <w:szCs w:val="18"/>
                      <w:highlight w:val="none"/>
                    </w:rPr>
                  </w:pPr>
                  <w:r>
                    <w:rPr>
                      <w:rFonts w:hint="eastAsia"/>
                      <w:color w:val="auto"/>
                      <w:kern w:val="0"/>
                      <w:szCs w:val="18"/>
                      <w:highlight w:val="none"/>
                    </w:rPr>
                    <w:t>符合</w:t>
                  </w:r>
                </w:p>
              </w:tc>
            </w:tr>
            <w:tr w14:paraId="07E7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3BEA772">
                  <w:pPr>
                    <w:pStyle w:val="41"/>
                    <w:rPr>
                      <w:color w:val="auto"/>
                      <w:kern w:val="0"/>
                      <w:szCs w:val="18"/>
                      <w:highlight w:val="none"/>
                    </w:rPr>
                  </w:pPr>
                  <w:r>
                    <w:rPr>
                      <w:rFonts w:hint="eastAsia"/>
                      <w:color w:val="auto"/>
                      <w:kern w:val="0"/>
                      <w:szCs w:val="18"/>
                      <w:highlight w:val="none"/>
                    </w:rPr>
                    <w:t>（五）对受到油污染的土壤宜采取生物或物化方法进行修复。</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242AB9A6">
                  <w:pPr>
                    <w:pStyle w:val="41"/>
                    <w:rPr>
                      <w:color w:val="auto"/>
                      <w:kern w:val="0"/>
                      <w:szCs w:val="18"/>
                      <w:highlight w:val="none"/>
                    </w:rPr>
                  </w:pPr>
                  <w:r>
                    <w:rPr>
                      <w:rFonts w:hint="eastAsia"/>
                      <w:color w:val="auto"/>
                      <w:kern w:val="0"/>
                      <w:szCs w:val="18"/>
                      <w:highlight w:val="none"/>
                    </w:rPr>
                    <w:t>正常工况下土壤不会受到油污染，事故状态下，建设单位启动应急预案处理受污染土壤。</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620EB1A">
                  <w:pPr>
                    <w:pStyle w:val="41"/>
                    <w:rPr>
                      <w:color w:val="auto"/>
                      <w:kern w:val="0"/>
                      <w:szCs w:val="18"/>
                      <w:highlight w:val="none"/>
                    </w:rPr>
                  </w:pPr>
                  <w:r>
                    <w:rPr>
                      <w:rFonts w:hint="eastAsia"/>
                      <w:color w:val="auto"/>
                      <w:kern w:val="0"/>
                      <w:szCs w:val="18"/>
                      <w:highlight w:val="none"/>
                    </w:rPr>
                    <w:t>符合</w:t>
                  </w:r>
                </w:p>
              </w:tc>
            </w:tr>
            <w:tr w14:paraId="250C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8FF4BD4">
                  <w:pPr>
                    <w:pStyle w:val="41"/>
                    <w:rPr>
                      <w:color w:val="auto"/>
                      <w:kern w:val="0"/>
                      <w:szCs w:val="18"/>
                      <w:highlight w:val="none"/>
                    </w:rPr>
                  </w:pPr>
                  <w:r>
                    <w:rPr>
                      <w:rFonts w:hint="eastAsia"/>
                      <w:color w:val="auto"/>
                      <w:kern w:val="0"/>
                      <w:szCs w:val="18"/>
                      <w:highlight w:val="none"/>
                    </w:rPr>
                    <w:t>五、鼓励研发的新技术</w:t>
                  </w:r>
                </w:p>
              </w:tc>
            </w:tr>
            <w:tr w14:paraId="7EA1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AA200FA">
                  <w:pPr>
                    <w:pStyle w:val="41"/>
                    <w:rPr>
                      <w:color w:val="auto"/>
                      <w:kern w:val="0"/>
                      <w:szCs w:val="18"/>
                      <w:highlight w:val="none"/>
                    </w:rPr>
                  </w:pPr>
                  <w:r>
                    <w:rPr>
                      <w:rFonts w:hint="eastAsia"/>
                      <w:color w:val="auto"/>
                      <w:kern w:val="0"/>
                      <w:szCs w:val="18"/>
                      <w:highlight w:val="none"/>
                    </w:rPr>
                    <w:t>（一）环境友好的油田化学剂、酸化液、压裂液、钻井液，酸化、压裂替代技术，钻井废物的随钻处理技术，提高天然气净化厂硫回收率技术。</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40C6950">
                  <w:pPr>
                    <w:pStyle w:val="41"/>
                    <w:rPr>
                      <w:color w:val="auto"/>
                      <w:kern w:val="0"/>
                      <w:szCs w:val="18"/>
                      <w:highlight w:val="none"/>
                    </w:rPr>
                  </w:pPr>
                  <w:r>
                    <w:rPr>
                      <w:rFonts w:hint="eastAsia"/>
                      <w:color w:val="auto"/>
                      <w:kern w:val="0"/>
                      <w:szCs w:val="18"/>
                      <w:highlight w:val="none"/>
                    </w:rPr>
                    <w:t>本项目采用环保型油田化学剂、钻井液、压裂液。</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B30EA84">
                  <w:pPr>
                    <w:pStyle w:val="41"/>
                    <w:rPr>
                      <w:color w:val="auto"/>
                      <w:kern w:val="0"/>
                      <w:szCs w:val="18"/>
                      <w:highlight w:val="none"/>
                    </w:rPr>
                  </w:pPr>
                  <w:r>
                    <w:rPr>
                      <w:rFonts w:hint="eastAsia"/>
                      <w:color w:val="auto"/>
                      <w:kern w:val="0"/>
                      <w:szCs w:val="18"/>
                      <w:highlight w:val="none"/>
                    </w:rPr>
                    <w:t>符合</w:t>
                  </w:r>
                </w:p>
              </w:tc>
            </w:tr>
            <w:tr w14:paraId="724E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DCCE99D">
                  <w:pPr>
                    <w:pStyle w:val="41"/>
                    <w:rPr>
                      <w:color w:val="auto"/>
                      <w:kern w:val="0"/>
                      <w:szCs w:val="18"/>
                      <w:highlight w:val="none"/>
                    </w:rPr>
                  </w:pPr>
                  <w:r>
                    <w:rPr>
                      <w:rFonts w:hint="eastAsia"/>
                      <w:color w:val="auto"/>
                      <w:kern w:val="0"/>
                      <w:szCs w:val="18"/>
                      <w:highlight w:val="none"/>
                    </w:rPr>
                    <w:t>（二）二氧化碳驱采油技术，低渗透地层的注水处理技术。</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92AF025">
                  <w:pPr>
                    <w:pStyle w:val="41"/>
                    <w:rPr>
                      <w:color w:val="auto"/>
                      <w:kern w:val="0"/>
                      <w:szCs w:val="18"/>
                      <w:highlight w:val="none"/>
                    </w:rPr>
                  </w:pPr>
                  <w:r>
                    <w:rPr>
                      <w:rFonts w:hint="eastAsia"/>
                      <w:color w:val="auto"/>
                      <w:kern w:val="0"/>
                      <w:szCs w:val="18"/>
                      <w:highlight w:val="none"/>
                    </w:rPr>
                    <w:t>本项目不涉及二氧化碳驱采油。</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F4B998D">
                  <w:pPr>
                    <w:pStyle w:val="41"/>
                    <w:rPr>
                      <w:color w:val="auto"/>
                      <w:kern w:val="0"/>
                      <w:szCs w:val="18"/>
                      <w:highlight w:val="none"/>
                    </w:rPr>
                  </w:pPr>
                  <w:r>
                    <w:rPr>
                      <w:rFonts w:hint="eastAsia"/>
                      <w:color w:val="auto"/>
                      <w:kern w:val="0"/>
                      <w:szCs w:val="18"/>
                      <w:highlight w:val="none"/>
                    </w:rPr>
                    <w:t>符合</w:t>
                  </w:r>
                </w:p>
              </w:tc>
            </w:tr>
            <w:tr w14:paraId="5237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BC87E2C">
                  <w:pPr>
                    <w:pStyle w:val="41"/>
                    <w:rPr>
                      <w:color w:val="auto"/>
                      <w:kern w:val="0"/>
                      <w:szCs w:val="18"/>
                      <w:highlight w:val="none"/>
                    </w:rPr>
                  </w:pPr>
                  <w:r>
                    <w:rPr>
                      <w:rFonts w:hint="eastAsia"/>
                      <w:color w:val="auto"/>
                      <w:kern w:val="0"/>
                      <w:szCs w:val="18"/>
                      <w:highlight w:val="none"/>
                    </w:rPr>
                    <w:t>（三）废弃钻井液、井下作业废液及含油污泥资源化利用和无害化处置技术，石油污染物的快速降解技术，受污染土壤、地下水的修复技术。</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59D41B6">
                  <w:pPr>
                    <w:pStyle w:val="41"/>
                    <w:rPr>
                      <w:color w:val="auto"/>
                      <w:kern w:val="0"/>
                      <w:szCs w:val="18"/>
                      <w:highlight w:val="none"/>
                    </w:rPr>
                  </w:pPr>
                  <w:r>
                    <w:rPr>
                      <w:rFonts w:hint="eastAsia"/>
                      <w:color w:val="auto"/>
                      <w:kern w:val="0"/>
                      <w:szCs w:val="18"/>
                      <w:highlight w:val="none"/>
                    </w:rPr>
                    <w:t>废弃钻井液采用资源化利用和无害化处置技术。</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CEEDA40">
                  <w:pPr>
                    <w:pStyle w:val="41"/>
                    <w:rPr>
                      <w:color w:val="auto"/>
                      <w:kern w:val="0"/>
                      <w:szCs w:val="18"/>
                      <w:highlight w:val="none"/>
                    </w:rPr>
                  </w:pPr>
                  <w:r>
                    <w:rPr>
                      <w:rFonts w:hint="eastAsia"/>
                      <w:color w:val="auto"/>
                      <w:kern w:val="0"/>
                      <w:szCs w:val="18"/>
                      <w:highlight w:val="none"/>
                    </w:rPr>
                    <w:t>符合</w:t>
                  </w:r>
                </w:p>
              </w:tc>
            </w:tr>
            <w:tr w14:paraId="6DF3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01E857D">
                  <w:pPr>
                    <w:pStyle w:val="41"/>
                    <w:rPr>
                      <w:color w:val="auto"/>
                      <w:kern w:val="0"/>
                      <w:szCs w:val="18"/>
                      <w:highlight w:val="none"/>
                    </w:rPr>
                  </w:pPr>
                  <w:r>
                    <w:rPr>
                      <w:rFonts w:hint="eastAsia"/>
                      <w:color w:val="auto"/>
                      <w:kern w:val="0"/>
                      <w:szCs w:val="18"/>
                      <w:highlight w:val="none"/>
                    </w:rPr>
                    <w:t>六、运行管理与风险防范</w:t>
                  </w:r>
                </w:p>
              </w:tc>
            </w:tr>
            <w:tr w14:paraId="5ED3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E0C16FF">
                  <w:pPr>
                    <w:pStyle w:val="41"/>
                    <w:rPr>
                      <w:color w:val="auto"/>
                      <w:kern w:val="0"/>
                      <w:szCs w:val="18"/>
                      <w:highlight w:val="none"/>
                    </w:rPr>
                  </w:pPr>
                  <w:r>
                    <w:rPr>
                      <w:rFonts w:hint="eastAsia"/>
                      <w:color w:val="auto"/>
                      <w:kern w:val="0"/>
                      <w:szCs w:val="18"/>
                      <w:highlight w:val="none"/>
                    </w:rPr>
                    <w:t>（一）油气田企业应制定环境保护管理规定，建立并运行健康、安全与环境管理体系。</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0DB0063">
                  <w:pPr>
                    <w:pStyle w:val="41"/>
                    <w:rPr>
                      <w:color w:val="auto"/>
                      <w:kern w:val="0"/>
                      <w:szCs w:val="18"/>
                      <w:highlight w:val="none"/>
                    </w:rPr>
                  </w:pPr>
                  <w:r>
                    <w:rPr>
                      <w:rFonts w:hint="eastAsia"/>
                      <w:color w:val="auto"/>
                      <w:kern w:val="0"/>
                      <w:szCs w:val="18"/>
                      <w:highlight w:val="none"/>
                    </w:rPr>
                    <w:t>制定了环境保护管理规定，建立并运行了健康、安全与环境管理体系。</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CAAC84F">
                  <w:pPr>
                    <w:pStyle w:val="41"/>
                    <w:rPr>
                      <w:color w:val="auto"/>
                      <w:kern w:val="0"/>
                      <w:szCs w:val="18"/>
                      <w:highlight w:val="none"/>
                    </w:rPr>
                  </w:pPr>
                  <w:r>
                    <w:rPr>
                      <w:rFonts w:hint="eastAsia"/>
                      <w:color w:val="auto"/>
                      <w:kern w:val="0"/>
                      <w:szCs w:val="18"/>
                      <w:highlight w:val="none"/>
                    </w:rPr>
                    <w:t>符合</w:t>
                  </w:r>
                </w:p>
              </w:tc>
            </w:tr>
            <w:tr w14:paraId="1461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84CAD9A">
                  <w:pPr>
                    <w:pStyle w:val="41"/>
                    <w:rPr>
                      <w:color w:val="auto"/>
                      <w:kern w:val="0"/>
                      <w:szCs w:val="18"/>
                      <w:highlight w:val="none"/>
                    </w:rPr>
                  </w:pPr>
                  <w:r>
                    <w:rPr>
                      <w:rFonts w:hint="eastAsia"/>
                      <w:color w:val="auto"/>
                      <w:kern w:val="0"/>
                      <w:szCs w:val="18"/>
                      <w:highlight w:val="none"/>
                    </w:rPr>
                    <w:t>（二）加强油气田建设、勘探开发过程的环境监督管理。油气田建设过程应开展工程环境监理。</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0ACE0B5">
                  <w:pPr>
                    <w:pStyle w:val="41"/>
                    <w:rPr>
                      <w:color w:val="auto"/>
                      <w:kern w:val="0"/>
                      <w:szCs w:val="18"/>
                      <w:highlight w:val="none"/>
                    </w:rPr>
                  </w:pPr>
                  <w:r>
                    <w:rPr>
                      <w:rFonts w:hint="eastAsia"/>
                      <w:color w:val="auto"/>
                      <w:kern w:val="0"/>
                      <w:szCs w:val="18"/>
                      <w:highlight w:val="none"/>
                    </w:rPr>
                    <w:t>建设单位在环境管理上建立了健康、安全与环境管理体系（</w:t>
                  </w:r>
                  <w:r>
                    <w:rPr>
                      <w:color w:val="auto"/>
                      <w:kern w:val="0"/>
                      <w:szCs w:val="18"/>
                      <w:highlight w:val="none"/>
                    </w:rPr>
                    <w:t>HSE</w:t>
                  </w:r>
                  <w:r>
                    <w:rPr>
                      <w:rFonts w:hint="eastAsia"/>
                      <w:color w:val="auto"/>
                      <w:kern w:val="0"/>
                      <w:szCs w:val="18"/>
                      <w:highlight w:val="none"/>
                    </w:rPr>
                    <w:t>管理体系），减少项目开发对周围环境的影响，落实各项环保和安全措施。本项目施工时实行工程监督，工程监督过程中注意环保措施的执行情况。</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33571F1">
                  <w:pPr>
                    <w:pStyle w:val="41"/>
                    <w:rPr>
                      <w:color w:val="auto"/>
                      <w:kern w:val="0"/>
                      <w:szCs w:val="18"/>
                      <w:highlight w:val="none"/>
                    </w:rPr>
                  </w:pPr>
                  <w:r>
                    <w:rPr>
                      <w:rFonts w:hint="eastAsia"/>
                      <w:color w:val="auto"/>
                      <w:kern w:val="0"/>
                      <w:szCs w:val="18"/>
                      <w:highlight w:val="none"/>
                    </w:rPr>
                    <w:t>符合</w:t>
                  </w:r>
                </w:p>
              </w:tc>
            </w:tr>
            <w:tr w14:paraId="4AB1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DA98BAE">
                  <w:pPr>
                    <w:pStyle w:val="41"/>
                    <w:rPr>
                      <w:color w:val="auto"/>
                      <w:kern w:val="0"/>
                      <w:szCs w:val="18"/>
                      <w:highlight w:val="none"/>
                    </w:rPr>
                  </w:pPr>
                  <w:r>
                    <w:rPr>
                      <w:rFonts w:hint="eastAsia"/>
                      <w:color w:val="auto"/>
                      <w:kern w:val="0"/>
                      <w:szCs w:val="18"/>
                      <w:highlight w:val="none"/>
                    </w:rPr>
                    <w:t>（三）在开发过程中，企业应加强油气井套管的检测和维护，防止油气泄漏污染地下水。</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C608D78">
                  <w:pPr>
                    <w:pStyle w:val="41"/>
                    <w:rPr>
                      <w:color w:val="auto"/>
                      <w:kern w:val="0"/>
                      <w:szCs w:val="18"/>
                      <w:highlight w:val="none"/>
                    </w:rPr>
                  </w:pPr>
                  <w:r>
                    <w:rPr>
                      <w:rFonts w:hint="eastAsia"/>
                      <w:color w:val="auto"/>
                      <w:kern w:val="0"/>
                      <w:szCs w:val="18"/>
                      <w:highlight w:val="none"/>
                    </w:rPr>
                    <w:t>本项目不属于开发井。</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F2006CA">
                  <w:pPr>
                    <w:pStyle w:val="41"/>
                    <w:rPr>
                      <w:color w:val="auto"/>
                      <w:kern w:val="0"/>
                      <w:szCs w:val="18"/>
                      <w:highlight w:val="none"/>
                    </w:rPr>
                  </w:pPr>
                  <w:r>
                    <w:rPr>
                      <w:rFonts w:hint="eastAsia"/>
                      <w:color w:val="auto"/>
                      <w:kern w:val="0"/>
                      <w:szCs w:val="18"/>
                      <w:highlight w:val="none"/>
                    </w:rPr>
                    <w:t>符合</w:t>
                  </w:r>
                </w:p>
              </w:tc>
            </w:tr>
            <w:tr w14:paraId="7E56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06AA42F">
                  <w:pPr>
                    <w:pStyle w:val="41"/>
                    <w:rPr>
                      <w:color w:val="auto"/>
                      <w:kern w:val="0"/>
                      <w:szCs w:val="18"/>
                      <w:highlight w:val="none"/>
                    </w:rPr>
                  </w:pPr>
                  <w:r>
                    <w:rPr>
                      <w:rFonts w:hint="eastAsia"/>
                      <w:color w:val="auto"/>
                      <w:kern w:val="0"/>
                      <w:szCs w:val="18"/>
                      <w:highlight w:val="none"/>
                    </w:rPr>
                    <w:t>（四）油气田企业应建立环境保护人员培训制度，环境监测人员、统计人员、污染治理设施操作人员应经培训合格后上岗。</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6294715">
                  <w:pPr>
                    <w:pStyle w:val="41"/>
                    <w:rPr>
                      <w:color w:val="auto"/>
                      <w:kern w:val="0"/>
                      <w:szCs w:val="18"/>
                      <w:highlight w:val="none"/>
                    </w:rPr>
                  </w:pPr>
                  <w:r>
                    <w:rPr>
                      <w:rFonts w:hint="eastAsia"/>
                      <w:color w:val="auto"/>
                      <w:kern w:val="0"/>
                      <w:szCs w:val="18"/>
                      <w:highlight w:val="none"/>
                    </w:rPr>
                    <w:t>建设单位建立了环境保护人员培训制度，环境监测人员、统计人员、污染治理设施操作人员应经培训合格后上岗。</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898F0AE">
                  <w:pPr>
                    <w:pStyle w:val="41"/>
                    <w:rPr>
                      <w:color w:val="auto"/>
                      <w:kern w:val="0"/>
                      <w:szCs w:val="18"/>
                      <w:highlight w:val="none"/>
                    </w:rPr>
                  </w:pPr>
                  <w:r>
                    <w:rPr>
                      <w:rFonts w:hint="eastAsia"/>
                      <w:color w:val="auto"/>
                      <w:kern w:val="0"/>
                      <w:szCs w:val="18"/>
                      <w:highlight w:val="none"/>
                    </w:rPr>
                    <w:t>符合</w:t>
                  </w:r>
                </w:p>
              </w:tc>
            </w:tr>
            <w:tr w14:paraId="570F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8"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B151155">
                  <w:pPr>
                    <w:pStyle w:val="41"/>
                    <w:rPr>
                      <w:color w:val="auto"/>
                      <w:kern w:val="0"/>
                      <w:szCs w:val="18"/>
                      <w:highlight w:val="none"/>
                    </w:rPr>
                  </w:pPr>
                  <w:r>
                    <w:rPr>
                      <w:rFonts w:hint="eastAsia"/>
                      <w:color w:val="auto"/>
                      <w:kern w:val="0"/>
                      <w:szCs w:val="18"/>
                      <w:highlight w:val="none"/>
                    </w:rPr>
                    <w:t>（五）油气田企业应对勘探开发过程进行环境风险因素识别，制定突发环境事件应急预案并定期进行演练。应开展特征污染物监测工作，采取环境风险防范和应急措施，防止发生由突发性油气泄漏产生的环境事故。</w:t>
                  </w:r>
                </w:p>
              </w:tc>
              <w:tc>
                <w:tcPr>
                  <w:tcW w:w="165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246B76F">
                  <w:pPr>
                    <w:pStyle w:val="41"/>
                    <w:rPr>
                      <w:color w:val="auto"/>
                      <w:kern w:val="0"/>
                      <w:szCs w:val="18"/>
                      <w:highlight w:val="none"/>
                    </w:rPr>
                  </w:pPr>
                  <w:r>
                    <w:rPr>
                      <w:rFonts w:hint="eastAsia"/>
                      <w:color w:val="auto"/>
                      <w:kern w:val="0"/>
                      <w:szCs w:val="18"/>
                      <w:highlight w:val="none"/>
                    </w:rPr>
                    <w:t>建设单位对勘探开发过程进行了环境风险因素识别，制定突发环境事件应急预案并定期进行演练。采取环境风险防范和应急措施，防止发生由突发性油气泄漏产生的环境事故。</w:t>
                  </w:r>
                </w:p>
              </w:tc>
              <w:tc>
                <w:tcPr>
                  <w:tcW w:w="53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DF7D0B9">
                  <w:pPr>
                    <w:pStyle w:val="41"/>
                    <w:rPr>
                      <w:color w:val="auto"/>
                      <w:kern w:val="0"/>
                      <w:szCs w:val="18"/>
                      <w:highlight w:val="none"/>
                    </w:rPr>
                  </w:pPr>
                  <w:r>
                    <w:rPr>
                      <w:rFonts w:hint="eastAsia"/>
                      <w:color w:val="auto"/>
                      <w:kern w:val="0"/>
                      <w:szCs w:val="18"/>
                      <w:highlight w:val="none"/>
                    </w:rPr>
                    <w:t>符合</w:t>
                  </w:r>
                </w:p>
              </w:tc>
            </w:tr>
          </w:tbl>
          <w:p w14:paraId="7E3B83F1">
            <w:pPr>
              <w:pStyle w:val="96"/>
              <w:ind w:firstLine="0" w:firstLineChars="0"/>
              <w:rPr>
                <w:color w:val="auto"/>
                <w:sz w:val="21"/>
                <w:szCs w:val="21"/>
                <w:highlight w:val="none"/>
              </w:rPr>
            </w:pPr>
          </w:p>
          <w:p w14:paraId="4C419FB3">
            <w:pPr>
              <w:pStyle w:val="3"/>
              <w:numPr>
                <w:ilvl w:val="0"/>
                <w:numId w:val="7"/>
              </w:numPr>
              <w:ind w:firstLine="420"/>
              <w:rPr>
                <w:color w:val="auto"/>
                <w:sz w:val="21"/>
                <w:highlight w:val="none"/>
              </w:rPr>
            </w:pPr>
            <w:r>
              <w:rPr>
                <w:rFonts w:hint="eastAsia"/>
                <w:color w:val="auto"/>
                <w:sz w:val="21"/>
                <w:highlight w:val="none"/>
              </w:rPr>
              <w:t>与《新疆生态环境保护“十四五”规划》（2021年12月24日）的相符性分析</w:t>
            </w:r>
          </w:p>
          <w:p w14:paraId="0C986647">
            <w:pPr>
              <w:adjustRightInd w:val="0"/>
              <w:snapToGrid w:val="0"/>
              <w:ind w:firstLine="420"/>
              <w:rPr>
                <w:color w:val="auto"/>
                <w:highlight w:val="none"/>
              </w:rPr>
            </w:pPr>
            <w:r>
              <w:rPr>
                <w:rFonts w:hint="eastAsia"/>
                <w:color w:val="auto"/>
                <w:highlight w:val="none"/>
              </w:rPr>
              <w:t>《规划》指出：“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w:t>
            </w:r>
          </w:p>
          <w:p w14:paraId="4D9879E0">
            <w:pPr>
              <w:adjustRightInd w:val="0"/>
              <w:snapToGrid w:val="0"/>
              <w:ind w:firstLine="420"/>
              <w:rPr>
                <w:color w:val="auto"/>
                <w:highlight w:val="none"/>
              </w:rPr>
            </w:pPr>
            <w:r>
              <w:rPr>
                <w:rFonts w:hint="eastAsia"/>
                <w:color w:val="auto"/>
                <w:highlight w:val="none"/>
              </w:rPr>
              <w:t>本项目位于新疆维吾尔自治区昌吉回族自治州阜康市境内，本项目不属于“两高”项目以及不符合产业准入标准和政策的落后项目，符合昌吉回族自治州生态环境分区管控要求。因此，本项目符合《新疆生态环境保护“十四五”规划》（2021年12月24日）的要求。</w:t>
            </w:r>
          </w:p>
          <w:p w14:paraId="6D88562C">
            <w:pPr>
              <w:pStyle w:val="3"/>
              <w:numPr>
                <w:ilvl w:val="0"/>
                <w:numId w:val="7"/>
              </w:numPr>
              <w:ind w:firstLine="420"/>
              <w:rPr>
                <w:color w:val="auto"/>
                <w:sz w:val="21"/>
                <w:highlight w:val="none"/>
              </w:rPr>
            </w:pPr>
            <w:r>
              <w:rPr>
                <w:rFonts w:hint="eastAsia"/>
                <w:color w:val="auto"/>
                <w:sz w:val="21"/>
                <w:highlight w:val="none"/>
              </w:rPr>
              <w:t>与《昌吉回族自治州国土空间总体规划（2021-2035年）》符合性分析</w:t>
            </w:r>
          </w:p>
          <w:p w14:paraId="225EC0FC">
            <w:pPr>
              <w:adjustRightInd w:val="0"/>
              <w:snapToGrid w:val="0"/>
              <w:ind w:firstLine="420"/>
              <w:rPr>
                <w:color w:val="auto"/>
                <w:highlight w:val="none"/>
              </w:rPr>
            </w:pPr>
            <w:r>
              <w:rPr>
                <w:rFonts w:hint="eastAsia"/>
                <w:color w:val="auto"/>
                <w:highlight w:val="none"/>
              </w:rPr>
              <w:t>本项目与《昌吉回族自治州国土空间总体规划（2021-2035年）》符合性分析详见</w:t>
            </w:r>
            <w:r>
              <w:rPr>
                <w:color w:val="auto"/>
                <w:highlight w:val="none"/>
              </w:rPr>
              <w:fldChar w:fldCharType="begin"/>
            </w:r>
            <w:r>
              <w:rPr>
                <w:color w:val="auto"/>
              </w:rPr>
              <w:instrText xml:space="preserve"> REF _Ref1712621852 \h  \* MERGEFORMAT</w:instrText>
            </w:r>
            <w:r>
              <w:rPr>
                <w:color w:val="auto"/>
                <w:highlight w:val="none"/>
              </w:rPr>
              <w:fldChar w:fldCharType="separate"/>
            </w:r>
            <w:r>
              <w:rPr>
                <w:rFonts w:hint="eastAsia"/>
                <w:color w:val="auto"/>
                <w:highlight w:val="none"/>
              </w:rPr>
              <w:t>表9</w:t>
            </w:r>
            <w:r>
              <w:rPr>
                <w:color w:val="auto"/>
                <w:highlight w:val="none"/>
              </w:rPr>
              <w:fldChar w:fldCharType="end"/>
            </w:r>
            <w:r>
              <w:rPr>
                <w:rFonts w:hint="eastAsia"/>
                <w:color w:val="auto"/>
                <w:highlight w:val="none"/>
              </w:rPr>
              <w:t>。</w:t>
            </w:r>
          </w:p>
          <w:p w14:paraId="281E45B6">
            <w:pPr>
              <w:pStyle w:val="13"/>
              <w:bidi w:val="0"/>
              <w:rPr>
                <w:color w:val="auto"/>
                <w:highlight w:val="none"/>
              </w:rPr>
            </w:pPr>
            <w:bookmarkStart w:id="9" w:name="_Ref1712621852"/>
            <w:bookmarkStart w:id="10" w:name="_Ref1712571431"/>
            <w:r>
              <w:rPr>
                <w:rFonts w:hint="eastAsia"/>
                <w:color w:val="auto"/>
                <w:highlight w:val="none"/>
              </w:rPr>
              <w:t>表</w:t>
            </w:r>
            <w:r>
              <w:rPr>
                <w:color w:val="auto"/>
                <w:highlight w:val="none"/>
              </w:rPr>
              <w:fldChar w:fldCharType="begin"/>
            </w:r>
            <w:r>
              <w:rPr>
                <w:color w:val="auto"/>
                <w:highlight w:val="none"/>
              </w:rPr>
              <w:instrText xml:space="preserve"> </w:instrText>
            </w:r>
            <w:r>
              <w:rPr>
                <w:rFonts w:hint="eastAsia"/>
                <w:color w:val="auto"/>
                <w:highlight w:val="none"/>
              </w:rPr>
              <w:instrText xml:space="preserve">SEQ 表 \*ARABIC</w:instrText>
            </w:r>
            <w:r>
              <w:rPr>
                <w:color w:val="auto"/>
                <w:highlight w:val="none"/>
              </w:rPr>
              <w:instrText xml:space="preserve"> </w:instrText>
            </w:r>
            <w:r>
              <w:rPr>
                <w:color w:val="auto"/>
                <w:highlight w:val="none"/>
              </w:rPr>
              <w:fldChar w:fldCharType="separate"/>
            </w:r>
            <w:r>
              <w:rPr>
                <w:rFonts w:hint="eastAsia"/>
                <w:color w:val="auto"/>
                <w:highlight w:val="none"/>
              </w:rPr>
              <w:t>9</w:t>
            </w:r>
            <w:r>
              <w:rPr>
                <w:color w:val="auto"/>
                <w:highlight w:val="none"/>
              </w:rPr>
              <w:fldChar w:fldCharType="end"/>
            </w:r>
            <w:bookmarkEnd w:id="9"/>
            <w:r>
              <w:rPr>
                <w:color w:val="auto"/>
                <w:highlight w:val="none"/>
              </w:rPr>
              <w:t xml:space="preserve">  </w:t>
            </w:r>
            <w:r>
              <w:rPr>
                <w:rFonts w:hint="eastAsia"/>
                <w:color w:val="auto"/>
                <w:highlight w:val="none"/>
              </w:rPr>
              <w:t>本项目与《昌吉回族自治州国土空间总体规划（2021-2035年）》符合性分析表</w:t>
            </w:r>
            <w:bookmarkEnd w:id="10"/>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7"/>
              <w:gridCol w:w="1781"/>
              <w:gridCol w:w="744"/>
            </w:tblGrid>
            <w:tr w14:paraId="1007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98" w:type="pct"/>
                  <w:shd w:val="clear" w:color="auto" w:fill="auto"/>
                  <w:tcMar>
                    <w:top w:w="57" w:type="dxa"/>
                    <w:left w:w="108" w:type="dxa"/>
                    <w:bottom w:w="57" w:type="dxa"/>
                    <w:right w:w="108" w:type="dxa"/>
                  </w:tcMar>
                  <w:vAlign w:val="center"/>
                </w:tcPr>
                <w:p w14:paraId="2C651981">
                  <w:pPr>
                    <w:pStyle w:val="41"/>
                    <w:rPr>
                      <w:color w:val="auto"/>
                      <w:szCs w:val="18"/>
                      <w:highlight w:val="none"/>
                    </w:rPr>
                  </w:pPr>
                  <w:r>
                    <w:rPr>
                      <w:rFonts w:hint="eastAsia"/>
                      <w:color w:val="auto"/>
                      <w:szCs w:val="18"/>
                      <w:highlight w:val="none"/>
                    </w:rPr>
                    <w:t>文件要求</w:t>
                  </w:r>
                </w:p>
              </w:tc>
              <w:tc>
                <w:tcPr>
                  <w:tcW w:w="1199" w:type="pct"/>
                  <w:shd w:val="clear" w:color="auto" w:fill="auto"/>
                  <w:tcMar>
                    <w:top w:w="57" w:type="dxa"/>
                    <w:left w:w="108" w:type="dxa"/>
                    <w:bottom w:w="57" w:type="dxa"/>
                    <w:right w:w="108" w:type="dxa"/>
                  </w:tcMar>
                  <w:vAlign w:val="center"/>
                </w:tcPr>
                <w:p w14:paraId="3D904128">
                  <w:pPr>
                    <w:pStyle w:val="41"/>
                    <w:rPr>
                      <w:color w:val="auto"/>
                      <w:szCs w:val="18"/>
                      <w:highlight w:val="none"/>
                    </w:rPr>
                  </w:pPr>
                  <w:r>
                    <w:rPr>
                      <w:rFonts w:hint="eastAsia"/>
                      <w:color w:val="auto"/>
                      <w:szCs w:val="18"/>
                      <w:highlight w:val="none"/>
                    </w:rPr>
                    <w:t>本项目情况</w:t>
                  </w:r>
                </w:p>
              </w:tc>
              <w:tc>
                <w:tcPr>
                  <w:tcW w:w="501" w:type="pct"/>
                  <w:shd w:val="clear" w:color="auto" w:fill="auto"/>
                  <w:tcMar>
                    <w:top w:w="57" w:type="dxa"/>
                    <w:left w:w="108" w:type="dxa"/>
                    <w:bottom w:w="57" w:type="dxa"/>
                    <w:right w:w="108" w:type="dxa"/>
                  </w:tcMar>
                  <w:vAlign w:val="center"/>
                </w:tcPr>
                <w:p w14:paraId="62206675">
                  <w:pPr>
                    <w:pStyle w:val="41"/>
                    <w:rPr>
                      <w:color w:val="auto"/>
                      <w:szCs w:val="18"/>
                      <w:highlight w:val="none"/>
                    </w:rPr>
                  </w:pPr>
                  <w:r>
                    <w:rPr>
                      <w:rFonts w:hint="eastAsia"/>
                      <w:color w:val="auto"/>
                      <w:szCs w:val="18"/>
                      <w:highlight w:val="none"/>
                    </w:rPr>
                    <w:t>符合性</w:t>
                  </w:r>
                </w:p>
              </w:tc>
            </w:tr>
            <w:tr w14:paraId="3721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8" w:type="pct"/>
                  <w:tcMar>
                    <w:top w:w="57" w:type="dxa"/>
                    <w:left w:w="108" w:type="dxa"/>
                    <w:bottom w:w="57" w:type="dxa"/>
                    <w:right w:w="108" w:type="dxa"/>
                  </w:tcMar>
                  <w:vAlign w:val="center"/>
                </w:tcPr>
                <w:p w14:paraId="0C1C873A">
                  <w:pPr>
                    <w:pStyle w:val="41"/>
                    <w:rPr>
                      <w:color w:val="auto"/>
                      <w:szCs w:val="18"/>
                      <w:highlight w:val="none"/>
                    </w:rPr>
                  </w:pPr>
                  <w:r>
                    <w:rPr>
                      <w:rFonts w:hint="eastAsia"/>
                      <w:color w:val="auto"/>
                      <w:szCs w:val="18"/>
                      <w:highlight w:val="none"/>
                    </w:rPr>
                    <w:t>第二节加强能源供应设施建设</w:t>
                  </w:r>
                </w:p>
                <w:p w14:paraId="3D7C661B">
                  <w:pPr>
                    <w:pStyle w:val="41"/>
                    <w:rPr>
                      <w:color w:val="auto"/>
                      <w:szCs w:val="18"/>
                      <w:highlight w:val="none"/>
                    </w:rPr>
                  </w:pPr>
                  <w:r>
                    <w:rPr>
                      <w:rFonts w:hint="eastAsia"/>
                      <w:color w:val="auto"/>
                      <w:szCs w:val="18"/>
                      <w:highlight w:val="none"/>
                    </w:rPr>
                    <w:t>优化能源结构。加快建设新疆“三基地一通道”（国家大型油气生产加工和储备基地、大型煤炭煤电煤化工基地、大型风电基地和国家能源资源陆上大通道）建设布局，降低煤炭等传统能源消费比重，提高新能源消纳能力。</w:t>
                  </w:r>
                </w:p>
                <w:p w14:paraId="6865EFD3">
                  <w:pPr>
                    <w:pStyle w:val="41"/>
                    <w:rPr>
                      <w:color w:val="auto"/>
                      <w:szCs w:val="18"/>
                      <w:highlight w:val="none"/>
                    </w:rPr>
                  </w:pPr>
                  <w:r>
                    <w:rPr>
                      <w:rFonts w:hint="eastAsia"/>
                      <w:color w:val="auto"/>
                      <w:szCs w:val="18"/>
                      <w:highlight w:val="none"/>
                    </w:rPr>
                    <w:t>完善油气设施空间布局和管控措施。积极响应国家能源资源陆上大通道建设，完善重大油气管道布局，形成覆盖全州各县（市）的油气网络，完成“气化昌吉”目标。提升油气储备能力，推进储气设施集约化、规模化建设，源头上消除安全隐患。打造能源供给综合廊道，加强油气设施管控。</w:t>
                  </w:r>
                </w:p>
                <w:p w14:paraId="29AE5F93">
                  <w:pPr>
                    <w:pStyle w:val="41"/>
                    <w:rPr>
                      <w:color w:val="auto"/>
                      <w:szCs w:val="18"/>
                      <w:highlight w:val="none"/>
                    </w:rPr>
                  </w:pPr>
                  <w:r>
                    <w:rPr>
                      <w:rFonts w:hint="eastAsia"/>
                      <w:color w:val="auto"/>
                      <w:szCs w:val="18"/>
                      <w:highlight w:val="none"/>
                    </w:rPr>
                    <w:t>加强电源电网保障能力。实施“疆电外送”重大工程，建设重要基地，落实大型风电基地建设，推动“疆电外送”配套电源项目建设。完善电网网络化建设，完成“电化昌吉”总体目标。严格落实高压走廊保护要求，进一步深化高压走廊保护规划，完善保护措施。</w:t>
                  </w:r>
                </w:p>
                <w:p w14:paraId="21954FCA">
                  <w:pPr>
                    <w:pStyle w:val="41"/>
                    <w:rPr>
                      <w:color w:val="auto"/>
                      <w:szCs w:val="18"/>
                      <w:highlight w:val="none"/>
                    </w:rPr>
                  </w:pPr>
                  <w:r>
                    <w:rPr>
                      <w:rFonts w:hint="eastAsia"/>
                      <w:color w:val="auto"/>
                      <w:szCs w:val="18"/>
                      <w:highlight w:val="none"/>
                    </w:rPr>
                    <w:t>加强风电、光伏等清洁能源供给能力。积极鼓励和引导使用水电、风电、光伏发电等非化石能源，节约和替代煤炭、石油等化石能源，大力开发水能、风能、太阳能等可再生能源，积极推进煤矿瓦斯抽采，探索氢能开发利用，提高清洁能源供给比重。构建昌吉州新能源产业空间体系。全面提速抽水蓄能工程建设，有效补齐新能源短板。</w:t>
                  </w:r>
                </w:p>
              </w:tc>
              <w:tc>
                <w:tcPr>
                  <w:tcW w:w="1199" w:type="pct"/>
                  <w:tcMar>
                    <w:top w:w="57" w:type="dxa"/>
                    <w:left w:w="108" w:type="dxa"/>
                    <w:bottom w:w="57" w:type="dxa"/>
                    <w:right w:w="108" w:type="dxa"/>
                  </w:tcMar>
                  <w:vAlign w:val="center"/>
                </w:tcPr>
                <w:p w14:paraId="7822B380">
                  <w:pPr>
                    <w:pStyle w:val="41"/>
                    <w:rPr>
                      <w:color w:val="auto"/>
                      <w:szCs w:val="18"/>
                      <w:highlight w:val="none"/>
                    </w:rPr>
                  </w:pPr>
                  <w:r>
                    <w:rPr>
                      <w:rFonts w:hint="eastAsia"/>
                      <w:color w:val="auto"/>
                      <w:szCs w:val="18"/>
                      <w:highlight w:val="none"/>
                    </w:rPr>
                    <w:t>本项目属于油气勘探项目，为探明该区域油气储藏情况提供数据支持。</w:t>
                  </w:r>
                </w:p>
              </w:tc>
              <w:tc>
                <w:tcPr>
                  <w:tcW w:w="501" w:type="pct"/>
                  <w:tcMar>
                    <w:top w:w="57" w:type="dxa"/>
                    <w:left w:w="108" w:type="dxa"/>
                    <w:bottom w:w="57" w:type="dxa"/>
                    <w:right w:w="108" w:type="dxa"/>
                  </w:tcMar>
                  <w:vAlign w:val="center"/>
                </w:tcPr>
                <w:p w14:paraId="664D1B67">
                  <w:pPr>
                    <w:pStyle w:val="41"/>
                    <w:rPr>
                      <w:color w:val="auto"/>
                      <w:szCs w:val="18"/>
                      <w:highlight w:val="none"/>
                    </w:rPr>
                  </w:pPr>
                  <w:r>
                    <w:rPr>
                      <w:rFonts w:hint="eastAsia"/>
                      <w:color w:val="auto"/>
                      <w:szCs w:val="18"/>
                      <w:highlight w:val="none"/>
                    </w:rPr>
                    <w:t>符合</w:t>
                  </w:r>
                </w:p>
              </w:tc>
            </w:tr>
          </w:tbl>
          <w:p w14:paraId="0BDA6B95">
            <w:pPr>
              <w:pStyle w:val="41"/>
              <w:spacing w:line="332" w:lineRule="auto"/>
              <w:jc w:val="left"/>
              <w:rPr>
                <w:color w:val="auto"/>
                <w:highlight w:val="none"/>
              </w:rPr>
            </w:pPr>
          </w:p>
          <w:p w14:paraId="60A16D83">
            <w:pPr>
              <w:pStyle w:val="92"/>
              <w:rPr>
                <w:rFonts w:hint="eastAsia"/>
                <w:color w:val="auto"/>
                <w:kern w:val="0"/>
                <w:szCs w:val="21"/>
                <w:highlight w:val="none"/>
              </w:rPr>
            </w:pPr>
          </w:p>
          <w:p w14:paraId="4855F9A5">
            <w:pPr>
              <w:pStyle w:val="3"/>
              <w:numPr>
                <w:ilvl w:val="0"/>
                <w:numId w:val="7"/>
              </w:numPr>
              <w:ind w:firstLine="4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与《新疆维吾尔自治区重点行业生态环境准入条件（2024年）》符合性分析</w:t>
            </w:r>
          </w:p>
          <w:p w14:paraId="29A4DA4B">
            <w:pPr>
              <w:pStyle w:val="92"/>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本项目属于油气勘探项目，适用于《新疆维吾尔自治区重点行业生态环境准入条件（2024年）》中十一、陆地石油天然气开发行业的准入要求，其具体符合性分析情况见</w:t>
            </w:r>
            <w:r>
              <w:rPr>
                <w:rFonts w:hint="eastAsia" w:ascii="宋体" w:hAnsi="宋体" w:eastAsia="宋体" w:cs="宋体"/>
                <w:color w:val="auto"/>
                <w:kern w:val="2"/>
                <w:sz w:val="21"/>
                <w:szCs w:val="21"/>
                <w:highlight w:val="none"/>
                <w:lang w:val="en-US" w:eastAsia="zh-CN" w:bidi="ar-SA"/>
              </w:rPr>
              <w:fldChar w:fldCharType="begin"/>
            </w:r>
            <w:r>
              <w:rPr>
                <w:color w:val="auto"/>
              </w:rPr>
              <w:instrText xml:space="preserve"> REF _Ref28123 \h  \* MERGEFORMAT</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theme="minorBidi"/>
                <w:color w:val="auto"/>
                <w:kern w:val="2"/>
                <w:sz w:val="18"/>
                <w:szCs w:val="21"/>
                <w:highlight w:val="none"/>
                <w:lang w:val="en-US" w:eastAsia="zh-CN" w:bidi="ar-SA"/>
              </w:rPr>
              <w:t>表10</w:t>
            </w:r>
            <w:r>
              <w:rPr>
                <w:rFonts w:hint="eastAsia" w:ascii="宋体" w:hAnsi="宋体" w:eastAsia="宋体" w:cs="宋体"/>
                <w:color w:val="auto"/>
                <w:kern w:val="2"/>
                <w:sz w:val="21"/>
                <w:szCs w:val="21"/>
                <w:highlight w:val="none"/>
                <w:lang w:val="en-US" w:eastAsia="zh-CN" w:bidi="ar-SA"/>
              </w:rPr>
              <w:fldChar w:fldCharType="end"/>
            </w:r>
            <w:r>
              <w:rPr>
                <w:rFonts w:hint="eastAsia" w:ascii="宋体" w:hAnsi="宋体" w:eastAsia="宋体" w:cs="宋体"/>
                <w:color w:val="auto"/>
                <w:kern w:val="2"/>
                <w:sz w:val="21"/>
                <w:szCs w:val="21"/>
                <w:highlight w:val="none"/>
                <w:lang w:val="en-US" w:eastAsia="zh-CN" w:bidi="ar-SA"/>
              </w:rPr>
              <w:t>。</w:t>
            </w:r>
          </w:p>
          <w:p w14:paraId="7E244FED">
            <w:pPr>
              <w:pStyle w:val="13"/>
              <w:bidi w:val="0"/>
              <w:rPr>
                <w:rFonts w:hint="eastAsia"/>
                <w:color w:val="auto"/>
                <w:highlight w:val="none"/>
                <w:lang w:val="en-US" w:eastAsia="zh-CN"/>
              </w:rPr>
            </w:pPr>
            <w:bookmarkStart w:id="11" w:name="_Ref28123"/>
            <w:r>
              <w:rPr>
                <w:rFonts w:hint="eastAsia"/>
                <w:color w:val="auto"/>
                <w:highlight w:val="none"/>
                <w:lang w:val="en-US" w:eastAsia="zh-CN"/>
              </w:rPr>
              <w:t>表</w:t>
            </w:r>
            <w:r>
              <w:rPr>
                <w:rFonts w:hint="eastAsia"/>
                <w:color w:val="auto"/>
                <w:highlight w:val="none"/>
                <w:lang w:val="en-US" w:eastAsia="zh-CN"/>
              </w:rPr>
              <w:fldChar w:fldCharType="begin"/>
            </w:r>
            <w:r>
              <w:rPr>
                <w:rFonts w:hint="eastAsia"/>
                <w:color w:val="auto"/>
                <w:highlight w:val="none"/>
                <w:lang w:val="en-US" w:eastAsia="zh-CN"/>
              </w:rPr>
              <w:instrText xml:space="preserve"> SEQ 表 \* ARABIC </w:instrText>
            </w:r>
            <w:r>
              <w:rPr>
                <w:rFonts w:hint="eastAsia"/>
                <w:color w:val="auto"/>
                <w:highlight w:val="none"/>
                <w:lang w:val="en-US" w:eastAsia="zh-CN"/>
              </w:rPr>
              <w:fldChar w:fldCharType="separate"/>
            </w:r>
            <w:r>
              <w:rPr>
                <w:rFonts w:hint="eastAsia"/>
                <w:color w:val="auto"/>
                <w:highlight w:val="none"/>
                <w:lang w:val="en-US" w:eastAsia="zh-CN"/>
              </w:rPr>
              <w:t>10</w:t>
            </w:r>
            <w:r>
              <w:rPr>
                <w:rFonts w:hint="eastAsia"/>
                <w:color w:val="auto"/>
                <w:highlight w:val="none"/>
                <w:lang w:val="en-US" w:eastAsia="zh-CN"/>
              </w:rPr>
              <w:fldChar w:fldCharType="end"/>
            </w:r>
            <w:bookmarkEnd w:id="11"/>
            <w:r>
              <w:rPr>
                <w:rFonts w:hint="eastAsia"/>
                <w:color w:val="auto"/>
                <w:highlight w:val="none"/>
                <w:lang w:val="en-US" w:eastAsia="zh-CN"/>
              </w:rPr>
              <w:t xml:space="preserve">  与《新疆维吾尔自治区重点行业生态环境准入条件（2024年）》的相符性分析</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52"/>
              <w:gridCol w:w="3351"/>
              <w:gridCol w:w="2927"/>
              <w:gridCol w:w="495"/>
            </w:tblGrid>
            <w:tr w14:paraId="659C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blHeader/>
              </w:trPr>
              <w:tc>
                <w:tcPr>
                  <w:tcW w:w="2695" w:type="pct"/>
                  <w:gridSpan w:val="2"/>
                  <w:noWrap w:val="0"/>
                  <w:tcMar>
                    <w:top w:w="15" w:type="dxa"/>
                    <w:left w:w="0" w:type="dxa"/>
                    <w:bottom w:w="15" w:type="dxa"/>
                    <w:right w:w="15" w:type="dxa"/>
                  </w:tcMar>
                  <w:vAlign w:val="center"/>
                </w:tcPr>
                <w:p w14:paraId="6F1C0E3B">
                  <w:pPr>
                    <w:pStyle w:val="41"/>
                    <w:rPr>
                      <w:rFonts w:hAnsi="宋体"/>
                      <w:color w:val="auto"/>
                      <w:highlight w:val="none"/>
                    </w:rPr>
                  </w:pPr>
                  <w:r>
                    <w:rPr>
                      <w:rFonts w:hint="eastAsia" w:hAnsi="宋体"/>
                      <w:color w:val="auto"/>
                      <w:highlight w:val="none"/>
                    </w:rPr>
                    <w:t>文件要求</w:t>
                  </w:r>
                </w:p>
              </w:tc>
              <w:tc>
                <w:tcPr>
                  <w:tcW w:w="1971" w:type="pct"/>
                  <w:noWrap w:val="0"/>
                  <w:vAlign w:val="center"/>
                </w:tcPr>
                <w:p w14:paraId="4F420FE7">
                  <w:pPr>
                    <w:pStyle w:val="41"/>
                    <w:rPr>
                      <w:rFonts w:hAnsi="宋体"/>
                      <w:color w:val="auto"/>
                      <w:highlight w:val="none"/>
                    </w:rPr>
                  </w:pPr>
                  <w:r>
                    <w:rPr>
                      <w:rFonts w:hAnsi="宋体"/>
                      <w:color w:val="auto"/>
                      <w:highlight w:val="none"/>
                    </w:rPr>
                    <w:t>项目情况</w:t>
                  </w:r>
                </w:p>
              </w:tc>
              <w:tc>
                <w:tcPr>
                  <w:tcW w:w="333" w:type="pct"/>
                  <w:noWrap w:val="0"/>
                  <w:vAlign w:val="center"/>
                </w:tcPr>
                <w:p w14:paraId="6C3221E9">
                  <w:pPr>
                    <w:pStyle w:val="41"/>
                    <w:rPr>
                      <w:rFonts w:hAnsi="宋体"/>
                      <w:color w:val="auto"/>
                      <w:highlight w:val="none"/>
                    </w:rPr>
                  </w:pPr>
                  <w:r>
                    <w:rPr>
                      <w:rFonts w:hAnsi="宋体"/>
                      <w:color w:val="auto"/>
                      <w:highlight w:val="none"/>
                    </w:rPr>
                    <w:t>是否符合</w:t>
                  </w:r>
                </w:p>
              </w:tc>
            </w:tr>
            <w:tr w14:paraId="3B1A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2695" w:type="pct"/>
                  <w:gridSpan w:val="2"/>
                  <w:noWrap w:val="0"/>
                  <w:tcMar>
                    <w:top w:w="15" w:type="dxa"/>
                    <w:left w:w="0" w:type="dxa"/>
                    <w:bottom w:w="15" w:type="dxa"/>
                    <w:right w:w="15" w:type="dxa"/>
                  </w:tcMar>
                  <w:vAlign w:val="center"/>
                </w:tcPr>
                <w:p w14:paraId="08F8A1D9">
                  <w:pPr>
                    <w:pStyle w:val="41"/>
                    <w:rPr>
                      <w:rFonts w:hAnsi="宋体"/>
                      <w:color w:val="auto"/>
                      <w:highlight w:val="none"/>
                    </w:rPr>
                  </w:pPr>
                  <w:r>
                    <w:rPr>
                      <w:rFonts w:hAnsi="宋体"/>
                      <w:color w:val="auto"/>
                      <w:highlight w:val="none"/>
                    </w:rPr>
                    <w:t>（二）选址与空间布局</w:t>
                  </w:r>
                </w:p>
              </w:tc>
              <w:tc>
                <w:tcPr>
                  <w:tcW w:w="1971" w:type="pct"/>
                  <w:noWrap w:val="0"/>
                  <w:vAlign w:val="center"/>
                </w:tcPr>
                <w:p w14:paraId="5A38F71B">
                  <w:pPr>
                    <w:pStyle w:val="41"/>
                    <w:rPr>
                      <w:rFonts w:hAnsi="宋体"/>
                      <w:color w:val="auto"/>
                      <w:highlight w:val="none"/>
                    </w:rPr>
                  </w:pPr>
                </w:p>
              </w:tc>
              <w:tc>
                <w:tcPr>
                  <w:tcW w:w="333" w:type="pct"/>
                  <w:noWrap w:val="0"/>
                  <w:vAlign w:val="center"/>
                </w:tcPr>
                <w:p w14:paraId="0543C40E">
                  <w:pPr>
                    <w:pStyle w:val="41"/>
                    <w:rPr>
                      <w:rFonts w:hAnsi="宋体"/>
                      <w:color w:val="auto"/>
                      <w:highlight w:val="none"/>
                    </w:rPr>
                  </w:pPr>
                </w:p>
              </w:tc>
            </w:tr>
            <w:tr w14:paraId="6C71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6AD7E75E">
                  <w:pPr>
                    <w:pStyle w:val="41"/>
                    <w:rPr>
                      <w:rFonts w:hAnsi="宋体"/>
                      <w:color w:val="auto"/>
                      <w:highlight w:val="none"/>
                    </w:rPr>
                  </w:pPr>
                  <w:r>
                    <w:rPr>
                      <w:rFonts w:hAnsi="宋体"/>
                      <w:color w:val="auto"/>
                      <w:highlight w:val="none"/>
                    </w:rPr>
                    <w:t>1.规划符合性</w:t>
                  </w:r>
                </w:p>
              </w:tc>
              <w:tc>
                <w:tcPr>
                  <w:tcW w:w="2255" w:type="pct"/>
                  <w:noWrap w:val="0"/>
                  <w:vAlign w:val="center"/>
                </w:tcPr>
                <w:p w14:paraId="0A82E104">
                  <w:pPr>
                    <w:pStyle w:val="41"/>
                    <w:rPr>
                      <w:rFonts w:hAnsi="宋体"/>
                      <w:color w:val="auto"/>
                      <w:highlight w:val="none"/>
                    </w:rPr>
                  </w:pPr>
                  <w:r>
                    <w:rPr>
                      <w:rFonts w:hint="eastAsia" w:hAnsi="宋体"/>
                      <w:color w:val="auto"/>
                      <w:highlight w:val="none"/>
                    </w:rPr>
                    <w:t>符合自治区或油气企业相关油气开发专项规划及规划环评要求，原则上应当以区块为单位开展环境影响评价工作</w:t>
                  </w:r>
                </w:p>
              </w:tc>
              <w:tc>
                <w:tcPr>
                  <w:tcW w:w="1971" w:type="pct"/>
                  <w:noWrap w:val="0"/>
                  <w:vAlign w:val="center"/>
                </w:tcPr>
                <w:p w14:paraId="619E82AC">
                  <w:pPr>
                    <w:pStyle w:val="41"/>
                    <w:rPr>
                      <w:rFonts w:hAnsi="宋体"/>
                      <w:color w:val="auto"/>
                      <w:highlight w:val="none"/>
                    </w:rPr>
                  </w:pPr>
                  <w:r>
                    <w:rPr>
                      <w:rFonts w:hint="eastAsia" w:hAnsi="宋体"/>
                      <w:color w:val="auto"/>
                      <w:highlight w:val="none"/>
                    </w:rPr>
                    <w:t>本项目探井项目，符合</w:t>
                  </w:r>
                  <w:r>
                    <w:rPr>
                      <w:rFonts w:hint="eastAsia" w:hAnsi="宋体" w:cs="宋体"/>
                      <w:color w:val="auto"/>
                      <w:kern w:val="0"/>
                      <w:szCs w:val="20"/>
                      <w:highlight w:val="none"/>
                    </w:rPr>
                    <w:t>《中石化新疆新春石油开发有限责任公司“十四五”规划》</w:t>
                  </w:r>
                </w:p>
              </w:tc>
              <w:tc>
                <w:tcPr>
                  <w:tcW w:w="333" w:type="pct"/>
                  <w:noWrap w:val="0"/>
                  <w:vAlign w:val="center"/>
                </w:tcPr>
                <w:p w14:paraId="3AB5BB2D">
                  <w:pPr>
                    <w:pStyle w:val="41"/>
                    <w:rPr>
                      <w:rFonts w:hAnsi="宋体"/>
                      <w:color w:val="auto"/>
                      <w:highlight w:val="none"/>
                    </w:rPr>
                  </w:pPr>
                  <w:r>
                    <w:rPr>
                      <w:rFonts w:hint="eastAsia" w:hAnsi="宋体"/>
                      <w:color w:val="auto"/>
                      <w:highlight w:val="none"/>
                    </w:rPr>
                    <w:t>符合</w:t>
                  </w:r>
                </w:p>
              </w:tc>
            </w:tr>
            <w:tr w14:paraId="683A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2AF29962">
                  <w:pPr>
                    <w:pStyle w:val="41"/>
                    <w:rPr>
                      <w:rFonts w:hAnsi="宋体"/>
                      <w:color w:val="auto"/>
                      <w:highlight w:val="none"/>
                    </w:rPr>
                  </w:pPr>
                  <w:r>
                    <w:rPr>
                      <w:rFonts w:hAnsi="宋体"/>
                      <w:color w:val="auto"/>
                      <w:highlight w:val="none"/>
                    </w:rPr>
                    <w:t>2.环境影响比选论证</w:t>
                  </w:r>
                </w:p>
              </w:tc>
              <w:tc>
                <w:tcPr>
                  <w:tcW w:w="2255" w:type="pct"/>
                  <w:noWrap w:val="0"/>
                  <w:vAlign w:val="center"/>
                </w:tcPr>
                <w:p w14:paraId="7F677DF6">
                  <w:pPr>
                    <w:pStyle w:val="41"/>
                    <w:rPr>
                      <w:rFonts w:hAnsi="宋体"/>
                      <w:color w:val="auto"/>
                      <w:highlight w:val="none"/>
                    </w:rPr>
                  </w:pPr>
                  <w:r>
                    <w:rPr>
                      <w:rFonts w:hint="eastAsia" w:hAnsi="宋体"/>
                      <w:color w:val="auto"/>
                      <w:highlight w:val="none"/>
                    </w:rPr>
                    <w:t>经环境影响比选论证后，适宜在矿区开展的页岩油、页岩气开采、加工一体化项目可在矿区内就地选址</w:t>
                  </w:r>
                </w:p>
              </w:tc>
              <w:tc>
                <w:tcPr>
                  <w:tcW w:w="1971" w:type="pct"/>
                  <w:noWrap w:val="0"/>
                  <w:vAlign w:val="center"/>
                </w:tcPr>
                <w:p w14:paraId="57F1BF4B">
                  <w:pPr>
                    <w:pStyle w:val="41"/>
                    <w:rPr>
                      <w:rFonts w:hint="eastAsia" w:hAnsi="宋体"/>
                      <w:color w:val="auto"/>
                      <w:highlight w:val="none"/>
                    </w:rPr>
                  </w:pPr>
                  <w:r>
                    <w:rPr>
                      <w:rFonts w:hAnsi="宋体"/>
                      <w:color w:val="auto"/>
                      <w:highlight w:val="none"/>
                    </w:rPr>
                    <w:t>项目为</w:t>
                  </w:r>
                  <w:r>
                    <w:rPr>
                      <w:rFonts w:hint="eastAsia" w:hAnsi="宋体"/>
                      <w:color w:val="auto"/>
                      <w:highlight w:val="none"/>
                    </w:rPr>
                    <w:t>探井项目，项目选址经科学论证</w:t>
                  </w:r>
                </w:p>
              </w:tc>
              <w:tc>
                <w:tcPr>
                  <w:tcW w:w="333" w:type="pct"/>
                  <w:noWrap w:val="0"/>
                  <w:vAlign w:val="center"/>
                </w:tcPr>
                <w:p w14:paraId="08929193">
                  <w:pPr>
                    <w:pStyle w:val="41"/>
                    <w:rPr>
                      <w:rFonts w:hAnsi="宋体"/>
                      <w:color w:val="auto"/>
                      <w:highlight w:val="none"/>
                    </w:rPr>
                  </w:pPr>
                  <w:r>
                    <w:rPr>
                      <w:rFonts w:hint="eastAsia" w:hAnsi="宋体"/>
                      <w:color w:val="auto"/>
                      <w:highlight w:val="none"/>
                    </w:rPr>
                    <w:t>符合</w:t>
                  </w:r>
                </w:p>
              </w:tc>
            </w:tr>
            <w:tr w14:paraId="5C51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78A07B68">
                  <w:pPr>
                    <w:pStyle w:val="41"/>
                    <w:rPr>
                      <w:rFonts w:hAnsi="宋体"/>
                      <w:color w:val="auto"/>
                      <w:highlight w:val="none"/>
                    </w:rPr>
                  </w:pPr>
                  <w:r>
                    <w:rPr>
                      <w:rFonts w:hAnsi="宋体"/>
                      <w:color w:val="auto"/>
                      <w:highlight w:val="none"/>
                    </w:rPr>
                    <w:t>3.自然保护地要求</w:t>
                  </w:r>
                </w:p>
              </w:tc>
              <w:tc>
                <w:tcPr>
                  <w:tcW w:w="2255" w:type="pct"/>
                  <w:noWrap w:val="0"/>
                  <w:vAlign w:val="center"/>
                </w:tcPr>
                <w:p w14:paraId="0E677722">
                  <w:pPr>
                    <w:pStyle w:val="41"/>
                    <w:rPr>
                      <w:rFonts w:hAnsi="宋体"/>
                      <w:color w:val="auto"/>
                      <w:highlight w:val="none"/>
                    </w:rPr>
                  </w:pPr>
                  <w:r>
                    <w:rPr>
                      <w:rFonts w:hint="eastAsia" w:hAnsi="宋体"/>
                      <w:color w:val="auto"/>
                      <w:highlight w:val="none"/>
                    </w:rPr>
                    <w:t>涉及自然保护地的石油天然气勘探、开发项目按照国家和自治区有关油气安全保障政策要求执行</w:t>
                  </w:r>
                </w:p>
              </w:tc>
              <w:tc>
                <w:tcPr>
                  <w:tcW w:w="1971" w:type="pct"/>
                  <w:noWrap w:val="0"/>
                  <w:vAlign w:val="center"/>
                </w:tcPr>
                <w:p w14:paraId="12DC8762">
                  <w:pPr>
                    <w:pStyle w:val="41"/>
                    <w:rPr>
                      <w:rFonts w:hAnsi="宋体"/>
                      <w:color w:val="auto"/>
                      <w:highlight w:val="none"/>
                    </w:rPr>
                  </w:pPr>
                  <w:r>
                    <w:rPr>
                      <w:rFonts w:hint="eastAsia" w:hAnsi="宋体"/>
                      <w:color w:val="auto"/>
                      <w:highlight w:val="none"/>
                    </w:rPr>
                    <w:t>本</w:t>
                  </w:r>
                  <w:r>
                    <w:rPr>
                      <w:rFonts w:hAnsi="宋体"/>
                      <w:color w:val="auto"/>
                      <w:highlight w:val="none"/>
                    </w:rPr>
                    <w:t>项目</w:t>
                  </w:r>
                  <w:r>
                    <w:rPr>
                      <w:rFonts w:hint="eastAsia" w:hAnsi="宋体"/>
                      <w:color w:val="auto"/>
                      <w:highlight w:val="none"/>
                    </w:rPr>
                    <w:t>不</w:t>
                  </w:r>
                  <w:r>
                    <w:rPr>
                      <w:rFonts w:hAnsi="宋体"/>
                      <w:color w:val="auto"/>
                      <w:highlight w:val="none"/>
                    </w:rPr>
                    <w:t>涉及自然保护地</w:t>
                  </w:r>
                </w:p>
              </w:tc>
              <w:tc>
                <w:tcPr>
                  <w:tcW w:w="333" w:type="pct"/>
                  <w:noWrap w:val="0"/>
                  <w:vAlign w:val="center"/>
                </w:tcPr>
                <w:p w14:paraId="7968CC3D">
                  <w:pPr>
                    <w:pStyle w:val="41"/>
                    <w:rPr>
                      <w:rFonts w:hAnsi="宋体"/>
                      <w:color w:val="auto"/>
                      <w:highlight w:val="none"/>
                    </w:rPr>
                  </w:pPr>
                  <w:r>
                    <w:rPr>
                      <w:rFonts w:hint="eastAsia" w:hAnsi="宋体"/>
                      <w:color w:val="auto"/>
                      <w:highlight w:val="none"/>
                    </w:rPr>
                    <w:t>符合</w:t>
                  </w:r>
                </w:p>
              </w:tc>
            </w:tr>
            <w:tr w14:paraId="329C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2695" w:type="pct"/>
                  <w:gridSpan w:val="2"/>
                  <w:noWrap w:val="0"/>
                  <w:tcMar>
                    <w:top w:w="15" w:type="dxa"/>
                    <w:left w:w="0" w:type="dxa"/>
                    <w:bottom w:w="15" w:type="dxa"/>
                    <w:right w:w="15" w:type="dxa"/>
                  </w:tcMar>
                  <w:vAlign w:val="center"/>
                </w:tcPr>
                <w:p w14:paraId="4BC4339F">
                  <w:pPr>
                    <w:pStyle w:val="41"/>
                    <w:rPr>
                      <w:rFonts w:hAnsi="宋体"/>
                      <w:color w:val="auto"/>
                      <w:highlight w:val="none"/>
                    </w:rPr>
                  </w:pPr>
                  <w:r>
                    <w:rPr>
                      <w:rFonts w:hAnsi="宋体"/>
                      <w:color w:val="auto"/>
                      <w:highlight w:val="none"/>
                    </w:rPr>
                    <w:t>（三）污染防治与环境影响</w:t>
                  </w:r>
                </w:p>
              </w:tc>
              <w:tc>
                <w:tcPr>
                  <w:tcW w:w="1971" w:type="pct"/>
                  <w:noWrap w:val="0"/>
                  <w:vAlign w:val="center"/>
                </w:tcPr>
                <w:p w14:paraId="535968DA">
                  <w:pPr>
                    <w:pStyle w:val="41"/>
                    <w:rPr>
                      <w:rFonts w:hAnsi="宋体"/>
                      <w:color w:val="auto"/>
                      <w:highlight w:val="none"/>
                    </w:rPr>
                  </w:pPr>
                </w:p>
              </w:tc>
              <w:tc>
                <w:tcPr>
                  <w:tcW w:w="333" w:type="pct"/>
                  <w:noWrap w:val="0"/>
                  <w:vAlign w:val="center"/>
                </w:tcPr>
                <w:p w14:paraId="7DFA78E6">
                  <w:pPr>
                    <w:pStyle w:val="41"/>
                    <w:rPr>
                      <w:rFonts w:hAnsi="宋体"/>
                      <w:color w:val="auto"/>
                      <w:highlight w:val="none"/>
                    </w:rPr>
                  </w:pPr>
                </w:p>
              </w:tc>
            </w:tr>
            <w:tr w14:paraId="1481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2695" w:type="pct"/>
                  <w:gridSpan w:val="2"/>
                  <w:noWrap w:val="0"/>
                  <w:tcMar>
                    <w:top w:w="15" w:type="dxa"/>
                    <w:left w:w="0" w:type="dxa"/>
                    <w:bottom w:w="15" w:type="dxa"/>
                    <w:right w:w="15" w:type="dxa"/>
                  </w:tcMar>
                  <w:vAlign w:val="center"/>
                </w:tcPr>
                <w:p w14:paraId="7371EC28">
                  <w:pPr>
                    <w:pStyle w:val="41"/>
                    <w:rPr>
                      <w:rFonts w:hAnsi="宋体"/>
                      <w:color w:val="auto"/>
                      <w:highlight w:val="none"/>
                    </w:rPr>
                  </w:pPr>
                  <w:r>
                    <w:rPr>
                      <w:rFonts w:hAnsi="宋体"/>
                      <w:color w:val="auto"/>
                      <w:highlight w:val="none"/>
                    </w:rPr>
                    <w:t>施工期管控</w:t>
                  </w:r>
                </w:p>
              </w:tc>
              <w:tc>
                <w:tcPr>
                  <w:tcW w:w="1971" w:type="pct"/>
                  <w:noWrap w:val="0"/>
                  <w:vAlign w:val="center"/>
                </w:tcPr>
                <w:p w14:paraId="333066E6">
                  <w:pPr>
                    <w:pStyle w:val="41"/>
                    <w:rPr>
                      <w:rFonts w:hAnsi="宋体"/>
                      <w:color w:val="auto"/>
                      <w:highlight w:val="none"/>
                    </w:rPr>
                  </w:pPr>
                </w:p>
              </w:tc>
              <w:tc>
                <w:tcPr>
                  <w:tcW w:w="333" w:type="pct"/>
                  <w:noWrap w:val="0"/>
                  <w:vAlign w:val="center"/>
                </w:tcPr>
                <w:p w14:paraId="784F9153">
                  <w:pPr>
                    <w:pStyle w:val="41"/>
                    <w:rPr>
                      <w:rFonts w:hAnsi="宋体"/>
                      <w:color w:val="auto"/>
                      <w:highlight w:val="none"/>
                    </w:rPr>
                  </w:pPr>
                </w:p>
              </w:tc>
            </w:tr>
            <w:tr w14:paraId="4B84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7AC9536D">
                  <w:pPr>
                    <w:pStyle w:val="41"/>
                    <w:rPr>
                      <w:rFonts w:hAnsi="宋体"/>
                      <w:color w:val="auto"/>
                      <w:highlight w:val="none"/>
                    </w:rPr>
                  </w:pPr>
                  <w:r>
                    <w:rPr>
                      <w:rFonts w:hAnsi="宋体"/>
                      <w:color w:val="auto"/>
                      <w:highlight w:val="none"/>
                    </w:rPr>
                    <w:t>1.施工占地与生态保护</w:t>
                  </w:r>
                </w:p>
              </w:tc>
              <w:tc>
                <w:tcPr>
                  <w:tcW w:w="2255" w:type="pct"/>
                  <w:noWrap w:val="0"/>
                  <w:vAlign w:val="center"/>
                </w:tcPr>
                <w:p w14:paraId="5CDB3D5A">
                  <w:pPr>
                    <w:pStyle w:val="41"/>
                    <w:rPr>
                      <w:rFonts w:hAnsi="宋体"/>
                      <w:color w:val="auto"/>
                      <w:highlight w:val="none"/>
                    </w:rPr>
                  </w:pPr>
                  <w:r>
                    <w:rPr>
                      <w:rFonts w:hint="eastAsia" w:hAnsi="宋体"/>
                      <w:color w:val="auto"/>
                      <w:highlight w:val="none"/>
                    </w:rPr>
                    <w:t>施工期应当尽量减少施工占地、严格控制施工作业面积、缩短施工时间、选择合理施工方式、落实环境敏感区管控要求以及其他生态环境保护措施，有效降低生态环境影响</w:t>
                  </w:r>
                </w:p>
              </w:tc>
              <w:tc>
                <w:tcPr>
                  <w:tcW w:w="1971" w:type="pct"/>
                  <w:noWrap w:val="0"/>
                  <w:vAlign w:val="center"/>
                </w:tcPr>
                <w:p w14:paraId="148B722C">
                  <w:pPr>
                    <w:pStyle w:val="41"/>
                    <w:rPr>
                      <w:rFonts w:hAnsi="宋体"/>
                      <w:color w:val="auto"/>
                      <w:highlight w:val="none"/>
                    </w:rPr>
                  </w:pPr>
                  <w:r>
                    <w:rPr>
                      <w:rFonts w:hAnsi="宋体"/>
                      <w:color w:val="auto"/>
                      <w:highlight w:val="none"/>
                    </w:rPr>
                    <w:t>项目</w:t>
                  </w:r>
                  <w:r>
                    <w:rPr>
                      <w:rFonts w:hint="eastAsia" w:hAnsi="宋体"/>
                      <w:color w:val="auto"/>
                      <w:highlight w:val="none"/>
                    </w:rPr>
                    <w:t>尽量缩短施工周期，减少临时占地，项目建设严格落实相关环境保护措施要求</w:t>
                  </w:r>
                </w:p>
              </w:tc>
              <w:tc>
                <w:tcPr>
                  <w:tcW w:w="333" w:type="pct"/>
                  <w:noWrap w:val="0"/>
                  <w:vAlign w:val="center"/>
                </w:tcPr>
                <w:p w14:paraId="7E3D71C6">
                  <w:pPr>
                    <w:pStyle w:val="41"/>
                    <w:rPr>
                      <w:rFonts w:hAnsi="宋体"/>
                      <w:color w:val="auto"/>
                      <w:highlight w:val="none"/>
                    </w:rPr>
                  </w:pPr>
                  <w:r>
                    <w:rPr>
                      <w:rFonts w:hint="eastAsia" w:hAnsi="宋体"/>
                      <w:color w:val="auto"/>
                      <w:highlight w:val="none"/>
                    </w:rPr>
                    <w:t>符合</w:t>
                  </w:r>
                </w:p>
              </w:tc>
            </w:tr>
            <w:tr w14:paraId="4CC7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2695" w:type="pct"/>
                  <w:gridSpan w:val="2"/>
                  <w:noWrap w:val="0"/>
                  <w:tcMar>
                    <w:top w:w="15" w:type="dxa"/>
                    <w:left w:w="0" w:type="dxa"/>
                    <w:bottom w:w="15" w:type="dxa"/>
                    <w:right w:w="15" w:type="dxa"/>
                  </w:tcMar>
                  <w:vAlign w:val="center"/>
                </w:tcPr>
                <w:p w14:paraId="789FFCCB">
                  <w:pPr>
                    <w:pStyle w:val="41"/>
                    <w:rPr>
                      <w:rFonts w:hAnsi="宋体"/>
                      <w:color w:val="auto"/>
                      <w:highlight w:val="none"/>
                    </w:rPr>
                  </w:pPr>
                  <w:r>
                    <w:rPr>
                      <w:rFonts w:hAnsi="宋体"/>
                      <w:color w:val="auto"/>
                      <w:highlight w:val="none"/>
                    </w:rPr>
                    <w:t>大气污染防治</w:t>
                  </w:r>
                </w:p>
              </w:tc>
              <w:tc>
                <w:tcPr>
                  <w:tcW w:w="1971" w:type="pct"/>
                  <w:noWrap w:val="0"/>
                  <w:vAlign w:val="center"/>
                </w:tcPr>
                <w:p w14:paraId="2016D530">
                  <w:pPr>
                    <w:pStyle w:val="41"/>
                    <w:rPr>
                      <w:rFonts w:hAnsi="宋体"/>
                      <w:color w:val="auto"/>
                      <w:highlight w:val="none"/>
                    </w:rPr>
                  </w:pPr>
                </w:p>
              </w:tc>
              <w:tc>
                <w:tcPr>
                  <w:tcW w:w="333" w:type="pct"/>
                  <w:noWrap w:val="0"/>
                  <w:vAlign w:val="center"/>
                </w:tcPr>
                <w:p w14:paraId="7B1ED15D">
                  <w:pPr>
                    <w:pStyle w:val="41"/>
                    <w:rPr>
                      <w:rFonts w:hAnsi="宋体"/>
                      <w:color w:val="auto"/>
                      <w:highlight w:val="none"/>
                    </w:rPr>
                  </w:pPr>
                </w:p>
              </w:tc>
            </w:tr>
            <w:tr w14:paraId="21FF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36D7C92E">
                  <w:pPr>
                    <w:pStyle w:val="41"/>
                    <w:rPr>
                      <w:rFonts w:hAnsi="宋体"/>
                      <w:color w:val="auto"/>
                      <w:highlight w:val="none"/>
                    </w:rPr>
                  </w:pPr>
                  <w:r>
                    <w:rPr>
                      <w:rFonts w:hAnsi="宋体"/>
                      <w:color w:val="auto"/>
                      <w:highlight w:val="none"/>
                    </w:rPr>
                    <w:t>2.VOCs管控</w:t>
                  </w:r>
                </w:p>
              </w:tc>
              <w:tc>
                <w:tcPr>
                  <w:tcW w:w="2255" w:type="pct"/>
                  <w:noWrap w:val="0"/>
                  <w:vAlign w:val="center"/>
                </w:tcPr>
                <w:p w14:paraId="13DA9B42">
                  <w:pPr>
                    <w:pStyle w:val="41"/>
                    <w:rPr>
                      <w:rFonts w:hAnsi="宋体"/>
                      <w:color w:val="auto"/>
                      <w:highlight w:val="none"/>
                    </w:rPr>
                  </w:pPr>
                  <w:r>
                    <w:rPr>
                      <w:rFonts w:hAnsi="宋体"/>
                      <w:color w:val="auto"/>
                      <w:highlight w:val="none"/>
                    </w:rPr>
                    <w:t>控制VOCs无组织排放（油气损耗率≤0.5%），满足GB39728、GB13271等排放标准</w:t>
                  </w:r>
                </w:p>
              </w:tc>
              <w:tc>
                <w:tcPr>
                  <w:tcW w:w="1971" w:type="pct"/>
                  <w:noWrap w:val="0"/>
                  <w:vAlign w:val="center"/>
                </w:tcPr>
                <w:p w14:paraId="519BC4F2">
                  <w:pPr>
                    <w:pStyle w:val="41"/>
                    <w:rPr>
                      <w:rFonts w:hint="eastAsia" w:hAnsi="宋体"/>
                      <w:color w:val="auto"/>
                      <w:highlight w:val="none"/>
                    </w:rPr>
                  </w:pPr>
                  <w:r>
                    <w:rPr>
                      <w:rFonts w:hint="eastAsia" w:hAnsi="宋体"/>
                      <w:color w:val="auto"/>
                      <w:highlight w:val="none"/>
                    </w:rPr>
                    <w:t>拟建项目使用优质柴油及合格施工机械，施工场界V</w:t>
                  </w:r>
                  <w:r>
                    <w:rPr>
                      <w:rFonts w:hAnsi="宋体"/>
                      <w:color w:val="auto"/>
                      <w:highlight w:val="none"/>
                    </w:rPr>
                    <w:t>OCs</w:t>
                  </w:r>
                  <w:r>
                    <w:rPr>
                      <w:rFonts w:hint="eastAsia" w:hAnsi="宋体"/>
                      <w:color w:val="auto"/>
                      <w:highlight w:val="none"/>
                    </w:rPr>
                    <w:t>可以达标排放</w:t>
                  </w:r>
                </w:p>
              </w:tc>
              <w:tc>
                <w:tcPr>
                  <w:tcW w:w="333" w:type="pct"/>
                  <w:noWrap w:val="0"/>
                  <w:vAlign w:val="center"/>
                </w:tcPr>
                <w:p w14:paraId="7FA688FB">
                  <w:pPr>
                    <w:pStyle w:val="41"/>
                    <w:rPr>
                      <w:rFonts w:hint="eastAsia" w:hAnsi="宋体"/>
                      <w:color w:val="auto"/>
                      <w:highlight w:val="none"/>
                    </w:rPr>
                  </w:pPr>
                  <w:r>
                    <w:rPr>
                      <w:rFonts w:hint="eastAsia" w:hAnsi="宋体"/>
                      <w:color w:val="auto"/>
                      <w:highlight w:val="none"/>
                    </w:rPr>
                    <w:t>符合</w:t>
                  </w:r>
                </w:p>
              </w:tc>
            </w:tr>
            <w:tr w14:paraId="7BA3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42B2F12C">
                  <w:pPr>
                    <w:pStyle w:val="41"/>
                    <w:rPr>
                      <w:rFonts w:hAnsi="宋体"/>
                      <w:color w:val="auto"/>
                      <w:highlight w:val="none"/>
                    </w:rPr>
                  </w:pPr>
                  <w:r>
                    <w:rPr>
                      <w:rFonts w:hAnsi="宋体"/>
                      <w:color w:val="auto"/>
                      <w:highlight w:val="none"/>
                    </w:rPr>
                    <w:t>3.伴生气回收利用</w:t>
                  </w:r>
                </w:p>
              </w:tc>
              <w:tc>
                <w:tcPr>
                  <w:tcW w:w="2255" w:type="pct"/>
                  <w:noWrap w:val="0"/>
                  <w:vAlign w:val="center"/>
                </w:tcPr>
                <w:p w14:paraId="6F626882">
                  <w:pPr>
                    <w:pStyle w:val="41"/>
                    <w:rPr>
                      <w:rFonts w:hAnsi="宋体"/>
                      <w:color w:val="auto"/>
                      <w:highlight w:val="none"/>
                    </w:rPr>
                  </w:pPr>
                  <w:r>
                    <w:rPr>
                      <w:rFonts w:hAnsi="宋体"/>
                      <w:color w:val="auto"/>
                      <w:highlight w:val="none"/>
                    </w:rPr>
                    <w:t>伴生气回收利用率≥80%；边远井无法回收的需燃烧后放空</w:t>
                  </w:r>
                </w:p>
              </w:tc>
              <w:tc>
                <w:tcPr>
                  <w:tcW w:w="1971" w:type="pct"/>
                  <w:noWrap w:val="0"/>
                  <w:vAlign w:val="center"/>
                </w:tcPr>
                <w:p w14:paraId="77C5AAFF">
                  <w:pPr>
                    <w:pStyle w:val="41"/>
                    <w:rPr>
                      <w:rFonts w:hint="eastAsia" w:hAnsi="宋体"/>
                      <w:color w:val="auto"/>
                      <w:highlight w:val="none"/>
                    </w:rPr>
                  </w:pPr>
                  <w:r>
                    <w:rPr>
                      <w:rFonts w:hint="eastAsia" w:hAnsi="宋体"/>
                      <w:color w:val="auto"/>
                      <w:highlight w:val="none"/>
                    </w:rPr>
                    <w:t>本项目为探井项目，项目位于偏远地区，周边无油气集输管网，伴生气经燃烧放空</w:t>
                  </w:r>
                </w:p>
              </w:tc>
              <w:tc>
                <w:tcPr>
                  <w:tcW w:w="333" w:type="pct"/>
                  <w:noWrap w:val="0"/>
                  <w:vAlign w:val="center"/>
                </w:tcPr>
                <w:p w14:paraId="67FE9FB9">
                  <w:pPr>
                    <w:pStyle w:val="41"/>
                    <w:rPr>
                      <w:rFonts w:hAnsi="宋体"/>
                      <w:color w:val="auto"/>
                      <w:highlight w:val="none"/>
                    </w:rPr>
                  </w:pPr>
                  <w:r>
                    <w:rPr>
                      <w:rFonts w:hint="eastAsia" w:hAnsi="宋体"/>
                      <w:color w:val="auto"/>
                      <w:highlight w:val="none"/>
                    </w:rPr>
                    <w:t>符合</w:t>
                  </w:r>
                </w:p>
              </w:tc>
            </w:tr>
            <w:tr w14:paraId="2F41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2695" w:type="pct"/>
                  <w:gridSpan w:val="2"/>
                  <w:noWrap w:val="0"/>
                  <w:tcMar>
                    <w:top w:w="15" w:type="dxa"/>
                    <w:left w:w="0" w:type="dxa"/>
                    <w:bottom w:w="15" w:type="dxa"/>
                    <w:right w:w="15" w:type="dxa"/>
                  </w:tcMar>
                  <w:vAlign w:val="center"/>
                </w:tcPr>
                <w:p w14:paraId="2D2D1E0B">
                  <w:pPr>
                    <w:pStyle w:val="41"/>
                    <w:rPr>
                      <w:rFonts w:hAnsi="宋体"/>
                      <w:color w:val="auto"/>
                      <w:highlight w:val="none"/>
                    </w:rPr>
                  </w:pPr>
                  <w:r>
                    <w:rPr>
                      <w:rFonts w:hAnsi="宋体"/>
                      <w:color w:val="auto"/>
                      <w:highlight w:val="none"/>
                    </w:rPr>
                    <w:t>水污染防治</w:t>
                  </w:r>
                </w:p>
              </w:tc>
              <w:tc>
                <w:tcPr>
                  <w:tcW w:w="1971" w:type="pct"/>
                  <w:noWrap w:val="0"/>
                  <w:vAlign w:val="center"/>
                </w:tcPr>
                <w:p w14:paraId="153F7CDC">
                  <w:pPr>
                    <w:pStyle w:val="41"/>
                    <w:rPr>
                      <w:rFonts w:hAnsi="宋体"/>
                      <w:color w:val="auto"/>
                      <w:highlight w:val="none"/>
                    </w:rPr>
                  </w:pPr>
                </w:p>
              </w:tc>
              <w:tc>
                <w:tcPr>
                  <w:tcW w:w="333" w:type="pct"/>
                  <w:noWrap w:val="0"/>
                  <w:vAlign w:val="center"/>
                </w:tcPr>
                <w:p w14:paraId="50C18EBF">
                  <w:pPr>
                    <w:pStyle w:val="41"/>
                    <w:rPr>
                      <w:rFonts w:hAnsi="宋体"/>
                      <w:color w:val="auto"/>
                      <w:highlight w:val="none"/>
                    </w:rPr>
                  </w:pPr>
                </w:p>
              </w:tc>
            </w:tr>
            <w:tr w14:paraId="726B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06D91978">
                  <w:pPr>
                    <w:pStyle w:val="41"/>
                    <w:rPr>
                      <w:rFonts w:hAnsi="宋体"/>
                      <w:color w:val="auto"/>
                      <w:highlight w:val="none"/>
                    </w:rPr>
                  </w:pPr>
                  <w:r>
                    <w:rPr>
                      <w:rFonts w:hAnsi="宋体"/>
                      <w:color w:val="auto"/>
                      <w:highlight w:val="none"/>
                    </w:rPr>
                    <w:t>4.废水处理与回用</w:t>
                  </w:r>
                </w:p>
              </w:tc>
              <w:tc>
                <w:tcPr>
                  <w:tcW w:w="2255" w:type="pct"/>
                  <w:noWrap w:val="0"/>
                  <w:vAlign w:val="center"/>
                </w:tcPr>
                <w:p w14:paraId="3F535B91">
                  <w:pPr>
                    <w:pStyle w:val="41"/>
                    <w:rPr>
                      <w:rFonts w:hAnsi="宋体"/>
                      <w:color w:val="auto"/>
                      <w:highlight w:val="none"/>
                    </w:rPr>
                  </w:pPr>
                  <w:r>
                    <w:rPr>
                      <w:rFonts w:hAnsi="宋体"/>
                      <w:color w:val="auto"/>
                      <w:highlight w:val="none"/>
                    </w:rPr>
                    <w:t>废水回用率≥90%；压裂废液100%返排入罐</w:t>
                  </w:r>
                </w:p>
              </w:tc>
              <w:tc>
                <w:tcPr>
                  <w:tcW w:w="1971" w:type="pct"/>
                  <w:noWrap w:val="0"/>
                  <w:vAlign w:val="center"/>
                </w:tcPr>
                <w:p w14:paraId="734892D8">
                  <w:pPr>
                    <w:pStyle w:val="41"/>
                    <w:rPr>
                      <w:rFonts w:hint="eastAsia" w:hAnsi="宋体"/>
                      <w:color w:val="auto"/>
                      <w:highlight w:val="none"/>
                    </w:rPr>
                  </w:pPr>
                  <w:r>
                    <w:rPr>
                      <w:rFonts w:hint="eastAsia" w:hAnsi="宋体"/>
                      <w:color w:val="auto"/>
                      <w:highlight w:val="none"/>
                    </w:rPr>
                    <w:t>拟建项目采用“泥浆不落地工艺”；钻井液循环利用率9</w:t>
                  </w:r>
                  <w:r>
                    <w:rPr>
                      <w:rFonts w:hAnsi="宋体"/>
                      <w:color w:val="auto"/>
                      <w:highlight w:val="none"/>
                    </w:rPr>
                    <w:t>5%</w:t>
                  </w:r>
                  <w:r>
                    <w:rPr>
                      <w:rFonts w:hint="eastAsia" w:hAnsi="宋体"/>
                      <w:color w:val="auto"/>
                      <w:highlight w:val="none"/>
                    </w:rPr>
                    <w:t>以上；</w:t>
                  </w:r>
                  <w:r>
                    <w:rPr>
                      <w:rFonts w:hAnsi="宋体"/>
                      <w:color w:val="auto"/>
                      <w:highlight w:val="none"/>
                    </w:rPr>
                    <w:t>压裂</w:t>
                  </w:r>
                  <w:r>
                    <w:rPr>
                      <w:rFonts w:hint="eastAsia" w:hAnsi="宋体"/>
                      <w:color w:val="auto"/>
                      <w:highlight w:val="none"/>
                    </w:rPr>
                    <w:t>返排液1</w:t>
                  </w:r>
                  <w:r>
                    <w:rPr>
                      <w:rFonts w:hAnsi="宋体"/>
                      <w:color w:val="auto"/>
                      <w:highlight w:val="none"/>
                    </w:rPr>
                    <w:t>00%</w:t>
                  </w:r>
                  <w:r>
                    <w:rPr>
                      <w:rFonts w:hint="eastAsia" w:hAnsi="宋体"/>
                      <w:color w:val="auto"/>
                      <w:highlight w:val="none"/>
                    </w:rPr>
                    <w:t>回收，经处理后回注地层</w:t>
                  </w:r>
                </w:p>
              </w:tc>
              <w:tc>
                <w:tcPr>
                  <w:tcW w:w="333" w:type="pct"/>
                  <w:noWrap w:val="0"/>
                  <w:vAlign w:val="center"/>
                </w:tcPr>
                <w:p w14:paraId="170C20B2">
                  <w:pPr>
                    <w:pStyle w:val="41"/>
                    <w:rPr>
                      <w:rFonts w:hAnsi="宋体"/>
                      <w:color w:val="auto"/>
                      <w:highlight w:val="none"/>
                    </w:rPr>
                  </w:pPr>
                  <w:r>
                    <w:rPr>
                      <w:rFonts w:hint="eastAsia" w:hAnsi="宋体"/>
                      <w:color w:val="auto"/>
                      <w:highlight w:val="none"/>
                    </w:rPr>
                    <w:t>符合</w:t>
                  </w:r>
                </w:p>
              </w:tc>
            </w:tr>
            <w:tr w14:paraId="4ABA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0369E6DA">
                  <w:pPr>
                    <w:pStyle w:val="41"/>
                    <w:rPr>
                      <w:rFonts w:hAnsi="宋体"/>
                      <w:color w:val="auto"/>
                      <w:highlight w:val="none"/>
                    </w:rPr>
                  </w:pPr>
                  <w:r>
                    <w:rPr>
                      <w:rFonts w:hAnsi="宋体"/>
                      <w:color w:val="auto"/>
                      <w:highlight w:val="none"/>
                    </w:rPr>
                    <w:t>5.地下水保护</w:t>
                  </w:r>
                </w:p>
              </w:tc>
              <w:tc>
                <w:tcPr>
                  <w:tcW w:w="2255" w:type="pct"/>
                  <w:noWrap w:val="0"/>
                  <w:vAlign w:val="center"/>
                </w:tcPr>
                <w:p w14:paraId="50A5692A">
                  <w:pPr>
                    <w:pStyle w:val="41"/>
                    <w:rPr>
                      <w:rFonts w:hAnsi="宋体"/>
                      <w:color w:val="auto"/>
                      <w:highlight w:val="none"/>
                    </w:rPr>
                  </w:pPr>
                  <w:r>
                    <w:rPr>
                      <w:rFonts w:hint="eastAsia" w:hAnsi="宋体"/>
                      <w:color w:val="auto"/>
                      <w:highlight w:val="none"/>
                    </w:rPr>
                    <w:t>涉及废水回注的，应采取切实可行的地下水污染防治和监控措施，不得回注与油气开采无关的废水，严禁造成地下水污染；</w:t>
                  </w:r>
                  <w:r>
                    <w:rPr>
                      <w:rFonts w:hAnsi="宋体"/>
                      <w:color w:val="auto"/>
                      <w:highlight w:val="none"/>
                    </w:rPr>
                    <w:t xml:space="preserve">回注水符合SY/T5329、SY/T6596标准 </w:t>
                  </w:r>
                </w:p>
              </w:tc>
              <w:tc>
                <w:tcPr>
                  <w:tcW w:w="1971" w:type="pct"/>
                  <w:noWrap w:val="0"/>
                  <w:vAlign w:val="center"/>
                </w:tcPr>
                <w:p w14:paraId="74E984E5">
                  <w:pPr>
                    <w:pStyle w:val="41"/>
                    <w:rPr>
                      <w:rFonts w:hint="eastAsia" w:hAnsi="宋体"/>
                      <w:color w:val="auto"/>
                      <w:highlight w:val="none"/>
                    </w:rPr>
                  </w:pPr>
                  <w:r>
                    <w:rPr>
                      <w:rFonts w:hint="eastAsia" w:hAnsi="宋体"/>
                      <w:color w:val="auto"/>
                      <w:highlight w:val="none"/>
                    </w:rPr>
                    <w:t>本项目生产废水经</w:t>
                  </w:r>
                  <w:r>
                    <w:rPr>
                      <w:rFonts w:hint="eastAsia" w:hAnsi="宋体"/>
                      <w:snapToGrid w:val="0"/>
                      <w:color w:val="auto"/>
                      <w:highlight w:val="none"/>
                    </w:rPr>
                    <w:t>春风一号联合站采出水处理系统处理，经处理达到</w:t>
                  </w:r>
                  <w:r>
                    <w:rPr>
                      <w:rFonts w:hint="eastAsia" w:hAnsi="宋体"/>
                      <w:color w:val="auto"/>
                      <w:highlight w:val="none"/>
                    </w:rPr>
                    <w:t>《碎屑岩油藏注水水质指标技术要求及分析方法》（SY/T 5329-20</w:t>
                  </w:r>
                  <w:r>
                    <w:rPr>
                      <w:rFonts w:hAnsi="宋体"/>
                      <w:color w:val="auto"/>
                      <w:highlight w:val="none"/>
                    </w:rPr>
                    <w:t>2</w:t>
                  </w:r>
                  <w:r>
                    <w:rPr>
                      <w:rFonts w:hint="eastAsia" w:hAnsi="宋体"/>
                      <w:color w:val="auto"/>
                      <w:highlight w:val="none"/>
                    </w:rPr>
                    <w:t>2）</w:t>
                  </w:r>
                  <w:r>
                    <w:rPr>
                      <w:rFonts w:hint="eastAsia" w:hAnsi="宋体"/>
                      <w:snapToGrid w:val="0"/>
                      <w:color w:val="auto"/>
                      <w:highlight w:val="none"/>
                    </w:rPr>
                    <w:t>对应储层空气渗透率下的水质主要控制指标后回注含油层用于产能开发，不外排</w:t>
                  </w:r>
                </w:p>
              </w:tc>
              <w:tc>
                <w:tcPr>
                  <w:tcW w:w="333" w:type="pct"/>
                  <w:noWrap w:val="0"/>
                  <w:vAlign w:val="center"/>
                </w:tcPr>
                <w:p w14:paraId="0E628176">
                  <w:pPr>
                    <w:pStyle w:val="41"/>
                    <w:rPr>
                      <w:rFonts w:hAnsi="宋体"/>
                      <w:color w:val="auto"/>
                      <w:highlight w:val="none"/>
                    </w:rPr>
                  </w:pPr>
                  <w:r>
                    <w:rPr>
                      <w:rFonts w:hint="eastAsia" w:hAnsi="宋体"/>
                      <w:color w:val="auto"/>
                      <w:highlight w:val="none"/>
                    </w:rPr>
                    <w:t>符合</w:t>
                  </w:r>
                </w:p>
              </w:tc>
            </w:tr>
            <w:tr w14:paraId="7153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2695" w:type="pct"/>
                  <w:gridSpan w:val="2"/>
                  <w:noWrap w:val="0"/>
                  <w:tcMar>
                    <w:top w:w="15" w:type="dxa"/>
                    <w:left w:w="0" w:type="dxa"/>
                    <w:bottom w:w="15" w:type="dxa"/>
                    <w:right w:w="15" w:type="dxa"/>
                  </w:tcMar>
                  <w:vAlign w:val="center"/>
                </w:tcPr>
                <w:p w14:paraId="20D1A82F">
                  <w:pPr>
                    <w:pStyle w:val="41"/>
                    <w:rPr>
                      <w:rFonts w:hAnsi="宋体"/>
                      <w:color w:val="auto"/>
                      <w:highlight w:val="none"/>
                    </w:rPr>
                  </w:pPr>
                  <w:r>
                    <w:rPr>
                      <w:rFonts w:hAnsi="宋体"/>
                      <w:color w:val="auto"/>
                      <w:highlight w:val="none"/>
                    </w:rPr>
                    <w:t>固废管理</w:t>
                  </w:r>
                </w:p>
              </w:tc>
              <w:tc>
                <w:tcPr>
                  <w:tcW w:w="1971" w:type="pct"/>
                  <w:noWrap w:val="0"/>
                  <w:vAlign w:val="center"/>
                </w:tcPr>
                <w:p w14:paraId="45DE7668">
                  <w:pPr>
                    <w:pStyle w:val="41"/>
                    <w:rPr>
                      <w:rFonts w:hAnsi="宋体"/>
                      <w:color w:val="auto"/>
                      <w:highlight w:val="none"/>
                    </w:rPr>
                  </w:pPr>
                </w:p>
              </w:tc>
              <w:tc>
                <w:tcPr>
                  <w:tcW w:w="333" w:type="pct"/>
                  <w:noWrap w:val="0"/>
                  <w:vAlign w:val="center"/>
                </w:tcPr>
                <w:p w14:paraId="6380C245">
                  <w:pPr>
                    <w:pStyle w:val="41"/>
                    <w:rPr>
                      <w:rFonts w:hAnsi="宋体"/>
                      <w:color w:val="auto"/>
                      <w:highlight w:val="none"/>
                    </w:rPr>
                  </w:pPr>
                </w:p>
              </w:tc>
            </w:tr>
            <w:tr w14:paraId="0A61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04678237">
                  <w:pPr>
                    <w:pStyle w:val="41"/>
                    <w:rPr>
                      <w:rFonts w:hAnsi="宋体"/>
                      <w:color w:val="auto"/>
                      <w:highlight w:val="none"/>
                    </w:rPr>
                  </w:pPr>
                  <w:r>
                    <w:rPr>
                      <w:rFonts w:hAnsi="宋体"/>
                      <w:color w:val="auto"/>
                      <w:highlight w:val="none"/>
                    </w:rPr>
                    <w:t>6.钻井废弃物处理</w:t>
                  </w:r>
                </w:p>
              </w:tc>
              <w:tc>
                <w:tcPr>
                  <w:tcW w:w="2255" w:type="pct"/>
                  <w:noWrap w:val="0"/>
                  <w:vAlign w:val="center"/>
                </w:tcPr>
                <w:p w14:paraId="58E6CD2A">
                  <w:pPr>
                    <w:pStyle w:val="41"/>
                    <w:rPr>
                      <w:rFonts w:hAnsi="宋体"/>
                      <w:color w:val="auto"/>
                      <w:highlight w:val="none"/>
                    </w:rPr>
                  </w:pPr>
                  <w:r>
                    <w:rPr>
                      <w:rFonts w:hAnsi="宋体"/>
                      <w:color w:val="auto"/>
                      <w:highlight w:val="none"/>
                    </w:rPr>
                    <w:t>废弃泥浆“泥浆不落地”，固废无害化处置率100%；危废依法处置</w:t>
                  </w:r>
                </w:p>
              </w:tc>
              <w:tc>
                <w:tcPr>
                  <w:tcW w:w="1971" w:type="pct"/>
                  <w:noWrap w:val="0"/>
                  <w:vAlign w:val="center"/>
                </w:tcPr>
                <w:p w14:paraId="0A04EA5C">
                  <w:pPr>
                    <w:pStyle w:val="41"/>
                    <w:rPr>
                      <w:rFonts w:hint="eastAsia" w:hAnsi="宋体"/>
                      <w:color w:val="auto"/>
                      <w:highlight w:val="none"/>
                    </w:rPr>
                  </w:pPr>
                  <w:r>
                    <w:rPr>
                      <w:rFonts w:hint="eastAsia" w:hAnsi="宋体"/>
                      <w:color w:val="auto"/>
                      <w:highlight w:val="none"/>
                    </w:rPr>
                    <w:t>本项目</w:t>
                  </w:r>
                  <w:r>
                    <w:rPr>
                      <w:rFonts w:hAnsi="宋体"/>
                      <w:color w:val="auto"/>
                      <w:highlight w:val="none"/>
                    </w:rPr>
                    <w:t>采用“泥浆不落地”工艺</w:t>
                  </w:r>
                  <w:r>
                    <w:rPr>
                      <w:rFonts w:hint="eastAsia" w:hAnsi="宋体"/>
                      <w:color w:val="auto"/>
                      <w:highlight w:val="none"/>
                    </w:rPr>
                    <w:t>；项目所有固废均得到合理有效处置，无固废外排，危险废物委托有资质的危废处置单位进行处理</w:t>
                  </w:r>
                </w:p>
              </w:tc>
              <w:tc>
                <w:tcPr>
                  <w:tcW w:w="333" w:type="pct"/>
                  <w:noWrap w:val="0"/>
                  <w:vAlign w:val="center"/>
                </w:tcPr>
                <w:p w14:paraId="3EFC7341">
                  <w:pPr>
                    <w:pStyle w:val="41"/>
                    <w:rPr>
                      <w:rFonts w:hAnsi="宋体"/>
                      <w:color w:val="auto"/>
                      <w:highlight w:val="none"/>
                    </w:rPr>
                  </w:pPr>
                  <w:r>
                    <w:rPr>
                      <w:rFonts w:hint="eastAsia" w:hAnsi="宋体" w:cs="Segoe UI Symbol"/>
                      <w:color w:val="auto"/>
                      <w:highlight w:val="none"/>
                    </w:rPr>
                    <w:t>符合</w:t>
                  </w:r>
                  <w:r>
                    <w:rPr>
                      <w:rFonts w:hAnsi="宋体"/>
                      <w:color w:val="auto"/>
                      <w:highlight w:val="none"/>
                    </w:rPr>
                    <w:t xml:space="preserve"> </w:t>
                  </w:r>
                </w:p>
              </w:tc>
            </w:tr>
            <w:tr w14:paraId="5E0D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37473B28">
                  <w:pPr>
                    <w:pStyle w:val="41"/>
                    <w:rPr>
                      <w:rFonts w:hAnsi="宋体"/>
                      <w:color w:val="auto"/>
                      <w:highlight w:val="none"/>
                    </w:rPr>
                  </w:pPr>
                  <w:r>
                    <w:rPr>
                      <w:rFonts w:hAnsi="宋体"/>
                      <w:color w:val="auto"/>
                      <w:highlight w:val="none"/>
                    </w:rPr>
                    <w:t>7.落地原油回收</w:t>
                  </w:r>
                </w:p>
              </w:tc>
              <w:tc>
                <w:tcPr>
                  <w:tcW w:w="2255" w:type="pct"/>
                  <w:noWrap w:val="0"/>
                  <w:vAlign w:val="center"/>
                </w:tcPr>
                <w:p w14:paraId="3B56C19E">
                  <w:pPr>
                    <w:pStyle w:val="41"/>
                    <w:rPr>
                      <w:rFonts w:hAnsi="宋体"/>
                      <w:color w:val="auto"/>
                      <w:highlight w:val="none"/>
                    </w:rPr>
                  </w:pPr>
                  <w:r>
                    <w:rPr>
                      <w:rFonts w:hAnsi="宋体"/>
                      <w:color w:val="auto"/>
                      <w:highlight w:val="none"/>
                    </w:rPr>
                    <w:t>落地原油回收率100%</w:t>
                  </w:r>
                </w:p>
              </w:tc>
              <w:tc>
                <w:tcPr>
                  <w:tcW w:w="1971" w:type="pct"/>
                  <w:noWrap w:val="0"/>
                  <w:vAlign w:val="center"/>
                </w:tcPr>
                <w:p w14:paraId="52E81E90">
                  <w:pPr>
                    <w:pStyle w:val="41"/>
                    <w:rPr>
                      <w:rFonts w:hAnsi="宋体"/>
                      <w:color w:val="auto"/>
                      <w:highlight w:val="none"/>
                    </w:rPr>
                  </w:pPr>
                  <w:r>
                    <w:rPr>
                      <w:rFonts w:hint="eastAsia" w:hAnsi="宋体"/>
                      <w:color w:val="auto"/>
                      <w:highlight w:val="none"/>
                    </w:rPr>
                    <w:t>本项目施工过程可能产生少量的落地油，项目在各重要区域铺设防渗材料，废防渗材料委托有资质的危废处置单位进行处理</w:t>
                  </w:r>
                </w:p>
              </w:tc>
              <w:tc>
                <w:tcPr>
                  <w:tcW w:w="333" w:type="pct"/>
                  <w:noWrap w:val="0"/>
                  <w:vAlign w:val="center"/>
                </w:tcPr>
                <w:p w14:paraId="124CDCB3">
                  <w:pPr>
                    <w:pStyle w:val="41"/>
                    <w:rPr>
                      <w:rFonts w:hAnsi="宋体"/>
                      <w:color w:val="auto"/>
                      <w:highlight w:val="none"/>
                    </w:rPr>
                  </w:pPr>
                  <w:r>
                    <w:rPr>
                      <w:rFonts w:hint="eastAsia" w:hAnsi="宋体"/>
                      <w:color w:val="auto"/>
                      <w:highlight w:val="none"/>
                    </w:rPr>
                    <w:t>符合</w:t>
                  </w:r>
                </w:p>
              </w:tc>
            </w:tr>
            <w:tr w14:paraId="3A77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2695" w:type="pct"/>
                  <w:gridSpan w:val="2"/>
                  <w:noWrap w:val="0"/>
                  <w:tcMar>
                    <w:top w:w="15" w:type="dxa"/>
                    <w:left w:w="0" w:type="dxa"/>
                    <w:bottom w:w="15" w:type="dxa"/>
                    <w:right w:w="15" w:type="dxa"/>
                  </w:tcMar>
                  <w:vAlign w:val="center"/>
                </w:tcPr>
                <w:p w14:paraId="39702C19">
                  <w:pPr>
                    <w:pStyle w:val="41"/>
                    <w:rPr>
                      <w:rFonts w:hAnsi="宋体"/>
                      <w:color w:val="auto"/>
                      <w:highlight w:val="none"/>
                    </w:rPr>
                  </w:pPr>
                  <w:r>
                    <w:rPr>
                      <w:rFonts w:hAnsi="宋体"/>
                      <w:color w:val="auto"/>
                      <w:highlight w:val="none"/>
                    </w:rPr>
                    <w:t>噪声控制</w:t>
                  </w:r>
                </w:p>
              </w:tc>
              <w:tc>
                <w:tcPr>
                  <w:tcW w:w="1971" w:type="pct"/>
                  <w:noWrap w:val="0"/>
                  <w:vAlign w:val="center"/>
                </w:tcPr>
                <w:p w14:paraId="6EFBB855">
                  <w:pPr>
                    <w:pStyle w:val="41"/>
                    <w:rPr>
                      <w:rFonts w:hAnsi="宋体"/>
                      <w:color w:val="auto"/>
                      <w:highlight w:val="none"/>
                    </w:rPr>
                  </w:pPr>
                </w:p>
              </w:tc>
              <w:tc>
                <w:tcPr>
                  <w:tcW w:w="333" w:type="pct"/>
                  <w:noWrap w:val="0"/>
                  <w:vAlign w:val="center"/>
                </w:tcPr>
                <w:p w14:paraId="470AE7B9">
                  <w:pPr>
                    <w:pStyle w:val="41"/>
                    <w:rPr>
                      <w:rFonts w:hAnsi="宋体"/>
                      <w:color w:val="auto"/>
                      <w:highlight w:val="none"/>
                    </w:rPr>
                  </w:pPr>
                </w:p>
              </w:tc>
            </w:tr>
            <w:tr w14:paraId="5FDB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00ECC958">
                  <w:pPr>
                    <w:pStyle w:val="41"/>
                    <w:rPr>
                      <w:rFonts w:hAnsi="宋体"/>
                      <w:color w:val="auto"/>
                      <w:highlight w:val="none"/>
                    </w:rPr>
                  </w:pPr>
                  <w:r>
                    <w:rPr>
                      <w:rFonts w:hAnsi="宋体"/>
                      <w:color w:val="auto"/>
                      <w:highlight w:val="none"/>
                    </w:rPr>
                    <w:t>8.噪声排放</w:t>
                  </w:r>
                </w:p>
              </w:tc>
              <w:tc>
                <w:tcPr>
                  <w:tcW w:w="2255" w:type="pct"/>
                  <w:noWrap w:val="0"/>
                  <w:vAlign w:val="center"/>
                </w:tcPr>
                <w:p w14:paraId="507C75F1">
                  <w:pPr>
                    <w:pStyle w:val="41"/>
                    <w:rPr>
                      <w:rFonts w:hAnsi="宋体"/>
                      <w:color w:val="auto"/>
                      <w:highlight w:val="none"/>
                    </w:rPr>
                  </w:pPr>
                  <w:r>
                    <w:rPr>
                      <w:rFonts w:hAnsi="宋体"/>
                      <w:color w:val="auto"/>
                      <w:highlight w:val="none"/>
                    </w:rPr>
                    <w:t>满足GB12348厂界噪声标准</w:t>
                  </w:r>
                </w:p>
              </w:tc>
              <w:tc>
                <w:tcPr>
                  <w:tcW w:w="1971" w:type="pct"/>
                  <w:noWrap w:val="0"/>
                  <w:vAlign w:val="center"/>
                </w:tcPr>
                <w:p w14:paraId="4A47B827">
                  <w:pPr>
                    <w:pStyle w:val="41"/>
                    <w:rPr>
                      <w:rFonts w:hAnsi="宋体"/>
                      <w:color w:val="auto"/>
                      <w:highlight w:val="none"/>
                    </w:rPr>
                  </w:pPr>
                  <w:r>
                    <w:rPr>
                      <w:rFonts w:hint="eastAsia" w:hAnsi="宋体"/>
                      <w:color w:val="auto"/>
                      <w:highlight w:val="none"/>
                    </w:rPr>
                    <w:t>本项目不涉及运营期</w:t>
                  </w:r>
                </w:p>
              </w:tc>
              <w:tc>
                <w:tcPr>
                  <w:tcW w:w="333" w:type="pct"/>
                  <w:noWrap w:val="0"/>
                  <w:vAlign w:val="center"/>
                </w:tcPr>
                <w:p w14:paraId="5E200905">
                  <w:pPr>
                    <w:pStyle w:val="41"/>
                    <w:rPr>
                      <w:rFonts w:hAnsi="宋体"/>
                      <w:color w:val="auto"/>
                      <w:highlight w:val="none"/>
                    </w:rPr>
                  </w:pPr>
                  <w:r>
                    <w:rPr>
                      <w:rFonts w:hint="eastAsia" w:hAnsi="宋体"/>
                      <w:color w:val="auto"/>
                      <w:highlight w:val="none"/>
                    </w:rPr>
                    <w:t>符合</w:t>
                  </w:r>
                </w:p>
              </w:tc>
            </w:tr>
            <w:tr w14:paraId="42B1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2695" w:type="pct"/>
                  <w:gridSpan w:val="2"/>
                  <w:noWrap w:val="0"/>
                  <w:tcMar>
                    <w:top w:w="15" w:type="dxa"/>
                    <w:left w:w="0" w:type="dxa"/>
                    <w:bottom w:w="15" w:type="dxa"/>
                    <w:right w:w="15" w:type="dxa"/>
                  </w:tcMar>
                  <w:vAlign w:val="center"/>
                </w:tcPr>
                <w:p w14:paraId="456EA248">
                  <w:pPr>
                    <w:pStyle w:val="41"/>
                    <w:rPr>
                      <w:rFonts w:hAnsi="宋体"/>
                      <w:color w:val="auto"/>
                      <w:highlight w:val="none"/>
                    </w:rPr>
                  </w:pPr>
                  <w:r>
                    <w:rPr>
                      <w:rFonts w:hAnsi="宋体"/>
                      <w:color w:val="auto"/>
                      <w:highlight w:val="none"/>
                    </w:rPr>
                    <w:t>生态修复</w:t>
                  </w:r>
                </w:p>
              </w:tc>
              <w:tc>
                <w:tcPr>
                  <w:tcW w:w="1971" w:type="pct"/>
                  <w:noWrap w:val="0"/>
                  <w:vAlign w:val="center"/>
                </w:tcPr>
                <w:p w14:paraId="1B6C65E0">
                  <w:pPr>
                    <w:pStyle w:val="41"/>
                    <w:rPr>
                      <w:rFonts w:hAnsi="宋体"/>
                      <w:color w:val="auto"/>
                      <w:highlight w:val="none"/>
                    </w:rPr>
                  </w:pPr>
                </w:p>
              </w:tc>
              <w:tc>
                <w:tcPr>
                  <w:tcW w:w="333" w:type="pct"/>
                  <w:noWrap w:val="0"/>
                  <w:vAlign w:val="center"/>
                </w:tcPr>
                <w:p w14:paraId="165A4E57">
                  <w:pPr>
                    <w:pStyle w:val="41"/>
                    <w:rPr>
                      <w:rFonts w:hAnsi="宋体"/>
                      <w:color w:val="auto"/>
                      <w:highlight w:val="none"/>
                    </w:rPr>
                  </w:pPr>
                </w:p>
              </w:tc>
            </w:tr>
            <w:tr w14:paraId="473E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trPr>
              <w:tc>
                <w:tcPr>
                  <w:tcW w:w="439" w:type="pct"/>
                  <w:noWrap w:val="0"/>
                  <w:tcMar>
                    <w:top w:w="15" w:type="dxa"/>
                    <w:left w:w="0" w:type="dxa"/>
                    <w:bottom w:w="15" w:type="dxa"/>
                    <w:right w:w="15" w:type="dxa"/>
                  </w:tcMar>
                  <w:vAlign w:val="center"/>
                </w:tcPr>
                <w:p w14:paraId="601EB31D">
                  <w:pPr>
                    <w:pStyle w:val="41"/>
                    <w:rPr>
                      <w:rFonts w:hAnsi="宋体"/>
                      <w:color w:val="auto"/>
                      <w:highlight w:val="none"/>
                    </w:rPr>
                  </w:pPr>
                  <w:r>
                    <w:rPr>
                      <w:rFonts w:hAnsi="宋体"/>
                      <w:color w:val="auto"/>
                      <w:highlight w:val="none"/>
                    </w:rPr>
                    <w:t>9.废弃井场生态修复</w:t>
                  </w:r>
                </w:p>
              </w:tc>
              <w:tc>
                <w:tcPr>
                  <w:tcW w:w="2255" w:type="pct"/>
                  <w:noWrap w:val="0"/>
                  <w:vAlign w:val="center"/>
                </w:tcPr>
                <w:p w14:paraId="16258B5C">
                  <w:pPr>
                    <w:pStyle w:val="41"/>
                    <w:rPr>
                      <w:rFonts w:hAnsi="宋体"/>
                      <w:color w:val="auto"/>
                      <w:highlight w:val="none"/>
                    </w:rPr>
                  </w:pPr>
                  <w:r>
                    <w:rPr>
                      <w:rFonts w:hAnsi="宋体"/>
                      <w:color w:val="auto"/>
                      <w:highlight w:val="none"/>
                    </w:rPr>
                    <w:t>退役井场封堵后按HJ651、SY/T6646等标准修复</w:t>
                  </w:r>
                </w:p>
              </w:tc>
              <w:tc>
                <w:tcPr>
                  <w:tcW w:w="1971" w:type="pct"/>
                  <w:noWrap w:val="0"/>
                  <w:vAlign w:val="center"/>
                </w:tcPr>
                <w:p w14:paraId="5FE9DDF4">
                  <w:pPr>
                    <w:pStyle w:val="41"/>
                    <w:rPr>
                      <w:rFonts w:hAnsi="宋体"/>
                      <w:color w:val="auto"/>
                      <w:highlight w:val="none"/>
                    </w:rPr>
                  </w:pPr>
                  <w:r>
                    <w:rPr>
                      <w:rFonts w:hAnsi="宋体"/>
                      <w:color w:val="auto"/>
                      <w:highlight w:val="none"/>
                    </w:rPr>
                    <w:t>项目为探井，尚未进入退役阶段</w:t>
                  </w:r>
                  <w:r>
                    <w:rPr>
                      <w:rFonts w:hint="eastAsia" w:hAnsi="宋体"/>
                      <w:color w:val="auto"/>
                      <w:highlight w:val="none"/>
                    </w:rPr>
                    <w:t>，后期按要求进行生态恢复</w:t>
                  </w:r>
                </w:p>
              </w:tc>
              <w:tc>
                <w:tcPr>
                  <w:tcW w:w="333" w:type="pct"/>
                  <w:noWrap w:val="0"/>
                  <w:vAlign w:val="center"/>
                </w:tcPr>
                <w:p w14:paraId="653F9B1D">
                  <w:pPr>
                    <w:pStyle w:val="41"/>
                    <w:rPr>
                      <w:rFonts w:hAnsi="宋体"/>
                      <w:color w:val="auto"/>
                      <w:highlight w:val="none"/>
                    </w:rPr>
                  </w:pPr>
                  <w:r>
                    <w:rPr>
                      <w:rFonts w:hint="eastAsia" w:hAnsi="宋体" w:cs="MS Gothic"/>
                      <w:color w:val="auto"/>
                      <w:highlight w:val="none"/>
                    </w:rPr>
                    <w:t>符合</w:t>
                  </w:r>
                </w:p>
              </w:tc>
            </w:tr>
          </w:tbl>
          <w:p w14:paraId="0269EF63">
            <w:pPr>
              <w:pStyle w:val="3"/>
              <w:numPr>
                <w:ilvl w:val="0"/>
                <w:numId w:val="0"/>
              </w:numPr>
              <w:rPr>
                <w:color w:val="auto"/>
                <w:sz w:val="21"/>
                <w:highlight w:val="none"/>
              </w:rPr>
            </w:pPr>
          </w:p>
          <w:p w14:paraId="6978D4D0">
            <w:pPr>
              <w:pStyle w:val="3"/>
              <w:numPr>
                <w:ilvl w:val="0"/>
                <w:numId w:val="7"/>
              </w:numPr>
              <w:ind w:firstLine="420"/>
              <w:rPr>
                <w:color w:val="auto"/>
                <w:sz w:val="21"/>
                <w:highlight w:val="none"/>
              </w:rPr>
            </w:pPr>
            <w:r>
              <w:rPr>
                <w:rFonts w:hint="eastAsia"/>
                <w:color w:val="auto"/>
                <w:sz w:val="21"/>
                <w:highlight w:val="none"/>
              </w:rPr>
              <w:t>与</w:t>
            </w:r>
            <w:r>
              <w:rPr>
                <w:rFonts w:hint="eastAsia"/>
                <w:color w:val="auto"/>
                <w:sz w:val="21"/>
                <w:highlight w:val="none"/>
                <w:lang w:val="en-US" w:eastAsia="zh-CN"/>
              </w:rPr>
              <w:t>《国家级公益林管理办法》（林资发〔2017〕34号）的符合性分析</w:t>
            </w:r>
          </w:p>
          <w:p w14:paraId="28D5723B">
            <w:pPr>
              <w:adjustRightInd w:val="0"/>
              <w:snapToGrid w:val="0"/>
              <w:ind w:firstLine="420"/>
              <w:rPr>
                <w:color w:val="auto"/>
                <w:highlight w:val="none"/>
              </w:rPr>
            </w:pPr>
            <w:r>
              <w:rPr>
                <w:rFonts w:hint="eastAsia"/>
                <w:color w:val="auto"/>
                <w:highlight w:val="none"/>
              </w:rPr>
              <w:t>本项目与</w:t>
            </w:r>
            <w:r>
              <w:rPr>
                <w:rFonts w:hint="eastAsia"/>
                <w:color w:val="auto"/>
                <w:highlight w:val="none"/>
                <w:lang w:val="en-US" w:eastAsia="zh-CN"/>
              </w:rPr>
              <w:t>《国家级公益林管理办法》（林资发〔2017〕34号）的符合性分析详见</w:t>
            </w:r>
            <w:r>
              <w:rPr>
                <w:rFonts w:hint="eastAsia"/>
                <w:color w:val="auto"/>
                <w:highlight w:val="none"/>
                <w:lang w:val="en-US" w:eastAsia="zh-CN"/>
              </w:rPr>
              <w:fldChar w:fldCharType="begin"/>
            </w:r>
            <w:r>
              <w:rPr>
                <w:color w:val="auto"/>
                <w:highlight w:val="none"/>
              </w:rPr>
              <w:instrText xml:space="preserve"> REF _Ref28146 \h  \* MERGEFORMAT</w:instrText>
            </w:r>
            <w:r>
              <w:rPr>
                <w:rFonts w:hint="eastAsia"/>
                <w:color w:val="auto"/>
                <w:highlight w:val="none"/>
                <w:lang w:val="en-US" w:eastAsia="zh-CN"/>
              </w:rPr>
              <w:fldChar w:fldCharType="separate"/>
            </w:r>
            <w:r>
              <w:rPr>
                <w:rFonts w:hint="eastAsia"/>
                <w:color w:val="auto"/>
                <w:highlight w:val="none"/>
                <w:lang w:val="en-US" w:eastAsia="zh-CN"/>
              </w:rPr>
              <w:t>表 11</w:t>
            </w:r>
            <w:r>
              <w:rPr>
                <w:rFonts w:hint="eastAsia"/>
                <w:color w:val="auto"/>
                <w:highlight w:val="none"/>
                <w:lang w:val="en-US" w:eastAsia="zh-CN"/>
              </w:rPr>
              <w:fldChar w:fldCharType="end"/>
            </w:r>
            <w:r>
              <w:rPr>
                <w:rFonts w:hint="eastAsia"/>
                <w:color w:val="auto"/>
                <w:highlight w:val="none"/>
                <w:lang w:val="en-US" w:eastAsia="zh-CN"/>
              </w:rPr>
              <w:t>。</w:t>
            </w:r>
          </w:p>
          <w:p w14:paraId="2B25DAE8">
            <w:pPr>
              <w:pStyle w:val="13"/>
              <w:bidi w:val="0"/>
              <w:rPr>
                <w:rFonts w:hint="eastAsia"/>
                <w:color w:val="auto"/>
                <w:highlight w:val="none"/>
              </w:rPr>
            </w:pPr>
            <w:bookmarkStart w:id="12" w:name="_Ref28146"/>
            <w:r>
              <w:rPr>
                <w:rFonts w:hint="eastAsia"/>
                <w:color w:val="auto"/>
                <w:highlight w:val="none"/>
              </w:rPr>
              <w:t xml:space="preserve">表 </w:t>
            </w:r>
            <w:r>
              <w:rPr>
                <w:rFonts w:hint="eastAsia"/>
                <w:color w:val="auto"/>
                <w:highlight w:val="none"/>
              </w:rPr>
              <w:fldChar w:fldCharType="begin"/>
            </w:r>
            <w:r>
              <w:rPr>
                <w:rFonts w:hint="eastAsia"/>
                <w:color w:val="auto"/>
                <w:highlight w:val="none"/>
              </w:rPr>
              <w:instrText xml:space="preserve"> SEQ 表 \* ARABIC </w:instrText>
            </w:r>
            <w:r>
              <w:rPr>
                <w:rFonts w:hint="eastAsia"/>
                <w:color w:val="auto"/>
                <w:highlight w:val="none"/>
              </w:rPr>
              <w:fldChar w:fldCharType="separate"/>
            </w:r>
            <w:r>
              <w:rPr>
                <w:rFonts w:hint="eastAsia"/>
                <w:color w:val="auto"/>
                <w:highlight w:val="none"/>
              </w:rPr>
              <w:t>11</w:t>
            </w:r>
            <w:r>
              <w:rPr>
                <w:rFonts w:hint="eastAsia"/>
                <w:color w:val="auto"/>
                <w:highlight w:val="none"/>
              </w:rPr>
              <w:fldChar w:fldCharType="end"/>
            </w:r>
            <w:bookmarkEnd w:id="12"/>
            <w:r>
              <w:rPr>
                <w:rFonts w:hint="eastAsia"/>
                <w:color w:val="auto"/>
                <w:highlight w:val="none"/>
              </w:rPr>
              <w:t xml:space="preserve"> 本项目与</w:t>
            </w:r>
            <w:r>
              <w:rPr>
                <w:rFonts w:hint="eastAsia"/>
                <w:color w:val="auto"/>
                <w:highlight w:val="none"/>
                <w:lang w:val="en-US" w:eastAsia="zh-CN"/>
              </w:rPr>
              <w:t>《国家级公益林管理办法》（林资发〔2017〕34号）</w:t>
            </w:r>
            <w:r>
              <w:rPr>
                <w:rFonts w:hint="eastAsia"/>
                <w:color w:val="auto"/>
                <w:highlight w:val="none"/>
              </w:rPr>
              <w:t>符合性分析表</w:t>
            </w:r>
          </w:p>
          <w:tbl>
            <w:tblPr>
              <w:tblStyle w:val="2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0"/>
              <w:gridCol w:w="1937"/>
              <w:gridCol w:w="744"/>
            </w:tblGrid>
            <w:tr w14:paraId="3412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3" w:type="pct"/>
                  <w:shd w:val="clear" w:color="auto" w:fill="auto"/>
                  <w:tcMar>
                    <w:top w:w="57" w:type="dxa"/>
                    <w:left w:w="108" w:type="dxa"/>
                    <w:bottom w:w="57" w:type="dxa"/>
                    <w:right w:w="108" w:type="dxa"/>
                  </w:tcMar>
                  <w:vAlign w:val="center"/>
                </w:tcPr>
                <w:p w14:paraId="309F22B8">
                  <w:pPr>
                    <w:pStyle w:val="41"/>
                    <w:rPr>
                      <w:color w:val="auto"/>
                      <w:szCs w:val="18"/>
                      <w:highlight w:val="none"/>
                    </w:rPr>
                  </w:pPr>
                  <w:r>
                    <w:rPr>
                      <w:rFonts w:hint="eastAsia"/>
                      <w:color w:val="auto"/>
                      <w:szCs w:val="18"/>
                      <w:highlight w:val="none"/>
                    </w:rPr>
                    <w:t>文件要求</w:t>
                  </w:r>
                </w:p>
              </w:tc>
              <w:tc>
                <w:tcPr>
                  <w:tcW w:w="1305" w:type="pct"/>
                  <w:shd w:val="clear" w:color="auto" w:fill="auto"/>
                  <w:tcMar>
                    <w:top w:w="57" w:type="dxa"/>
                    <w:left w:w="108" w:type="dxa"/>
                    <w:bottom w:w="57" w:type="dxa"/>
                    <w:right w:w="108" w:type="dxa"/>
                  </w:tcMar>
                  <w:vAlign w:val="center"/>
                </w:tcPr>
                <w:p w14:paraId="151A35D9">
                  <w:pPr>
                    <w:pStyle w:val="41"/>
                    <w:rPr>
                      <w:color w:val="auto"/>
                      <w:szCs w:val="18"/>
                      <w:highlight w:val="none"/>
                    </w:rPr>
                  </w:pPr>
                  <w:r>
                    <w:rPr>
                      <w:rFonts w:hint="eastAsia"/>
                      <w:color w:val="auto"/>
                      <w:szCs w:val="18"/>
                      <w:highlight w:val="none"/>
                    </w:rPr>
                    <w:t>本项目情况</w:t>
                  </w:r>
                </w:p>
              </w:tc>
              <w:tc>
                <w:tcPr>
                  <w:tcW w:w="501" w:type="pct"/>
                  <w:shd w:val="clear" w:color="auto" w:fill="auto"/>
                  <w:tcMar>
                    <w:top w:w="57" w:type="dxa"/>
                    <w:left w:w="108" w:type="dxa"/>
                    <w:bottom w:w="57" w:type="dxa"/>
                    <w:right w:w="108" w:type="dxa"/>
                  </w:tcMar>
                  <w:vAlign w:val="center"/>
                </w:tcPr>
                <w:p w14:paraId="14A2B5A4">
                  <w:pPr>
                    <w:pStyle w:val="41"/>
                    <w:rPr>
                      <w:color w:val="auto"/>
                      <w:szCs w:val="18"/>
                      <w:highlight w:val="none"/>
                    </w:rPr>
                  </w:pPr>
                  <w:r>
                    <w:rPr>
                      <w:rFonts w:hint="eastAsia"/>
                      <w:color w:val="auto"/>
                      <w:szCs w:val="18"/>
                      <w:highlight w:val="none"/>
                    </w:rPr>
                    <w:t>符合性</w:t>
                  </w:r>
                </w:p>
              </w:tc>
            </w:tr>
            <w:tr w14:paraId="1FE3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3" w:type="pct"/>
                  <w:tcMar>
                    <w:top w:w="57" w:type="dxa"/>
                    <w:left w:w="108" w:type="dxa"/>
                    <w:bottom w:w="57" w:type="dxa"/>
                    <w:right w:w="108" w:type="dxa"/>
                  </w:tcMar>
                  <w:vAlign w:val="center"/>
                </w:tcPr>
                <w:p w14:paraId="0D1E3D75">
                  <w:pPr>
                    <w:pStyle w:val="41"/>
                    <w:rPr>
                      <w:color w:val="auto"/>
                      <w:szCs w:val="18"/>
                      <w:highlight w:val="none"/>
                    </w:rPr>
                  </w:pPr>
                  <w:r>
                    <w:rPr>
                      <w:rFonts w:hint="default"/>
                      <w:color w:val="auto"/>
                      <w:szCs w:val="18"/>
                      <w:highlight w:val="none"/>
                    </w:rPr>
                    <w:t>第九条</w:t>
                  </w:r>
                  <w:r>
                    <w:rPr>
                      <w:rFonts w:hint="eastAsia"/>
                      <w:color w:val="auto"/>
                      <w:szCs w:val="18"/>
                      <w:highlight w:val="none"/>
                      <w:lang w:val="en-US" w:eastAsia="zh-CN"/>
                    </w:rPr>
                    <w:t xml:space="preserve"> </w:t>
                  </w:r>
                  <w:r>
                    <w:rPr>
                      <w:rFonts w:hint="default"/>
                      <w:color w:val="auto"/>
                      <w:szCs w:val="18"/>
                      <w:highlight w:val="none"/>
                    </w:rPr>
                    <w:t>国家级公益林林权权利人应当与林业主管部门签订协议，明确双方的权利、义务，约定管护责任。各级林业主管部门应当切实履行管护协议约定的义务，加强对国家级公益林林权权利人和管护人员的指导、服务和检查，并不断完善国家级公益林森林生态效益补偿的办法。</w:t>
                  </w:r>
                </w:p>
              </w:tc>
              <w:tc>
                <w:tcPr>
                  <w:tcW w:w="1305" w:type="pct"/>
                  <w:tcMar>
                    <w:top w:w="57" w:type="dxa"/>
                    <w:left w:w="108" w:type="dxa"/>
                    <w:bottom w:w="57" w:type="dxa"/>
                    <w:right w:w="108" w:type="dxa"/>
                  </w:tcMar>
                  <w:vAlign w:val="center"/>
                </w:tcPr>
                <w:p w14:paraId="47EBDD9B">
                  <w:pPr>
                    <w:pStyle w:val="41"/>
                    <w:rPr>
                      <w:rFonts w:hint="default" w:eastAsia="宋体"/>
                      <w:color w:val="auto"/>
                      <w:szCs w:val="18"/>
                      <w:highlight w:val="none"/>
                      <w:lang w:val="en-US" w:eastAsia="zh-CN"/>
                    </w:rPr>
                  </w:pPr>
                  <w:r>
                    <w:rPr>
                      <w:rFonts w:hint="eastAsia"/>
                      <w:color w:val="auto"/>
                      <w:szCs w:val="18"/>
                      <w:highlight w:val="none"/>
                    </w:rPr>
                    <w:t>本项目属于油气勘探项目，</w:t>
                  </w:r>
                  <w:r>
                    <w:rPr>
                      <w:rFonts w:hint="eastAsia"/>
                      <w:color w:val="auto"/>
                      <w:szCs w:val="18"/>
                      <w:highlight w:val="none"/>
                      <w:lang w:val="en-US" w:eastAsia="zh-CN"/>
                    </w:rPr>
                    <w:t>临时占用国家二级公益林</w:t>
                  </w:r>
                  <w:r>
                    <w:rPr>
                      <w:rFonts w:hint="eastAsia"/>
                      <w:color w:val="auto"/>
                      <w:szCs w:val="18"/>
                      <w:highlight w:val="none"/>
                    </w:rPr>
                    <w:t>。</w:t>
                  </w:r>
                  <w:r>
                    <w:rPr>
                      <w:rFonts w:hint="eastAsia"/>
                      <w:color w:val="auto"/>
                      <w:szCs w:val="18"/>
                      <w:highlight w:val="none"/>
                      <w:lang w:val="en-US" w:eastAsia="zh-CN"/>
                    </w:rPr>
                    <w:t>项目占用前与林业部门签订协议并缴纳林地补偿费用。</w:t>
                  </w:r>
                </w:p>
              </w:tc>
              <w:tc>
                <w:tcPr>
                  <w:tcW w:w="501" w:type="pct"/>
                  <w:tcMar>
                    <w:top w:w="57" w:type="dxa"/>
                    <w:left w:w="108" w:type="dxa"/>
                    <w:bottom w:w="57" w:type="dxa"/>
                    <w:right w:w="108" w:type="dxa"/>
                  </w:tcMar>
                  <w:vAlign w:val="center"/>
                </w:tcPr>
                <w:p w14:paraId="79E71474">
                  <w:pPr>
                    <w:pStyle w:val="41"/>
                    <w:rPr>
                      <w:color w:val="auto"/>
                      <w:szCs w:val="18"/>
                      <w:highlight w:val="none"/>
                    </w:rPr>
                  </w:pPr>
                  <w:r>
                    <w:rPr>
                      <w:rFonts w:hint="eastAsia"/>
                      <w:color w:val="auto"/>
                      <w:szCs w:val="18"/>
                      <w:highlight w:val="none"/>
                    </w:rPr>
                    <w:t>符合</w:t>
                  </w:r>
                </w:p>
              </w:tc>
            </w:tr>
            <w:tr w14:paraId="7554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3" w:type="pct"/>
                  <w:tcMar>
                    <w:top w:w="57" w:type="dxa"/>
                    <w:left w:w="108" w:type="dxa"/>
                    <w:bottom w:w="57" w:type="dxa"/>
                    <w:right w:w="108" w:type="dxa"/>
                  </w:tcMar>
                  <w:vAlign w:val="center"/>
                </w:tcPr>
                <w:p w14:paraId="6F78E809">
                  <w:pPr>
                    <w:pStyle w:val="41"/>
                    <w:rPr>
                      <w:rFonts w:hint="eastAsia"/>
                      <w:color w:val="auto"/>
                      <w:szCs w:val="18"/>
                      <w:highlight w:val="none"/>
                    </w:rPr>
                  </w:pPr>
                  <w:r>
                    <w:rPr>
                      <w:rFonts w:hint="eastAsia"/>
                      <w:color w:val="auto"/>
                      <w:szCs w:val="18"/>
                      <w:highlight w:val="none"/>
                    </w:rPr>
                    <w:t>第十一条</w:t>
                  </w:r>
                  <w:r>
                    <w:rPr>
                      <w:rFonts w:hint="eastAsia"/>
                      <w:color w:val="auto"/>
                      <w:szCs w:val="18"/>
                      <w:highlight w:val="none"/>
                      <w:lang w:val="en-US" w:eastAsia="zh-CN"/>
                    </w:rPr>
                    <w:t xml:space="preserve"> </w:t>
                  </w:r>
                  <w:r>
                    <w:rPr>
                      <w:rFonts w:hint="eastAsia"/>
                      <w:color w:val="auto"/>
                      <w:szCs w:val="18"/>
                      <w:highlight w:val="none"/>
                    </w:rPr>
                    <w:t>禁止在国家级公益林地开垦、采石、采沙、取土，严格控制勘查、开采矿藏和工程建设征收、征用、占用国家级公益林地。除国务院有关部门和省级人民政府批准的基础设施建设项目外，不得征收、征用、占用一级国家级公益林地。</w:t>
                  </w:r>
                </w:p>
              </w:tc>
              <w:tc>
                <w:tcPr>
                  <w:tcW w:w="1305" w:type="pct"/>
                  <w:tcMar>
                    <w:top w:w="57" w:type="dxa"/>
                    <w:left w:w="108" w:type="dxa"/>
                    <w:bottom w:w="57" w:type="dxa"/>
                    <w:right w:w="108" w:type="dxa"/>
                  </w:tcMar>
                  <w:vAlign w:val="center"/>
                </w:tcPr>
                <w:p w14:paraId="71B2424B">
                  <w:pPr>
                    <w:pStyle w:val="41"/>
                    <w:rPr>
                      <w:rFonts w:hint="default"/>
                      <w:color w:val="auto"/>
                      <w:szCs w:val="18"/>
                      <w:highlight w:val="none"/>
                      <w:lang w:val="en-US"/>
                    </w:rPr>
                  </w:pPr>
                  <w:r>
                    <w:rPr>
                      <w:rFonts w:hint="eastAsia"/>
                      <w:color w:val="auto"/>
                      <w:szCs w:val="18"/>
                      <w:highlight w:val="none"/>
                    </w:rPr>
                    <w:t>本项目属于油气勘探项目，</w:t>
                  </w:r>
                  <w:r>
                    <w:rPr>
                      <w:rFonts w:hint="eastAsia"/>
                      <w:color w:val="auto"/>
                      <w:szCs w:val="18"/>
                      <w:highlight w:val="none"/>
                      <w:lang w:val="en-US" w:eastAsia="zh-CN"/>
                    </w:rPr>
                    <w:t>临时占用国家二级公益林，不占用国家一级公益林地。</w:t>
                  </w:r>
                </w:p>
              </w:tc>
              <w:tc>
                <w:tcPr>
                  <w:tcW w:w="501" w:type="pct"/>
                  <w:tcMar>
                    <w:top w:w="57" w:type="dxa"/>
                    <w:left w:w="108" w:type="dxa"/>
                    <w:bottom w:w="57" w:type="dxa"/>
                    <w:right w:w="108" w:type="dxa"/>
                  </w:tcMar>
                  <w:vAlign w:val="center"/>
                </w:tcPr>
                <w:p w14:paraId="6393E38C">
                  <w:pPr>
                    <w:pStyle w:val="41"/>
                    <w:rPr>
                      <w:rFonts w:hint="eastAsia"/>
                      <w:color w:val="auto"/>
                      <w:szCs w:val="18"/>
                      <w:highlight w:val="none"/>
                    </w:rPr>
                  </w:pPr>
                  <w:r>
                    <w:rPr>
                      <w:rFonts w:hint="eastAsia"/>
                      <w:color w:val="auto"/>
                      <w:szCs w:val="18"/>
                      <w:highlight w:val="none"/>
                    </w:rPr>
                    <w:t>符合</w:t>
                  </w:r>
                </w:p>
              </w:tc>
            </w:tr>
          </w:tbl>
          <w:p w14:paraId="602F3550">
            <w:pPr>
              <w:pStyle w:val="3"/>
              <w:ind w:firstLine="0" w:firstLineChars="0"/>
              <w:rPr>
                <w:color w:val="auto"/>
                <w:sz w:val="21"/>
                <w:highlight w:val="none"/>
              </w:rPr>
            </w:pPr>
          </w:p>
        </w:tc>
      </w:tr>
    </w:tbl>
    <w:p w14:paraId="11AE569B">
      <w:pPr>
        <w:pStyle w:val="3"/>
        <w:ind w:firstLine="0" w:firstLineChars="0"/>
        <w:rPr>
          <w:color w:val="auto"/>
          <w:highlight w:val="none"/>
        </w:rPr>
        <w:sectPr>
          <w:footerReference r:id="rId6" w:type="default"/>
          <w:pgSz w:w="11906" w:h="16838"/>
          <w:pgMar w:top="1440" w:right="1797" w:bottom="1304" w:left="1797" w:header="1021" w:footer="851" w:gutter="0"/>
          <w:pgNumType w:start="1"/>
          <w:cols w:space="425" w:num="1"/>
          <w:docGrid w:type="lines" w:linePitch="312" w:charSpace="0"/>
        </w:sectPr>
      </w:pPr>
    </w:p>
    <w:p w14:paraId="683D244A">
      <w:pPr>
        <w:pStyle w:val="3"/>
        <w:ind w:firstLine="0" w:firstLineChars="0"/>
        <w:jc w:val="center"/>
        <w:outlineLvl w:val="0"/>
        <w:rPr>
          <w:rFonts w:ascii="黑体" w:hAnsi="黑体" w:eastAsia="黑体"/>
          <w:color w:val="auto"/>
          <w:sz w:val="30"/>
          <w:szCs w:val="30"/>
          <w:highlight w:val="none"/>
        </w:rPr>
      </w:pPr>
      <w:bookmarkStart w:id="13" w:name="_Toc17981"/>
      <w:bookmarkStart w:id="14" w:name="_Toc1011"/>
      <w:r>
        <w:rPr>
          <w:rFonts w:hint="eastAsia" w:ascii="黑体" w:hAnsi="黑体" w:eastAsia="黑体"/>
          <w:color w:val="auto"/>
          <w:sz w:val="30"/>
          <w:szCs w:val="30"/>
          <w:highlight w:val="none"/>
        </w:rPr>
        <w:t>二、建设内容</w:t>
      </w:r>
      <w:bookmarkEnd w:id="13"/>
      <w:bookmarkEnd w:id="14"/>
    </w:p>
    <w:tbl>
      <w:tblPr>
        <w:tblStyle w:val="61"/>
        <w:tblW w:w="82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7752"/>
      </w:tblGrid>
      <w:tr w14:paraId="64B1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vAlign w:val="center"/>
          </w:tcPr>
          <w:p w14:paraId="0CA61CA1">
            <w:pPr>
              <w:pStyle w:val="3"/>
              <w:spacing w:line="240" w:lineRule="auto"/>
              <w:ind w:firstLine="0" w:firstLineChars="0"/>
              <w:jc w:val="center"/>
              <w:rPr>
                <w:color w:val="auto"/>
                <w:sz w:val="21"/>
                <w:highlight w:val="none"/>
              </w:rPr>
            </w:pPr>
            <w:r>
              <w:rPr>
                <w:rFonts w:hint="eastAsia"/>
                <w:color w:val="auto"/>
                <w:sz w:val="21"/>
                <w:highlight w:val="none"/>
              </w:rPr>
              <w:t>地</w:t>
            </w:r>
          </w:p>
          <w:p w14:paraId="5BA4F59F">
            <w:pPr>
              <w:pStyle w:val="3"/>
              <w:spacing w:line="240" w:lineRule="auto"/>
              <w:ind w:firstLine="0" w:firstLineChars="0"/>
              <w:jc w:val="center"/>
              <w:rPr>
                <w:color w:val="auto"/>
                <w:sz w:val="21"/>
                <w:highlight w:val="none"/>
              </w:rPr>
            </w:pPr>
            <w:r>
              <w:rPr>
                <w:rFonts w:hint="eastAsia"/>
                <w:color w:val="auto"/>
                <w:sz w:val="21"/>
                <w:highlight w:val="none"/>
              </w:rPr>
              <w:t>理</w:t>
            </w:r>
          </w:p>
          <w:p w14:paraId="626FCA3F">
            <w:pPr>
              <w:pStyle w:val="3"/>
              <w:spacing w:line="240" w:lineRule="auto"/>
              <w:ind w:firstLine="0" w:firstLineChars="0"/>
              <w:jc w:val="center"/>
              <w:rPr>
                <w:color w:val="auto"/>
                <w:sz w:val="21"/>
                <w:highlight w:val="none"/>
              </w:rPr>
            </w:pPr>
            <w:r>
              <w:rPr>
                <w:rFonts w:hint="eastAsia"/>
                <w:color w:val="auto"/>
                <w:sz w:val="21"/>
                <w:highlight w:val="none"/>
              </w:rPr>
              <w:t>位</w:t>
            </w:r>
          </w:p>
          <w:p w14:paraId="75AECBE5">
            <w:pPr>
              <w:pStyle w:val="3"/>
              <w:spacing w:line="240" w:lineRule="auto"/>
              <w:ind w:firstLine="0" w:firstLineChars="0"/>
              <w:jc w:val="center"/>
              <w:rPr>
                <w:color w:val="auto"/>
                <w:sz w:val="21"/>
                <w:highlight w:val="none"/>
              </w:rPr>
            </w:pPr>
            <w:r>
              <w:rPr>
                <w:rFonts w:hint="eastAsia"/>
                <w:color w:val="auto"/>
                <w:sz w:val="21"/>
                <w:highlight w:val="none"/>
              </w:rPr>
              <w:t>置</w:t>
            </w:r>
          </w:p>
        </w:tc>
        <w:tc>
          <w:tcPr>
            <w:tcW w:w="7752" w:type="dxa"/>
            <w:tcMar>
              <w:top w:w="170" w:type="dxa"/>
              <w:left w:w="108" w:type="dxa"/>
              <w:bottom w:w="113" w:type="dxa"/>
              <w:right w:w="108" w:type="dxa"/>
            </w:tcMar>
            <w:vAlign w:val="center"/>
          </w:tcPr>
          <w:p w14:paraId="4DD0F771">
            <w:pPr>
              <w:pStyle w:val="3"/>
              <w:ind w:firstLine="420"/>
              <w:rPr>
                <w:color w:val="auto"/>
                <w:sz w:val="21"/>
                <w:highlight w:val="none"/>
              </w:rPr>
            </w:pPr>
            <w:r>
              <w:rPr>
                <w:rFonts w:hint="eastAsia"/>
                <w:color w:val="auto"/>
                <w:sz w:val="21"/>
                <w:szCs w:val="21"/>
                <w:highlight w:val="none"/>
              </w:rPr>
              <w:t>新疆维吾尔自治区昌吉回族自治州阜康市三工河哈萨克族乡西北侧16.4km，</w:t>
            </w:r>
            <w:r>
              <w:rPr>
                <w:rFonts w:hint="eastAsia"/>
                <w:color w:val="auto"/>
                <w:sz w:val="21"/>
                <w:highlight w:val="none"/>
              </w:rPr>
              <w:t>项目地理位置见</w:t>
            </w:r>
            <w:r>
              <w:rPr>
                <w:color w:val="auto"/>
                <w:highlight w:val="none"/>
              </w:rPr>
              <w:fldChar w:fldCharType="begin"/>
            </w:r>
            <w:r>
              <w:rPr>
                <w:color w:val="auto"/>
                <w:highlight w:val="none"/>
              </w:rPr>
              <w:instrText xml:space="preserve"> REF _Ref109145152 \r  \* MERGEFORMAT</w:instrText>
            </w:r>
            <w:r>
              <w:rPr>
                <w:color w:val="auto"/>
                <w:highlight w:val="none"/>
              </w:rPr>
              <w:fldChar w:fldCharType="separate"/>
            </w:r>
            <w:r>
              <w:rPr>
                <w:rFonts w:hint="eastAsia"/>
                <w:color w:val="auto"/>
                <w:sz w:val="21"/>
                <w:highlight w:val="none"/>
              </w:rPr>
              <w:t>附图1</w:t>
            </w:r>
            <w:r>
              <w:rPr>
                <w:rFonts w:hint="eastAsia"/>
                <w:color w:val="auto"/>
                <w:sz w:val="21"/>
                <w:highlight w:val="none"/>
              </w:rPr>
              <w:fldChar w:fldCharType="end"/>
            </w:r>
            <w:r>
              <w:rPr>
                <w:rFonts w:hint="eastAsia"/>
                <w:color w:val="auto"/>
                <w:sz w:val="21"/>
                <w:highlight w:val="none"/>
              </w:rPr>
              <w:t>。</w:t>
            </w:r>
          </w:p>
        </w:tc>
      </w:tr>
      <w:tr w14:paraId="4D37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vAlign w:val="center"/>
          </w:tcPr>
          <w:p w14:paraId="0ADDFF54">
            <w:pPr>
              <w:pStyle w:val="3"/>
              <w:spacing w:line="240" w:lineRule="auto"/>
              <w:ind w:firstLine="0" w:firstLineChars="0"/>
              <w:jc w:val="center"/>
              <w:rPr>
                <w:color w:val="auto"/>
                <w:sz w:val="21"/>
                <w:highlight w:val="none"/>
              </w:rPr>
            </w:pPr>
            <w:r>
              <w:rPr>
                <w:rFonts w:hint="eastAsia"/>
                <w:color w:val="auto"/>
                <w:sz w:val="21"/>
                <w:highlight w:val="none"/>
              </w:rPr>
              <w:t>项</w:t>
            </w:r>
          </w:p>
          <w:p w14:paraId="0198F5D6">
            <w:pPr>
              <w:pStyle w:val="3"/>
              <w:spacing w:line="240" w:lineRule="auto"/>
              <w:ind w:firstLine="0" w:firstLineChars="0"/>
              <w:jc w:val="center"/>
              <w:rPr>
                <w:color w:val="auto"/>
                <w:sz w:val="21"/>
                <w:highlight w:val="none"/>
              </w:rPr>
            </w:pPr>
            <w:r>
              <w:rPr>
                <w:rFonts w:hint="eastAsia"/>
                <w:color w:val="auto"/>
                <w:sz w:val="21"/>
                <w:highlight w:val="none"/>
              </w:rPr>
              <w:t>目</w:t>
            </w:r>
          </w:p>
          <w:p w14:paraId="641BCEAF">
            <w:pPr>
              <w:pStyle w:val="3"/>
              <w:spacing w:line="240" w:lineRule="auto"/>
              <w:ind w:firstLine="0" w:firstLineChars="0"/>
              <w:jc w:val="center"/>
              <w:rPr>
                <w:color w:val="auto"/>
                <w:sz w:val="21"/>
                <w:highlight w:val="none"/>
              </w:rPr>
            </w:pPr>
            <w:r>
              <w:rPr>
                <w:rFonts w:hint="eastAsia"/>
                <w:color w:val="auto"/>
                <w:sz w:val="21"/>
                <w:highlight w:val="none"/>
              </w:rPr>
              <w:t>组</w:t>
            </w:r>
          </w:p>
          <w:p w14:paraId="19D4F568">
            <w:pPr>
              <w:pStyle w:val="3"/>
              <w:spacing w:line="240" w:lineRule="auto"/>
              <w:ind w:firstLine="0" w:firstLineChars="0"/>
              <w:jc w:val="center"/>
              <w:rPr>
                <w:color w:val="auto"/>
                <w:sz w:val="21"/>
                <w:highlight w:val="none"/>
              </w:rPr>
            </w:pPr>
            <w:r>
              <w:rPr>
                <w:rFonts w:hint="eastAsia"/>
                <w:color w:val="auto"/>
                <w:sz w:val="21"/>
                <w:highlight w:val="none"/>
              </w:rPr>
              <w:t>成</w:t>
            </w:r>
          </w:p>
          <w:p w14:paraId="19D74FF4">
            <w:pPr>
              <w:pStyle w:val="3"/>
              <w:spacing w:line="240" w:lineRule="auto"/>
              <w:ind w:firstLine="0" w:firstLineChars="0"/>
              <w:jc w:val="center"/>
              <w:rPr>
                <w:color w:val="auto"/>
                <w:sz w:val="21"/>
                <w:highlight w:val="none"/>
              </w:rPr>
            </w:pPr>
            <w:r>
              <w:rPr>
                <w:rFonts w:hint="eastAsia"/>
                <w:color w:val="auto"/>
                <w:sz w:val="21"/>
                <w:highlight w:val="none"/>
              </w:rPr>
              <w:t>及</w:t>
            </w:r>
          </w:p>
          <w:p w14:paraId="74230DD1">
            <w:pPr>
              <w:pStyle w:val="3"/>
              <w:spacing w:line="240" w:lineRule="auto"/>
              <w:ind w:firstLine="0" w:firstLineChars="0"/>
              <w:jc w:val="center"/>
              <w:rPr>
                <w:color w:val="auto"/>
                <w:sz w:val="21"/>
                <w:highlight w:val="none"/>
              </w:rPr>
            </w:pPr>
            <w:r>
              <w:rPr>
                <w:rFonts w:hint="eastAsia"/>
                <w:color w:val="auto"/>
                <w:sz w:val="21"/>
                <w:highlight w:val="none"/>
              </w:rPr>
              <w:t>规</w:t>
            </w:r>
          </w:p>
          <w:p w14:paraId="7FD60462">
            <w:pPr>
              <w:pStyle w:val="3"/>
              <w:spacing w:line="240" w:lineRule="auto"/>
              <w:ind w:firstLine="0" w:firstLineChars="0"/>
              <w:jc w:val="center"/>
              <w:rPr>
                <w:color w:val="auto"/>
                <w:sz w:val="21"/>
                <w:highlight w:val="none"/>
              </w:rPr>
            </w:pPr>
            <w:r>
              <w:rPr>
                <w:rFonts w:hint="eastAsia"/>
                <w:color w:val="auto"/>
                <w:sz w:val="21"/>
                <w:highlight w:val="none"/>
              </w:rPr>
              <w:t>模</w:t>
            </w:r>
          </w:p>
        </w:tc>
        <w:tc>
          <w:tcPr>
            <w:tcW w:w="7752" w:type="dxa"/>
            <w:tcMar>
              <w:top w:w="170" w:type="dxa"/>
              <w:left w:w="108" w:type="dxa"/>
              <w:bottom w:w="113" w:type="dxa"/>
              <w:right w:w="108" w:type="dxa"/>
            </w:tcMar>
            <w:vAlign w:val="center"/>
          </w:tcPr>
          <w:p w14:paraId="50730E60">
            <w:pPr>
              <w:pStyle w:val="3"/>
              <w:numPr>
                <w:ilvl w:val="0"/>
                <w:numId w:val="13"/>
              </w:numPr>
              <w:ind w:firstLine="420"/>
              <w:rPr>
                <w:color w:val="auto"/>
                <w:sz w:val="21"/>
                <w:highlight w:val="none"/>
              </w:rPr>
            </w:pPr>
            <w:r>
              <w:rPr>
                <w:rFonts w:hint="eastAsia"/>
                <w:color w:val="auto"/>
                <w:sz w:val="21"/>
                <w:highlight w:val="none"/>
              </w:rPr>
              <w:t>项目背景</w:t>
            </w:r>
          </w:p>
          <w:p w14:paraId="68FB4C91">
            <w:pPr>
              <w:pStyle w:val="3"/>
              <w:ind w:firstLine="420"/>
              <w:rPr>
                <w:color w:val="auto"/>
                <w:sz w:val="21"/>
                <w:highlight w:val="none"/>
              </w:rPr>
            </w:pPr>
            <w:r>
              <w:rPr>
                <w:rFonts w:hint="eastAsia"/>
                <w:color w:val="auto"/>
                <w:sz w:val="21"/>
                <w:highlight w:val="none"/>
              </w:rPr>
              <w:t>为探索董16朵叶体含油气性，验证成藏及沉积认识，中石化新疆新春石油开发有限责任公司拟进行董深斜2井的钻探和试油工作。董深斜2井主要是对油层进行勘探，从而获取相关技术参数，如果勘探过程中未出现油气显示或油气显示不能达到工业开采要求，建设单位则按照《油气田开采废弃井永久性封井处置作业规程》（GB/T 43672-2024）</w:t>
            </w:r>
            <w:r>
              <w:rPr>
                <w:rFonts w:hint="eastAsia"/>
                <w:color w:val="auto"/>
                <w:sz w:val="21"/>
                <w:highlight w:val="none"/>
                <w:lang w:eastAsia="zh-CN"/>
              </w:rPr>
              <w:t>、《废弃井封井回填技术指南（试行）》、《矿山生态环境保护与恢复治理技术规范（试行）》（HJ651-2013）的相关要求</w:t>
            </w:r>
            <w:r>
              <w:rPr>
                <w:rFonts w:hint="eastAsia"/>
                <w:color w:val="auto"/>
                <w:sz w:val="21"/>
                <w:highlight w:val="none"/>
              </w:rPr>
              <w:t>进行退役封井处置，并将临时占地恢复原貌；如果董深斜2井油气显示能够达到工业开采要求，将对董深斜2井进行临时封井，暂时封存，将该井转入区域产能开发方案井中，并重新在产能建设项目环境影响评价中另行评价。</w:t>
            </w:r>
          </w:p>
          <w:p w14:paraId="0BB552C3">
            <w:pPr>
              <w:pStyle w:val="3"/>
              <w:numPr>
                <w:ilvl w:val="0"/>
                <w:numId w:val="13"/>
              </w:numPr>
              <w:ind w:firstLine="420"/>
              <w:rPr>
                <w:color w:val="auto"/>
                <w:sz w:val="21"/>
                <w:highlight w:val="none"/>
              </w:rPr>
            </w:pPr>
            <w:r>
              <w:rPr>
                <w:rFonts w:hint="eastAsia"/>
                <w:color w:val="auto"/>
                <w:sz w:val="21"/>
                <w:highlight w:val="none"/>
              </w:rPr>
              <w:t>项目组成</w:t>
            </w:r>
          </w:p>
          <w:p w14:paraId="4634AE86">
            <w:pPr>
              <w:pStyle w:val="3"/>
              <w:ind w:firstLine="420"/>
              <w:rPr>
                <w:color w:val="auto"/>
                <w:sz w:val="21"/>
                <w:highlight w:val="none"/>
              </w:rPr>
            </w:pPr>
            <w:r>
              <w:rPr>
                <w:rFonts w:hint="eastAsia"/>
                <w:color w:val="auto"/>
                <w:sz w:val="21"/>
                <w:highlight w:val="none"/>
              </w:rPr>
              <w:t>本</w:t>
            </w:r>
            <w:r>
              <w:rPr>
                <w:rFonts w:hint="eastAsia"/>
                <w:color w:val="auto"/>
                <w:sz w:val="21"/>
                <w:szCs w:val="21"/>
                <w:highlight w:val="none"/>
              </w:rPr>
              <w:t>项目组成情况详见</w:t>
            </w:r>
            <w:r>
              <w:rPr>
                <w:rFonts w:hint="eastAsia"/>
                <w:color w:val="auto"/>
                <w:sz w:val="21"/>
                <w:szCs w:val="21"/>
                <w:highlight w:val="none"/>
              </w:rPr>
              <w:fldChar w:fldCharType="begin"/>
            </w:r>
            <w:r>
              <w:rPr>
                <w:color w:val="auto"/>
                <w:highlight w:val="none"/>
              </w:rPr>
              <w:instrText xml:space="preserve"> REF _Ref205886481 \h  \* MERGEFORMAT</w:instrText>
            </w:r>
            <w:r>
              <w:rPr>
                <w:rFonts w:hint="eastAsia"/>
                <w:color w:val="auto"/>
                <w:sz w:val="21"/>
                <w:szCs w:val="21"/>
                <w:highlight w:val="none"/>
              </w:rPr>
              <w:fldChar w:fldCharType="separate"/>
            </w:r>
            <w:r>
              <w:rPr>
                <w:rFonts w:hint="eastAsia"/>
                <w:color w:val="auto"/>
                <w:sz w:val="21"/>
                <w:szCs w:val="21"/>
                <w:highlight w:val="none"/>
              </w:rPr>
              <w:t>表12</w:t>
            </w:r>
            <w:r>
              <w:rPr>
                <w:rFonts w:hint="eastAsia"/>
                <w:color w:val="auto"/>
                <w:sz w:val="21"/>
                <w:szCs w:val="21"/>
                <w:highlight w:val="none"/>
              </w:rPr>
              <w:fldChar w:fldCharType="end"/>
            </w:r>
            <w:r>
              <w:rPr>
                <w:rFonts w:hint="eastAsia"/>
                <w:color w:val="auto"/>
                <w:sz w:val="21"/>
                <w:szCs w:val="21"/>
                <w:highlight w:val="none"/>
              </w:rPr>
              <w:t>。</w:t>
            </w:r>
          </w:p>
          <w:p w14:paraId="6E18208C">
            <w:pPr>
              <w:pStyle w:val="13"/>
              <w:bidi w:val="0"/>
              <w:rPr>
                <w:color w:val="auto"/>
                <w:highlight w:val="none"/>
              </w:rPr>
            </w:pPr>
            <w:bookmarkStart w:id="15" w:name="_Ref205886481"/>
            <w:r>
              <w:rPr>
                <w:rFonts w:hint="eastAsia"/>
                <w:color w:val="auto"/>
                <w:highlight w:val="none"/>
              </w:rPr>
              <w:t>表</w:t>
            </w:r>
            <w:r>
              <w:rPr>
                <w:color w:val="auto"/>
                <w:highlight w:val="none"/>
              </w:rPr>
              <w:fldChar w:fldCharType="begin"/>
            </w:r>
            <w:r>
              <w:rPr>
                <w:color w:val="auto"/>
                <w:highlight w:val="none"/>
              </w:rPr>
              <w:instrText xml:space="preserve"> </w:instrText>
            </w:r>
            <w:r>
              <w:rPr>
                <w:rFonts w:hint="eastAsia"/>
                <w:color w:val="auto"/>
                <w:highlight w:val="none"/>
              </w:rPr>
              <w:instrText xml:space="preserve">SEQ 表 \*ARABIC</w:instrText>
            </w:r>
            <w:r>
              <w:rPr>
                <w:color w:val="auto"/>
                <w:highlight w:val="none"/>
              </w:rPr>
              <w:instrText xml:space="preserve"> </w:instrText>
            </w:r>
            <w:r>
              <w:rPr>
                <w:color w:val="auto"/>
                <w:highlight w:val="none"/>
              </w:rPr>
              <w:fldChar w:fldCharType="separate"/>
            </w:r>
            <w:r>
              <w:rPr>
                <w:rFonts w:hint="eastAsia"/>
                <w:color w:val="auto"/>
                <w:highlight w:val="none"/>
              </w:rPr>
              <w:t>12</w:t>
            </w:r>
            <w:r>
              <w:rPr>
                <w:color w:val="auto"/>
                <w:highlight w:val="none"/>
              </w:rPr>
              <w:fldChar w:fldCharType="end"/>
            </w:r>
            <w:bookmarkEnd w:id="15"/>
            <w:r>
              <w:rPr>
                <w:color w:val="auto"/>
                <w:highlight w:val="none"/>
              </w:rPr>
              <w:t xml:space="preserve">  </w:t>
            </w:r>
            <w:r>
              <w:rPr>
                <w:rFonts w:hint="eastAsia"/>
                <w:color w:val="auto"/>
                <w:highlight w:val="none"/>
              </w:rPr>
              <w:t>本项目组成情况一览表</w:t>
            </w:r>
          </w:p>
          <w:tbl>
            <w:tblPr>
              <w:tblStyle w:val="61"/>
              <w:tblW w:w="7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878"/>
              <w:gridCol w:w="854"/>
              <w:gridCol w:w="5277"/>
            </w:tblGrid>
            <w:tr w14:paraId="220D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tcMar>
                    <w:top w:w="57" w:type="dxa"/>
                    <w:left w:w="108" w:type="dxa"/>
                    <w:bottom w:w="57" w:type="dxa"/>
                    <w:right w:w="108" w:type="dxa"/>
                  </w:tcMar>
                  <w:vAlign w:val="center"/>
                </w:tcPr>
                <w:p w14:paraId="1D667E2C">
                  <w:pPr>
                    <w:pStyle w:val="3"/>
                    <w:spacing w:line="240" w:lineRule="auto"/>
                    <w:ind w:firstLine="0" w:firstLineChars="0"/>
                    <w:jc w:val="center"/>
                    <w:rPr>
                      <w:color w:val="auto"/>
                      <w:sz w:val="18"/>
                      <w:szCs w:val="18"/>
                      <w:highlight w:val="none"/>
                    </w:rPr>
                  </w:pPr>
                  <w:r>
                    <w:rPr>
                      <w:rFonts w:hint="eastAsia"/>
                      <w:color w:val="auto"/>
                      <w:sz w:val="18"/>
                      <w:szCs w:val="18"/>
                      <w:highlight w:val="none"/>
                    </w:rPr>
                    <w:t>项目类别</w:t>
                  </w:r>
                </w:p>
              </w:tc>
              <w:tc>
                <w:tcPr>
                  <w:tcW w:w="1146" w:type="pct"/>
                  <w:gridSpan w:val="2"/>
                  <w:tcMar>
                    <w:top w:w="57" w:type="dxa"/>
                    <w:left w:w="108" w:type="dxa"/>
                    <w:bottom w:w="57" w:type="dxa"/>
                    <w:right w:w="108" w:type="dxa"/>
                  </w:tcMar>
                  <w:vAlign w:val="center"/>
                </w:tcPr>
                <w:p w14:paraId="00031F53">
                  <w:pPr>
                    <w:pStyle w:val="3"/>
                    <w:spacing w:line="240" w:lineRule="auto"/>
                    <w:ind w:firstLine="0" w:firstLineChars="0"/>
                    <w:jc w:val="center"/>
                    <w:rPr>
                      <w:color w:val="auto"/>
                      <w:sz w:val="18"/>
                      <w:szCs w:val="18"/>
                      <w:highlight w:val="none"/>
                    </w:rPr>
                  </w:pPr>
                  <w:r>
                    <w:rPr>
                      <w:rFonts w:hint="eastAsia"/>
                      <w:color w:val="auto"/>
                      <w:sz w:val="18"/>
                      <w:szCs w:val="18"/>
                      <w:highlight w:val="none"/>
                    </w:rPr>
                    <w:t>项目组成</w:t>
                  </w:r>
                </w:p>
              </w:tc>
              <w:tc>
                <w:tcPr>
                  <w:tcW w:w="3492" w:type="pct"/>
                  <w:tcMar>
                    <w:top w:w="57" w:type="dxa"/>
                    <w:left w:w="108" w:type="dxa"/>
                    <w:bottom w:w="57" w:type="dxa"/>
                    <w:right w:w="108" w:type="dxa"/>
                  </w:tcMar>
                  <w:vAlign w:val="center"/>
                </w:tcPr>
                <w:p w14:paraId="12D5759E">
                  <w:pPr>
                    <w:pStyle w:val="3"/>
                    <w:spacing w:line="240" w:lineRule="auto"/>
                    <w:ind w:firstLine="0" w:firstLineChars="0"/>
                    <w:jc w:val="center"/>
                    <w:rPr>
                      <w:color w:val="auto"/>
                      <w:sz w:val="18"/>
                      <w:szCs w:val="18"/>
                      <w:highlight w:val="none"/>
                    </w:rPr>
                  </w:pPr>
                  <w:r>
                    <w:rPr>
                      <w:rFonts w:hint="eastAsia"/>
                      <w:color w:val="auto"/>
                      <w:sz w:val="18"/>
                      <w:szCs w:val="18"/>
                      <w:highlight w:val="none"/>
                    </w:rPr>
                    <w:t>建设内容</w:t>
                  </w:r>
                </w:p>
              </w:tc>
            </w:tr>
            <w:tr w14:paraId="72D3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restart"/>
                  <w:tcMar>
                    <w:top w:w="57" w:type="dxa"/>
                    <w:left w:w="108" w:type="dxa"/>
                    <w:bottom w:w="57" w:type="dxa"/>
                    <w:right w:w="108" w:type="dxa"/>
                  </w:tcMar>
                  <w:vAlign w:val="center"/>
                </w:tcPr>
                <w:p w14:paraId="0A48C63F">
                  <w:pPr>
                    <w:pStyle w:val="3"/>
                    <w:spacing w:line="240" w:lineRule="auto"/>
                    <w:ind w:firstLine="0" w:firstLineChars="0"/>
                    <w:jc w:val="center"/>
                    <w:rPr>
                      <w:color w:val="auto"/>
                      <w:sz w:val="18"/>
                      <w:szCs w:val="18"/>
                      <w:highlight w:val="none"/>
                    </w:rPr>
                  </w:pPr>
                  <w:r>
                    <w:rPr>
                      <w:rFonts w:hint="eastAsia"/>
                      <w:color w:val="auto"/>
                      <w:sz w:val="18"/>
                      <w:szCs w:val="18"/>
                      <w:highlight w:val="none"/>
                    </w:rPr>
                    <w:t>主体</w:t>
                  </w:r>
                </w:p>
                <w:p w14:paraId="24EA0570">
                  <w:pPr>
                    <w:pStyle w:val="3"/>
                    <w:spacing w:line="240" w:lineRule="auto"/>
                    <w:ind w:firstLine="0" w:firstLineChars="0"/>
                    <w:jc w:val="center"/>
                    <w:rPr>
                      <w:color w:val="auto"/>
                      <w:sz w:val="18"/>
                      <w:szCs w:val="18"/>
                      <w:highlight w:val="none"/>
                    </w:rPr>
                  </w:pPr>
                  <w:r>
                    <w:rPr>
                      <w:rFonts w:hint="eastAsia"/>
                      <w:color w:val="auto"/>
                      <w:sz w:val="18"/>
                      <w:szCs w:val="18"/>
                      <w:highlight w:val="none"/>
                    </w:rPr>
                    <w:t>工程</w:t>
                  </w:r>
                </w:p>
              </w:tc>
              <w:tc>
                <w:tcPr>
                  <w:tcW w:w="581" w:type="pct"/>
                  <w:vMerge w:val="restart"/>
                  <w:tcMar>
                    <w:top w:w="57" w:type="dxa"/>
                    <w:left w:w="108" w:type="dxa"/>
                    <w:bottom w:w="57" w:type="dxa"/>
                    <w:right w:w="108" w:type="dxa"/>
                  </w:tcMar>
                  <w:vAlign w:val="center"/>
                </w:tcPr>
                <w:p w14:paraId="40DF71C4">
                  <w:pPr>
                    <w:pStyle w:val="3"/>
                    <w:spacing w:line="240" w:lineRule="auto"/>
                    <w:ind w:firstLine="0" w:firstLineChars="0"/>
                    <w:jc w:val="center"/>
                    <w:rPr>
                      <w:color w:val="auto"/>
                      <w:sz w:val="18"/>
                      <w:szCs w:val="18"/>
                      <w:highlight w:val="none"/>
                    </w:rPr>
                  </w:pPr>
                  <w:r>
                    <w:rPr>
                      <w:rFonts w:hint="eastAsia"/>
                      <w:color w:val="auto"/>
                      <w:sz w:val="18"/>
                      <w:szCs w:val="18"/>
                      <w:highlight w:val="none"/>
                    </w:rPr>
                    <w:t>钻井期</w:t>
                  </w:r>
                </w:p>
              </w:tc>
              <w:tc>
                <w:tcPr>
                  <w:tcW w:w="565" w:type="pct"/>
                  <w:shd w:val="clear" w:color="auto" w:fill="auto"/>
                  <w:tcMar>
                    <w:top w:w="57" w:type="dxa"/>
                    <w:left w:w="108" w:type="dxa"/>
                    <w:bottom w:w="57" w:type="dxa"/>
                    <w:right w:w="108" w:type="dxa"/>
                  </w:tcMar>
                  <w:vAlign w:val="center"/>
                </w:tcPr>
                <w:p w14:paraId="55BFFC11">
                  <w:pPr>
                    <w:pStyle w:val="3"/>
                    <w:spacing w:line="240" w:lineRule="auto"/>
                    <w:ind w:firstLine="0" w:firstLineChars="0"/>
                    <w:jc w:val="center"/>
                    <w:rPr>
                      <w:color w:val="auto"/>
                      <w:sz w:val="18"/>
                      <w:szCs w:val="18"/>
                      <w:highlight w:val="none"/>
                    </w:rPr>
                  </w:pPr>
                  <w:r>
                    <w:rPr>
                      <w:rFonts w:hint="eastAsia"/>
                      <w:color w:val="auto"/>
                      <w:sz w:val="18"/>
                      <w:szCs w:val="18"/>
                      <w:highlight w:val="none"/>
                    </w:rPr>
                    <w:t>钻前工程</w:t>
                  </w:r>
                </w:p>
              </w:tc>
              <w:tc>
                <w:tcPr>
                  <w:tcW w:w="3492" w:type="pct"/>
                  <w:tcMar>
                    <w:top w:w="57" w:type="dxa"/>
                    <w:left w:w="108" w:type="dxa"/>
                    <w:bottom w:w="57" w:type="dxa"/>
                    <w:right w:w="108" w:type="dxa"/>
                  </w:tcMar>
                  <w:vAlign w:val="center"/>
                </w:tcPr>
                <w:p w14:paraId="571C46C1">
                  <w:pPr>
                    <w:pStyle w:val="3"/>
                    <w:spacing w:line="240" w:lineRule="auto"/>
                    <w:ind w:firstLine="0" w:firstLineChars="0"/>
                    <w:rPr>
                      <w:color w:val="auto"/>
                      <w:sz w:val="18"/>
                      <w:szCs w:val="18"/>
                      <w:highlight w:val="none"/>
                    </w:rPr>
                  </w:pPr>
                  <w:r>
                    <w:rPr>
                      <w:rFonts w:hint="eastAsia"/>
                      <w:color w:val="auto"/>
                      <w:sz w:val="18"/>
                      <w:szCs w:val="18"/>
                      <w:highlight w:val="none"/>
                    </w:rPr>
                    <w:t>钻井前准备工作，包括进场道路建设、井场建设和设备搬运及安装等基础设备。</w:t>
                  </w:r>
                  <w:bookmarkStart w:id="16" w:name="OLE_LINK26"/>
                  <w:r>
                    <w:rPr>
                      <w:rFonts w:hint="eastAsia"/>
                      <w:color w:val="auto"/>
                      <w:sz w:val="18"/>
                      <w:szCs w:val="18"/>
                      <w:highlight w:val="none"/>
                    </w:rPr>
                    <w:t>使用</w:t>
                  </w:r>
                  <w:r>
                    <w:rPr>
                      <w:color w:val="auto"/>
                      <w:sz w:val="18"/>
                      <w:szCs w:val="18"/>
                      <w:highlight w:val="none"/>
                    </w:rPr>
                    <w:t>8</w:t>
                  </w:r>
                  <w:r>
                    <w:rPr>
                      <w:rFonts w:hint="eastAsia"/>
                      <w:color w:val="auto"/>
                      <w:sz w:val="18"/>
                      <w:szCs w:val="18"/>
                      <w:highlight w:val="none"/>
                    </w:rPr>
                    <w:t>0型加强型钻机，选用15</w:t>
                  </w:r>
                  <w:r>
                    <w:rPr>
                      <w:color w:val="auto"/>
                      <w:sz w:val="18"/>
                      <w:szCs w:val="18"/>
                      <w:highlight w:val="none"/>
                    </w:rPr>
                    <w:t>0</w:t>
                  </w:r>
                  <w:r>
                    <w:rPr>
                      <w:rFonts w:hint="eastAsia"/>
                      <w:color w:val="auto"/>
                      <w:sz w:val="18"/>
                      <w:szCs w:val="18"/>
                      <w:highlight w:val="none"/>
                    </w:rPr>
                    <w:t>m×130m规格井场</w:t>
                  </w:r>
                  <w:bookmarkEnd w:id="16"/>
                  <w:r>
                    <w:rPr>
                      <w:rFonts w:hint="eastAsia"/>
                      <w:color w:val="auto"/>
                      <w:sz w:val="18"/>
                      <w:szCs w:val="18"/>
                      <w:highlight w:val="none"/>
                    </w:rPr>
                    <w:t>，井场占地面积为19500m</w:t>
                  </w:r>
                  <w:r>
                    <w:rPr>
                      <w:color w:val="auto"/>
                      <w:sz w:val="18"/>
                      <w:szCs w:val="18"/>
                      <w:highlight w:val="none"/>
                      <w:vertAlign w:val="superscript"/>
                    </w:rPr>
                    <w:t>2</w:t>
                  </w:r>
                  <w:r>
                    <w:rPr>
                      <w:rFonts w:hint="eastAsia"/>
                      <w:color w:val="auto"/>
                      <w:sz w:val="18"/>
                      <w:szCs w:val="18"/>
                      <w:highlight w:val="none"/>
                    </w:rPr>
                    <w:t>，占地类型主要为灌木林地。</w:t>
                  </w:r>
                </w:p>
              </w:tc>
            </w:tr>
            <w:tr w14:paraId="4DD5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2B910869">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75FC60C2">
                  <w:pPr>
                    <w:pStyle w:val="3"/>
                    <w:spacing w:line="240" w:lineRule="auto"/>
                    <w:ind w:firstLine="0" w:firstLineChars="0"/>
                    <w:jc w:val="center"/>
                    <w:rPr>
                      <w:color w:val="auto"/>
                      <w:sz w:val="18"/>
                      <w:szCs w:val="18"/>
                      <w:highlight w:val="none"/>
                    </w:rPr>
                  </w:pPr>
                </w:p>
              </w:tc>
              <w:tc>
                <w:tcPr>
                  <w:tcW w:w="565" w:type="pct"/>
                  <w:shd w:val="clear" w:color="auto" w:fill="auto"/>
                  <w:tcMar>
                    <w:top w:w="57" w:type="dxa"/>
                    <w:left w:w="108" w:type="dxa"/>
                    <w:bottom w:w="57" w:type="dxa"/>
                    <w:right w:w="108" w:type="dxa"/>
                  </w:tcMar>
                  <w:vAlign w:val="center"/>
                </w:tcPr>
                <w:p w14:paraId="5A1F6BB9">
                  <w:pPr>
                    <w:pStyle w:val="3"/>
                    <w:spacing w:line="240" w:lineRule="auto"/>
                    <w:ind w:firstLine="0" w:firstLineChars="0"/>
                    <w:jc w:val="center"/>
                    <w:rPr>
                      <w:color w:val="auto"/>
                      <w:sz w:val="18"/>
                      <w:szCs w:val="18"/>
                      <w:highlight w:val="none"/>
                    </w:rPr>
                  </w:pPr>
                  <w:r>
                    <w:rPr>
                      <w:rFonts w:hint="eastAsia"/>
                      <w:color w:val="auto"/>
                      <w:sz w:val="18"/>
                      <w:szCs w:val="18"/>
                      <w:highlight w:val="none"/>
                    </w:rPr>
                    <w:t>钻井工程</w:t>
                  </w:r>
                </w:p>
              </w:tc>
              <w:tc>
                <w:tcPr>
                  <w:tcW w:w="3492" w:type="pct"/>
                  <w:tcMar>
                    <w:top w:w="57" w:type="dxa"/>
                    <w:left w:w="108" w:type="dxa"/>
                    <w:bottom w:w="57" w:type="dxa"/>
                    <w:right w:w="108" w:type="dxa"/>
                  </w:tcMar>
                  <w:vAlign w:val="center"/>
                </w:tcPr>
                <w:p w14:paraId="6E18F0A7">
                  <w:pPr>
                    <w:pStyle w:val="3"/>
                    <w:spacing w:line="240" w:lineRule="auto"/>
                    <w:ind w:firstLine="0" w:firstLineChars="0"/>
                    <w:rPr>
                      <w:color w:val="auto"/>
                      <w:sz w:val="18"/>
                      <w:szCs w:val="18"/>
                      <w:highlight w:val="none"/>
                    </w:rPr>
                  </w:pPr>
                  <w:r>
                    <w:rPr>
                      <w:rFonts w:hint="eastAsia"/>
                      <w:color w:val="auto"/>
                      <w:sz w:val="18"/>
                      <w:szCs w:val="18"/>
                      <w:highlight w:val="none"/>
                    </w:rPr>
                    <w:t>本次新钻</w:t>
                  </w:r>
                  <w:bookmarkStart w:id="17" w:name="OLE_LINK4"/>
                  <w:r>
                    <w:rPr>
                      <w:rFonts w:hint="eastAsia"/>
                      <w:color w:val="auto"/>
                      <w:sz w:val="18"/>
                      <w:szCs w:val="18"/>
                      <w:highlight w:val="none"/>
                    </w:rPr>
                    <w:t>1口勘探井</w:t>
                  </w:r>
                  <w:bookmarkEnd w:id="17"/>
                  <w:r>
                    <w:rPr>
                      <w:rFonts w:hint="eastAsia"/>
                      <w:color w:val="auto"/>
                      <w:sz w:val="18"/>
                      <w:szCs w:val="18"/>
                      <w:highlight w:val="none"/>
                    </w:rPr>
                    <w:t>，设计钻深为8478.84m；井型为定向井，</w:t>
                  </w:r>
                  <w:bookmarkStart w:id="18" w:name="OLE_LINK6"/>
                  <w:r>
                    <w:rPr>
                      <w:rFonts w:hint="eastAsia"/>
                      <w:color w:val="auto"/>
                      <w:sz w:val="18"/>
                      <w:szCs w:val="18"/>
                      <w:highlight w:val="none"/>
                    </w:rPr>
                    <w:t>为三开</w:t>
                  </w:r>
                  <w:bookmarkEnd w:id="18"/>
                  <w:r>
                    <w:rPr>
                      <w:rFonts w:hint="eastAsia"/>
                      <w:color w:val="auto"/>
                      <w:sz w:val="18"/>
                      <w:szCs w:val="18"/>
                      <w:highlight w:val="none"/>
                    </w:rPr>
                    <w:t>制井身结构，一开、二开段采用水基钻井液，三开采用合成基钻井液。</w:t>
                  </w:r>
                </w:p>
              </w:tc>
            </w:tr>
            <w:tr w14:paraId="7946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06FA6286">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446623AE">
                  <w:pPr>
                    <w:pStyle w:val="3"/>
                    <w:spacing w:line="240" w:lineRule="auto"/>
                    <w:ind w:firstLine="0" w:firstLineChars="0"/>
                    <w:jc w:val="center"/>
                    <w:rPr>
                      <w:color w:val="auto"/>
                      <w:sz w:val="18"/>
                      <w:szCs w:val="18"/>
                      <w:highlight w:val="none"/>
                    </w:rPr>
                  </w:pPr>
                </w:p>
              </w:tc>
              <w:tc>
                <w:tcPr>
                  <w:tcW w:w="565" w:type="pct"/>
                  <w:shd w:val="clear" w:color="auto" w:fill="auto"/>
                  <w:tcMar>
                    <w:top w:w="57" w:type="dxa"/>
                    <w:left w:w="108" w:type="dxa"/>
                    <w:bottom w:w="57" w:type="dxa"/>
                    <w:right w:w="108" w:type="dxa"/>
                  </w:tcMar>
                  <w:vAlign w:val="center"/>
                </w:tcPr>
                <w:p w14:paraId="0EDE3F4D">
                  <w:pPr>
                    <w:pStyle w:val="3"/>
                    <w:spacing w:line="240" w:lineRule="auto"/>
                    <w:ind w:firstLine="0" w:firstLineChars="0"/>
                    <w:jc w:val="center"/>
                    <w:rPr>
                      <w:color w:val="auto"/>
                      <w:sz w:val="18"/>
                      <w:szCs w:val="18"/>
                      <w:highlight w:val="none"/>
                    </w:rPr>
                  </w:pPr>
                  <w:r>
                    <w:rPr>
                      <w:rFonts w:hint="eastAsia"/>
                      <w:color w:val="auto"/>
                      <w:sz w:val="18"/>
                      <w:szCs w:val="18"/>
                      <w:highlight w:val="none"/>
                    </w:rPr>
                    <w:t>储层改造工程</w:t>
                  </w:r>
                </w:p>
              </w:tc>
              <w:tc>
                <w:tcPr>
                  <w:tcW w:w="3492" w:type="pct"/>
                  <w:tcMar>
                    <w:top w:w="57" w:type="dxa"/>
                    <w:left w:w="108" w:type="dxa"/>
                    <w:bottom w:w="57" w:type="dxa"/>
                    <w:right w:w="108" w:type="dxa"/>
                  </w:tcMar>
                  <w:vAlign w:val="center"/>
                </w:tcPr>
                <w:p w14:paraId="1D73A9D2">
                  <w:pPr>
                    <w:pStyle w:val="3"/>
                    <w:spacing w:line="240" w:lineRule="auto"/>
                    <w:ind w:firstLine="0" w:firstLineChars="0"/>
                    <w:rPr>
                      <w:color w:val="auto"/>
                      <w:sz w:val="18"/>
                      <w:szCs w:val="18"/>
                      <w:highlight w:val="none"/>
                    </w:rPr>
                  </w:pPr>
                  <w:r>
                    <w:rPr>
                      <w:rFonts w:hint="eastAsia"/>
                      <w:color w:val="auto"/>
                      <w:sz w:val="18"/>
                      <w:szCs w:val="18"/>
                      <w:highlight w:val="none"/>
                    </w:rPr>
                    <w:t>采用射孔、压裂作业施工。</w:t>
                  </w:r>
                </w:p>
              </w:tc>
            </w:tr>
            <w:tr w14:paraId="7F09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279ECDAA">
                  <w:pPr>
                    <w:pStyle w:val="3"/>
                    <w:spacing w:line="240" w:lineRule="auto"/>
                    <w:ind w:firstLine="0" w:firstLineChars="0"/>
                    <w:jc w:val="center"/>
                    <w:rPr>
                      <w:color w:val="auto"/>
                      <w:sz w:val="18"/>
                      <w:szCs w:val="18"/>
                      <w:highlight w:val="none"/>
                    </w:rPr>
                  </w:pPr>
                </w:p>
              </w:tc>
              <w:tc>
                <w:tcPr>
                  <w:tcW w:w="581" w:type="pct"/>
                  <w:tcMar>
                    <w:top w:w="57" w:type="dxa"/>
                    <w:left w:w="108" w:type="dxa"/>
                    <w:bottom w:w="57" w:type="dxa"/>
                    <w:right w:w="108" w:type="dxa"/>
                  </w:tcMar>
                  <w:vAlign w:val="center"/>
                </w:tcPr>
                <w:p w14:paraId="1244B79F">
                  <w:pPr>
                    <w:pStyle w:val="3"/>
                    <w:spacing w:line="240" w:lineRule="auto"/>
                    <w:ind w:firstLine="0" w:firstLineChars="0"/>
                    <w:jc w:val="center"/>
                    <w:rPr>
                      <w:color w:val="auto"/>
                      <w:sz w:val="18"/>
                      <w:szCs w:val="18"/>
                      <w:highlight w:val="none"/>
                    </w:rPr>
                  </w:pPr>
                  <w:r>
                    <w:rPr>
                      <w:rFonts w:hint="eastAsia"/>
                      <w:color w:val="auto"/>
                      <w:sz w:val="18"/>
                      <w:szCs w:val="18"/>
                      <w:highlight w:val="none"/>
                    </w:rPr>
                    <w:t>试油期</w:t>
                  </w:r>
                </w:p>
              </w:tc>
              <w:tc>
                <w:tcPr>
                  <w:tcW w:w="565" w:type="pct"/>
                  <w:shd w:val="clear" w:color="auto" w:fill="auto"/>
                  <w:tcMar>
                    <w:top w:w="57" w:type="dxa"/>
                    <w:left w:w="108" w:type="dxa"/>
                    <w:bottom w:w="57" w:type="dxa"/>
                    <w:right w:w="108" w:type="dxa"/>
                  </w:tcMar>
                  <w:vAlign w:val="center"/>
                </w:tcPr>
                <w:p w14:paraId="22D7B6C2">
                  <w:pPr>
                    <w:pStyle w:val="3"/>
                    <w:spacing w:line="240" w:lineRule="auto"/>
                    <w:ind w:firstLine="0" w:firstLineChars="0"/>
                    <w:jc w:val="center"/>
                    <w:rPr>
                      <w:color w:val="auto"/>
                      <w:sz w:val="18"/>
                      <w:szCs w:val="18"/>
                      <w:highlight w:val="none"/>
                    </w:rPr>
                  </w:pPr>
                  <w:r>
                    <w:rPr>
                      <w:rFonts w:hint="eastAsia"/>
                      <w:color w:val="auto"/>
                      <w:sz w:val="18"/>
                      <w:szCs w:val="18"/>
                      <w:highlight w:val="none"/>
                    </w:rPr>
                    <w:t>试油工程</w:t>
                  </w:r>
                </w:p>
              </w:tc>
              <w:tc>
                <w:tcPr>
                  <w:tcW w:w="3492" w:type="pct"/>
                  <w:tcMar>
                    <w:top w:w="57" w:type="dxa"/>
                    <w:left w:w="108" w:type="dxa"/>
                    <w:bottom w:w="57" w:type="dxa"/>
                    <w:right w:w="108" w:type="dxa"/>
                  </w:tcMar>
                  <w:vAlign w:val="center"/>
                </w:tcPr>
                <w:p w14:paraId="7144FF76">
                  <w:pPr>
                    <w:pStyle w:val="3"/>
                    <w:spacing w:line="240" w:lineRule="auto"/>
                    <w:ind w:firstLine="0" w:firstLineChars="0"/>
                    <w:rPr>
                      <w:color w:val="auto"/>
                      <w:sz w:val="18"/>
                      <w:szCs w:val="18"/>
                      <w:highlight w:val="none"/>
                    </w:rPr>
                  </w:pPr>
                  <w:r>
                    <w:rPr>
                      <w:rFonts w:hint="eastAsia"/>
                      <w:color w:val="auto"/>
                      <w:sz w:val="18"/>
                      <w:szCs w:val="18"/>
                      <w:highlight w:val="none"/>
                    </w:rPr>
                    <w:t>完井后对该井产能情况进行试油，试油期井场布置相似，主要设备包括通井机、修井机、水泥车、压裂泵车、井下工具等设备设施。</w:t>
                  </w:r>
                </w:p>
              </w:tc>
            </w:tr>
            <w:tr w14:paraId="7B95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57D7C679">
                  <w:pPr>
                    <w:pStyle w:val="3"/>
                    <w:spacing w:line="240" w:lineRule="auto"/>
                    <w:ind w:firstLine="0" w:firstLineChars="0"/>
                    <w:jc w:val="center"/>
                    <w:rPr>
                      <w:color w:val="auto"/>
                      <w:sz w:val="18"/>
                      <w:szCs w:val="18"/>
                      <w:highlight w:val="none"/>
                    </w:rPr>
                  </w:pPr>
                </w:p>
              </w:tc>
              <w:tc>
                <w:tcPr>
                  <w:tcW w:w="581" w:type="pct"/>
                  <w:tcMar>
                    <w:top w:w="57" w:type="dxa"/>
                    <w:left w:w="108" w:type="dxa"/>
                    <w:bottom w:w="57" w:type="dxa"/>
                    <w:right w:w="108" w:type="dxa"/>
                  </w:tcMar>
                  <w:vAlign w:val="center"/>
                </w:tcPr>
                <w:p w14:paraId="308A63F8">
                  <w:pPr>
                    <w:pStyle w:val="3"/>
                    <w:spacing w:line="240" w:lineRule="auto"/>
                    <w:ind w:firstLine="0" w:firstLineChars="0"/>
                    <w:jc w:val="center"/>
                    <w:rPr>
                      <w:color w:val="auto"/>
                      <w:sz w:val="18"/>
                      <w:szCs w:val="18"/>
                      <w:highlight w:val="none"/>
                    </w:rPr>
                  </w:pPr>
                  <w:r>
                    <w:rPr>
                      <w:rFonts w:hint="eastAsia"/>
                      <w:color w:val="auto"/>
                      <w:sz w:val="18"/>
                      <w:szCs w:val="18"/>
                      <w:highlight w:val="none"/>
                    </w:rPr>
                    <w:t>封井期</w:t>
                  </w:r>
                </w:p>
              </w:tc>
              <w:tc>
                <w:tcPr>
                  <w:tcW w:w="565" w:type="pct"/>
                  <w:shd w:val="clear" w:color="auto" w:fill="auto"/>
                  <w:tcMar>
                    <w:top w:w="57" w:type="dxa"/>
                    <w:left w:w="108" w:type="dxa"/>
                    <w:bottom w:w="57" w:type="dxa"/>
                    <w:right w:w="108" w:type="dxa"/>
                  </w:tcMar>
                  <w:vAlign w:val="center"/>
                </w:tcPr>
                <w:p w14:paraId="015B023E">
                  <w:pPr>
                    <w:pStyle w:val="3"/>
                    <w:spacing w:line="240" w:lineRule="auto"/>
                    <w:ind w:firstLine="0" w:firstLineChars="0"/>
                    <w:jc w:val="center"/>
                    <w:rPr>
                      <w:color w:val="auto"/>
                      <w:sz w:val="18"/>
                      <w:szCs w:val="18"/>
                      <w:highlight w:val="none"/>
                    </w:rPr>
                  </w:pPr>
                  <w:r>
                    <w:rPr>
                      <w:rFonts w:hint="eastAsia"/>
                      <w:color w:val="auto"/>
                      <w:sz w:val="18"/>
                      <w:szCs w:val="18"/>
                      <w:highlight w:val="none"/>
                    </w:rPr>
                    <w:t>-</w:t>
                  </w:r>
                </w:p>
              </w:tc>
              <w:tc>
                <w:tcPr>
                  <w:tcW w:w="3492" w:type="pct"/>
                  <w:tcMar>
                    <w:top w:w="57" w:type="dxa"/>
                    <w:left w:w="108" w:type="dxa"/>
                    <w:bottom w:w="57" w:type="dxa"/>
                    <w:right w:w="108" w:type="dxa"/>
                  </w:tcMar>
                  <w:vAlign w:val="center"/>
                </w:tcPr>
                <w:p w14:paraId="06F48E87">
                  <w:pPr>
                    <w:pStyle w:val="3"/>
                    <w:spacing w:line="240" w:lineRule="auto"/>
                    <w:ind w:firstLine="0" w:firstLineChars="0"/>
                    <w:rPr>
                      <w:color w:val="auto"/>
                      <w:sz w:val="18"/>
                      <w:szCs w:val="18"/>
                      <w:highlight w:val="none"/>
                    </w:rPr>
                  </w:pPr>
                  <w:r>
                    <w:rPr>
                      <w:rFonts w:hint="eastAsia"/>
                      <w:color w:val="auto"/>
                      <w:sz w:val="18"/>
                      <w:szCs w:val="18"/>
                      <w:highlight w:val="none"/>
                    </w:rPr>
                    <w:t>若试油后无油气资源可开采，则按照《油气田开采废弃井永久性封井处置作业规程》（GB/T 43672-2024）</w:t>
                  </w:r>
                  <w:r>
                    <w:rPr>
                      <w:rFonts w:hint="eastAsia"/>
                      <w:color w:val="auto"/>
                      <w:sz w:val="18"/>
                      <w:szCs w:val="18"/>
                      <w:highlight w:val="none"/>
                      <w:lang w:eastAsia="zh-CN"/>
                    </w:rPr>
                    <w:t>、《废弃井封井回填技术指南（试行）》、《矿山生态环境保护与恢复治理技术规范（试行）》（HJ651-2013）的相关要求</w:t>
                  </w:r>
                  <w:r>
                    <w:rPr>
                      <w:rFonts w:hint="eastAsia"/>
                      <w:color w:val="auto"/>
                      <w:sz w:val="18"/>
                      <w:szCs w:val="18"/>
                      <w:highlight w:val="none"/>
                    </w:rPr>
                    <w:t>进行封井处置，把井场设备拆除，井口封存，清理井场并将临时占地恢复成原地貌。</w:t>
                  </w:r>
                </w:p>
              </w:tc>
            </w:tr>
            <w:tr w14:paraId="5300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restart"/>
                  <w:tcMar>
                    <w:top w:w="57" w:type="dxa"/>
                    <w:left w:w="108" w:type="dxa"/>
                    <w:bottom w:w="57" w:type="dxa"/>
                    <w:right w:w="108" w:type="dxa"/>
                  </w:tcMar>
                  <w:vAlign w:val="center"/>
                </w:tcPr>
                <w:p w14:paraId="240009E4">
                  <w:pPr>
                    <w:pStyle w:val="3"/>
                    <w:spacing w:line="240" w:lineRule="auto"/>
                    <w:ind w:firstLine="0" w:firstLineChars="0"/>
                    <w:jc w:val="center"/>
                    <w:rPr>
                      <w:color w:val="auto"/>
                      <w:sz w:val="18"/>
                      <w:szCs w:val="18"/>
                      <w:highlight w:val="none"/>
                    </w:rPr>
                  </w:pPr>
                  <w:r>
                    <w:rPr>
                      <w:rFonts w:hint="eastAsia"/>
                      <w:color w:val="auto"/>
                      <w:sz w:val="18"/>
                      <w:szCs w:val="18"/>
                      <w:highlight w:val="none"/>
                    </w:rPr>
                    <w:t>辅助</w:t>
                  </w:r>
                </w:p>
                <w:p w14:paraId="3088373C">
                  <w:pPr>
                    <w:pStyle w:val="3"/>
                    <w:spacing w:line="240" w:lineRule="auto"/>
                    <w:ind w:firstLine="0" w:firstLineChars="0"/>
                    <w:jc w:val="center"/>
                    <w:rPr>
                      <w:color w:val="auto"/>
                      <w:sz w:val="18"/>
                      <w:szCs w:val="18"/>
                      <w:highlight w:val="none"/>
                    </w:rPr>
                  </w:pPr>
                  <w:r>
                    <w:rPr>
                      <w:rFonts w:hint="eastAsia"/>
                      <w:color w:val="auto"/>
                      <w:sz w:val="18"/>
                      <w:szCs w:val="18"/>
                      <w:highlight w:val="none"/>
                    </w:rPr>
                    <w:t>工程</w:t>
                  </w:r>
                </w:p>
              </w:tc>
              <w:tc>
                <w:tcPr>
                  <w:tcW w:w="1146" w:type="pct"/>
                  <w:gridSpan w:val="2"/>
                  <w:tcMar>
                    <w:top w:w="57" w:type="dxa"/>
                    <w:left w:w="108" w:type="dxa"/>
                    <w:bottom w:w="57" w:type="dxa"/>
                    <w:right w:w="108" w:type="dxa"/>
                  </w:tcMar>
                  <w:vAlign w:val="center"/>
                </w:tcPr>
                <w:p w14:paraId="74BBD69B">
                  <w:pPr>
                    <w:pStyle w:val="3"/>
                    <w:spacing w:line="240" w:lineRule="auto"/>
                    <w:ind w:firstLine="0" w:firstLineChars="0"/>
                    <w:jc w:val="center"/>
                    <w:rPr>
                      <w:color w:val="auto"/>
                      <w:sz w:val="18"/>
                      <w:szCs w:val="18"/>
                      <w:highlight w:val="none"/>
                    </w:rPr>
                  </w:pPr>
                  <w:r>
                    <w:rPr>
                      <w:rFonts w:hint="eastAsia"/>
                      <w:color w:val="auto"/>
                      <w:sz w:val="18"/>
                      <w:szCs w:val="18"/>
                      <w:highlight w:val="none"/>
                    </w:rPr>
                    <w:t>简易道路</w:t>
                  </w:r>
                </w:p>
              </w:tc>
              <w:tc>
                <w:tcPr>
                  <w:tcW w:w="3492" w:type="pct"/>
                  <w:tcMar>
                    <w:top w:w="57" w:type="dxa"/>
                    <w:left w:w="108" w:type="dxa"/>
                    <w:bottom w:w="57" w:type="dxa"/>
                    <w:right w:w="108" w:type="dxa"/>
                  </w:tcMar>
                  <w:vAlign w:val="center"/>
                </w:tcPr>
                <w:p w14:paraId="6524E208">
                  <w:pPr>
                    <w:pStyle w:val="3"/>
                    <w:spacing w:line="240" w:lineRule="auto"/>
                    <w:ind w:firstLine="0" w:firstLineChars="0"/>
                    <w:rPr>
                      <w:color w:val="auto"/>
                      <w:sz w:val="18"/>
                      <w:szCs w:val="18"/>
                      <w:highlight w:val="none"/>
                    </w:rPr>
                  </w:pPr>
                  <w:r>
                    <w:rPr>
                      <w:rFonts w:hint="eastAsia"/>
                      <w:color w:val="auto"/>
                      <w:sz w:val="18"/>
                      <w:szCs w:val="18"/>
                      <w:highlight w:val="none"/>
                    </w:rPr>
                    <w:t>新建1条长度305m通井道路，</w:t>
                  </w:r>
                  <w:r>
                    <w:rPr>
                      <w:rFonts w:hint="eastAsia"/>
                      <w:color w:val="auto"/>
                      <w:sz w:val="18"/>
                      <w:szCs w:val="18"/>
                      <w:highlight w:val="none"/>
                      <w:lang w:val="en-US" w:eastAsia="zh-CN"/>
                    </w:rPr>
                    <w:t>道路为简易道路，剥离表土后，洒水压实，</w:t>
                  </w:r>
                  <w:r>
                    <w:rPr>
                      <w:rFonts w:hint="eastAsia"/>
                      <w:color w:val="auto"/>
                      <w:sz w:val="18"/>
                      <w:szCs w:val="18"/>
                      <w:highlight w:val="none"/>
                    </w:rPr>
                    <w:t>占地面积约2232m</w:t>
                  </w:r>
                  <w:r>
                    <w:rPr>
                      <w:rFonts w:hint="eastAsia"/>
                      <w:color w:val="auto"/>
                      <w:sz w:val="18"/>
                      <w:szCs w:val="18"/>
                      <w:highlight w:val="none"/>
                      <w:vertAlign w:val="superscript"/>
                    </w:rPr>
                    <w:t>2</w:t>
                  </w:r>
                  <w:r>
                    <w:rPr>
                      <w:rFonts w:hint="eastAsia"/>
                      <w:color w:val="auto"/>
                      <w:sz w:val="18"/>
                      <w:szCs w:val="18"/>
                      <w:highlight w:val="none"/>
                    </w:rPr>
                    <w:t>。</w:t>
                  </w:r>
                </w:p>
              </w:tc>
            </w:tr>
            <w:tr w14:paraId="01EA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49902B67">
                  <w:pPr>
                    <w:pStyle w:val="3"/>
                    <w:spacing w:line="240" w:lineRule="auto"/>
                    <w:ind w:firstLine="0" w:firstLineChars="0"/>
                    <w:jc w:val="center"/>
                    <w:rPr>
                      <w:color w:val="auto"/>
                      <w:sz w:val="18"/>
                      <w:szCs w:val="18"/>
                      <w:highlight w:val="none"/>
                    </w:rPr>
                  </w:pPr>
                </w:p>
              </w:tc>
              <w:tc>
                <w:tcPr>
                  <w:tcW w:w="1146" w:type="pct"/>
                  <w:gridSpan w:val="2"/>
                  <w:tcMar>
                    <w:top w:w="57" w:type="dxa"/>
                    <w:left w:w="108" w:type="dxa"/>
                    <w:bottom w:w="57" w:type="dxa"/>
                    <w:right w:w="108" w:type="dxa"/>
                  </w:tcMar>
                  <w:vAlign w:val="center"/>
                </w:tcPr>
                <w:p w14:paraId="3ADDDB38">
                  <w:pPr>
                    <w:pStyle w:val="3"/>
                    <w:spacing w:line="240" w:lineRule="auto"/>
                    <w:ind w:firstLine="0" w:firstLineChars="0"/>
                    <w:jc w:val="center"/>
                    <w:rPr>
                      <w:color w:val="auto"/>
                      <w:sz w:val="18"/>
                      <w:szCs w:val="18"/>
                      <w:highlight w:val="none"/>
                    </w:rPr>
                  </w:pPr>
                  <w:r>
                    <w:rPr>
                      <w:rFonts w:hint="eastAsia"/>
                      <w:color w:val="auto"/>
                      <w:sz w:val="18"/>
                      <w:szCs w:val="18"/>
                      <w:highlight w:val="none"/>
                    </w:rPr>
                    <w:t>生活区</w:t>
                  </w:r>
                </w:p>
              </w:tc>
              <w:tc>
                <w:tcPr>
                  <w:tcW w:w="3492" w:type="pct"/>
                  <w:tcMar>
                    <w:top w:w="57" w:type="dxa"/>
                    <w:left w:w="108" w:type="dxa"/>
                    <w:bottom w:w="57" w:type="dxa"/>
                    <w:right w:w="108" w:type="dxa"/>
                  </w:tcMar>
                  <w:vAlign w:val="center"/>
                </w:tcPr>
                <w:p w14:paraId="6C2FD426">
                  <w:pPr>
                    <w:pStyle w:val="3"/>
                    <w:spacing w:line="240" w:lineRule="auto"/>
                    <w:ind w:firstLine="0" w:firstLineChars="0"/>
                    <w:rPr>
                      <w:color w:val="auto"/>
                      <w:sz w:val="18"/>
                      <w:szCs w:val="18"/>
                      <w:highlight w:val="none"/>
                    </w:rPr>
                  </w:pPr>
                  <w:r>
                    <w:rPr>
                      <w:rFonts w:hint="eastAsia"/>
                      <w:color w:val="auto"/>
                      <w:sz w:val="18"/>
                      <w:szCs w:val="18"/>
                      <w:highlight w:val="none"/>
                    </w:rPr>
                    <w:t>在井场外新建1处生活区，占地面积为</w:t>
                  </w:r>
                  <w:bookmarkStart w:id="19" w:name="OLE_LINK18"/>
                  <w:r>
                    <w:rPr>
                      <w:rFonts w:hint="eastAsia"/>
                      <w:color w:val="auto"/>
                      <w:sz w:val="18"/>
                      <w:szCs w:val="18"/>
                      <w:highlight w:val="none"/>
                    </w:rPr>
                    <w:t>3</w:t>
                  </w:r>
                  <w:r>
                    <w:rPr>
                      <w:color w:val="auto"/>
                      <w:sz w:val="18"/>
                      <w:szCs w:val="18"/>
                      <w:highlight w:val="none"/>
                    </w:rPr>
                    <w:t>000</w:t>
                  </w:r>
                  <w:bookmarkEnd w:id="19"/>
                  <w:r>
                    <w:rPr>
                      <w:rFonts w:hint="eastAsia"/>
                      <w:color w:val="auto"/>
                      <w:sz w:val="18"/>
                      <w:szCs w:val="18"/>
                      <w:highlight w:val="none"/>
                    </w:rPr>
                    <w:t>m</w:t>
                  </w:r>
                  <w:r>
                    <w:rPr>
                      <w:color w:val="auto"/>
                      <w:sz w:val="18"/>
                      <w:szCs w:val="18"/>
                      <w:highlight w:val="none"/>
                      <w:vertAlign w:val="superscript"/>
                    </w:rPr>
                    <w:t>2</w:t>
                  </w:r>
                  <w:r>
                    <w:rPr>
                      <w:rFonts w:hint="eastAsia"/>
                      <w:color w:val="auto"/>
                      <w:sz w:val="18"/>
                      <w:szCs w:val="18"/>
                      <w:highlight w:val="none"/>
                    </w:rPr>
                    <w:t>（6</w:t>
                  </w:r>
                  <w:r>
                    <w:rPr>
                      <w:color w:val="auto"/>
                      <w:sz w:val="18"/>
                      <w:szCs w:val="18"/>
                      <w:highlight w:val="none"/>
                    </w:rPr>
                    <w:t>0</w:t>
                  </w:r>
                  <w:r>
                    <w:rPr>
                      <w:rFonts w:hint="eastAsia"/>
                      <w:color w:val="auto"/>
                      <w:sz w:val="18"/>
                      <w:szCs w:val="18"/>
                      <w:highlight w:val="none"/>
                    </w:rPr>
                    <w:t>m×</w:t>
                  </w:r>
                  <w:r>
                    <w:rPr>
                      <w:color w:val="auto"/>
                      <w:sz w:val="18"/>
                      <w:szCs w:val="18"/>
                      <w:highlight w:val="none"/>
                    </w:rPr>
                    <w:t>50</w:t>
                  </w:r>
                  <w:r>
                    <w:rPr>
                      <w:rFonts w:hint="eastAsia"/>
                      <w:color w:val="auto"/>
                      <w:sz w:val="18"/>
                      <w:szCs w:val="18"/>
                      <w:highlight w:val="none"/>
                    </w:rPr>
                    <w:t>m），内设值班室、办公室等生活设施。</w:t>
                  </w:r>
                </w:p>
              </w:tc>
            </w:tr>
            <w:tr w14:paraId="1C3A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restart"/>
                  <w:tcMar>
                    <w:top w:w="57" w:type="dxa"/>
                    <w:left w:w="108" w:type="dxa"/>
                    <w:bottom w:w="57" w:type="dxa"/>
                    <w:right w:w="108" w:type="dxa"/>
                  </w:tcMar>
                  <w:vAlign w:val="center"/>
                </w:tcPr>
                <w:p w14:paraId="227DD1AF">
                  <w:pPr>
                    <w:pStyle w:val="3"/>
                    <w:spacing w:line="240" w:lineRule="auto"/>
                    <w:ind w:firstLine="0" w:firstLineChars="0"/>
                    <w:jc w:val="center"/>
                    <w:rPr>
                      <w:color w:val="auto"/>
                      <w:sz w:val="18"/>
                      <w:szCs w:val="18"/>
                      <w:highlight w:val="none"/>
                    </w:rPr>
                  </w:pPr>
                  <w:r>
                    <w:rPr>
                      <w:rFonts w:hint="eastAsia"/>
                      <w:color w:val="auto"/>
                      <w:sz w:val="18"/>
                      <w:szCs w:val="18"/>
                      <w:highlight w:val="none"/>
                    </w:rPr>
                    <w:t>储运</w:t>
                  </w:r>
                </w:p>
                <w:p w14:paraId="4FE1F83F">
                  <w:pPr>
                    <w:pStyle w:val="3"/>
                    <w:spacing w:line="240" w:lineRule="auto"/>
                    <w:ind w:firstLine="0" w:firstLineChars="0"/>
                    <w:jc w:val="center"/>
                    <w:rPr>
                      <w:color w:val="auto"/>
                      <w:sz w:val="18"/>
                      <w:szCs w:val="18"/>
                      <w:highlight w:val="none"/>
                    </w:rPr>
                  </w:pPr>
                  <w:r>
                    <w:rPr>
                      <w:rFonts w:hint="eastAsia"/>
                      <w:color w:val="auto"/>
                      <w:sz w:val="18"/>
                      <w:szCs w:val="18"/>
                      <w:highlight w:val="none"/>
                    </w:rPr>
                    <w:t>工程</w:t>
                  </w:r>
                </w:p>
              </w:tc>
              <w:tc>
                <w:tcPr>
                  <w:tcW w:w="1146" w:type="pct"/>
                  <w:gridSpan w:val="2"/>
                  <w:shd w:val="clear" w:color="auto" w:fill="auto"/>
                  <w:tcMar>
                    <w:top w:w="57" w:type="dxa"/>
                    <w:left w:w="108" w:type="dxa"/>
                    <w:bottom w:w="57" w:type="dxa"/>
                    <w:right w:w="108" w:type="dxa"/>
                  </w:tcMar>
                  <w:vAlign w:val="center"/>
                </w:tcPr>
                <w:p w14:paraId="2AFD7948">
                  <w:pPr>
                    <w:pStyle w:val="3"/>
                    <w:spacing w:line="240" w:lineRule="auto"/>
                    <w:ind w:firstLine="0" w:firstLineChars="0"/>
                    <w:jc w:val="center"/>
                    <w:rPr>
                      <w:color w:val="auto"/>
                      <w:sz w:val="18"/>
                      <w:szCs w:val="18"/>
                      <w:highlight w:val="none"/>
                    </w:rPr>
                  </w:pPr>
                  <w:r>
                    <w:rPr>
                      <w:rFonts w:hint="eastAsia"/>
                      <w:color w:val="auto"/>
                      <w:sz w:val="18"/>
                      <w:szCs w:val="18"/>
                      <w:highlight w:val="none"/>
                    </w:rPr>
                    <w:t>柴油罐</w:t>
                  </w:r>
                </w:p>
              </w:tc>
              <w:tc>
                <w:tcPr>
                  <w:tcW w:w="3492" w:type="pct"/>
                  <w:shd w:val="clear" w:color="auto" w:fill="auto"/>
                  <w:tcMar>
                    <w:top w:w="57" w:type="dxa"/>
                    <w:left w:w="108" w:type="dxa"/>
                    <w:bottom w:w="57" w:type="dxa"/>
                    <w:right w:w="108" w:type="dxa"/>
                  </w:tcMar>
                  <w:vAlign w:val="center"/>
                </w:tcPr>
                <w:p w14:paraId="59228450">
                  <w:pPr>
                    <w:pStyle w:val="3"/>
                    <w:spacing w:line="240" w:lineRule="auto"/>
                    <w:ind w:firstLine="0" w:firstLineChars="0"/>
                    <w:rPr>
                      <w:color w:val="auto"/>
                      <w:sz w:val="18"/>
                      <w:szCs w:val="18"/>
                      <w:highlight w:val="none"/>
                    </w:rPr>
                  </w:pPr>
                  <w:r>
                    <w:rPr>
                      <w:rFonts w:hint="eastAsia"/>
                      <w:color w:val="auto"/>
                      <w:sz w:val="18"/>
                      <w:szCs w:val="18"/>
                      <w:highlight w:val="none"/>
                    </w:rPr>
                    <w:t>钻井期在井场内新建2座40m</w:t>
                  </w:r>
                  <w:r>
                    <w:rPr>
                      <w:rFonts w:hint="eastAsia"/>
                      <w:color w:val="auto"/>
                      <w:sz w:val="18"/>
                      <w:szCs w:val="18"/>
                      <w:highlight w:val="none"/>
                      <w:vertAlign w:val="superscript"/>
                    </w:rPr>
                    <w:t>3</w:t>
                  </w:r>
                  <w:r>
                    <w:rPr>
                      <w:rFonts w:hint="eastAsia"/>
                      <w:color w:val="auto"/>
                      <w:sz w:val="18"/>
                      <w:szCs w:val="18"/>
                      <w:highlight w:val="none"/>
                    </w:rPr>
                    <w:t>柴油罐（油罐本身内壁防油漆处理，外壁防腐处理）；试油期在井场内新建1座40m</w:t>
                  </w:r>
                  <w:r>
                    <w:rPr>
                      <w:rFonts w:hint="eastAsia"/>
                      <w:color w:val="auto"/>
                      <w:sz w:val="18"/>
                      <w:szCs w:val="18"/>
                      <w:highlight w:val="none"/>
                      <w:vertAlign w:val="superscript"/>
                    </w:rPr>
                    <w:t>3</w:t>
                  </w:r>
                  <w:r>
                    <w:rPr>
                      <w:rFonts w:hint="eastAsia"/>
                      <w:color w:val="auto"/>
                      <w:sz w:val="18"/>
                      <w:szCs w:val="18"/>
                      <w:highlight w:val="none"/>
                    </w:rPr>
                    <w:t>柴油罐（油罐本身内壁防油漆处理，外壁防腐处理）</w:t>
                  </w:r>
                </w:p>
              </w:tc>
            </w:tr>
            <w:tr w14:paraId="78D0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1A49C645">
                  <w:pPr>
                    <w:pStyle w:val="3"/>
                    <w:spacing w:line="240" w:lineRule="auto"/>
                    <w:ind w:firstLine="0" w:firstLineChars="0"/>
                    <w:jc w:val="center"/>
                    <w:rPr>
                      <w:color w:val="auto"/>
                      <w:sz w:val="18"/>
                      <w:szCs w:val="18"/>
                      <w:highlight w:val="none"/>
                    </w:rPr>
                  </w:pPr>
                </w:p>
              </w:tc>
              <w:tc>
                <w:tcPr>
                  <w:tcW w:w="1146" w:type="pct"/>
                  <w:gridSpan w:val="2"/>
                  <w:shd w:val="clear" w:color="auto" w:fill="auto"/>
                  <w:tcMar>
                    <w:top w:w="57" w:type="dxa"/>
                    <w:left w:w="108" w:type="dxa"/>
                    <w:bottom w:w="57" w:type="dxa"/>
                    <w:right w:w="108" w:type="dxa"/>
                  </w:tcMar>
                  <w:vAlign w:val="center"/>
                </w:tcPr>
                <w:p w14:paraId="1B47F89F">
                  <w:pPr>
                    <w:pStyle w:val="3"/>
                    <w:spacing w:line="240" w:lineRule="auto"/>
                    <w:ind w:firstLine="0" w:firstLineChars="0"/>
                    <w:jc w:val="center"/>
                    <w:rPr>
                      <w:color w:val="auto"/>
                      <w:sz w:val="18"/>
                      <w:szCs w:val="18"/>
                      <w:highlight w:val="none"/>
                    </w:rPr>
                  </w:pPr>
                  <w:r>
                    <w:rPr>
                      <w:rFonts w:hint="eastAsia"/>
                      <w:color w:val="auto"/>
                      <w:sz w:val="18"/>
                      <w:szCs w:val="18"/>
                      <w:highlight w:val="none"/>
                    </w:rPr>
                    <w:t>钻井液循环罐</w:t>
                  </w:r>
                </w:p>
              </w:tc>
              <w:tc>
                <w:tcPr>
                  <w:tcW w:w="3492" w:type="pct"/>
                  <w:shd w:val="clear" w:color="auto" w:fill="auto"/>
                  <w:tcMar>
                    <w:top w:w="57" w:type="dxa"/>
                    <w:left w:w="108" w:type="dxa"/>
                    <w:bottom w:w="57" w:type="dxa"/>
                    <w:right w:w="108" w:type="dxa"/>
                  </w:tcMar>
                  <w:vAlign w:val="center"/>
                </w:tcPr>
                <w:p w14:paraId="33199E0A">
                  <w:pPr>
                    <w:pStyle w:val="3"/>
                    <w:spacing w:line="240" w:lineRule="auto"/>
                    <w:ind w:firstLine="0" w:firstLineChars="0"/>
                    <w:rPr>
                      <w:color w:val="auto"/>
                      <w:sz w:val="18"/>
                      <w:szCs w:val="18"/>
                      <w:highlight w:val="none"/>
                    </w:rPr>
                  </w:pPr>
                  <w:r>
                    <w:rPr>
                      <w:rFonts w:hint="eastAsia"/>
                      <w:color w:val="auto"/>
                      <w:sz w:val="18"/>
                      <w:szCs w:val="18"/>
                      <w:highlight w:val="none"/>
                    </w:rPr>
                    <w:t>在井场内新建4台单罐有效容积不小于30m</w:t>
                  </w:r>
                  <w:r>
                    <w:rPr>
                      <w:rFonts w:hint="eastAsia"/>
                      <w:color w:val="auto"/>
                      <w:sz w:val="18"/>
                      <w:szCs w:val="18"/>
                      <w:highlight w:val="none"/>
                      <w:vertAlign w:val="superscript"/>
                    </w:rPr>
                    <w:t>3</w:t>
                  </w:r>
                  <w:r>
                    <w:rPr>
                      <w:rFonts w:hint="eastAsia"/>
                      <w:color w:val="auto"/>
                      <w:sz w:val="18"/>
                      <w:szCs w:val="18"/>
                      <w:highlight w:val="none"/>
                    </w:rPr>
                    <w:t>钻井液循环罐，含搅拌机。</w:t>
                  </w:r>
                </w:p>
              </w:tc>
            </w:tr>
            <w:tr w14:paraId="1D60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7A9EFE84">
                  <w:pPr>
                    <w:pStyle w:val="3"/>
                    <w:spacing w:line="240" w:lineRule="auto"/>
                    <w:ind w:firstLine="0" w:firstLineChars="0"/>
                    <w:jc w:val="center"/>
                    <w:rPr>
                      <w:color w:val="auto"/>
                      <w:sz w:val="18"/>
                      <w:szCs w:val="18"/>
                      <w:highlight w:val="none"/>
                    </w:rPr>
                  </w:pPr>
                </w:p>
              </w:tc>
              <w:tc>
                <w:tcPr>
                  <w:tcW w:w="1146" w:type="pct"/>
                  <w:gridSpan w:val="2"/>
                  <w:shd w:val="clear" w:color="auto" w:fill="auto"/>
                  <w:tcMar>
                    <w:top w:w="57" w:type="dxa"/>
                    <w:left w:w="108" w:type="dxa"/>
                    <w:bottom w:w="57" w:type="dxa"/>
                    <w:right w:w="108" w:type="dxa"/>
                  </w:tcMar>
                  <w:vAlign w:val="center"/>
                </w:tcPr>
                <w:p w14:paraId="4096FC9F">
                  <w:pPr>
                    <w:pStyle w:val="41"/>
                    <w:rPr>
                      <w:color w:val="auto"/>
                      <w:szCs w:val="18"/>
                      <w:highlight w:val="none"/>
                    </w:rPr>
                  </w:pPr>
                  <w:r>
                    <w:rPr>
                      <w:rFonts w:hint="eastAsia" w:cs="Times New Roman"/>
                      <w:color w:val="auto"/>
                      <w:szCs w:val="18"/>
                      <w:highlight w:val="none"/>
                      <w:lang w:val="en-US" w:eastAsia="zh-CN"/>
                    </w:rPr>
                    <w:t>试油废液</w:t>
                  </w:r>
                  <w:r>
                    <w:rPr>
                      <w:rFonts w:hint="eastAsia" w:cs="Times New Roman"/>
                      <w:color w:val="auto"/>
                      <w:szCs w:val="18"/>
                      <w:highlight w:val="none"/>
                    </w:rPr>
                    <w:t>储罐</w:t>
                  </w:r>
                </w:p>
              </w:tc>
              <w:tc>
                <w:tcPr>
                  <w:tcW w:w="3492" w:type="pct"/>
                  <w:shd w:val="clear" w:color="auto" w:fill="auto"/>
                  <w:tcMar>
                    <w:top w:w="57" w:type="dxa"/>
                    <w:left w:w="108" w:type="dxa"/>
                    <w:bottom w:w="57" w:type="dxa"/>
                    <w:right w:w="108" w:type="dxa"/>
                  </w:tcMar>
                  <w:vAlign w:val="center"/>
                </w:tcPr>
                <w:p w14:paraId="7B664489">
                  <w:pPr>
                    <w:pStyle w:val="41"/>
                    <w:rPr>
                      <w:color w:val="auto"/>
                      <w:szCs w:val="18"/>
                      <w:highlight w:val="none"/>
                    </w:rPr>
                  </w:pPr>
                  <w:r>
                    <w:rPr>
                      <w:rFonts w:hint="eastAsia" w:cs="Times New Roman"/>
                      <w:color w:val="auto"/>
                      <w:szCs w:val="18"/>
                      <w:highlight w:val="none"/>
                    </w:rPr>
                    <w:t>井场</w:t>
                  </w:r>
                  <w:r>
                    <w:rPr>
                      <w:rFonts w:hint="eastAsia" w:cs="Times New Roman"/>
                      <w:color w:val="auto"/>
                      <w:szCs w:val="18"/>
                      <w:highlight w:val="none"/>
                      <w:lang w:val="en-US" w:eastAsia="zh-CN"/>
                    </w:rPr>
                    <w:t>设置2</w:t>
                  </w:r>
                  <w:r>
                    <w:rPr>
                      <w:rFonts w:hint="eastAsia" w:cs="Times New Roman"/>
                      <w:color w:val="auto"/>
                      <w:szCs w:val="18"/>
                      <w:highlight w:val="none"/>
                    </w:rPr>
                    <w:t>座</w:t>
                  </w:r>
                  <w:r>
                    <w:rPr>
                      <w:rFonts w:hint="eastAsia" w:cs="Times New Roman"/>
                      <w:color w:val="auto"/>
                      <w:szCs w:val="18"/>
                      <w:highlight w:val="none"/>
                      <w:lang w:val="en-US" w:eastAsia="zh-CN"/>
                    </w:rPr>
                    <w:t>试油废液</w:t>
                  </w:r>
                  <w:r>
                    <w:rPr>
                      <w:rFonts w:hint="eastAsia" w:cs="Times New Roman"/>
                      <w:color w:val="auto"/>
                      <w:szCs w:val="18"/>
                      <w:highlight w:val="none"/>
                    </w:rPr>
                    <w:t>储罐，容积40m</w:t>
                  </w:r>
                  <w:r>
                    <w:rPr>
                      <w:rFonts w:hint="eastAsia" w:cs="Times New Roman"/>
                      <w:color w:val="auto"/>
                      <w:szCs w:val="18"/>
                      <w:highlight w:val="none"/>
                      <w:vertAlign w:val="superscript"/>
                    </w:rPr>
                    <w:t>3</w:t>
                  </w:r>
                  <w:r>
                    <w:rPr>
                      <w:rFonts w:hint="eastAsia" w:cs="Times New Roman"/>
                      <w:color w:val="auto"/>
                      <w:szCs w:val="18"/>
                      <w:highlight w:val="none"/>
                    </w:rPr>
                    <w:t>，</w:t>
                  </w:r>
                  <w:r>
                    <w:rPr>
                      <w:rFonts w:hint="eastAsia" w:cs="Times New Roman"/>
                      <w:color w:val="auto"/>
                      <w:szCs w:val="18"/>
                      <w:highlight w:val="none"/>
                      <w:lang w:val="en-US" w:eastAsia="zh-CN"/>
                    </w:rPr>
                    <w:t>一用一备，</w:t>
                  </w:r>
                  <w:r>
                    <w:rPr>
                      <w:rFonts w:hint="eastAsia" w:cs="Times New Roman"/>
                      <w:color w:val="auto"/>
                      <w:szCs w:val="18"/>
                      <w:highlight w:val="none"/>
                    </w:rPr>
                    <w:t>用于暂存</w:t>
                  </w:r>
                  <w:r>
                    <w:rPr>
                      <w:rFonts w:hint="eastAsia" w:cs="Times New Roman"/>
                      <w:color w:val="auto"/>
                      <w:szCs w:val="18"/>
                      <w:highlight w:val="none"/>
                      <w:lang w:val="en-US" w:eastAsia="zh-CN"/>
                    </w:rPr>
                    <w:t>井下作业</w:t>
                  </w:r>
                  <w:r>
                    <w:rPr>
                      <w:rFonts w:hint="eastAsia" w:cs="Times New Roman"/>
                      <w:color w:val="auto"/>
                      <w:szCs w:val="18"/>
                      <w:highlight w:val="none"/>
                    </w:rPr>
                    <w:t>废液、压裂返排液及采出液。</w:t>
                  </w:r>
                </w:p>
              </w:tc>
            </w:tr>
            <w:tr w14:paraId="384A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61" w:type="pct"/>
                  <w:vMerge w:val="continue"/>
                  <w:tcMar>
                    <w:top w:w="57" w:type="dxa"/>
                    <w:left w:w="108" w:type="dxa"/>
                    <w:bottom w:w="57" w:type="dxa"/>
                    <w:right w:w="108" w:type="dxa"/>
                  </w:tcMar>
                  <w:vAlign w:val="center"/>
                </w:tcPr>
                <w:p w14:paraId="11ACDCD4">
                  <w:pPr>
                    <w:pStyle w:val="3"/>
                    <w:spacing w:line="240" w:lineRule="auto"/>
                    <w:ind w:firstLine="0" w:firstLineChars="0"/>
                    <w:jc w:val="center"/>
                    <w:rPr>
                      <w:color w:val="auto"/>
                      <w:sz w:val="18"/>
                      <w:szCs w:val="18"/>
                      <w:highlight w:val="none"/>
                    </w:rPr>
                  </w:pPr>
                </w:p>
              </w:tc>
              <w:tc>
                <w:tcPr>
                  <w:tcW w:w="1146" w:type="pct"/>
                  <w:gridSpan w:val="2"/>
                  <w:shd w:val="clear" w:color="auto" w:fill="auto"/>
                  <w:tcMar>
                    <w:top w:w="57" w:type="dxa"/>
                    <w:left w:w="108" w:type="dxa"/>
                    <w:bottom w:w="57" w:type="dxa"/>
                    <w:right w:w="108" w:type="dxa"/>
                  </w:tcMar>
                  <w:vAlign w:val="center"/>
                </w:tcPr>
                <w:p w14:paraId="2FA06937">
                  <w:pPr>
                    <w:pStyle w:val="3"/>
                    <w:spacing w:line="240" w:lineRule="auto"/>
                    <w:ind w:firstLine="0" w:firstLineChars="0"/>
                    <w:jc w:val="center"/>
                    <w:rPr>
                      <w:color w:val="auto"/>
                      <w:sz w:val="18"/>
                      <w:szCs w:val="18"/>
                      <w:highlight w:val="none"/>
                    </w:rPr>
                  </w:pPr>
                  <w:r>
                    <w:rPr>
                      <w:rFonts w:hint="eastAsia"/>
                      <w:color w:val="auto"/>
                      <w:sz w:val="18"/>
                      <w:szCs w:val="18"/>
                      <w:highlight w:val="none"/>
                    </w:rPr>
                    <w:t>泥浆中间罐</w:t>
                  </w:r>
                </w:p>
              </w:tc>
              <w:tc>
                <w:tcPr>
                  <w:tcW w:w="3492" w:type="pct"/>
                  <w:shd w:val="clear" w:color="auto" w:fill="auto"/>
                  <w:tcMar>
                    <w:top w:w="57" w:type="dxa"/>
                    <w:left w:w="108" w:type="dxa"/>
                    <w:bottom w:w="57" w:type="dxa"/>
                    <w:right w:w="108" w:type="dxa"/>
                  </w:tcMar>
                  <w:vAlign w:val="center"/>
                </w:tcPr>
                <w:p w14:paraId="06289ADD">
                  <w:pPr>
                    <w:pStyle w:val="3"/>
                    <w:spacing w:line="240" w:lineRule="auto"/>
                    <w:ind w:firstLine="0" w:firstLineChars="0"/>
                    <w:rPr>
                      <w:color w:val="auto"/>
                      <w:sz w:val="18"/>
                      <w:szCs w:val="18"/>
                      <w:highlight w:val="none"/>
                    </w:rPr>
                  </w:pPr>
                  <w:r>
                    <w:rPr>
                      <w:rFonts w:hint="eastAsia"/>
                      <w:color w:val="auto"/>
                      <w:sz w:val="18"/>
                      <w:szCs w:val="18"/>
                      <w:highlight w:val="none"/>
                    </w:rPr>
                    <w:t>“泥浆不落地”装置区配套建设4座泥浆罐，单个容积60m</w:t>
                  </w:r>
                  <w:r>
                    <w:rPr>
                      <w:rFonts w:hint="eastAsia"/>
                      <w:color w:val="auto"/>
                      <w:sz w:val="18"/>
                      <w:szCs w:val="18"/>
                      <w:highlight w:val="none"/>
                      <w:vertAlign w:val="superscript"/>
                    </w:rPr>
                    <w:t>3</w:t>
                  </w:r>
                  <w:r>
                    <w:rPr>
                      <w:rFonts w:hint="eastAsia"/>
                      <w:color w:val="auto"/>
                      <w:sz w:val="18"/>
                      <w:szCs w:val="18"/>
                      <w:highlight w:val="none"/>
                    </w:rPr>
                    <w:t>，主要为振动筛、除砂器等配套的中间罐。</w:t>
                  </w:r>
                </w:p>
              </w:tc>
            </w:tr>
            <w:tr w14:paraId="7211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restart"/>
                  <w:tcMar>
                    <w:top w:w="57" w:type="dxa"/>
                    <w:left w:w="108" w:type="dxa"/>
                    <w:bottom w:w="57" w:type="dxa"/>
                    <w:right w:w="108" w:type="dxa"/>
                  </w:tcMar>
                  <w:vAlign w:val="center"/>
                </w:tcPr>
                <w:p w14:paraId="26F6DBE6">
                  <w:pPr>
                    <w:pStyle w:val="3"/>
                    <w:spacing w:line="240" w:lineRule="auto"/>
                    <w:ind w:firstLine="0" w:firstLineChars="0"/>
                    <w:jc w:val="center"/>
                    <w:rPr>
                      <w:color w:val="auto"/>
                      <w:sz w:val="18"/>
                      <w:szCs w:val="18"/>
                      <w:highlight w:val="none"/>
                    </w:rPr>
                  </w:pPr>
                  <w:r>
                    <w:rPr>
                      <w:rFonts w:hint="eastAsia"/>
                      <w:color w:val="auto"/>
                      <w:sz w:val="18"/>
                      <w:szCs w:val="18"/>
                      <w:highlight w:val="none"/>
                    </w:rPr>
                    <w:t>环保</w:t>
                  </w:r>
                </w:p>
                <w:p w14:paraId="675ED4ED">
                  <w:pPr>
                    <w:pStyle w:val="3"/>
                    <w:spacing w:line="240" w:lineRule="auto"/>
                    <w:ind w:firstLine="0" w:firstLineChars="0"/>
                    <w:jc w:val="center"/>
                    <w:rPr>
                      <w:color w:val="auto"/>
                      <w:sz w:val="18"/>
                      <w:szCs w:val="18"/>
                      <w:highlight w:val="none"/>
                    </w:rPr>
                  </w:pPr>
                  <w:r>
                    <w:rPr>
                      <w:rFonts w:hint="eastAsia"/>
                      <w:color w:val="auto"/>
                      <w:sz w:val="18"/>
                      <w:szCs w:val="18"/>
                      <w:highlight w:val="none"/>
                    </w:rPr>
                    <w:t>工程</w:t>
                  </w:r>
                </w:p>
              </w:tc>
              <w:tc>
                <w:tcPr>
                  <w:tcW w:w="581" w:type="pct"/>
                  <w:vMerge w:val="restart"/>
                  <w:tcMar>
                    <w:top w:w="57" w:type="dxa"/>
                    <w:left w:w="108" w:type="dxa"/>
                    <w:bottom w:w="57" w:type="dxa"/>
                    <w:right w:w="108" w:type="dxa"/>
                  </w:tcMar>
                  <w:vAlign w:val="center"/>
                </w:tcPr>
                <w:p w14:paraId="3C1B8827">
                  <w:pPr>
                    <w:pStyle w:val="3"/>
                    <w:spacing w:line="240" w:lineRule="auto"/>
                    <w:ind w:firstLine="0" w:firstLineChars="0"/>
                    <w:jc w:val="center"/>
                    <w:rPr>
                      <w:color w:val="auto"/>
                      <w:sz w:val="18"/>
                      <w:szCs w:val="18"/>
                      <w:highlight w:val="none"/>
                    </w:rPr>
                  </w:pPr>
                  <w:r>
                    <w:rPr>
                      <w:rFonts w:hint="eastAsia"/>
                      <w:color w:val="auto"/>
                      <w:sz w:val="18"/>
                      <w:szCs w:val="18"/>
                      <w:highlight w:val="none"/>
                    </w:rPr>
                    <w:t>废水</w:t>
                  </w:r>
                </w:p>
              </w:tc>
              <w:tc>
                <w:tcPr>
                  <w:tcW w:w="565" w:type="pct"/>
                  <w:tcMar>
                    <w:top w:w="57" w:type="dxa"/>
                    <w:left w:w="108" w:type="dxa"/>
                    <w:bottom w:w="57" w:type="dxa"/>
                    <w:right w:w="108" w:type="dxa"/>
                  </w:tcMar>
                  <w:vAlign w:val="center"/>
                </w:tcPr>
                <w:p w14:paraId="074303E8">
                  <w:pPr>
                    <w:pStyle w:val="71"/>
                    <w:numPr>
                      <w:ilvl w:val="0"/>
                      <w:numId w:val="0"/>
                    </w:numPr>
                    <w:spacing w:line="240" w:lineRule="auto"/>
                    <w:jc w:val="center"/>
                    <w:rPr>
                      <w:color w:val="auto"/>
                      <w:sz w:val="18"/>
                      <w:szCs w:val="18"/>
                      <w:highlight w:val="none"/>
                    </w:rPr>
                  </w:pPr>
                  <w:r>
                    <w:rPr>
                      <w:rFonts w:hint="eastAsia"/>
                      <w:color w:val="auto"/>
                      <w:sz w:val="18"/>
                      <w:szCs w:val="18"/>
                      <w:highlight w:val="none"/>
                    </w:rPr>
                    <w:t>井下作业废液、压裂返排液</w:t>
                  </w:r>
                </w:p>
              </w:tc>
              <w:tc>
                <w:tcPr>
                  <w:tcW w:w="3492" w:type="pct"/>
                  <w:tcMar>
                    <w:top w:w="57" w:type="dxa"/>
                    <w:left w:w="108" w:type="dxa"/>
                    <w:bottom w:w="57" w:type="dxa"/>
                    <w:right w:w="108" w:type="dxa"/>
                  </w:tcMar>
                  <w:vAlign w:val="center"/>
                </w:tcPr>
                <w:p w14:paraId="30F9968D">
                  <w:pPr>
                    <w:pStyle w:val="71"/>
                    <w:numPr>
                      <w:ilvl w:val="0"/>
                      <w:numId w:val="0"/>
                    </w:numPr>
                    <w:spacing w:line="240" w:lineRule="auto"/>
                    <w:rPr>
                      <w:color w:val="auto"/>
                      <w:sz w:val="18"/>
                      <w:szCs w:val="18"/>
                      <w:highlight w:val="none"/>
                    </w:rPr>
                  </w:pPr>
                  <w:r>
                    <w:rPr>
                      <w:rFonts w:hint="eastAsia"/>
                      <w:color w:val="auto"/>
                      <w:sz w:val="18"/>
                      <w:szCs w:val="18"/>
                      <w:highlight w:val="none"/>
                    </w:rPr>
                    <w:t>定期由罐车拉运至</w:t>
                  </w:r>
                  <w:r>
                    <w:rPr>
                      <w:rFonts w:hint="eastAsia"/>
                      <w:color w:val="auto"/>
                      <w:sz w:val="18"/>
                      <w:szCs w:val="18"/>
                      <w:highlight w:val="none"/>
                      <w:lang w:eastAsia="zh-CN"/>
                    </w:rPr>
                    <w:t>春风联合站</w:t>
                  </w:r>
                  <w:r>
                    <w:rPr>
                      <w:rFonts w:hint="eastAsia"/>
                      <w:color w:val="auto"/>
                      <w:sz w:val="18"/>
                      <w:szCs w:val="18"/>
                      <w:highlight w:val="none"/>
                    </w:rPr>
                    <w:t>采出水处理系统处理，最终用于回注水开发利用，不外排。回注水须满足《碎屑岩油藏注水水质指标技术要求及分析方法》（SY/T 5329-2022）对应储层空气渗透率下的水质主要控制指标。</w:t>
                  </w:r>
                </w:p>
              </w:tc>
            </w:tr>
            <w:tr w14:paraId="5975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2183E1D3">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5B7B2A8D">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1F1C4754">
                  <w:pPr>
                    <w:pStyle w:val="71"/>
                    <w:numPr>
                      <w:ilvl w:val="0"/>
                      <w:numId w:val="0"/>
                    </w:numPr>
                    <w:spacing w:line="240" w:lineRule="auto"/>
                    <w:jc w:val="center"/>
                    <w:rPr>
                      <w:color w:val="auto"/>
                      <w:sz w:val="18"/>
                      <w:szCs w:val="18"/>
                      <w:highlight w:val="none"/>
                    </w:rPr>
                  </w:pPr>
                  <w:r>
                    <w:rPr>
                      <w:rFonts w:hint="eastAsia"/>
                      <w:color w:val="auto"/>
                      <w:sz w:val="18"/>
                      <w:szCs w:val="18"/>
                      <w:highlight w:val="none"/>
                    </w:rPr>
                    <w:t>生活污水</w:t>
                  </w:r>
                </w:p>
              </w:tc>
              <w:tc>
                <w:tcPr>
                  <w:tcW w:w="3492" w:type="pct"/>
                  <w:tcMar>
                    <w:top w:w="57" w:type="dxa"/>
                    <w:left w:w="108" w:type="dxa"/>
                    <w:bottom w:w="57" w:type="dxa"/>
                    <w:right w:w="108" w:type="dxa"/>
                  </w:tcMar>
                  <w:vAlign w:val="center"/>
                </w:tcPr>
                <w:p w14:paraId="1AE92EC5">
                  <w:pPr>
                    <w:pStyle w:val="71"/>
                    <w:numPr>
                      <w:ilvl w:val="0"/>
                      <w:numId w:val="0"/>
                    </w:numPr>
                    <w:spacing w:line="240" w:lineRule="auto"/>
                    <w:rPr>
                      <w:color w:val="auto"/>
                      <w:sz w:val="18"/>
                      <w:szCs w:val="18"/>
                      <w:highlight w:val="none"/>
                    </w:rPr>
                  </w:pPr>
                  <w:r>
                    <w:rPr>
                      <w:rFonts w:hint="eastAsia"/>
                      <w:color w:val="auto"/>
                      <w:sz w:val="18"/>
                      <w:szCs w:val="18"/>
                      <w:highlight w:val="none"/>
                    </w:rPr>
                    <w:t>新建1座环保厕所和1座50m</w:t>
                  </w:r>
                  <w:r>
                    <w:rPr>
                      <w:rFonts w:hint="eastAsia"/>
                      <w:color w:val="auto"/>
                      <w:sz w:val="18"/>
                      <w:szCs w:val="18"/>
                      <w:highlight w:val="none"/>
                      <w:vertAlign w:val="superscript"/>
                    </w:rPr>
                    <w:t>3</w:t>
                  </w:r>
                  <w:r>
                    <w:rPr>
                      <w:rFonts w:hint="eastAsia"/>
                      <w:color w:val="auto"/>
                      <w:sz w:val="18"/>
                      <w:szCs w:val="18"/>
                      <w:highlight w:val="none"/>
                    </w:rPr>
                    <w:t>生活污水收集罐。</w:t>
                  </w:r>
                </w:p>
                <w:p w14:paraId="7EB3F974">
                  <w:pPr>
                    <w:pStyle w:val="71"/>
                    <w:numPr>
                      <w:ilvl w:val="0"/>
                      <w:numId w:val="0"/>
                    </w:numPr>
                    <w:spacing w:line="240" w:lineRule="auto"/>
                    <w:rPr>
                      <w:color w:val="auto"/>
                      <w:sz w:val="18"/>
                      <w:szCs w:val="18"/>
                      <w:highlight w:val="none"/>
                    </w:rPr>
                  </w:pPr>
                  <w:r>
                    <w:rPr>
                      <w:rFonts w:hint="eastAsia"/>
                      <w:color w:val="auto"/>
                      <w:sz w:val="18"/>
                      <w:szCs w:val="18"/>
                      <w:highlight w:val="none"/>
                    </w:rPr>
                    <w:t>生活污水排入环保厕所</w:t>
                  </w:r>
                  <w:r>
                    <w:rPr>
                      <w:rFonts w:hint="eastAsia"/>
                      <w:color w:val="auto"/>
                      <w:sz w:val="18"/>
                      <w:szCs w:val="18"/>
                      <w:highlight w:val="none"/>
                      <w:lang w:val="en-US" w:eastAsia="zh-CN"/>
                    </w:rPr>
                    <w:t>和</w:t>
                  </w:r>
                  <w:r>
                    <w:rPr>
                      <w:rFonts w:hint="eastAsia"/>
                      <w:color w:val="auto"/>
                      <w:sz w:val="18"/>
                      <w:szCs w:val="18"/>
                      <w:highlight w:val="none"/>
                    </w:rPr>
                    <w:t>生活污水收集罐</w:t>
                  </w:r>
                  <w:r>
                    <w:rPr>
                      <w:rFonts w:hint="eastAsia"/>
                      <w:color w:val="auto"/>
                      <w:sz w:val="18"/>
                      <w:szCs w:val="18"/>
                      <w:highlight w:val="none"/>
                      <w:lang w:val="en-US" w:eastAsia="zh-CN"/>
                    </w:rPr>
                    <w:t>暂存，</w:t>
                  </w:r>
                  <w:r>
                    <w:rPr>
                      <w:rFonts w:hint="eastAsia"/>
                      <w:color w:val="auto"/>
                      <w:sz w:val="18"/>
                      <w:szCs w:val="18"/>
                      <w:highlight w:val="none"/>
                    </w:rPr>
                    <w:t>定期由新疆熙祥运输公司拉运至五家渠城华市政六运湖分公司</w:t>
                  </w:r>
                  <w:r>
                    <w:rPr>
                      <w:rFonts w:hint="eastAsia"/>
                      <w:color w:val="auto"/>
                      <w:sz w:val="18"/>
                      <w:szCs w:val="18"/>
                      <w:highlight w:val="none"/>
                      <w:lang w:val="en-US" w:eastAsia="zh-CN"/>
                    </w:rPr>
                    <w:t>污水处理厂</w:t>
                  </w:r>
                  <w:r>
                    <w:rPr>
                      <w:rFonts w:hint="eastAsia"/>
                      <w:color w:val="auto"/>
                      <w:sz w:val="18"/>
                      <w:szCs w:val="18"/>
                      <w:highlight w:val="none"/>
                    </w:rPr>
                    <w:t>处理。</w:t>
                  </w:r>
                </w:p>
              </w:tc>
            </w:tr>
            <w:tr w14:paraId="0D3A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1906DA64">
                  <w:pPr>
                    <w:pStyle w:val="3"/>
                    <w:spacing w:line="240" w:lineRule="auto"/>
                    <w:ind w:firstLine="0" w:firstLineChars="0"/>
                    <w:jc w:val="center"/>
                    <w:rPr>
                      <w:color w:val="auto"/>
                      <w:sz w:val="18"/>
                      <w:szCs w:val="18"/>
                      <w:highlight w:val="none"/>
                    </w:rPr>
                  </w:pPr>
                </w:p>
              </w:tc>
              <w:tc>
                <w:tcPr>
                  <w:tcW w:w="581" w:type="pct"/>
                  <w:vMerge w:val="restart"/>
                  <w:tcMar>
                    <w:top w:w="57" w:type="dxa"/>
                    <w:left w:w="108" w:type="dxa"/>
                    <w:bottom w:w="57" w:type="dxa"/>
                    <w:right w:w="108" w:type="dxa"/>
                  </w:tcMar>
                  <w:vAlign w:val="center"/>
                </w:tcPr>
                <w:p w14:paraId="36F4EADF">
                  <w:pPr>
                    <w:pStyle w:val="3"/>
                    <w:spacing w:line="240" w:lineRule="auto"/>
                    <w:ind w:firstLine="0" w:firstLineChars="0"/>
                    <w:jc w:val="center"/>
                    <w:rPr>
                      <w:color w:val="auto"/>
                      <w:sz w:val="18"/>
                      <w:szCs w:val="18"/>
                      <w:highlight w:val="none"/>
                    </w:rPr>
                  </w:pPr>
                  <w:r>
                    <w:rPr>
                      <w:rFonts w:hint="eastAsia"/>
                      <w:color w:val="auto"/>
                      <w:sz w:val="18"/>
                      <w:szCs w:val="18"/>
                      <w:highlight w:val="none"/>
                    </w:rPr>
                    <w:t>废气</w:t>
                  </w:r>
                </w:p>
              </w:tc>
              <w:tc>
                <w:tcPr>
                  <w:tcW w:w="565" w:type="pct"/>
                  <w:tcMar>
                    <w:top w:w="57" w:type="dxa"/>
                    <w:left w:w="108" w:type="dxa"/>
                    <w:bottom w:w="57" w:type="dxa"/>
                    <w:right w:w="108" w:type="dxa"/>
                  </w:tcMar>
                  <w:vAlign w:val="center"/>
                </w:tcPr>
                <w:p w14:paraId="6CE33DDB">
                  <w:pPr>
                    <w:pStyle w:val="71"/>
                    <w:numPr>
                      <w:ilvl w:val="0"/>
                      <w:numId w:val="0"/>
                    </w:numPr>
                    <w:spacing w:line="240" w:lineRule="auto"/>
                    <w:jc w:val="center"/>
                    <w:rPr>
                      <w:color w:val="auto"/>
                      <w:sz w:val="18"/>
                      <w:szCs w:val="18"/>
                      <w:highlight w:val="none"/>
                    </w:rPr>
                  </w:pPr>
                  <w:r>
                    <w:rPr>
                      <w:rFonts w:hint="eastAsia"/>
                      <w:color w:val="auto"/>
                      <w:sz w:val="18"/>
                      <w:szCs w:val="18"/>
                      <w:highlight w:val="none"/>
                    </w:rPr>
                    <w:t>施工扬尘</w:t>
                  </w:r>
                </w:p>
              </w:tc>
              <w:tc>
                <w:tcPr>
                  <w:tcW w:w="3492" w:type="pct"/>
                  <w:tcMar>
                    <w:top w:w="57" w:type="dxa"/>
                    <w:left w:w="108" w:type="dxa"/>
                    <w:bottom w:w="57" w:type="dxa"/>
                    <w:right w:w="108" w:type="dxa"/>
                  </w:tcMar>
                  <w:vAlign w:val="center"/>
                </w:tcPr>
                <w:p w14:paraId="64C8FA62">
                  <w:pPr>
                    <w:pStyle w:val="71"/>
                    <w:numPr>
                      <w:ilvl w:val="0"/>
                      <w:numId w:val="0"/>
                    </w:numPr>
                    <w:spacing w:line="240" w:lineRule="auto"/>
                    <w:rPr>
                      <w:color w:val="auto"/>
                      <w:sz w:val="18"/>
                      <w:szCs w:val="18"/>
                      <w:highlight w:val="none"/>
                    </w:rPr>
                  </w:pPr>
                  <w:r>
                    <w:rPr>
                      <w:rFonts w:hint="eastAsia"/>
                      <w:color w:val="auto"/>
                      <w:sz w:val="18"/>
                      <w:szCs w:val="18"/>
                      <w:highlight w:val="none"/>
                    </w:rPr>
                    <w:t>采取洒水、围挡措施；物料集中堆放采取遮盖。</w:t>
                  </w:r>
                </w:p>
              </w:tc>
            </w:tr>
            <w:tr w14:paraId="23E5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17E61545">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70CABC2C">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2CA1E876">
                  <w:pPr>
                    <w:pStyle w:val="71"/>
                    <w:numPr>
                      <w:ilvl w:val="0"/>
                      <w:numId w:val="0"/>
                    </w:numPr>
                    <w:spacing w:line="240" w:lineRule="auto"/>
                    <w:jc w:val="center"/>
                    <w:rPr>
                      <w:color w:val="auto"/>
                      <w:sz w:val="18"/>
                      <w:szCs w:val="18"/>
                      <w:highlight w:val="none"/>
                    </w:rPr>
                  </w:pPr>
                  <w:r>
                    <w:rPr>
                      <w:rFonts w:hint="eastAsia"/>
                      <w:color w:val="auto"/>
                      <w:sz w:val="18"/>
                      <w:szCs w:val="18"/>
                      <w:highlight w:val="none"/>
                    </w:rPr>
                    <w:t>运输车辆尾气</w:t>
                  </w:r>
                </w:p>
              </w:tc>
              <w:tc>
                <w:tcPr>
                  <w:tcW w:w="3492" w:type="pct"/>
                  <w:tcMar>
                    <w:top w:w="57" w:type="dxa"/>
                    <w:left w:w="108" w:type="dxa"/>
                    <w:bottom w:w="57" w:type="dxa"/>
                    <w:right w:w="108" w:type="dxa"/>
                  </w:tcMar>
                  <w:vAlign w:val="center"/>
                </w:tcPr>
                <w:p w14:paraId="5A5FAFBD">
                  <w:pPr>
                    <w:pStyle w:val="71"/>
                    <w:numPr>
                      <w:ilvl w:val="0"/>
                      <w:numId w:val="0"/>
                    </w:numPr>
                    <w:spacing w:line="240" w:lineRule="auto"/>
                    <w:rPr>
                      <w:color w:val="auto"/>
                      <w:sz w:val="18"/>
                      <w:szCs w:val="18"/>
                      <w:highlight w:val="none"/>
                    </w:rPr>
                  </w:pPr>
                  <w:r>
                    <w:rPr>
                      <w:rFonts w:hint="eastAsia"/>
                      <w:color w:val="auto"/>
                      <w:sz w:val="18"/>
                      <w:szCs w:val="18"/>
                      <w:highlight w:val="none"/>
                    </w:rPr>
                    <w:t>加强车辆管理和维护。</w:t>
                  </w:r>
                </w:p>
              </w:tc>
            </w:tr>
            <w:tr w14:paraId="7720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3F2A0C18">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4B1EDDEB">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7A345B1B">
                  <w:pPr>
                    <w:pStyle w:val="71"/>
                    <w:numPr>
                      <w:ilvl w:val="0"/>
                      <w:numId w:val="0"/>
                    </w:numPr>
                    <w:spacing w:line="240" w:lineRule="auto"/>
                    <w:jc w:val="center"/>
                    <w:rPr>
                      <w:color w:val="auto"/>
                      <w:sz w:val="18"/>
                      <w:szCs w:val="18"/>
                      <w:highlight w:val="none"/>
                    </w:rPr>
                  </w:pPr>
                  <w:r>
                    <w:rPr>
                      <w:rFonts w:hint="eastAsia"/>
                      <w:color w:val="auto"/>
                      <w:sz w:val="18"/>
                      <w:szCs w:val="18"/>
                      <w:highlight w:val="none"/>
                    </w:rPr>
                    <w:t>柴油机燃烧烟气</w:t>
                  </w:r>
                </w:p>
              </w:tc>
              <w:tc>
                <w:tcPr>
                  <w:tcW w:w="3492" w:type="pct"/>
                  <w:tcMar>
                    <w:top w:w="57" w:type="dxa"/>
                    <w:left w:w="108" w:type="dxa"/>
                    <w:bottom w:w="57" w:type="dxa"/>
                    <w:right w:w="108" w:type="dxa"/>
                  </w:tcMar>
                  <w:vAlign w:val="center"/>
                </w:tcPr>
                <w:p w14:paraId="459819BD">
                  <w:pPr>
                    <w:pStyle w:val="71"/>
                    <w:numPr>
                      <w:ilvl w:val="0"/>
                      <w:numId w:val="0"/>
                    </w:numPr>
                    <w:spacing w:line="240" w:lineRule="auto"/>
                    <w:rPr>
                      <w:color w:val="auto"/>
                      <w:sz w:val="18"/>
                      <w:szCs w:val="18"/>
                      <w:highlight w:val="none"/>
                    </w:rPr>
                  </w:pPr>
                  <w:r>
                    <w:rPr>
                      <w:rFonts w:hint="eastAsia"/>
                      <w:color w:val="auto"/>
                      <w:sz w:val="18"/>
                      <w:szCs w:val="18"/>
                      <w:highlight w:val="none"/>
                    </w:rPr>
                    <w:t>使用品质合格的燃油。</w:t>
                  </w:r>
                </w:p>
              </w:tc>
            </w:tr>
            <w:tr w14:paraId="6533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29C8B0D5">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13349B25">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6430A405">
                  <w:pPr>
                    <w:pStyle w:val="71"/>
                    <w:numPr>
                      <w:ilvl w:val="0"/>
                      <w:numId w:val="0"/>
                    </w:numPr>
                    <w:spacing w:line="240" w:lineRule="auto"/>
                    <w:jc w:val="center"/>
                    <w:rPr>
                      <w:color w:val="auto"/>
                      <w:sz w:val="18"/>
                      <w:szCs w:val="18"/>
                      <w:highlight w:val="none"/>
                    </w:rPr>
                  </w:pPr>
                  <w:r>
                    <w:rPr>
                      <w:rFonts w:hint="eastAsia"/>
                      <w:color w:val="auto"/>
                      <w:sz w:val="18"/>
                      <w:szCs w:val="18"/>
                      <w:highlight w:val="none"/>
                    </w:rPr>
                    <w:t>伴生气燃放废气</w:t>
                  </w:r>
                </w:p>
              </w:tc>
              <w:tc>
                <w:tcPr>
                  <w:tcW w:w="3492" w:type="pct"/>
                  <w:tcMar>
                    <w:top w:w="57" w:type="dxa"/>
                    <w:left w:w="108" w:type="dxa"/>
                    <w:bottom w:w="57" w:type="dxa"/>
                    <w:right w:w="108" w:type="dxa"/>
                  </w:tcMar>
                  <w:vAlign w:val="center"/>
                </w:tcPr>
                <w:p w14:paraId="39113BE4">
                  <w:pPr>
                    <w:pStyle w:val="71"/>
                    <w:numPr>
                      <w:ilvl w:val="0"/>
                      <w:numId w:val="0"/>
                    </w:numPr>
                    <w:spacing w:line="240" w:lineRule="auto"/>
                    <w:rPr>
                      <w:color w:val="auto"/>
                      <w:sz w:val="18"/>
                      <w:szCs w:val="18"/>
                      <w:highlight w:val="none"/>
                    </w:rPr>
                  </w:pPr>
                  <w:r>
                    <w:rPr>
                      <w:rFonts w:hint="eastAsia"/>
                      <w:color w:val="auto"/>
                      <w:sz w:val="18"/>
                      <w:szCs w:val="18"/>
                      <w:highlight w:val="none"/>
                    </w:rPr>
                    <w:t>新建</w:t>
                  </w:r>
                  <w:r>
                    <w:rPr>
                      <w:color w:val="auto"/>
                      <w:sz w:val="18"/>
                      <w:szCs w:val="18"/>
                      <w:highlight w:val="none"/>
                    </w:rPr>
                    <w:t>2</w:t>
                  </w:r>
                  <w:r>
                    <w:rPr>
                      <w:rFonts w:hint="eastAsia"/>
                      <w:color w:val="auto"/>
                      <w:sz w:val="18"/>
                      <w:szCs w:val="18"/>
                      <w:highlight w:val="none"/>
                    </w:rPr>
                    <w:t>座放喷池，伴生气经过气液分离后通过放喷池点火排放，属于阶段性排放。</w:t>
                  </w:r>
                </w:p>
              </w:tc>
            </w:tr>
            <w:tr w14:paraId="2547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03A10503">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5349E668">
                  <w:pPr>
                    <w:pStyle w:val="3"/>
                    <w:spacing w:line="240" w:lineRule="auto"/>
                    <w:ind w:firstLine="0" w:firstLineChars="0"/>
                    <w:jc w:val="center"/>
                    <w:rPr>
                      <w:color w:val="auto"/>
                      <w:sz w:val="18"/>
                      <w:szCs w:val="18"/>
                      <w:highlight w:val="none"/>
                    </w:rPr>
                  </w:pPr>
                </w:p>
              </w:tc>
              <w:tc>
                <w:tcPr>
                  <w:tcW w:w="565" w:type="pct"/>
                  <w:shd w:val="clear" w:color="auto" w:fill="auto"/>
                  <w:tcMar>
                    <w:top w:w="57" w:type="dxa"/>
                    <w:left w:w="108" w:type="dxa"/>
                    <w:bottom w:w="57" w:type="dxa"/>
                    <w:right w:w="108" w:type="dxa"/>
                  </w:tcMar>
                  <w:vAlign w:val="center"/>
                </w:tcPr>
                <w:p w14:paraId="551904F6">
                  <w:pPr>
                    <w:pStyle w:val="71"/>
                    <w:numPr>
                      <w:ilvl w:val="0"/>
                      <w:numId w:val="0"/>
                    </w:numPr>
                    <w:spacing w:line="240" w:lineRule="auto"/>
                    <w:jc w:val="center"/>
                    <w:rPr>
                      <w:color w:val="auto"/>
                      <w:sz w:val="18"/>
                      <w:szCs w:val="18"/>
                      <w:highlight w:val="none"/>
                    </w:rPr>
                  </w:pPr>
                  <w:r>
                    <w:rPr>
                      <w:rFonts w:hint="eastAsia"/>
                      <w:color w:val="auto"/>
                      <w:sz w:val="18"/>
                      <w:szCs w:val="18"/>
                      <w:highlight w:val="none"/>
                    </w:rPr>
                    <w:t>试油期井场无组织烃类废气</w:t>
                  </w:r>
                </w:p>
              </w:tc>
              <w:tc>
                <w:tcPr>
                  <w:tcW w:w="3492" w:type="pct"/>
                  <w:shd w:val="clear" w:color="auto" w:fill="auto"/>
                  <w:tcMar>
                    <w:top w:w="57" w:type="dxa"/>
                    <w:left w:w="108" w:type="dxa"/>
                    <w:bottom w:w="57" w:type="dxa"/>
                    <w:right w:w="108" w:type="dxa"/>
                  </w:tcMar>
                  <w:vAlign w:val="center"/>
                </w:tcPr>
                <w:p w14:paraId="3BE041C3">
                  <w:pPr>
                    <w:pStyle w:val="71"/>
                    <w:numPr>
                      <w:ilvl w:val="0"/>
                      <w:numId w:val="0"/>
                    </w:numPr>
                    <w:spacing w:line="240" w:lineRule="auto"/>
                    <w:rPr>
                      <w:color w:val="auto"/>
                      <w:sz w:val="18"/>
                      <w:szCs w:val="18"/>
                      <w:highlight w:val="none"/>
                    </w:rPr>
                  </w:pPr>
                  <w:r>
                    <w:rPr>
                      <w:rFonts w:hint="eastAsia"/>
                      <w:color w:val="auto"/>
                      <w:sz w:val="18"/>
                      <w:szCs w:val="18"/>
                      <w:highlight w:val="none"/>
                      <w:lang w:val="en-US" w:eastAsia="zh-CN"/>
                    </w:rPr>
                    <w:t>试油期采出液从井口至储存设施</w:t>
                  </w:r>
                  <w:r>
                    <w:rPr>
                      <w:rFonts w:hint="eastAsia"/>
                      <w:color w:val="auto"/>
                      <w:sz w:val="18"/>
                      <w:szCs w:val="18"/>
                      <w:highlight w:val="none"/>
                    </w:rPr>
                    <w:t>采用</w:t>
                  </w:r>
                  <w:r>
                    <w:rPr>
                      <w:rFonts w:hint="eastAsia"/>
                      <w:color w:val="auto"/>
                      <w:sz w:val="18"/>
                      <w:szCs w:val="18"/>
                      <w:highlight w:val="none"/>
                      <w:lang w:val="en-US" w:eastAsia="zh-CN"/>
                    </w:rPr>
                    <w:t>管道</w:t>
                  </w:r>
                  <w:r>
                    <w:rPr>
                      <w:rFonts w:hint="eastAsia"/>
                      <w:color w:val="auto"/>
                      <w:sz w:val="18"/>
                      <w:szCs w:val="18"/>
                      <w:highlight w:val="none"/>
                    </w:rPr>
                    <w:t>密闭流程</w:t>
                  </w:r>
                  <w:r>
                    <w:rPr>
                      <w:rFonts w:hint="eastAsia"/>
                      <w:color w:val="auto"/>
                      <w:sz w:val="18"/>
                      <w:szCs w:val="18"/>
                      <w:highlight w:val="none"/>
                      <w:lang w:val="en-US" w:eastAsia="zh-CN"/>
                    </w:rPr>
                    <w:t>输送，定期由罐车拉运，密闭流程减少井场无组织烃类废气排放</w:t>
                  </w:r>
                  <w:r>
                    <w:rPr>
                      <w:rFonts w:hint="eastAsia"/>
                      <w:color w:val="auto"/>
                      <w:sz w:val="18"/>
                      <w:szCs w:val="18"/>
                      <w:highlight w:val="none"/>
                    </w:rPr>
                    <w:t>。</w:t>
                  </w:r>
                </w:p>
              </w:tc>
            </w:tr>
            <w:tr w14:paraId="0DC1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47121B94">
                  <w:pPr>
                    <w:pStyle w:val="3"/>
                    <w:spacing w:line="240" w:lineRule="auto"/>
                    <w:ind w:firstLine="0" w:firstLineChars="0"/>
                    <w:jc w:val="center"/>
                    <w:rPr>
                      <w:color w:val="auto"/>
                      <w:sz w:val="18"/>
                      <w:szCs w:val="18"/>
                      <w:highlight w:val="none"/>
                    </w:rPr>
                  </w:pPr>
                </w:p>
              </w:tc>
              <w:tc>
                <w:tcPr>
                  <w:tcW w:w="581" w:type="pct"/>
                  <w:shd w:val="clear" w:color="auto" w:fill="auto"/>
                  <w:tcMar>
                    <w:top w:w="57" w:type="dxa"/>
                    <w:left w:w="108" w:type="dxa"/>
                    <w:bottom w:w="57" w:type="dxa"/>
                    <w:right w:w="108" w:type="dxa"/>
                  </w:tcMar>
                  <w:vAlign w:val="center"/>
                </w:tcPr>
                <w:p w14:paraId="1CB8C8AC">
                  <w:pPr>
                    <w:pStyle w:val="3"/>
                    <w:spacing w:line="240" w:lineRule="auto"/>
                    <w:ind w:firstLine="0" w:firstLineChars="0"/>
                    <w:jc w:val="center"/>
                    <w:rPr>
                      <w:color w:val="auto"/>
                      <w:sz w:val="18"/>
                      <w:szCs w:val="18"/>
                      <w:highlight w:val="none"/>
                    </w:rPr>
                  </w:pPr>
                  <w:r>
                    <w:rPr>
                      <w:rFonts w:hint="eastAsia"/>
                      <w:color w:val="auto"/>
                      <w:sz w:val="18"/>
                      <w:szCs w:val="18"/>
                      <w:highlight w:val="none"/>
                    </w:rPr>
                    <w:t>噪声</w:t>
                  </w:r>
                </w:p>
              </w:tc>
              <w:tc>
                <w:tcPr>
                  <w:tcW w:w="565" w:type="pct"/>
                  <w:shd w:val="clear" w:color="auto" w:fill="auto"/>
                  <w:tcMar>
                    <w:top w:w="57" w:type="dxa"/>
                    <w:left w:w="108" w:type="dxa"/>
                    <w:bottom w:w="57" w:type="dxa"/>
                    <w:right w:w="108" w:type="dxa"/>
                  </w:tcMar>
                  <w:vAlign w:val="center"/>
                </w:tcPr>
                <w:p w14:paraId="77F72208">
                  <w:pPr>
                    <w:pStyle w:val="71"/>
                    <w:numPr>
                      <w:ilvl w:val="0"/>
                      <w:numId w:val="0"/>
                    </w:numPr>
                    <w:spacing w:line="240" w:lineRule="auto"/>
                    <w:jc w:val="center"/>
                    <w:rPr>
                      <w:color w:val="auto"/>
                      <w:sz w:val="18"/>
                      <w:szCs w:val="18"/>
                      <w:highlight w:val="none"/>
                    </w:rPr>
                  </w:pPr>
                  <w:r>
                    <w:rPr>
                      <w:rFonts w:hint="eastAsia"/>
                      <w:color w:val="auto"/>
                      <w:sz w:val="18"/>
                      <w:szCs w:val="18"/>
                      <w:highlight w:val="none"/>
                    </w:rPr>
                    <w:t>噪声</w:t>
                  </w:r>
                </w:p>
              </w:tc>
              <w:tc>
                <w:tcPr>
                  <w:tcW w:w="3492" w:type="pct"/>
                  <w:shd w:val="clear" w:color="auto" w:fill="auto"/>
                  <w:tcMar>
                    <w:top w:w="57" w:type="dxa"/>
                    <w:left w:w="108" w:type="dxa"/>
                    <w:bottom w:w="57" w:type="dxa"/>
                    <w:right w:w="108" w:type="dxa"/>
                  </w:tcMar>
                  <w:vAlign w:val="center"/>
                </w:tcPr>
                <w:p w14:paraId="5EE18BE8">
                  <w:pPr>
                    <w:pStyle w:val="71"/>
                    <w:numPr>
                      <w:ilvl w:val="0"/>
                      <w:numId w:val="0"/>
                    </w:numPr>
                    <w:spacing w:line="240" w:lineRule="auto"/>
                    <w:rPr>
                      <w:color w:val="auto"/>
                      <w:sz w:val="18"/>
                      <w:szCs w:val="18"/>
                      <w:highlight w:val="none"/>
                    </w:rPr>
                  </w:pPr>
                  <w:r>
                    <w:rPr>
                      <w:rFonts w:hint="eastAsia"/>
                      <w:color w:val="auto"/>
                      <w:sz w:val="18"/>
                      <w:szCs w:val="18"/>
                      <w:highlight w:val="none"/>
                    </w:rPr>
                    <w:t>合理布局钻井现场，尽量选用低噪声设备；制定施工计划时，尽可能避免大量高噪声设备同时施工。同时，高噪声设备施工时间尽量安排在昼间；加强施工管理和设备维护，发现设备存在的问题及时维修，保证设备正常运转；整体设备要安放稳固，并与地面保持良好接触，有条件的应使用减振机座，柴油机、发电机和各种机泵等要安装消声隔声设施，最大限度地降低噪声源的噪声；加强对运输车辆的管理及疏导，尽量压缩施工区汽车数量和行车密度，控制汽车鸣笛。</w:t>
                  </w:r>
                </w:p>
              </w:tc>
            </w:tr>
            <w:tr w14:paraId="20F1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499A457A">
                  <w:pPr>
                    <w:pStyle w:val="3"/>
                    <w:spacing w:line="240" w:lineRule="auto"/>
                    <w:ind w:firstLine="0" w:firstLineChars="0"/>
                    <w:jc w:val="center"/>
                    <w:rPr>
                      <w:color w:val="auto"/>
                      <w:sz w:val="18"/>
                      <w:szCs w:val="18"/>
                      <w:highlight w:val="none"/>
                    </w:rPr>
                  </w:pPr>
                </w:p>
              </w:tc>
              <w:tc>
                <w:tcPr>
                  <w:tcW w:w="581" w:type="pct"/>
                  <w:vMerge w:val="restart"/>
                  <w:tcMar>
                    <w:top w:w="57" w:type="dxa"/>
                    <w:left w:w="108" w:type="dxa"/>
                    <w:bottom w:w="57" w:type="dxa"/>
                    <w:right w:w="108" w:type="dxa"/>
                  </w:tcMar>
                  <w:vAlign w:val="center"/>
                </w:tcPr>
                <w:p w14:paraId="3E6843CB">
                  <w:pPr>
                    <w:pStyle w:val="3"/>
                    <w:spacing w:line="240" w:lineRule="auto"/>
                    <w:ind w:firstLine="0" w:firstLineChars="0"/>
                    <w:jc w:val="center"/>
                    <w:rPr>
                      <w:color w:val="auto"/>
                      <w:sz w:val="18"/>
                      <w:szCs w:val="18"/>
                      <w:highlight w:val="none"/>
                    </w:rPr>
                  </w:pPr>
                  <w:r>
                    <w:rPr>
                      <w:rFonts w:hint="eastAsia"/>
                      <w:color w:val="auto"/>
                      <w:sz w:val="18"/>
                      <w:szCs w:val="18"/>
                      <w:highlight w:val="none"/>
                    </w:rPr>
                    <w:t>固体废物</w:t>
                  </w:r>
                </w:p>
              </w:tc>
              <w:tc>
                <w:tcPr>
                  <w:tcW w:w="565" w:type="pct"/>
                  <w:tcMar>
                    <w:top w:w="57" w:type="dxa"/>
                    <w:left w:w="108" w:type="dxa"/>
                    <w:bottom w:w="57" w:type="dxa"/>
                    <w:right w:w="108" w:type="dxa"/>
                  </w:tcMar>
                  <w:vAlign w:val="center"/>
                </w:tcPr>
                <w:p w14:paraId="40FDA0DB">
                  <w:pPr>
                    <w:pStyle w:val="71"/>
                    <w:numPr>
                      <w:ilvl w:val="0"/>
                      <w:numId w:val="0"/>
                    </w:numPr>
                    <w:spacing w:line="240" w:lineRule="auto"/>
                    <w:jc w:val="center"/>
                    <w:rPr>
                      <w:color w:val="auto"/>
                      <w:sz w:val="18"/>
                      <w:szCs w:val="18"/>
                      <w:highlight w:val="none"/>
                    </w:rPr>
                  </w:pPr>
                  <w:r>
                    <w:rPr>
                      <w:rFonts w:hint="eastAsia"/>
                      <w:color w:val="auto"/>
                      <w:sz w:val="18"/>
                      <w:szCs w:val="18"/>
                      <w:highlight w:val="none"/>
                    </w:rPr>
                    <w:t>钻井固废</w:t>
                  </w:r>
                </w:p>
              </w:tc>
              <w:tc>
                <w:tcPr>
                  <w:tcW w:w="3492" w:type="pct"/>
                  <w:tcMar>
                    <w:top w:w="57" w:type="dxa"/>
                    <w:left w:w="108" w:type="dxa"/>
                    <w:bottom w:w="57" w:type="dxa"/>
                    <w:right w:w="108" w:type="dxa"/>
                  </w:tcMar>
                  <w:vAlign w:val="center"/>
                </w:tcPr>
                <w:p w14:paraId="5D10D0CA">
                  <w:pPr>
                    <w:pStyle w:val="71"/>
                    <w:numPr>
                      <w:ilvl w:val="0"/>
                      <w:numId w:val="0"/>
                    </w:numPr>
                    <w:spacing w:line="240" w:lineRule="auto"/>
                    <w:rPr>
                      <w:color w:val="auto"/>
                      <w:sz w:val="18"/>
                      <w:szCs w:val="18"/>
                      <w:highlight w:val="none"/>
                    </w:rPr>
                  </w:pPr>
                  <w:r>
                    <w:rPr>
                      <w:rFonts w:hint="eastAsia"/>
                      <w:color w:val="auto"/>
                      <w:sz w:val="18"/>
                      <w:szCs w:val="18"/>
                      <w:highlight w:val="none"/>
                    </w:rPr>
                    <w:t>钻井固废采用“泥浆不落地”系统。</w:t>
                  </w:r>
                </w:p>
                <w:p w14:paraId="6926D06A">
                  <w:pPr>
                    <w:pStyle w:val="71"/>
                    <w:spacing w:line="240" w:lineRule="auto"/>
                    <w:ind w:firstLine="0"/>
                    <w:rPr>
                      <w:color w:val="auto"/>
                      <w:sz w:val="18"/>
                      <w:szCs w:val="18"/>
                      <w:highlight w:val="none"/>
                    </w:rPr>
                  </w:pPr>
                  <w:r>
                    <w:rPr>
                      <w:rFonts w:hint="eastAsia"/>
                      <w:color w:val="auto"/>
                      <w:sz w:val="18"/>
                      <w:szCs w:val="18"/>
                      <w:highlight w:val="none"/>
                    </w:rPr>
                    <w:t>导管、一开、二开产生的钻井固废集中拉运至</w:t>
                  </w:r>
                  <w:r>
                    <w:rPr>
                      <w:rFonts w:hint="eastAsia"/>
                      <w:color w:val="auto"/>
                      <w:sz w:val="18"/>
                      <w:szCs w:val="18"/>
                      <w:highlight w:val="none"/>
                      <w:lang w:eastAsia="zh-CN"/>
                    </w:rPr>
                    <w:t>山东奥友环保工程有限责任公司乌苏分公司</w:t>
                  </w:r>
                  <w:r>
                    <w:rPr>
                      <w:rFonts w:hint="eastAsia"/>
                      <w:color w:val="auto"/>
                      <w:sz w:val="18"/>
                      <w:szCs w:val="18"/>
                      <w:highlight w:val="none"/>
                    </w:rPr>
                    <w:t>处理；钻井固废检测达到《油气田钻井固体废物综合利用污染控制要求》（DB65/T 3997-2017）相关标准限值后用于油田区块铺路、铺垫井场综合利用，未达标的产物将进入处置系统再次进行处理，不得随意排放。</w:t>
                  </w:r>
                </w:p>
                <w:p w14:paraId="11165617">
                  <w:pPr>
                    <w:pStyle w:val="71"/>
                    <w:spacing w:line="240" w:lineRule="auto"/>
                    <w:ind w:firstLine="0"/>
                    <w:rPr>
                      <w:color w:val="auto"/>
                      <w:sz w:val="18"/>
                      <w:szCs w:val="18"/>
                      <w:highlight w:val="none"/>
                    </w:rPr>
                  </w:pPr>
                  <w:r>
                    <w:rPr>
                      <w:rFonts w:hint="eastAsia"/>
                      <w:color w:val="auto"/>
                      <w:sz w:val="18"/>
                      <w:szCs w:val="18"/>
                      <w:highlight w:val="none"/>
                    </w:rPr>
                    <w:t>三开产生的钻井固废（H</w:t>
                  </w:r>
                  <w:r>
                    <w:rPr>
                      <w:color w:val="auto"/>
                      <w:sz w:val="18"/>
                      <w:szCs w:val="18"/>
                      <w:highlight w:val="none"/>
                    </w:rPr>
                    <w:t>W08 071-002-08</w:t>
                  </w:r>
                  <w:r>
                    <w:rPr>
                      <w:rFonts w:hint="eastAsia"/>
                      <w:color w:val="auto"/>
                      <w:sz w:val="18"/>
                      <w:szCs w:val="18"/>
                      <w:highlight w:val="none"/>
                    </w:rPr>
                    <w:t>）属于危险废物，委托有资质单位清运处置。</w:t>
                  </w:r>
                </w:p>
              </w:tc>
            </w:tr>
            <w:tr w14:paraId="0BCF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69DCF989">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5D5DFBB2">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798DD053">
                  <w:pPr>
                    <w:pStyle w:val="71"/>
                    <w:numPr>
                      <w:ilvl w:val="0"/>
                      <w:numId w:val="0"/>
                    </w:numPr>
                    <w:spacing w:line="240" w:lineRule="auto"/>
                    <w:jc w:val="center"/>
                    <w:rPr>
                      <w:color w:val="auto"/>
                      <w:sz w:val="18"/>
                      <w:szCs w:val="18"/>
                      <w:highlight w:val="none"/>
                    </w:rPr>
                  </w:pPr>
                  <w:r>
                    <w:rPr>
                      <w:rFonts w:hint="eastAsia"/>
                      <w:color w:val="auto"/>
                      <w:sz w:val="18"/>
                      <w:szCs w:val="18"/>
                      <w:highlight w:val="none"/>
                    </w:rPr>
                    <w:t>废防渗材料</w:t>
                  </w:r>
                </w:p>
              </w:tc>
              <w:tc>
                <w:tcPr>
                  <w:tcW w:w="3492" w:type="pct"/>
                  <w:tcMar>
                    <w:top w:w="57" w:type="dxa"/>
                    <w:left w:w="108" w:type="dxa"/>
                    <w:bottom w:w="57" w:type="dxa"/>
                    <w:right w:w="108" w:type="dxa"/>
                  </w:tcMar>
                  <w:vAlign w:val="center"/>
                </w:tcPr>
                <w:p w14:paraId="507DF93C">
                  <w:pPr>
                    <w:pStyle w:val="71"/>
                    <w:numPr>
                      <w:ilvl w:val="0"/>
                      <w:numId w:val="0"/>
                    </w:numPr>
                    <w:spacing w:line="240" w:lineRule="auto"/>
                    <w:rPr>
                      <w:color w:val="auto"/>
                      <w:sz w:val="18"/>
                      <w:szCs w:val="18"/>
                      <w:highlight w:val="none"/>
                    </w:rPr>
                  </w:pPr>
                  <w:r>
                    <w:rPr>
                      <w:rFonts w:hint="eastAsia"/>
                      <w:color w:val="auto"/>
                      <w:sz w:val="18"/>
                      <w:szCs w:val="18"/>
                      <w:highlight w:val="none"/>
                    </w:rPr>
                    <w:t>重点防渗区</w:t>
                  </w:r>
                  <w:bookmarkStart w:id="20" w:name="OLE_LINK12"/>
                  <w:r>
                    <w:rPr>
                      <w:rFonts w:hint="eastAsia"/>
                      <w:color w:val="auto"/>
                      <w:sz w:val="18"/>
                      <w:szCs w:val="18"/>
                      <w:highlight w:val="none"/>
                    </w:rPr>
                    <w:t>铺设环保型HDPE防渗材料</w:t>
                  </w:r>
                  <w:bookmarkEnd w:id="20"/>
                  <w:r>
                    <w:rPr>
                      <w:rFonts w:hint="eastAsia"/>
                      <w:color w:val="auto"/>
                      <w:sz w:val="18"/>
                      <w:szCs w:val="18"/>
                      <w:highlight w:val="none"/>
                    </w:rPr>
                    <w:t>，防渗材料循环利用，使用过程中如产生不可利用的废防渗材料（HW08</w:t>
                  </w:r>
                  <w:r>
                    <w:rPr>
                      <w:color w:val="auto"/>
                      <w:sz w:val="18"/>
                      <w:szCs w:val="18"/>
                      <w:highlight w:val="none"/>
                    </w:rPr>
                    <w:t xml:space="preserve"> </w:t>
                  </w:r>
                  <w:r>
                    <w:rPr>
                      <w:rFonts w:hint="eastAsia"/>
                      <w:color w:val="auto"/>
                      <w:sz w:val="18"/>
                      <w:szCs w:val="18"/>
                      <w:highlight w:val="none"/>
                    </w:rPr>
                    <w:t>900-249-08），暂存于危废贮存点，定期委托有资质单位处置。</w:t>
                  </w:r>
                </w:p>
              </w:tc>
            </w:tr>
            <w:tr w14:paraId="6EFE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2DC9B7B6">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2E99921E">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548749EF">
                  <w:pPr>
                    <w:pStyle w:val="71"/>
                    <w:numPr>
                      <w:ilvl w:val="0"/>
                      <w:numId w:val="0"/>
                    </w:numPr>
                    <w:spacing w:line="240" w:lineRule="auto"/>
                    <w:jc w:val="center"/>
                    <w:rPr>
                      <w:color w:val="auto"/>
                      <w:sz w:val="18"/>
                      <w:szCs w:val="18"/>
                      <w:highlight w:val="none"/>
                    </w:rPr>
                  </w:pPr>
                  <w:r>
                    <w:rPr>
                      <w:rFonts w:hint="eastAsia"/>
                      <w:color w:val="auto"/>
                      <w:sz w:val="18"/>
                      <w:szCs w:val="18"/>
                      <w:highlight w:val="none"/>
                    </w:rPr>
                    <w:t>废润滑油、废润滑油桶、废弃的含油抹布、劳保用品</w:t>
                  </w:r>
                </w:p>
              </w:tc>
              <w:tc>
                <w:tcPr>
                  <w:tcW w:w="3492" w:type="pct"/>
                  <w:tcMar>
                    <w:top w:w="57" w:type="dxa"/>
                    <w:left w:w="108" w:type="dxa"/>
                    <w:bottom w:w="57" w:type="dxa"/>
                    <w:right w:w="108" w:type="dxa"/>
                  </w:tcMar>
                  <w:vAlign w:val="center"/>
                </w:tcPr>
                <w:p w14:paraId="652C4923">
                  <w:pPr>
                    <w:pStyle w:val="71"/>
                    <w:numPr>
                      <w:ilvl w:val="0"/>
                      <w:numId w:val="0"/>
                    </w:numPr>
                    <w:spacing w:line="240" w:lineRule="auto"/>
                    <w:rPr>
                      <w:color w:val="auto"/>
                      <w:sz w:val="18"/>
                      <w:szCs w:val="18"/>
                      <w:highlight w:val="none"/>
                    </w:rPr>
                  </w:pPr>
                  <w:r>
                    <w:rPr>
                      <w:rFonts w:hint="eastAsia"/>
                      <w:color w:val="auto"/>
                      <w:sz w:val="18"/>
                      <w:szCs w:val="18"/>
                      <w:highlight w:val="none"/>
                    </w:rPr>
                    <w:t>废润滑油（H</w:t>
                  </w:r>
                  <w:r>
                    <w:rPr>
                      <w:color w:val="auto"/>
                      <w:sz w:val="18"/>
                      <w:szCs w:val="18"/>
                      <w:highlight w:val="none"/>
                    </w:rPr>
                    <w:t>W08 900-217-08</w:t>
                  </w:r>
                  <w:r>
                    <w:rPr>
                      <w:rFonts w:hint="eastAsia"/>
                      <w:color w:val="auto"/>
                      <w:sz w:val="18"/>
                      <w:szCs w:val="18"/>
                      <w:highlight w:val="none"/>
                    </w:rPr>
                    <w:t>）、废润滑油桶（H</w:t>
                  </w:r>
                  <w:r>
                    <w:rPr>
                      <w:color w:val="auto"/>
                      <w:sz w:val="18"/>
                      <w:szCs w:val="18"/>
                      <w:highlight w:val="none"/>
                    </w:rPr>
                    <w:t>W08 900-249-08</w:t>
                  </w:r>
                  <w:r>
                    <w:rPr>
                      <w:rFonts w:hint="eastAsia"/>
                      <w:color w:val="auto"/>
                      <w:sz w:val="18"/>
                      <w:szCs w:val="18"/>
                      <w:highlight w:val="none"/>
                    </w:rPr>
                    <w:t>）、废弃的含油抹布、劳保用品（HW49 900-041-49），前述危险废物暂存于危废贮存点，定期委托有资质单位处置。</w:t>
                  </w:r>
                </w:p>
              </w:tc>
            </w:tr>
            <w:tr w14:paraId="2A0B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3C111E2D">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77BF7EEF">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087587D2">
                  <w:pPr>
                    <w:pStyle w:val="71"/>
                    <w:numPr>
                      <w:ilvl w:val="0"/>
                      <w:numId w:val="0"/>
                    </w:numPr>
                    <w:spacing w:line="240" w:lineRule="auto"/>
                    <w:jc w:val="center"/>
                    <w:rPr>
                      <w:color w:val="auto"/>
                      <w:sz w:val="18"/>
                      <w:szCs w:val="18"/>
                      <w:highlight w:val="none"/>
                    </w:rPr>
                  </w:pPr>
                  <w:r>
                    <w:rPr>
                      <w:rFonts w:hint="eastAsia"/>
                      <w:color w:val="auto"/>
                      <w:sz w:val="18"/>
                      <w:szCs w:val="18"/>
                      <w:highlight w:val="none"/>
                    </w:rPr>
                    <w:t>废弃包装物</w:t>
                  </w:r>
                </w:p>
              </w:tc>
              <w:tc>
                <w:tcPr>
                  <w:tcW w:w="3492" w:type="pct"/>
                  <w:tcMar>
                    <w:top w:w="57" w:type="dxa"/>
                    <w:left w:w="108" w:type="dxa"/>
                    <w:bottom w:w="57" w:type="dxa"/>
                    <w:right w:w="108" w:type="dxa"/>
                  </w:tcMar>
                  <w:vAlign w:val="center"/>
                </w:tcPr>
                <w:p w14:paraId="1FE83378">
                  <w:pPr>
                    <w:pStyle w:val="71"/>
                    <w:numPr>
                      <w:ilvl w:val="0"/>
                      <w:numId w:val="0"/>
                    </w:numPr>
                    <w:spacing w:line="240" w:lineRule="auto"/>
                    <w:rPr>
                      <w:color w:val="auto"/>
                      <w:sz w:val="18"/>
                      <w:szCs w:val="18"/>
                      <w:highlight w:val="none"/>
                    </w:rPr>
                  </w:pPr>
                  <w:r>
                    <w:rPr>
                      <w:rFonts w:hint="eastAsia"/>
                      <w:color w:val="auto"/>
                      <w:sz w:val="18"/>
                      <w:szCs w:val="18"/>
                      <w:highlight w:val="none"/>
                    </w:rPr>
                    <w:t>属于危险废物</w:t>
                  </w:r>
                  <w:r>
                    <w:rPr>
                      <w:rFonts w:hint="eastAsia"/>
                      <w:color w:val="auto"/>
                      <w:sz w:val="18"/>
                      <w:szCs w:val="18"/>
                      <w:highlight w:val="none"/>
                      <w:lang w:val="en-US" w:eastAsia="zh-CN"/>
                    </w:rPr>
                    <w:t>的</w:t>
                  </w:r>
                  <w:r>
                    <w:rPr>
                      <w:rFonts w:hint="eastAsia"/>
                      <w:color w:val="auto"/>
                      <w:sz w:val="18"/>
                      <w:szCs w:val="18"/>
                      <w:highlight w:val="none"/>
                      <w:lang w:eastAsia="zh-CN"/>
                    </w:rPr>
                    <w:t>废弃包装物</w:t>
                  </w:r>
                  <w:r>
                    <w:rPr>
                      <w:rFonts w:hint="eastAsia"/>
                      <w:color w:val="auto"/>
                      <w:sz w:val="18"/>
                      <w:szCs w:val="18"/>
                      <w:highlight w:val="none"/>
                    </w:rPr>
                    <w:t>（HW49</w:t>
                  </w:r>
                  <w:r>
                    <w:rPr>
                      <w:color w:val="auto"/>
                      <w:sz w:val="18"/>
                      <w:szCs w:val="18"/>
                      <w:highlight w:val="none"/>
                    </w:rPr>
                    <w:t xml:space="preserve"> </w:t>
                  </w:r>
                  <w:r>
                    <w:rPr>
                      <w:rFonts w:hint="eastAsia"/>
                      <w:color w:val="auto"/>
                      <w:sz w:val="18"/>
                      <w:szCs w:val="18"/>
                      <w:highlight w:val="none"/>
                    </w:rPr>
                    <w:t>900-041-49</w:t>
                  </w:r>
                  <w:r>
                    <w:rPr>
                      <w:rFonts w:hint="eastAsia"/>
                      <w:color w:val="auto"/>
                      <w:sz w:val="18"/>
                      <w:szCs w:val="18"/>
                      <w:highlight w:val="none"/>
                      <w:lang w:eastAsia="zh-CN"/>
                    </w:rPr>
                    <w:t>）</w:t>
                  </w:r>
                  <w:r>
                    <w:rPr>
                      <w:rFonts w:hint="eastAsia"/>
                      <w:color w:val="auto"/>
                      <w:sz w:val="18"/>
                      <w:szCs w:val="18"/>
                      <w:highlight w:val="none"/>
                      <w:lang w:val="en-US" w:eastAsia="zh-CN"/>
                    </w:rPr>
                    <w:t>交由</w:t>
                  </w:r>
                  <w:r>
                    <w:rPr>
                      <w:rFonts w:hint="eastAsia"/>
                      <w:color w:val="auto"/>
                      <w:sz w:val="18"/>
                      <w:szCs w:val="18"/>
                      <w:highlight w:val="none"/>
                    </w:rPr>
                    <w:t>有资质单位</w:t>
                  </w:r>
                  <w:r>
                    <w:rPr>
                      <w:rFonts w:hint="eastAsia"/>
                      <w:color w:val="auto"/>
                      <w:sz w:val="18"/>
                      <w:szCs w:val="18"/>
                      <w:highlight w:val="none"/>
                      <w:lang w:val="en-US" w:eastAsia="zh-CN"/>
                    </w:rPr>
                    <w:t>进行处理</w:t>
                  </w:r>
                  <w:r>
                    <w:rPr>
                      <w:rFonts w:hint="eastAsia"/>
                      <w:color w:val="auto"/>
                      <w:sz w:val="18"/>
                      <w:szCs w:val="18"/>
                      <w:highlight w:val="none"/>
                    </w:rPr>
                    <w:t>；属于一般固废</w:t>
                  </w:r>
                  <w:r>
                    <w:rPr>
                      <w:rFonts w:hint="eastAsia"/>
                      <w:color w:val="auto"/>
                      <w:sz w:val="18"/>
                      <w:szCs w:val="18"/>
                      <w:highlight w:val="none"/>
                      <w:lang w:val="en-US" w:eastAsia="zh-CN"/>
                    </w:rPr>
                    <w:t>的</w:t>
                  </w:r>
                  <w:r>
                    <w:rPr>
                      <w:rFonts w:hint="eastAsia"/>
                      <w:color w:val="auto"/>
                      <w:sz w:val="18"/>
                      <w:szCs w:val="18"/>
                      <w:highlight w:val="none"/>
                      <w:lang w:eastAsia="zh-CN"/>
                    </w:rPr>
                    <w:t>废弃包装物（</w:t>
                  </w:r>
                  <w:r>
                    <w:rPr>
                      <w:rFonts w:hint="eastAsia"/>
                      <w:color w:val="auto"/>
                      <w:sz w:val="18"/>
                      <w:szCs w:val="18"/>
                      <w:highlight w:val="none"/>
                      <w:lang w:val="en-US" w:eastAsia="zh-CN"/>
                    </w:rPr>
                    <w:t>900-003-S17</w:t>
                  </w:r>
                  <w:r>
                    <w:rPr>
                      <w:rFonts w:hint="eastAsia"/>
                      <w:color w:val="auto"/>
                      <w:sz w:val="18"/>
                      <w:szCs w:val="18"/>
                      <w:highlight w:val="none"/>
                      <w:lang w:eastAsia="zh-CN"/>
                    </w:rPr>
                    <w:t>）</w:t>
                  </w:r>
                  <w:r>
                    <w:rPr>
                      <w:rFonts w:hint="eastAsia"/>
                      <w:color w:val="auto"/>
                      <w:sz w:val="18"/>
                      <w:szCs w:val="18"/>
                      <w:highlight w:val="none"/>
                    </w:rPr>
                    <w:t>由供货厂家回收利用。</w:t>
                  </w:r>
                </w:p>
              </w:tc>
            </w:tr>
            <w:tr w14:paraId="7242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0FB80D94">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22EDA482">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11CCDC7B">
                  <w:pPr>
                    <w:pStyle w:val="71"/>
                    <w:numPr>
                      <w:ilvl w:val="0"/>
                      <w:numId w:val="0"/>
                    </w:numPr>
                    <w:spacing w:line="240" w:lineRule="auto"/>
                    <w:jc w:val="center"/>
                    <w:rPr>
                      <w:color w:val="auto"/>
                      <w:sz w:val="18"/>
                      <w:szCs w:val="18"/>
                      <w:highlight w:val="none"/>
                    </w:rPr>
                  </w:pPr>
                  <w:r>
                    <w:rPr>
                      <w:rFonts w:hint="eastAsia"/>
                      <w:color w:val="auto"/>
                      <w:sz w:val="18"/>
                      <w:szCs w:val="18"/>
                      <w:highlight w:val="none"/>
                    </w:rPr>
                    <w:t>危废贮存点</w:t>
                  </w:r>
                </w:p>
              </w:tc>
              <w:tc>
                <w:tcPr>
                  <w:tcW w:w="3492" w:type="pct"/>
                  <w:tcMar>
                    <w:top w:w="57" w:type="dxa"/>
                    <w:left w:w="108" w:type="dxa"/>
                    <w:bottom w:w="57" w:type="dxa"/>
                    <w:right w:w="108" w:type="dxa"/>
                  </w:tcMar>
                  <w:vAlign w:val="center"/>
                </w:tcPr>
                <w:p w14:paraId="7B331892">
                  <w:pPr>
                    <w:pStyle w:val="71"/>
                    <w:numPr>
                      <w:ilvl w:val="0"/>
                      <w:numId w:val="0"/>
                    </w:numPr>
                    <w:spacing w:line="240" w:lineRule="auto"/>
                    <w:rPr>
                      <w:color w:val="auto"/>
                      <w:sz w:val="18"/>
                      <w:szCs w:val="18"/>
                      <w:highlight w:val="none"/>
                    </w:rPr>
                  </w:pPr>
                  <w:r>
                    <w:rPr>
                      <w:rFonts w:hint="eastAsia"/>
                      <w:color w:val="auto"/>
                      <w:sz w:val="18"/>
                      <w:szCs w:val="18"/>
                      <w:highlight w:val="none"/>
                    </w:rPr>
                    <w:t>在井场内新建1处危废贮存点，面积为1</w:t>
                  </w:r>
                  <w:r>
                    <w:rPr>
                      <w:color w:val="auto"/>
                      <w:sz w:val="18"/>
                      <w:szCs w:val="18"/>
                      <w:highlight w:val="none"/>
                    </w:rPr>
                    <w:t>0</w:t>
                  </w:r>
                  <w:r>
                    <w:rPr>
                      <w:rFonts w:hint="eastAsia"/>
                      <w:color w:val="auto"/>
                      <w:sz w:val="18"/>
                      <w:szCs w:val="18"/>
                      <w:highlight w:val="none"/>
                    </w:rPr>
                    <w:t>m</w:t>
                  </w:r>
                  <w:r>
                    <w:rPr>
                      <w:color w:val="auto"/>
                      <w:sz w:val="18"/>
                      <w:szCs w:val="18"/>
                      <w:highlight w:val="none"/>
                      <w:vertAlign w:val="superscript"/>
                    </w:rPr>
                    <w:t>2</w:t>
                  </w:r>
                  <w:r>
                    <w:rPr>
                      <w:rFonts w:hint="eastAsia"/>
                      <w:color w:val="auto"/>
                      <w:sz w:val="18"/>
                      <w:szCs w:val="18"/>
                      <w:highlight w:val="none"/>
                    </w:rPr>
                    <w:t>，选址远离油罐等危险区域，按照《危险废物贮存污染控制标准》（GB 18597-2023）建设，危险废物贮存点内分区暂存各类危险废物。</w:t>
                  </w:r>
                </w:p>
              </w:tc>
            </w:tr>
            <w:tr w14:paraId="2901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29B161B4">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5C56A529">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0FCC4272">
                  <w:pPr>
                    <w:pStyle w:val="71"/>
                    <w:numPr>
                      <w:ilvl w:val="0"/>
                      <w:numId w:val="0"/>
                    </w:numPr>
                    <w:spacing w:line="240" w:lineRule="auto"/>
                    <w:jc w:val="center"/>
                    <w:rPr>
                      <w:rFonts w:hint="eastAsia"/>
                      <w:color w:val="auto"/>
                      <w:sz w:val="18"/>
                      <w:szCs w:val="18"/>
                      <w:highlight w:val="none"/>
                    </w:rPr>
                  </w:pPr>
                  <w:r>
                    <w:rPr>
                      <w:rFonts w:hint="eastAsia"/>
                      <w:color w:val="auto"/>
                      <w:sz w:val="18"/>
                      <w:szCs w:val="18"/>
                      <w:highlight w:val="none"/>
                      <w:lang w:val="en-US" w:eastAsia="zh-CN"/>
                    </w:rPr>
                    <w:t>一般固废暂存间</w:t>
                  </w:r>
                </w:p>
              </w:tc>
              <w:tc>
                <w:tcPr>
                  <w:tcW w:w="3492" w:type="pct"/>
                  <w:tcMar>
                    <w:top w:w="57" w:type="dxa"/>
                    <w:left w:w="108" w:type="dxa"/>
                    <w:bottom w:w="57" w:type="dxa"/>
                    <w:right w:w="108" w:type="dxa"/>
                  </w:tcMar>
                  <w:vAlign w:val="center"/>
                </w:tcPr>
                <w:p w14:paraId="20F7AF7D">
                  <w:pPr>
                    <w:pStyle w:val="71"/>
                    <w:numPr>
                      <w:ilvl w:val="0"/>
                      <w:numId w:val="0"/>
                    </w:numPr>
                    <w:spacing w:line="240" w:lineRule="auto"/>
                    <w:rPr>
                      <w:rFonts w:hint="eastAsia"/>
                      <w:color w:val="auto"/>
                      <w:sz w:val="18"/>
                      <w:szCs w:val="18"/>
                      <w:highlight w:val="none"/>
                    </w:rPr>
                  </w:pPr>
                  <w:r>
                    <w:rPr>
                      <w:rFonts w:hint="eastAsia"/>
                      <w:color w:val="auto"/>
                      <w:sz w:val="18"/>
                      <w:szCs w:val="18"/>
                      <w:highlight w:val="none"/>
                    </w:rPr>
                    <w:t>在井场内新建1处</w:t>
                  </w:r>
                  <w:r>
                    <w:rPr>
                      <w:rFonts w:hint="eastAsia"/>
                      <w:color w:val="auto"/>
                      <w:sz w:val="18"/>
                      <w:szCs w:val="18"/>
                      <w:highlight w:val="none"/>
                      <w:lang w:val="en-US" w:eastAsia="zh-CN"/>
                    </w:rPr>
                    <w:t>一般固废暂存间</w:t>
                  </w:r>
                  <w:r>
                    <w:rPr>
                      <w:rFonts w:hint="eastAsia"/>
                      <w:color w:val="auto"/>
                      <w:sz w:val="18"/>
                      <w:szCs w:val="18"/>
                      <w:highlight w:val="none"/>
                    </w:rPr>
                    <w:t>，面积为1</w:t>
                  </w:r>
                  <w:r>
                    <w:rPr>
                      <w:color w:val="auto"/>
                      <w:sz w:val="18"/>
                      <w:szCs w:val="18"/>
                      <w:highlight w:val="none"/>
                    </w:rPr>
                    <w:t>0</w:t>
                  </w:r>
                  <w:r>
                    <w:rPr>
                      <w:rFonts w:hint="eastAsia"/>
                      <w:color w:val="auto"/>
                      <w:sz w:val="18"/>
                      <w:szCs w:val="18"/>
                      <w:highlight w:val="none"/>
                    </w:rPr>
                    <w:t>m</w:t>
                  </w:r>
                  <w:r>
                    <w:rPr>
                      <w:color w:val="auto"/>
                      <w:sz w:val="18"/>
                      <w:szCs w:val="18"/>
                      <w:highlight w:val="none"/>
                      <w:vertAlign w:val="superscript"/>
                    </w:rPr>
                    <w:t>2</w:t>
                  </w:r>
                  <w:r>
                    <w:rPr>
                      <w:rFonts w:hint="eastAsia"/>
                      <w:color w:val="auto"/>
                      <w:sz w:val="18"/>
                      <w:szCs w:val="18"/>
                      <w:highlight w:val="none"/>
                    </w:rPr>
                    <w:t>，</w:t>
                  </w:r>
                </w:p>
              </w:tc>
            </w:tr>
            <w:tr w14:paraId="16F6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556939FB">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0379F689">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78F39738">
                  <w:pPr>
                    <w:pStyle w:val="71"/>
                    <w:numPr>
                      <w:ilvl w:val="0"/>
                      <w:numId w:val="0"/>
                    </w:numPr>
                    <w:spacing w:line="240" w:lineRule="auto"/>
                    <w:jc w:val="center"/>
                    <w:rPr>
                      <w:color w:val="auto"/>
                      <w:sz w:val="18"/>
                      <w:szCs w:val="18"/>
                      <w:highlight w:val="none"/>
                    </w:rPr>
                  </w:pPr>
                  <w:r>
                    <w:rPr>
                      <w:rFonts w:hint="eastAsia"/>
                      <w:color w:val="auto"/>
                      <w:sz w:val="18"/>
                      <w:szCs w:val="18"/>
                      <w:highlight w:val="none"/>
                    </w:rPr>
                    <w:t>生活垃圾</w:t>
                  </w:r>
                </w:p>
              </w:tc>
              <w:tc>
                <w:tcPr>
                  <w:tcW w:w="3492" w:type="pct"/>
                  <w:tcMar>
                    <w:top w:w="57" w:type="dxa"/>
                    <w:left w:w="108" w:type="dxa"/>
                    <w:bottom w:w="57" w:type="dxa"/>
                    <w:right w:w="108" w:type="dxa"/>
                  </w:tcMar>
                  <w:vAlign w:val="center"/>
                </w:tcPr>
                <w:p w14:paraId="33FD496C">
                  <w:pPr>
                    <w:pStyle w:val="71"/>
                    <w:numPr>
                      <w:ilvl w:val="0"/>
                      <w:numId w:val="0"/>
                    </w:numPr>
                    <w:spacing w:line="240" w:lineRule="auto"/>
                    <w:rPr>
                      <w:color w:val="auto"/>
                      <w:sz w:val="18"/>
                      <w:szCs w:val="18"/>
                      <w:highlight w:val="none"/>
                    </w:rPr>
                  </w:pPr>
                  <w:r>
                    <w:rPr>
                      <w:rFonts w:hint="eastAsia"/>
                      <w:color w:val="auto"/>
                      <w:sz w:val="18"/>
                      <w:szCs w:val="18"/>
                      <w:highlight w:val="none"/>
                    </w:rPr>
                    <w:t>在井场内新建1个生活垃圾收集箱，用于生活垃圾的临时储存，定期拉运至阜康市</w:t>
                  </w:r>
                  <w:r>
                    <w:rPr>
                      <w:rFonts w:hint="eastAsia"/>
                      <w:color w:val="auto"/>
                      <w:sz w:val="18"/>
                      <w:szCs w:val="18"/>
                      <w:highlight w:val="none"/>
                      <w:lang w:val="en-US" w:eastAsia="zh-CN"/>
                    </w:rPr>
                    <w:t>宏翔环境卫生服务有限公司阜康市生活垃圾填埋场处理。</w:t>
                  </w:r>
                </w:p>
              </w:tc>
            </w:tr>
            <w:tr w14:paraId="0A2D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0CAC7575">
                  <w:pPr>
                    <w:pStyle w:val="3"/>
                    <w:spacing w:line="240" w:lineRule="auto"/>
                    <w:ind w:firstLine="0" w:firstLineChars="0"/>
                    <w:jc w:val="center"/>
                    <w:rPr>
                      <w:color w:val="auto"/>
                      <w:sz w:val="18"/>
                      <w:szCs w:val="18"/>
                      <w:highlight w:val="none"/>
                    </w:rPr>
                  </w:pPr>
                </w:p>
              </w:tc>
              <w:tc>
                <w:tcPr>
                  <w:tcW w:w="581" w:type="pct"/>
                  <w:vMerge w:val="restart"/>
                  <w:tcMar>
                    <w:top w:w="57" w:type="dxa"/>
                    <w:left w:w="108" w:type="dxa"/>
                    <w:bottom w:w="57" w:type="dxa"/>
                    <w:right w:w="108" w:type="dxa"/>
                  </w:tcMar>
                  <w:vAlign w:val="center"/>
                </w:tcPr>
                <w:p w14:paraId="4F22B363">
                  <w:pPr>
                    <w:pStyle w:val="3"/>
                    <w:spacing w:line="240" w:lineRule="auto"/>
                    <w:ind w:firstLine="0" w:firstLineChars="0"/>
                    <w:jc w:val="center"/>
                    <w:rPr>
                      <w:color w:val="auto"/>
                      <w:sz w:val="18"/>
                      <w:szCs w:val="18"/>
                      <w:highlight w:val="none"/>
                    </w:rPr>
                  </w:pPr>
                  <w:r>
                    <w:rPr>
                      <w:rFonts w:hint="eastAsia"/>
                      <w:color w:val="auto"/>
                      <w:sz w:val="18"/>
                      <w:szCs w:val="18"/>
                      <w:highlight w:val="none"/>
                    </w:rPr>
                    <w:t>环境风险</w:t>
                  </w:r>
                </w:p>
              </w:tc>
              <w:tc>
                <w:tcPr>
                  <w:tcW w:w="565" w:type="pct"/>
                  <w:tcMar>
                    <w:top w:w="57" w:type="dxa"/>
                    <w:left w:w="108" w:type="dxa"/>
                    <w:bottom w:w="57" w:type="dxa"/>
                    <w:right w:w="108" w:type="dxa"/>
                  </w:tcMar>
                  <w:vAlign w:val="center"/>
                </w:tcPr>
                <w:p w14:paraId="0148CB6A">
                  <w:pPr>
                    <w:pStyle w:val="71"/>
                    <w:numPr>
                      <w:ilvl w:val="0"/>
                      <w:numId w:val="0"/>
                    </w:numPr>
                    <w:spacing w:line="240" w:lineRule="auto"/>
                    <w:jc w:val="center"/>
                    <w:rPr>
                      <w:color w:val="auto"/>
                      <w:sz w:val="18"/>
                      <w:szCs w:val="18"/>
                      <w:highlight w:val="none"/>
                    </w:rPr>
                  </w:pPr>
                  <w:r>
                    <w:rPr>
                      <w:rFonts w:hint="eastAsia"/>
                      <w:color w:val="auto"/>
                      <w:sz w:val="18"/>
                      <w:szCs w:val="18"/>
                      <w:highlight w:val="none"/>
                    </w:rPr>
                    <w:t>放喷池及通道</w:t>
                  </w:r>
                </w:p>
              </w:tc>
              <w:tc>
                <w:tcPr>
                  <w:tcW w:w="3492" w:type="pct"/>
                  <w:tcMar>
                    <w:top w:w="57" w:type="dxa"/>
                    <w:left w:w="108" w:type="dxa"/>
                    <w:bottom w:w="57" w:type="dxa"/>
                    <w:right w:w="108" w:type="dxa"/>
                  </w:tcMar>
                  <w:vAlign w:val="center"/>
                </w:tcPr>
                <w:p w14:paraId="60B04AF1">
                  <w:pPr>
                    <w:pStyle w:val="71"/>
                    <w:numPr>
                      <w:ilvl w:val="0"/>
                      <w:numId w:val="0"/>
                    </w:numPr>
                    <w:spacing w:line="240" w:lineRule="auto"/>
                    <w:rPr>
                      <w:color w:val="auto"/>
                      <w:sz w:val="18"/>
                      <w:szCs w:val="18"/>
                      <w:highlight w:val="none"/>
                    </w:rPr>
                  </w:pPr>
                  <w:r>
                    <w:rPr>
                      <w:rFonts w:hint="eastAsia"/>
                      <w:color w:val="auto"/>
                      <w:sz w:val="18"/>
                      <w:szCs w:val="18"/>
                      <w:highlight w:val="none"/>
                    </w:rPr>
                    <w:t>在井场外新建</w:t>
                  </w:r>
                  <w:r>
                    <w:rPr>
                      <w:color w:val="auto"/>
                      <w:sz w:val="18"/>
                      <w:szCs w:val="18"/>
                      <w:highlight w:val="none"/>
                    </w:rPr>
                    <w:t>2</w:t>
                  </w:r>
                  <w:r>
                    <w:rPr>
                      <w:rFonts w:hint="eastAsia"/>
                      <w:color w:val="auto"/>
                      <w:sz w:val="18"/>
                      <w:szCs w:val="18"/>
                      <w:highlight w:val="none"/>
                    </w:rPr>
                    <w:t>座放喷池，占地面积为</w:t>
                  </w:r>
                  <w:bookmarkStart w:id="21" w:name="OLE_LINK19"/>
                  <w:r>
                    <w:rPr>
                      <w:rFonts w:hint="eastAsia"/>
                      <w:color w:val="auto"/>
                      <w:sz w:val="18"/>
                      <w:szCs w:val="18"/>
                      <w:highlight w:val="none"/>
                    </w:rPr>
                    <w:t>1</w:t>
                  </w:r>
                  <w:r>
                    <w:rPr>
                      <w:color w:val="auto"/>
                      <w:sz w:val="18"/>
                      <w:szCs w:val="18"/>
                      <w:highlight w:val="none"/>
                    </w:rPr>
                    <w:t>92</w:t>
                  </w:r>
                  <w:bookmarkEnd w:id="21"/>
                  <w:r>
                    <w:rPr>
                      <w:rFonts w:hint="eastAsia"/>
                      <w:color w:val="auto"/>
                      <w:sz w:val="18"/>
                      <w:szCs w:val="18"/>
                      <w:highlight w:val="none"/>
                    </w:rPr>
                    <w:t>m</w:t>
                  </w:r>
                  <w:r>
                    <w:rPr>
                      <w:color w:val="auto"/>
                      <w:sz w:val="18"/>
                      <w:szCs w:val="18"/>
                      <w:highlight w:val="none"/>
                      <w:vertAlign w:val="superscript"/>
                    </w:rPr>
                    <w:t>2</w:t>
                  </w:r>
                  <w:r>
                    <w:rPr>
                      <w:rFonts w:hint="eastAsia"/>
                      <w:color w:val="auto"/>
                      <w:sz w:val="18"/>
                      <w:szCs w:val="18"/>
                      <w:highlight w:val="none"/>
                    </w:rPr>
                    <w:t>（2×</w:t>
                  </w:r>
                  <w:r>
                    <w:rPr>
                      <w:color w:val="auto"/>
                      <w:sz w:val="18"/>
                      <w:szCs w:val="18"/>
                      <w:highlight w:val="none"/>
                    </w:rPr>
                    <w:t>12</w:t>
                  </w:r>
                  <w:r>
                    <w:rPr>
                      <w:rFonts w:hint="eastAsia"/>
                      <w:color w:val="auto"/>
                      <w:sz w:val="18"/>
                      <w:szCs w:val="18"/>
                      <w:highlight w:val="none"/>
                    </w:rPr>
                    <w:t>m×</w:t>
                  </w:r>
                  <w:r>
                    <w:rPr>
                      <w:color w:val="auto"/>
                      <w:sz w:val="18"/>
                      <w:szCs w:val="18"/>
                      <w:highlight w:val="none"/>
                    </w:rPr>
                    <w:t>8</w:t>
                  </w:r>
                  <w:r>
                    <w:rPr>
                      <w:rFonts w:hint="eastAsia"/>
                      <w:color w:val="auto"/>
                      <w:sz w:val="18"/>
                      <w:szCs w:val="18"/>
                      <w:highlight w:val="none"/>
                    </w:rPr>
                    <w:t>m，深2</w:t>
                  </w:r>
                  <w:r>
                    <w:rPr>
                      <w:color w:val="auto"/>
                      <w:sz w:val="18"/>
                      <w:szCs w:val="18"/>
                      <w:highlight w:val="none"/>
                    </w:rPr>
                    <w:t>.5</w:t>
                  </w:r>
                  <w:r>
                    <w:rPr>
                      <w:rFonts w:hint="eastAsia"/>
                      <w:color w:val="auto"/>
                      <w:sz w:val="18"/>
                      <w:szCs w:val="18"/>
                      <w:highlight w:val="none"/>
                    </w:rPr>
                    <w:t>m）。铺设环保型HDPE防渗材料（渗透系数K≤1×10</w:t>
                  </w:r>
                  <w:r>
                    <w:rPr>
                      <w:rFonts w:hint="eastAsia"/>
                      <w:color w:val="auto"/>
                      <w:sz w:val="18"/>
                      <w:szCs w:val="18"/>
                      <w:highlight w:val="none"/>
                      <w:vertAlign w:val="superscript"/>
                    </w:rPr>
                    <w:t>-10</w:t>
                  </w:r>
                  <w:r>
                    <w:rPr>
                      <w:rFonts w:hint="eastAsia"/>
                      <w:color w:val="auto"/>
                      <w:sz w:val="18"/>
                      <w:szCs w:val="18"/>
                      <w:highlight w:val="none"/>
                    </w:rPr>
                    <w:t>cm/s），用于事故状况下的井口喷出物以及伴生气放喷燃烧。</w:t>
                  </w:r>
                </w:p>
                <w:p w14:paraId="6637EA8C">
                  <w:pPr>
                    <w:pStyle w:val="71"/>
                    <w:numPr>
                      <w:ilvl w:val="0"/>
                      <w:numId w:val="0"/>
                    </w:numPr>
                    <w:spacing w:line="240" w:lineRule="auto"/>
                    <w:rPr>
                      <w:color w:val="auto"/>
                      <w:sz w:val="18"/>
                      <w:szCs w:val="18"/>
                      <w:highlight w:val="none"/>
                    </w:rPr>
                  </w:pPr>
                  <w:r>
                    <w:rPr>
                      <w:rFonts w:hint="eastAsia"/>
                      <w:color w:val="auto"/>
                      <w:sz w:val="18"/>
                      <w:szCs w:val="18"/>
                      <w:highlight w:val="none"/>
                    </w:rPr>
                    <w:t>2座放喷池均设置放喷通道，合计占地面积为360m</w:t>
                  </w:r>
                  <w:r>
                    <w:rPr>
                      <w:color w:val="auto"/>
                      <w:sz w:val="18"/>
                      <w:szCs w:val="18"/>
                      <w:highlight w:val="none"/>
                      <w:vertAlign w:val="superscript"/>
                    </w:rPr>
                    <w:t>2</w:t>
                  </w:r>
                  <w:r>
                    <w:rPr>
                      <w:rFonts w:hint="eastAsia"/>
                      <w:color w:val="auto"/>
                      <w:sz w:val="18"/>
                      <w:szCs w:val="18"/>
                      <w:highlight w:val="none"/>
                    </w:rPr>
                    <w:t>。其中北侧放喷通道占地面积为6</w:t>
                  </w:r>
                  <w:r>
                    <w:rPr>
                      <w:color w:val="auto"/>
                      <w:sz w:val="18"/>
                      <w:szCs w:val="18"/>
                      <w:highlight w:val="none"/>
                    </w:rPr>
                    <w:t>0</w:t>
                  </w:r>
                  <w:r>
                    <w:rPr>
                      <w:rFonts w:hint="eastAsia"/>
                      <w:color w:val="auto"/>
                      <w:sz w:val="18"/>
                      <w:szCs w:val="18"/>
                      <w:highlight w:val="none"/>
                    </w:rPr>
                    <w:t>m</w:t>
                  </w:r>
                  <w:r>
                    <w:rPr>
                      <w:color w:val="auto"/>
                      <w:sz w:val="18"/>
                      <w:szCs w:val="18"/>
                      <w:highlight w:val="none"/>
                      <w:vertAlign w:val="superscript"/>
                    </w:rPr>
                    <w:t>2</w:t>
                  </w:r>
                  <w:r>
                    <w:rPr>
                      <w:rFonts w:hint="eastAsia"/>
                      <w:color w:val="auto"/>
                      <w:sz w:val="18"/>
                      <w:szCs w:val="18"/>
                      <w:highlight w:val="none"/>
                    </w:rPr>
                    <w:t>（15m×</w:t>
                  </w:r>
                  <w:r>
                    <w:rPr>
                      <w:color w:val="auto"/>
                      <w:sz w:val="18"/>
                      <w:szCs w:val="18"/>
                      <w:highlight w:val="none"/>
                    </w:rPr>
                    <w:t>4</w:t>
                  </w:r>
                  <w:r>
                    <w:rPr>
                      <w:rFonts w:hint="eastAsia"/>
                      <w:color w:val="auto"/>
                      <w:sz w:val="18"/>
                      <w:szCs w:val="18"/>
                      <w:highlight w:val="none"/>
                    </w:rPr>
                    <w:t>m），南侧放喷通道占地面积为2</w:t>
                  </w:r>
                  <w:r>
                    <w:rPr>
                      <w:color w:val="auto"/>
                      <w:sz w:val="18"/>
                      <w:szCs w:val="18"/>
                      <w:highlight w:val="none"/>
                    </w:rPr>
                    <w:t>0</w:t>
                  </w:r>
                  <w:r>
                    <w:rPr>
                      <w:rFonts w:hint="eastAsia"/>
                      <w:color w:val="auto"/>
                      <w:sz w:val="18"/>
                      <w:szCs w:val="18"/>
                      <w:highlight w:val="none"/>
                    </w:rPr>
                    <w:t>m</w:t>
                  </w:r>
                  <w:r>
                    <w:rPr>
                      <w:color w:val="auto"/>
                      <w:sz w:val="18"/>
                      <w:szCs w:val="18"/>
                      <w:highlight w:val="none"/>
                      <w:vertAlign w:val="superscript"/>
                    </w:rPr>
                    <w:t>2</w:t>
                  </w:r>
                  <w:r>
                    <w:rPr>
                      <w:rFonts w:hint="eastAsia"/>
                      <w:color w:val="auto"/>
                      <w:sz w:val="18"/>
                      <w:szCs w:val="18"/>
                      <w:highlight w:val="none"/>
                    </w:rPr>
                    <w:t>（</w:t>
                  </w:r>
                  <w:r>
                    <w:rPr>
                      <w:color w:val="auto"/>
                      <w:sz w:val="18"/>
                      <w:szCs w:val="18"/>
                      <w:highlight w:val="none"/>
                    </w:rPr>
                    <w:t>5</w:t>
                  </w:r>
                  <w:r>
                    <w:rPr>
                      <w:rFonts w:hint="eastAsia"/>
                      <w:color w:val="auto"/>
                      <w:sz w:val="18"/>
                      <w:szCs w:val="18"/>
                      <w:highlight w:val="none"/>
                    </w:rPr>
                    <w:t>m×</w:t>
                  </w:r>
                  <w:r>
                    <w:rPr>
                      <w:color w:val="auto"/>
                      <w:sz w:val="18"/>
                      <w:szCs w:val="18"/>
                      <w:highlight w:val="none"/>
                    </w:rPr>
                    <w:t>4</w:t>
                  </w:r>
                  <w:r>
                    <w:rPr>
                      <w:rFonts w:hint="eastAsia"/>
                      <w:color w:val="auto"/>
                      <w:sz w:val="18"/>
                      <w:szCs w:val="18"/>
                      <w:highlight w:val="none"/>
                    </w:rPr>
                    <w:t>m），南侧放喷池外围占地面积280m</w:t>
                  </w:r>
                  <w:r>
                    <w:rPr>
                      <w:color w:val="auto"/>
                      <w:sz w:val="18"/>
                      <w:szCs w:val="18"/>
                      <w:highlight w:val="none"/>
                      <w:vertAlign w:val="superscript"/>
                    </w:rPr>
                    <w:t>2</w:t>
                  </w:r>
                  <w:r>
                    <w:rPr>
                      <w:rFonts w:hint="eastAsia"/>
                      <w:color w:val="auto"/>
                      <w:sz w:val="18"/>
                      <w:szCs w:val="18"/>
                      <w:highlight w:val="none"/>
                    </w:rPr>
                    <w:t>。</w:t>
                  </w:r>
                </w:p>
              </w:tc>
            </w:tr>
            <w:tr w14:paraId="078A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1F7D9591">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2FDFA242">
                  <w:pPr>
                    <w:pStyle w:val="3"/>
                    <w:spacing w:line="240" w:lineRule="auto"/>
                    <w:ind w:firstLine="0" w:firstLineChars="0"/>
                    <w:jc w:val="center"/>
                    <w:rPr>
                      <w:color w:val="auto"/>
                      <w:sz w:val="18"/>
                      <w:szCs w:val="18"/>
                      <w:highlight w:val="none"/>
                    </w:rPr>
                  </w:pPr>
                </w:p>
              </w:tc>
              <w:tc>
                <w:tcPr>
                  <w:tcW w:w="565" w:type="pct"/>
                  <w:tcMar>
                    <w:top w:w="57" w:type="dxa"/>
                    <w:left w:w="108" w:type="dxa"/>
                    <w:bottom w:w="57" w:type="dxa"/>
                    <w:right w:w="108" w:type="dxa"/>
                  </w:tcMar>
                  <w:vAlign w:val="center"/>
                </w:tcPr>
                <w:p w14:paraId="31609BDD">
                  <w:pPr>
                    <w:pStyle w:val="71"/>
                    <w:numPr>
                      <w:ilvl w:val="0"/>
                      <w:numId w:val="0"/>
                    </w:numPr>
                    <w:spacing w:line="240" w:lineRule="auto"/>
                    <w:jc w:val="center"/>
                    <w:rPr>
                      <w:color w:val="auto"/>
                      <w:sz w:val="18"/>
                      <w:szCs w:val="18"/>
                      <w:highlight w:val="none"/>
                    </w:rPr>
                  </w:pPr>
                  <w:r>
                    <w:rPr>
                      <w:rFonts w:hint="eastAsia"/>
                      <w:color w:val="auto"/>
                      <w:sz w:val="18"/>
                      <w:szCs w:val="18"/>
                      <w:highlight w:val="none"/>
                    </w:rPr>
                    <w:t>H</w:t>
                  </w:r>
                  <w:r>
                    <w:rPr>
                      <w:color w:val="auto"/>
                      <w:sz w:val="18"/>
                      <w:szCs w:val="18"/>
                      <w:highlight w:val="none"/>
                      <w:vertAlign w:val="subscript"/>
                    </w:rPr>
                    <w:t>2</w:t>
                  </w:r>
                  <w:r>
                    <w:rPr>
                      <w:color w:val="auto"/>
                      <w:sz w:val="18"/>
                      <w:szCs w:val="18"/>
                      <w:highlight w:val="none"/>
                    </w:rPr>
                    <w:t>S</w:t>
                  </w:r>
                  <w:r>
                    <w:rPr>
                      <w:rFonts w:hint="eastAsia"/>
                      <w:color w:val="auto"/>
                      <w:sz w:val="18"/>
                      <w:szCs w:val="18"/>
                      <w:highlight w:val="none"/>
                    </w:rPr>
                    <w:t>监测装置</w:t>
                  </w:r>
                </w:p>
              </w:tc>
              <w:tc>
                <w:tcPr>
                  <w:tcW w:w="3492" w:type="pct"/>
                  <w:tcMar>
                    <w:top w:w="57" w:type="dxa"/>
                    <w:left w:w="108" w:type="dxa"/>
                    <w:bottom w:w="57" w:type="dxa"/>
                    <w:right w:w="108" w:type="dxa"/>
                  </w:tcMar>
                  <w:vAlign w:val="center"/>
                </w:tcPr>
                <w:p w14:paraId="6248379D">
                  <w:pPr>
                    <w:pStyle w:val="71"/>
                    <w:numPr>
                      <w:ilvl w:val="0"/>
                      <w:numId w:val="0"/>
                    </w:numPr>
                    <w:spacing w:line="240" w:lineRule="auto"/>
                    <w:rPr>
                      <w:color w:val="auto"/>
                      <w:sz w:val="18"/>
                      <w:szCs w:val="18"/>
                      <w:highlight w:val="none"/>
                    </w:rPr>
                  </w:pPr>
                  <w:r>
                    <w:rPr>
                      <w:rFonts w:hint="eastAsia"/>
                      <w:color w:val="auto"/>
                      <w:sz w:val="18"/>
                      <w:szCs w:val="18"/>
                      <w:highlight w:val="none"/>
                    </w:rPr>
                    <w:t>探井录井仪配置有4个硫化氢监测仪，属于标准配置，分别位于钻台面上、钻台面下井口处、泥浆出口、室内。</w:t>
                  </w:r>
                </w:p>
              </w:tc>
            </w:tr>
            <w:tr w14:paraId="2084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630765A1">
                  <w:pPr>
                    <w:pStyle w:val="3"/>
                    <w:spacing w:line="240" w:lineRule="auto"/>
                    <w:ind w:firstLine="0" w:firstLineChars="0"/>
                    <w:jc w:val="center"/>
                    <w:rPr>
                      <w:color w:val="auto"/>
                      <w:sz w:val="18"/>
                      <w:szCs w:val="18"/>
                      <w:highlight w:val="none"/>
                    </w:rPr>
                  </w:pPr>
                </w:p>
              </w:tc>
              <w:tc>
                <w:tcPr>
                  <w:tcW w:w="581" w:type="pct"/>
                  <w:vMerge w:val="continue"/>
                  <w:tcMar>
                    <w:top w:w="57" w:type="dxa"/>
                    <w:left w:w="108" w:type="dxa"/>
                    <w:bottom w:w="57" w:type="dxa"/>
                    <w:right w:w="108" w:type="dxa"/>
                  </w:tcMar>
                  <w:vAlign w:val="center"/>
                </w:tcPr>
                <w:p w14:paraId="2DD2C541">
                  <w:pPr>
                    <w:pStyle w:val="3"/>
                    <w:spacing w:line="240" w:lineRule="auto"/>
                    <w:ind w:firstLine="0" w:firstLineChars="0"/>
                    <w:jc w:val="center"/>
                    <w:rPr>
                      <w:color w:val="auto"/>
                      <w:sz w:val="18"/>
                      <w:szCs w:val="18"/>
                      <w:highlight w:val="none"/>
                    </w:rPr>
                  </w:pPr>
                </w:p>
              </w:tc>
              <w:tc>
                <w:tcPr>
                  <w:tcW w:w="565" w:type="pct"/>
                  <w:shd w:val="clear" w:color="auto" w:fill="auto"/>
                  <w:tcMar>
                    <w:top w:w="57" w:type="dxa"/>
                    <w:left w:w="108" w:type="dxa"/>
                    <w:bottom w:w="57" w:type="dxa"/>
                    <w:right w:w="108" w:type="dxa"/>
                  </w:tcMar>
                  <w:vAlign w:val="center"/>
                </w:tcPr>
                <w:p w14:paraId="09E61A72">
                  <w:pPr>
                    <w:pStyle w:val="71"/>
                    <w:numPr>
                      <w:ilvl w:val="0"/>
                      <w:numId w:val="0"/>
                    </w:numPr>
                    <w:spacing w:line="240" w:lineRule="auto"/>
                    <w:jc w:val="center"/>
                    <w:rPr>
                      <w:color w:val="auto"/>
                      <w:sz w:val="18"/>
                      <w:szCs w:val="18"/>
                      <w:highlight w:val="none"/>
                    </w:rPr>
                  </w:pPr>
                  <w:r>
                    <w:rPr>
                      <w:rFonts w:hint="eastAsia"/>
                      <w:color w:val="auto"/>
                      <w:sz w:val="18"/>
                      <w:szCs w:val="18"/>
                      <w:highlight w:val="none"/>
                    </w:rPr>
                    <w:t>防渗</w:t>
                  </w:r>
                </w:p>
              </w:tc>
              <w:tc>
                <w:tcPr>
                  <w:tcW w:w="3492" w:type="pct"/>
                  <w:shd w:val="clear" w:color="auto" w:fill="auto"/>
                  <w:tcMar>
                    <w:top w:w="57" w:type="dxa"/>
                    <w:left w:w="108" w:type="dxa"/>
                    <w:bottom w:w="57" w:type="dxa"/>
                    <w:right w:w="108" w:type="dxa"/>
                  </w:tcMar>
                  <w:vAlign w:val="center"/>
                </w:tcPr>
                <w:p w14:paraId="5B9133FF">
                  <w:pPr>
                    <w:pStyle w:val="71"/>
                    <w:numPr>
                      <w:ilvl w:val="0"/>
                      <w:numId w:val="14"/>
                    </w:numPr>
                    <w:spacing w:line="240" w:lineRule="auto"/>
                    <w:ind w:firstLine="0"/>
                    <w:rPr>
                      <w:color w:val="auto"/>
                      <w:sz w:val="18"/>
                      <w:szCs w:val="18"/>
                      <w:highlight w:val="none"/>
                    </w:rPr>
                  </w:pPr>
                  <w:r>
                    <w:rPr>
                      <w:rFonts w:hint="eastAsia"/>
                      <w:color w:val="auto"/>
                      <w:sz w:val="18"/>
                      <w:szCs w:val="18"/>
                      <w:highlight w:val="none"/>
                    </w:rPr>
                    <w:t>重点防渗区铺设环保型HDPE防渗材料（渗透系数K≤1×10</w:t>
                  </w:r>
                  <w:r>
                    <w:rPr>
                      <w:rFonts w:hint="eastAsia"/>
                      <w:color w:val="auto"/>
                      <w:sz w:val="18"/>
                      <w:szCs w:val="18"/>
                      <w:highlight w:val="none"/>
                      <w:vertAlign w:val="superscript"/>
                    </w:rPr>
                    <w:t>-10</w:t>
                  </w:r>
                  <w:r>
                    <w:rPr>
                      <w:rFonts w:hint="eastAsia"/>
                      <w:color w:val="auto"/>
                      <w:sz w:val="18"/>
                      <w:szCs w:val="18"/>
                      <w:highlight w:val="none"/>
                    </w:rPr>
                    <w:t>cm/s）；</w:t>
                  </w:r>
                </w:p>
                <w:p w14:paraId="6C849A65">
                  <w:pPr>
                    <w:pStyle w:val="71"/>
                    <w:spacing w:line="240" w:lineRule="auto"/>
                    <w:ind w:firstLine="0"/>
                    <w:rPr>
                      <w:color w:val="auto"/>
                      <w:sz w:val="18"/>
                      <w:szCs w:val="18"/>
                      <w:highlight w:val="none"/>
                    </w:rPr>
                  </w:pPr>
                  <w:r>
                    <w:rPr>
                      <w:rFonts w:hint="eastAsia"/>
                      <w:color w:val="auto"/>
                      <w:sz w:val="18"/>
                      <w:szCs w:val="18"/>
                      <w:highlight w:val="none"/>
                    </w:rPr>
                    <w:t>一般防渗区铺设环保型HDPE防渗膜，达到等效黏土防渗层Mb≥1.5m（渗透系数≤10</w:t>
                  </w:r>
                  <w:r>
                    <w:rPr>
                      <w:rFonts w:hint="eastAsia"/>
                      <w:color w:val="auto"/>
                      <w:sz w:val="18"/>
                      <w:szCs w:val="18"/>
                      <w:highlight w:val="none"/>
                      <w:vertAlign w:val="superscript"/>
                    </w:rPr>
                    <w:t>-7</w:t>
                  </w:r>
                  <w:r>
                    <w:rPr>
                      <w:rFonts w:hint="eastAsia"/>
                      <w:color w:val="auto"/>
                      <w:sz w:val="18"/>
                      <w:szCs w:val="18"/>
                      <w:highlight w:val="none"/>
                    </w:rPr>
                    <w:t>cm/s）进行防渗处理；</w:t>
                  </w:r>
                </w:p>
                <w:p w14:paraId="36240FF3">
                  <w:pPr>
                    <w:pStyle w:val="71"/>
                    <w:spacing w:line="240" w:lineRule="auto"/>
                    <w:ind w:firstLine="0"/>
                    <w:rPr>
                      <w:color w:val="auto"/>
                      <w:sz w:val="18"/>
                      <w:szCs w:val="18"/>
                      <w:highlight w:val="none"/>
                    </w:rPr>
                  </w:pPr>
                  <w:r>
                    <w:rPr>
                      <w:rFonts w:hint="eastAsia"/>
                      <w:color w:val="auto"/>
                      <w:sz w:val="18"/>
                      <w:szCs w:val="18"/>
                      <w:highlight w:val="none"/>
                    </w:rPr>
                    <w:t>简单防渗区地面平整夯实处理。</w:t>
                  </w:r>
                </w:p>
              </w:tc>
            </w:tr>
            <w:tr w14:paraId="2A58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restart"/>
                  <w:tcMar>
                    <w:top w:w="57" w:type="dxa"/>
                    <w:left w:w="108" w:type="dxa"/>
                    <w:bottom w:w="57" w:type="dxa"/>
                    <w:right w:w="108" w:type="dxa"/>
                  </w:tcMar>
                  <w:vAlign w:val="center"/>
                </w:tcPr>
                <w:p w14:paraId="1D4C98C4">
                  <w:pPr>
                    <w:pStyle w:val="3"/>
                    <w:spacing w:line="240" w:lineRule="auto"/>
                    <w:ind w:firstLine="0" w:firstLineChars="0"/>
                    <w:jc w:val="center"/>
                    <w:rPr>
                      <w:color w:val="auto"/>
                      <w:sz w:val="18"/>
                      <w:szCs w:val="18"/>
                      <w:highlight w:val="none"/>
                    </w:rPr>
                  </w:pPr>
                  <w:r>
                    <w:rPr>
                      <w:rFonts w:hint="eastAsia"/>
                      <w:color w:val="auto"/>
                      <w:sz w:val="18"/>
                      <w:szCs w:val="18"/>
                      <w:highlight w:val="none"/>
                    </w:rPr>
                    <w:t>公用</w:t>
                  </w:r>
                </w:p>
                <w:p w14:paraId="1E8D4895">
                  <w:pPr>
                    <w:pStyle w:val="3"/>
                    <w:spacing w:line="240" w:lineRule="auto"/>
                    <w:ind w:firstLine="0" w:firstLineChars="0"/>
                    <w:jc w:val="center"/>
                    <w:rPr>
                      <w:color w:val="auto"/>
                      <w:sz w:val="18"/>
                      <w:szCs w:val="18"/>
                      <w:highlight w:val="none"/>
                    </w:rPr>
                  </w:pPr>
                  <w:r>
                    <w:rPr>
                      <w:rFonts w:hint="eastAsia"/>
                      <w:color w:val="auto"/>
                      <w:sz w:val="18"/>
                      <w:szCs w:val="18"/>
                      <w:highlight w:val="none"/>
                    </w:rPr>
                    <w:t>工程</w:t>
                  </w:r>
                </w:p>
              </w:tc>
              <w:tc>
                <w:tcPr>
                  <w:tcW w:w="581" w:type="pct"/>
                  <w:tcMar>
                    <w:top w:w="57" w:type="dxa"/>
                    <w:left w:w="108" w:type="dxa"/>
                    <w:bottom w:w="57" w:type="dxa"/>
                    <w:right w:w="108" w:type="dxa"/>
                  </w:tcMar>
                  <w:vAlign w:val="center"/>
                </w:tcPr>
                <w:p w14:paraId="2D264A81">
                  <w:pPr>
                    <w:pStyle w:val="3"/>
                    <w:spacing w:line="240" w:lineRule="auto"/>
                    <w:ind w:firstLine="0" w:firstLineChars="0"/>
                    <w:jc w:val="center"/>
                    <w:rPr>
                      <w:color w:val="auto"/>
                      <w:sz w:val="18"/>
                      <w:szCs w:val="18"/>
                      <w:highlight w:val="none"/>
                    </w:rPr>
                  </w:pPr>
                  <w:r>
                    <w:rPr>
                      <w:rFonts w:hint="eastAsia"/>
                      <w:color w:val="auto"/>
                      <w:sz w:val="18"/>
                      <w:szCs w:val="18"/>
                      <w:highlight w:val="none"/>
                    </w:rPr>
                    <w:t>给水</w:t>
                  </w:r>
                </w:p>
              </w:tc>
              <w:tc>
                <w:tcPr>
                  <w:tcW w:w="4057" w:type="pct"/>
                  <w:gridSpan w:val="2"/>
                  <w:tcMar>
                    <w:top w:w="57" w:type="dxa"/>
                    <w:left w:w="108" w:type="dxa"/>
                    <w:bottom w:w="57" w:type="dxa"/>
                    <w:right w:w="108" w:type="dxa"/>
                  </w:tcMar>
                  <w:vAlign w:val="center"/>
                </w:tcPr>
                <w:p w14:paraId="3105108E">
                  <w:pPr>
                    <w:pStyle w:val="3"/>
                    <w:spacing w:line="240" w:lineRule="auto"/>
                    <w:ind w:firstLine="0" w:firstLineChars="0"/>
                    <w:rPr>
                      <w:color w:val="auto"/>
                      <w:sz w:val="18"/>
                      <w:szCs w:val="18"/>
                      <w:highlight w:val="none"/>
                    </w:rPr>
                  </w:pPr>
                  <w:r>
                    <w:rPr>
                      <w:rFonts w:hint="eastAsia"/>
                      <w:color w:val="auto"/>
                      <w:sz w:val="18"/>
                      <w:szCs w:val="18"/>
                      <w:highlight w:val="none"/>
                    </w:rPr>
                    <w:t>本项目施工期用水由车辆拉运，施工人员用水采用桶装水。</w:t>
                  </w:r>
                </w:p>
              </w:tc>
            </w:tr>
            <w:tr w14:paraId="3A41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2DE2BA6C">
                  <w:pPr>
                    <w:pStyle w:val="3"/>
                    <w:spacing w:line="240" w:lineRule="auto"/>
                    <w:ind w:firstLine="0" w:firstLineChars="0"/>
                    <w:jc w:val="center"/>
                    <w:rPr>
                      <w:color w:val="auto"/>
                      <w:sz w:val="18"/>
                      <w:szCs w:val="18"/>
                      <w:highlight w:val="none"/>
                    </w:rPr>
                  </w:pPr>
                </w:p>
              </w:tc>
              <w:tc>
                <w:tcPr>
                  <w:tcW w:w="581" w:type="pct"/>
                  <w:tcMar>
                    <w:top w:w="57" w:type="dxa"/>
                    <w:left w:w="108" w:type="dxa"/>
                    <w:bottom w:w="57" w:type="dxa"/>
                    <w:right w:w="108" w:type="dxa"/>
                  </w:tcMar>
                  <w:vAlign w:val="center"/>
                </w:tcPr>
                <w:p w14:paraId="6E168EB5">
                  <w:pPr>
                    <w:pStyle w:val="3"/>
                    <w:spacing w:line="240" w:lineRule="auto"/>
                    <w:ind w:firstLine="0" w:firstLineChars="0"/>
                    <w:jc w:val="center"/>
                    <w:rPr>
                      <w:color w:val="auto"/>
                      <w:sz w:val="18"/>
                      <w:szCs w:val="18"/>
                      <w:highlight w:val="none"/>
                    </w:rPr>
                  </w:pPr>
                  <w:r>
                    <w:rPr>
                      <w:rFonts w:hint="eastAsia"/>
                      <w:color w:val="auto"/>
                      <w:sz w:val="18"/>
                      <w:szCs w:val="18"/>
                      <w:highlight w:val="none"/>
                    </w:rPr>
                    <w:t>排水</w:t>
                  </w:r>
                </w:p>
              </w:tc>
              <w:tc>
                <w:tcPr>
                  <w:tcW w:w="4057" w:type="pct"/>
                  <w:gridSpan w:val="2"/>
                  <w:tcMar>
                    <w:top w:w="57" w:type="dxa"/>
                    <w:left w:w="108" w:type="dxa"/>
                    <w:bottom w:w="57" w:type="dxa"/>
                    <w:right w:w="108" w:type="dxa"/>
                  </w:tcMar>
                  <w:vAlign w:val="center"/>
                </w:tcPr>
                <w:p w14:paraId="726DAEE9">
                  <w:pPr>
                    <w:pStyle w:val="71"/>
                    <w:numPr>
                      <w:ilvl w:val="0"/>
                      <w:numId w:val="15"/>
                    </w:numPr>
                    <w:spacing w:line="240" w:lineRule="auto"/>
                    <w:ind w:firstLine="0"/>
                    <w:rPr>
                      <w:color w:val="auto"/>
                      <w:sz w:val="18"/>
                      <w:szCs w:val="18"/>
                      <w:highlight w:val="none"/>
                    </w:rPr>
                  </w:pPr>
                  <w:r>
                    <w:rPr>
                      <w:rFonts w:hint="eastAsia"/>
                      <w:color w:val="auto"/>
                      <w:sz w:val="18"/>
                      <w:szCs w:val="18"/>
                      <w:highlight w:val="none"/>
                    </w:rPr>
                    <w:t>定期由罐车拉运至</w:t>
                  </w:r>
                  <w:r>
                    <w:rPr>
                      <w:rFonts w:hint="eastAsia"/>
                      <w:color w:val="auto"/>
                      <w:sz w:val="18"/>
                      <w:szCs w:val="18"/>
                      <w:highlight w:val="none"/>
                      <w:lang w:eastAsia="zh-CN"/>
                    </w:rPr>
                    <w:t>春风联合站</w:t>
                  </w:r>
                  <w:r>
                    <w:rPr>
                      <w:rFonts w:hint="eastAsia"/>
                      <w:color w:val="auto"/>
                      <w:sz w:val="18"/>
                      <w:szCs w:val="18"/>
                      <w:highlight w:val="none"/>
                    </w:rPr>
                    <w:t>采出水处理系统处理，最终用于回注水开发利用，不外排。</w:t>
                  </w:r>
                </w:p>
                <w:p w14:paraId="74DC15E8">
                  <w:pPr>
                    <w:pStyle w:val="71"/>
                    <w:spacing w:line="240" w:lineRule="auto"/>
                    <w:ind w:firstLine="0"/>
                    <w:rPr>
                      <w:color w:val="auto"/>
                      <w:sz w:val="18"/>
                      <w:szCs w:val="18"/>
                      <w:highlight w:val="none"/>
                    </w:rPr>
                  </w:pPr>
                  <w:r>
                    <w:rPr>
                      <w:rFonts w:hint="eastAsia"/>
                      <w:color w:val="auto"/>
                      <w:sz w:val="18"/>
                      <w:szCs w:val="18"/>
                      <w:highlight w:val="none"/>
                    </w:rPr>
                    <w:t>生活污水排入环保厕所</w:t>
                  </w:r>
                  <w:r>
                    <w:rPr>
                      <w:rFonts w:hint="eastAsia"/>
                      <w:color w:val="auto"/>
                      <w:sz w:val="18"/>
                      <w:szCs w:val="18"/>
                      <w:highlight w:val="none"/>
                      <w:lang w:val="en-US" w:eastAsia="zh-CN"/>
                    </w:rPr>
                    <w:t>和</w:t>
                  </w:r>
                  <w:r>
                    <w:rPr>
                      <w:rFonts w:hint="eastAsia"/>
                      <w:color w:val="auto"/>
                      <w:sz w:val="18"/>
                      <w:szCs w:val="18"/>
                      <w:highlight w:val="none"/>
                    </w:rPr>
                    <w:t>生活污水收集罐</w:t>
                  </w:r>
                  <w:r>
                    <w:rPr>
                      <w:rFonts w:hint="eastAsia"/>
                      <w:color w:val="auto"/>
                      <w:sz w:val="18"/>
                      <w:szCs w:val="18"/>
                      <w:highlight w:val="none"/>
                      <w:lang w:val="en-US" w:eastAsia="zh-CN"/>
                    </w:rPr>
                    <w:t>，</w:t>
                  </w:r>
                  <w:r>
                    <w:rPr>
                      <w:rFonts w:hint="eastAsia"/>
                      <w:color w:val="auto"/>
                      <w:sz w:val="18"/>
                      <w:szCs w:val="18"/>
                      <w:highlight w:val="none"/>
                    </w:rPr>
                    <w:t>定期由新疆熙祥运输公司拉运至五家渠城华市政六运湖分公司</w:t>
                  </w:r>
                  <w:r>
                    <w:rPr>
                      <w:rFonts w:hint="eastAsia"/>
                      <w:color w:val="auto"/>
                      <w:sz w:val="18"/>
                      <w:szCs w:val="18"/>
                      <w:highlight w:val="none"/>
                      <w:lang w:val="en-US" w:eastAsia="zh-CN"/>
                    </w:rPr>
                    <w:t>污水处理厂进行</w:t>
                  </w:r>
                  <w:r>
                    <w:rPr>
                      <w:rFonts w:hint="eastAsia"/>
                      <w:color w:val="auto"/>
                      <w:sz w:val="18"/>
                      <w:szCs w:val="18"/>
                      <w:highlight w:val="none"/>
                    </w:rPr>
                    <w:t>处理。</w:t>
                  </w:r>
                </w:p>
              </w:tc>
            </w:tr>
            <w:tr w14:paraId="615E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75AC0829">
                  <w:pPr>
                    <w:pStyle w:val="3"/>
                    <w:spacing w:line="240" w:lineRule="auto"/>
                    <w:ind w:firstLine="0" w:firstLineChars="0"/>
                    <w:jc w:val="center"/>
                    <w:rPr>
                      <w:color w:val="auto"/>
                      <w:sz w:val="18"/>
                      <w:szCs w:val="18"/>
                      <w:highlight w:val="none"/>
                    </w:rPr>
                  </w:pPr>
                </w:p>
              </w:tc>
              <w:tc>
                <w:tcPr>
                  <w:tcW w:w="581" w:type="pct"/>
                  <w:tcMar>
                    <w:top w:w="57" w:type="dxa"/>
                    <w:left w:w="108" w:type="dxa"/>
                    <w:bottom w:w="57" w:type="dxa"/>
                    <w:right w:w="108" w:type="dxa"/>
                  </w:tcMar>
                  <w:vAlign w:val="center"/>
                </w:tcPr>
                <w:p w14:paraId="63C1F3FE">
                  <w:pPr>
                    <w:pStyle w:val="3"/>
                    <w:spacing w:line="240" w:lineRule="auto"/>
                    <w:ind w:firstLine="0" w:firstLineChars="0"/>
                    <w:jc w:val="center"/>
                    <w:rPr>
                      <w:color w:val="auto"/>
                      <w:sz w:val="18"/>
                      <w:szCs w:val="18"/>
                      <w:highlight w:val="none"/>
                    </w:rPr>
                  </w:pPr>
                  <w:r>
                    <w:rPr>
                      <w:rFonts w:hint="eastAsia"/>
                      <w:color w:val="auto"/>
                      <w:sz w:val="18"/>
                      <w:szCs w:val="18"/>
                      <w:highlight w:val="none"/>
                    </w:rPr>
                    <w:t>供电</w:t>
                  </w:r>
                </w:p>
              </w:tc>
              <w:tc>
                <w:tcPr>
                  <w:tcW w:w="4057" w:type="pct"/>
                  <w:gridSpan w:val="2"/>
                  <w:tcMar>
                    <w:top w:w="57" w:type="dxa"/>
                    <w:left w:w="108" w:type="dxa"/>
                    <w:bottom w:w="57" w:type="dxa"/>
                    <w:right w:w="108" w:type="dxa"/>
                  </w:tcMar>
                  <w:vAlign w:val="center"/>
                </w:tcPr>
                <w:p w14:paraId="22BA5515">
                  <w:pPr>
                    <w:pStyle w:val="3"/>
                    <w:spacing w:line="240" w:lineRule="auto"/>
                    <w:ind w:firstLine="0" w:firstLineChars="0"/>
                    <w:rPr>
                      <w:color w:val="auto"/>
                      <w:sz w:val="18"/>
                      <w:szCs w:val="18"/>
                      <w:highlight w:val="none"/>
                    </w:rPr>
                  </w:pPr>
                  <w:r>
                    <w:rPr>
                      <w:rFonts w:hint="eastAsia"/>
                      <w:color w:val="auto"/>
                      <w:sz w:val="18"/>
                      <w:szCs w:val="18"/>
                      <w:highlight w:val="none"/>
                    </w:rPr>
                    <w:t>柴油机发电，钻井期和试油期共计消耗柴油量</w:t>
                  </w:r>
                  <w:r>
                    <w:rPr>
                      <w:rFonts w:hint="eastAsia"/>
                      <w:color w:val="auto"/>
                      <w:sz w:val="18"/>
                      <w:szCs w:val="18"/>
                      <w:highlight w:val="none"/>
                      <w:lang w:eastAsia="zh-CN"/>
                    </w:rPr>
                    <w:t>932</w:t>
                  </w:r>
                  <w:r>
                    <w:rPr>
                      <w:rFonts w:hint="eastAsia"/>
                      <w:color w:val="auto"/>
                      <w:sz w:val="18"/>
                      <w:szCs w:val="18"/>
                      <w:highlight w:val="none"/>
                    </w:rPr>
                    <w:t>t。</w:t>
                  </w:r>
                </w:p>
              </w:tc>
            </w:tr>
            <w:tr w14:paraId="3EE2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restart"/>
                  <w:tcMar>
                    <w:top w:w="57" w:type="dxa"/>
                    <w:left w:w="108" w:type="dxa"/>
                    <w:bottom w:w="57" w:type="dxa"/>
                    <w:right w:w="108" w:type="dxa"/>
                  </w:tcMar>
                  <w:vAlign w:val="center"/>
                </w:tcPr>
                <w:p w14:paraId="09F1112A">
                  <w:pPr>
                    <w:pStyle w:val="3"/>
                    <w:spacing w:line="240" w:lineRule="auto"/>
                    <w:ind w:firstLine="0" w:firstLineChars="0"/>
                    <w:jc w:val="center"/>
                    <w:rPr>
                      <w:color w:val="auto"/>
                      <w:sz w:val="18"/>
                      <w:szCs w:val="18"/>
                      <w:highlight w:val="none"/>
                    </w:rPr>
                  </w:pPr>
                  <w:r>
                    <w:rPr>
                      <w:rFonts w:hint="eastAsia"/>
                      <w:color w:val="auto"/>
                      <w:sz w:val="18"/>
                      <w:szCs w:val="18"/>
                      <w:highlight w:val="none"/>
                    </w:rPr>
                    <w:t>依托工程</w:t>
                  </w:r>
                </w:p>
              </w:tc>
              <w:tc>
                <w:tcPr>
                  <w:tcW w:w="581" w:type="pct"/>
                  <w:tcMar>
                    <w:top w:w="57" w:type="dxa"/>
                    <w:left w:w="108" w:type="dxa"/>
                    <w:bottom w:w="57" w:type="dxa"/>
                    <w:right w:w="108" w:type="dxa"/>
                  </w:tcMar>
                  <w:vAlign w:val="center"/>
                </w:tcPr>
                <w:p w14:paraId="002C3A80">
                  <w:pPr>
                    <w:pStyle w:val="3"/>
                    <w:spacing w:line="240" w:lineRule="auto"/>
                    <w:ind w:firstLine="0" w:firstLineChars="0"/>
                    <w:jc w:val="center"/>
                    <w:rPr>
                      <w:rFonts w:hint="eastAsia" w:eastAsia="宋体"/>
                      <w:color w:val="auto"/>
                      <w:sz w:val="18"/>
                      <w:szCs w:val="18"/>
                      <w:highlight w:val="none"/>
                      <w:lang w:eastAsia="zh-CN"/>
                    </w:rPr>
                  </w:pPr>
                  <w:r>
                    <w:rPr>
                      <w:rFonts w:hint="eastAsia"/>
                      <w:color w:val="auto"/>
                      <w:sz w:val="18"/>
                      <w:szCs w:val="18"/>
                      <w:highlight w:val="none"/>
                      <w:lang w:eastAsia="zh-CN"/>
                    </w:rPr>
                    <w:t>春风联合站</w:t>
                  </w:r>
                </w:p>
              </w:tc>
              <w:tc>
                <w:tcPr>
                  <w:tcW w:w="4057" w:type="pct"/>
                  <w:gridSpan w:val="2"/>
                  <w:tcMar>
                    <w:top w:w="57" w:type="dxa"/>
                    <w:left w:w="108" w:type="dxa"/>
                    <w:bottom w:w="57" w:type="dxa"/>
                    <w:right w:w="108" w:type="dxa"/>
                  </w:tcMar>
                  <w:vAlign w:val="center"/>
                </w:tcPr>
                <w:p w14:paraId="3BCCE37E">
                  <w:pPr>
                    <w:pStyle w:val="3"/>
                    <w:spacing w:line="240" w:lineRule="auto"/>
                    <w:ind w:firstLine="0" w:firstLineChars="0"/>
                    <w:rPr>
                      <w:color w:val="auto"/>
                      <w:sz w:val="18"/>
                      <w:szCs w:val="18"/>
                      <w:highlight w:val="none"/>
                    </w:rPr>
                  </w:pPr>
                  <w:r>
                    <w:rPr>
                      <w:rFonts w:hint="eastAsia"/>
                      <w:color w:val="auto"/>
                      <w:sz w:val="18"/>
                      <w:szCs w:val="18"/>
                      <w:highlight w:val="none"/>
                    </w:rPr>
                    <w:t>井下作业废液、压裂返排液依托</w:t>
                  </w:r>
                  <w:r>
                    <w:rPr>
                      <w:rFonts w:hint="eastAsia"/>
                      <w:color w:val="auto"/>
                      <w:sz w:val="18"/>
                      <w:szCs w:val="18"/>
                      <w:highlight w:val="none"/>
                      <w:lang w:eastAsia="zh-CN"/>
                    </w:rPr>
                    <w:t>春风联合站</w:t>
                  </w:r>
                  <w:r>
                    <w:rPr>
                      <w:rFonts w:hint="eastAsia"/>
                      <w:color w:val="auto"/>
                      <w:sz w:val="18"/>
                      <w:szCs w:val="18"/>
                      <w:highlight w:val="none"/>
                    </w:rPr>
                    <w:t>采出水处理系统。采出水处理系统采用“混凝沉降+过滤”的处理工艺，设计处理规模为5400m</w:t>
                  </w:r>
                  <w:r>
                    <w:rPr>
                      <w:rFonts w:hint="eastAsia"/>
                      <w:color w:val="auto"/>
                      <w:sz w:val="18"/>
                      <w:szCs w:val="18"/>
                      <w:highlight w:val="none"/>
                      <w:vertAlign w:val="superscript"/>
                    </w:rPr>
                    <w:t>3</w:t>
                  </w:r>
                  <w:r>
                    <w:rPr>
                      <w:rFonts w:hint="eastAsia"/>
                      <w:color w:val="auto"/>
                      <w:sz w:val="18"/>
                      <w:szCs w:val="18"/>
                      <w:highlight w:val="none"/>
                    </w:rPr>
                    <w:t>/d。</w:t>
                  </w:r>
                </w:p>
                <w:p w14:paraId="3E402BF2">
                  <w:pPr>
                    <w:pStyle w:val="3"/>
                    <w:spacing w:line="240" w:lineRule="auto"/>
                    <w:ind w:firstLine="0" w:firstLineChars="0"/>
                    <w:rPr>
                      <w:color w:val="auto"/>
                      <w:sz w:val="18"/>
                      <w:szCs w:val="18"/>
                      <w:highlight w:val="none"/>
                    </w:rPr>
                  </w:pPr>
                  <w:r>
                    <w:rPr>
                      <w:rFonts w:hint="eastAsia"/>
                      <w:color w:val="auto"/>
                      <w:sz w:val="18"/>
                      <w:szCs w:val="18"/>
                      <w:highlight w:val="none"/>
                      <w:lang w:eastAsia="zh-CN"/>
                    </w:rPr>
                    <w:t>春风联合站</w:t>
                  </w:r>
                  <w:r>
                    <w:rPr>
                      <w:rFonts w:hint="eastAsia"/>
                      <w:color w:val="auto"/>
                      <w:sz w:val="18"/>
                      <w:szCs w:val="18"/>
                      <w:highlight w:val="none"/>
                    </w:rPr>
                    <w:t>属于“胜利油田分公司新疆准噶尔盆地西缘排601新区产能建设工程”的配套工程，该工程于2010年取得环评批复，批复文号为“新环评价函[2010]863号”；于2012年取得竣工验收批复，批复文号为“新环评价函[2012]939号”。</w:t>
                  </w:r>
                </w:p>
              </w:tc>
            </w:tr>
            <w:tr w14:paraId="4A09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Merge w:val="continue"/>
                  <w:tcMar>
                    <w:top w:w="57" w:type="dxa"/>
                    <w:left w:w="108" w:type="dxa"/>
                    <w:bottom w:w="57" w:type="dxa"/>
                    <w:right w:w="108" w:type="dxa"/>
                  </w:tcMar>
                  <w:vAlign w:val="center"/>
                </w:tcPr>
                <w:p w14:paraId="64F84D9B">
                  <w:pPr>
                    <w:pStyle w:val="3"/>
                    <w:spacing w:line="240" w:lineRule="auto"/>
                    <w:ind w:firstLine="0" w:firstLineChars="0"/>
                    <w:jc w:val="center"/>
                    <w:rPr>
                      <w:color w:val="auto"/>
                      <w:sz w:val="18"/>
                      <w:szCs w:val="18"/>
                      <w:highlight w:val="none"/>
                    </w:rPr>
                  </w:pPr>
                </w:p>
              </w:tc>
              <w:tc>
                <w:tcPr>
                  <w:tcW w:w="581" w:type="pct"/>
                  <w:tcMar>
                    <w:top w:w="57" w:type="dxa"/>
                    <w:left w:w="108" w:type="dxa"/>
                    <w:bottom w:w="57" w:type="dxa"/>
                    <w:right w:w="108" w:type="dxa"/>
                  </w:tcMar>
                  <w:vAlign w:val="center"/>
                </w:tcPr>
                <w:p w14:paraId="76C054E0">
                  <w:pPr>
                    <w:pStyle w:val="3"/>
                    <w:spacing w:line="240" w:lineRule="auto"/>
                    <w:ind w:firstLine="0" w:firstLineChars="0"/>
                    <w:jc w:val="center"/>
                    <w:rPr>
                      <w:rFonts w:hint="eastAsia"/>
                      <w:color w:val="auto"/>
                      <w:sz w:val="18"/>
                      <w:szCs w:val="18"/>
                      <w:highlight w:val="none"/>
                    </w:rPr>
                  </w:pPr>
                  <w:r>
                    <w:rPr>
                      <w:rFonts w:hint="eastAsia"/>
                      <w:color w:val="auto"/>
                      <w:sz w:val="18"/>
                      <w:szCs w:val="18"/>
                      <w:highlight w:val="none"/>
                      <w:lang w:eastAsia="zh-CN"/>
                    </w:rPr>
                    <w:t>山东奥友环保工程有限责任公司乌苏分公司</w:t>
                  </w:r>
                </w:p>
              </w:tc>
              <w:tc>
                <w:tcPr>
                  <w:tcW w:w="4057" w:type="pct"/>
                  <w:gridSpan w:val="2"/>
                  <w:tcMar>
                    <w:top w:w="57" w:type="dxa"/>
                    <w:left w:w="108" w:type="dxa"/>
                    <w:bottom w:w="57" w:type="dxa"/>
                    <w:right w:w="108" w:type="dxa"/>
                  </w:tcMar>
                  <w:vAlign w:val="center"/>
                </w:tcPr>
                <w:p w14:paraId="6177AD47">
                  <w:pPr>
                    <w:pStyle w:val="3"/>
                    <w:spacing w:line="240" w:lineRule="auto"/>
                    <w:ind w:firstLine="0" w:firstLineChars="0"/>
                    <w:rPr>
                      <w:rFonts w:hint="eastAsia"/>
                      <w:color w:val="auto"/>
                      <w:sz w:val="18"/>
                      <w:szCs w:val="18"/>
                      <w:highlight w:val="none"/>
                    </w:rPr>
                  </w:pPr>
                  <w:r>
                    <w:rPr>
                      <w:rFonts w:hint="eastAsia"/>
                      <w:color w:val="auto"/>
                      <w:sz w:val="18"/>
                      <w:szCs w:val="18"/>
                      <w:highlight w:val="none"/>
                    </w:rPr>
                    <w:t>钻井固废依托</w:t>
                  </w:r>
                  <w:r>
                    <w:rPr>
                      <w:rFonts w:hint="eastAsia"/>
                      <w:color w:val="auto"/>
                      <w:sz w:val="18"/>
                      <w:szCs w:val="18"/>
                      <w:highlight w:val="none"/>
                      <w:lang w:eastAsia="zh-CN"/>
                    </w:rPr>
                    <w:t>山东奥友环保工程有限责任公司乌苏分公司</w:t>
                  </w:r>
                  <w:r>
                    <w:rPr>
                      <w:rFonts w:hint="eastAsia"/>
                      <w:color w:val="auto"/>
                      <w:sz w:val="18"/>
                      <w:szCs w:val="18"/>
                      <w:highlight w:val="none"/>
                    </w:rPr>
                    <w:t>废弃钻井泥浆无害化处理生产设施。钻井泥浆废弃液不落地处理项目采用“化学脱稳+压滤离心+混凝沉降”工艺，</w:t>
                  </w:r>
                  <w:r>
                    <w:rPr>
                      <w:rFonts w:hint="eastAsia"/>
                      <w:color w:val="auto"/>
                      <w:sz w:val="18"/>
                      <w:szCs w:val="18"/>
                      <w:highlight w:val="none"/>
                      <w:lang w:val="en-US" w:eastAsia="zh-CN"/>
                    </w:rPr>
                    <w:t>设计处理规模为</w:t>
                  </w:r>
                  <w:r>
                    <w:rPr>
                      <w:rFonts w:hint="eastAsia"/>
                      <w:color w:val="auto"/>
                      <w:sz w:val="18"/>
                      <w:szCs w:val="18"/>
                      <w:highlight w:val="none"/>
                    </w:rPr>
                    <w:t>10万</w:t>
                  </w:r>
                  <w:r>
                    <w:rPr>
                      <w:rFonts w:hint="eastAsia"/>
                      <w:color w:val="auto"/>
                      <w:sz w:val="18"/>
                      <w:szCs w:val="18"/>
                      <w:highlight w:val="none"/>
                      <w:lang w:val="en-US" w:eastAsia="zh-CN"/>
                    </w:rPr>
                    <w:t>m³/年。</w:t>
                  </w:r>
                  <w:r>
                    <w:rPr>
                      <w:rFonts w:hint="eastAsia"/>
                      <w:color w:val="auto"/>
                      <w:sz w:val="18"/>
                      <w:szCs w:val="18"/>
                      <w:highlight w:val="none"/>
                    </w:rPr>
                    <w:t>废弃钻井泥浆无害化处理生产设施属于“山东奥友环保工程有限责任公司乌苏分公司钻井泥浆废弃液不落地处理项目”，于2</w:t>
                  </w:r>
                  <w:r>
                    <w:rPr>
                      <w:color w:val="auto"/>
                      <w:sz w:val="18"/>
                      <w:szCs w:val="18"/>
                      <w:highlight w:val="none"/>
                    </w:rPr>
                    <w:t>01</w:t>
                  </w:r>
                  <w:r>
                    <w:rPr>
                      <w:rFonts w:hint="eastAsia"/>
                      <w:color w:val="auto"/>
                      <w:sz w:val="18"/>
                      <w:szCs w:val="18"/>
                      <w:highlight w:val="none"/>
                      <w:lang w:val="en-US" w:eastAsia="zh-CN"/>
                    </w:rPr>
                    <w:t>7</w:t>
                  </w:r>
                  <w:r>
                    <w:rPr>
                      <w:rFonts w:hint="eastAsia"/>
                      <w:color w:val="auto"/>
                      <w:sz w:val="18"/>
                      <w:szCs w:val="18"/>
                      <w:highlight w:val="none"/>
                    </w:rPr>
                    <w:t>年取得环评批复，批复文号为“师环审[201</w:t>
                  </w:r>
                  <w:r>
                    <w:rPr>
                      <w:rFonts w:hint="eastAsia"/>
                      <w:color w:val="auto"/>
                      <w:sz w:val="18"/>
                      <w:szCs w:val="18"/>
                      <w:highlight w:val="none"/>
                      <w:lang w:val="en-US" w:eastAsia="zh-CN"/>
                    </w:rPr>
                    <w:t>7</w:t>
                  </w:r>
                  <w:r>
                    <w:rPr>
                      <w:rFonts w:hint="eastAsia"/>
                      <w:color w:val="auto"/>
                      <w:sz w:val="18"/>
                      <w:szCs w:val="18"/>
                      <w:highlight w:val="none"/>
                    </w:rPr>
                    <w:t>]</w:t>
                  </w:r>
                  <w:r>
                    <w:rPr>
                      <w:rFonts w:hint="eastAsia"/>
                      <w:color w:val="auto"/>
                      <w:sz w:val="18"/>
                      <w:szCs w:val="18"/>
                      <w:highlight w:val="none"/>
                      <w:lang w:val="en-US" w:eastAsia="zh-CN"/>
                    </w:rPr>
                    <w:t>192</w:t>
                  </w:r>
                  <w:r>
                    <w:rPr>
                      <w:rFonts w:hint="eastAsia"/>
                      <w:color w:val="auto"/>
                      <w:sz w:val="18"/>
                      <w:szCs w:val="18"/>
                      <w:highlight w:val="none"/>
                    </w:rPr>
                    <w:t>号”；于2019年取得竣工验收批复，批复文号为“师环验[2019]</w:t>
                  </w:r>
                  <w:r>
                    <w:rPr>
                      <w:rFonts w:hint="eastAsia"/>
                      <w:color w:val="auto"/>
                      <w:sz w:val="18"/>
                      <w:szCs w:val="18"/>
                      <w:highlight w:val="none"/>
                      <w:lang w:val="en-US" w:eastAsia="zh-CN"/>
                    </w:rPr>
                    <w:t>150</w:t>
                  </w:r>
                  <w:r>
                    <w:rPr>
                      <w:rFonts w:hint="eastAsia"/>
                      <w:color w:val="auto"/>
                      <w:sz w:val="18"/>
                      <w:szCs w:val="18"/>
                      <w:highlight w:val="none"/>
                    </w:rPr>
                    <w:t>号”。</w:t>
                  </w:r>
                </w:p>
              </w:tc>
            </w:tr>
          </w:tbl>
          <w:p w14:paraId="27215E17">
            <w:pPr>
              <w:pStyle w:val="3"/>
              <w:ind w:firstLine="420"/>
              <w:rPr>
                <w:color w:val="auto"/>
                <w:sz w:val="21"/>
                <w:highlight w:val="none"/>
              </w:rPr>
            </w:pPr>
          </w:p>
          <w:p w14:paraId="3D5664FD">
            <w:pPr>
              <w:pStyle w:val="3"/>
              <w:numPr>
                <w:ilvl w:val="0"/>
                <w:numId w:val="13"/>
              </w:numPr>
              <w:ind w:firstLine="420"/>
              <w:rPr>
                <w:color w:val="auto"/>
                <w:sz w:val="21"/>
                <w:highlight w:val="none"/>
              </w:rPr>
            </w:pPr>
            <w:r>
              <w:rPr>
                <w:rFonts w:hint="eastAsia"/>
                <w:color w:val="auto"/>
                <w:sz w:val="21"/>
                <w:highlight w:val="none"/>
              </w:rPr>
              <w:t>主体工程</w:t>
            </w:r>
          </w:p>
          <w:p w14:paraId="366D0817">
            <w:pPr>
              <w:pStyle w:val="71"/>
              <w:numPr>
                <w:ilvl w:val="0"/>
                <w:numId w:val="16"/>
              </w:numPr>
              <w:spacing w:line="332" w:lineRule="auto"/>
              <w:ind w:firstLine="420" w:firstLineChars="200"/>
              <w:rPr>
                <w:color w:val="auto"/>
                <w:highlight w:val="none"/>
              </w:rPr>
            </w:pPr>
            <w:r>
              <w:rPr>
                <w:rFonts w:hint="eastAsia"/>
                <w:color w:val="auto"/>
                <w:highlight w:val="none"/>
              </w:rPr>
              <w:t>钻前工程</w:t>
            </w:r>
          </w:p>
          <w:p w14:paraId="0FDC2D74">
            <w:pPr>
              <w:pStyle w:val="3"/>
              <w:ind w:firstLine="420"/>
              <w:rPr>
                <w:rFonts w:hint="eastAsia" w:eastAsia="宋体"/>
                <w:color w:val="auto"/>
                <w:sz w:val="21"/>
                <w:highlight w:val="none"/>
                <w:lang w:eastAsia="zh-CN"/>
              </w:rPr>
            </w:pPr>
            <w:r>
              <w:rPr>
                <w:rFonts w:hint="eastAsia"/>
                <w:color w:val="auto"/>
                <w:sz w:val="21"/>
                <w:highlight w:val="none"/>
              </w:rPr>
              <w:t>钻前工程包括进场道路建设、井场平整、放喷池开挖、设备基础修建等。本项目临时占地面积详见</w:t>
            </w:r>
            <w:r>
              <w:rPr>
                <w:rFonts w:hint="eastAsia"/>
                <w:color w:val="auto"/>
                <w:sz w:val="21"/>
                <w:highlight w:val="none"/>
              </w:rPr>
              <w:fldChar w:fldCharType="begin"/>
            </w:r>
            <w:r>
              <w:rPr>
                <w:color w:val="auto"/>
                <w:highlight w:val="none"/>
              </w:rPr>
              <w:instrText xml:space="preserve"> REF _Ref205903640 \h  \* MERGEFORMAT</w:instrText>
            </w:r>
            <w:r>
              <w:rPr>
                <w:rFonts w:hint="eastAsia"/>
                <w:color w:val="auto"/>
                <w:sz w:val="21"/>
                <w:highlight w:val="none"/>
              </w:rPr>
              <w:fldChar w:fldCharType="separate"/>
            </w:r>
            <w:r>
              <w:rPr>
                <w:rFonts w:hint="eastAsia"/>
                <w:color w:val="auto"/>
                <w:sz w:val="21"/>
                <w:highlight w:val="none"/>
              </w:rPr>
              <w:t>表13</w:t>
            </w:r>
            <w:r>
              <w:rPr>
                <w:rFonts w:hint="eastAsia"/>
                <w:color w:val="auto"/>
                <w:sz w:val="21"/>
                <w:highlight w:val="none"/>
              </w:rPr>
              <w:fldChar w:fldCharType="end"/>
            </w:r>
            <w:r>
              <w:rPr>
                <w:rFonts w:hint="eastAsia"/>
                <w:color w:val="auto"/>
                <w:sz w:val="21"/>
                <w:szCs w:val="21"/>
                <w:highlight w:val="none"/>
                <w:lang w:eastAsia="zh-CN"/>
              </w:rPr>
              <w:t>。</w:t>
            </w:r>
          </w:p>
          <w:p w14:paraId="56DDAB86">
            <w:pPr>
              <w:pStyle w:val="13"/>
              <w:bidi w:val="0"/>
              <w:rPr>
                <w:color w:val="auto"/>
                <w:highlight w:val="none"/>
              </w:rPr>
            </w:pPr>
            <w:bookmarkStart w:id="22" w:name="_Ref205903640"/>
            <w:bookmarkStart w:id="23" w:name="_Ref3079"/>
            <w:r>
              <w:rPr>
                <w:rFonts w:hint="eastAsia"/>
                <w:color w:val="auto"/>
                <w:highlight w:val="none"/>
              </w:rPr>
              <w:t>表</w:t>
            </w:r>
            <w:r>
              <w:rPr>
                <w:color w:val="auto"/>
                <w:highlight w:val="none"/>
              </w:rPr>
              <w:fldChar w:fldCharType="begin"/>
            </w:r>
            <w:r>
              <w:rPr>
                <w:color w:val="auto"/>
                <w:highlight w:val="none"/>
              </w:rPr>
              <w:instrText xml:space="preserve"> </w:instrText>
            </w:r>
            <w:r>
              <w:rPr>
                <w:rFonts w:hint="eastAsia"/>
                <w:color w:val="auto"/>
                <w:highlight w:val="none"/>
              </w:rPr>
              <w:instrText xml:space="preserve">SEQ 表 \*ARABIC</w:instrText>
            </w:r>
            <w:r>
              <w:rPr>
                <w:color w:val="auto"/>
                <w:highlight w:val="none"/>
              </w:rPr>
              <w:instrText xml:space="preserve"> </w:instrText>
            </w:r>
            <w:r>
              <w:rPr>
                <w:color w:val="auto"/>
                <w:highlight w:val="none"/>
              </w:rPr>
              <w:fldChar w:fldCharType="separate"/>
            </w:r>
            <w:r>
              <w:rPr>
                <w:rFonts w:hint="eastAsia"/>
                <w:color w:val="auto"/>
                <w:highlight w:val="none"/>
              </w:rPr>
              <w:t>13</w:t>
            </w:r>
            <w:r>
              <w:rPr>
                <w:color w:val="auto"/>
                <w:highlight w:val="none"/>
              </w:rPr>
              <w:fldChar w:fldCharType="end"/>
            </w:r>
            <w:bookmarkEnd w:id="22"/>
            <w:r>
              <w:rPr>
                <w:color w:val="auto"/>
                <w:highlight w:val="none"/>
              </w:rPr>
              <w:t xml:space="preserve">  </w:t>
            </w:r>
            <w:r>
              <w:rPr>
                <w:rFonts w:hint="eastAsia"/>
                <w:color w:val="auto"/>
                <w:highlight w:val="none"/>
              </w:rPr>
              <w:t>本项目临时占地面积一览表</w:t>
            </w:r>
            <w:bookmarkEnd w:id="23"/>
          </w:p>
          <w:tbl>
            <w:tblPr>
              <w:tblStyle w:val="61"/>
              <w:tblW w:w="7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9"/>
              <w:gridCol w:w="4262"/>
            </w:tblGrid>
            <w:tr w14:paraId="305D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pct"/>
                  <w:shd w:val="clear" w:color="auto" w:fill="auto"/>
                  <w:tcMar>
                    <w:top w:w="57" w:type="dxa"/>
                    <w:left w:w="108" w:type="dxa"/>
                    <w:bottom w:w="57" w:type="dxa"/>
                    <w:right w:w="108" w:type="dxa"/>
                  </w:tcMar>
                  <w:vAlign w:val="center"/>
                </w:tcPr>
                <w:p w14:paraId="110A1504">
                  <w:pPr>
                    <w:pStyle w:val="3"/>
                    <w:spacing w:line="240" w:lineRule="auto"/>
                    <w:ind w:firstLine="0" w:firstLineChars="0"/>
                    <w:jc w:val="center"/>
                    <w:rPr>
                      <w:color w:val="auto"/>
                      <w:sz w:val="18"/>
                      <w:szCs w:val="18"/>
                      <w:highlight w:val="none"/>
                    </w:rPr>
                  </w:pPr>
                  <w:r>
                    <w:rPr>
                      <w:rFonts w:hint="eastAsia"/>
                      <w:color w:val="auto"/>
                      <w:sz w:val="18"/>
                      <w:szCs w:val="18"/>
                      <w:highlight w:val="none"/>
                    </w:rPr>
                    <w:t>建设项目</w:t>
                  </w:r>
                </w:p>
              </w:tc>
              <w:tc>
                <w:tcPr>
                  <w:tcW w:w="2770" w:type="pct"/>
                  <w:shd w:val="clear" w:color="auto" w:fill="auto"/>
                  <w:tcMar>
                    <w:top w:w="57" w:type="dxa"/>
                    <w:left w:w="108" w:type="dxa"/>
                    <w:bottom w:w="57" w:type="dxa"/>
                    <w:right w:w="108" w:type="dxa"/>
                  </w:tcMar>
                  <w:vAlign w:val="center"/>
                </w:tcPr>
                <w:p w14:paraId="4AD4EC0E">
                  <w:pPr>
                    <w:pStyle w:val="3"/>
                    <w:spacing w:line="240" w:lineRule="auto"/>
                    <w:ind w:firstLine="0" w:firstLineChars="0"/>
                    <w:jc w:val="center"/>
                    <w:rPr>
                      <w:color w:val="auto"/>
                      <w:sz w:val="18"/>
                      <w:szCs w:val="18"/>
                      <w:highlight w:val="none"/>
                    </w:rPr>
                  </w:pPr>
                  <w:r>
                    <w:rPr>
                      <w:rFonts w:hint="eastAsia"/>
                      <w:color w:val="auto"/>
                      <w:sz w:val="18"/>
                      <w:szCs w:val="18"/>
                      <w:highlight w:val="none"/>
                    </w:rPr>
                    <w:t>临时占地（m</w:t>
                  </w:r>
                  <w:r>
                    <w:rPr>
                      <w:rFonts w:hint="eastAsia"/>
                      <w:color w:val="auto"/>
                      <w:sz w:val="18"/>
                      <w:szCs w:val="18"/>
                      <w:highlight w:val="none"/>
                      <w:vertAlign w:val="superscript"/>
                    </w:rPr>
                    <w:t>2</w:t>
                  </w:r>
                  <w:r>
                    <w:rPr>
                      <w:rFonts w:hint="eastAsia"/>
                      <w:color w:val="auto"/>
                      <w:sz w:val="18"/>
                      <w:szCs w:val="18"/>
                      <w:highlight w:val="none"/>
                    </w:rPr>
                    <w:t>）</w:t>
                  </w:r>
                </w:p>
              </w:tc>
            </w:tr>
            <w:tr w14:paraId="3F23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pct"/>
                  <w:shd w:val="clear" w:color="auto" w:fill="auto"/>
                  <w:tcMar>
                    <w:top w:w="57" w:type="dxa"/>
                    <w:left w:w="108" w:type="dxa"/>
                    <w:bottom w:w="57" w:type="dxa"/>
                    <w:right w:w="108" w:type="dxa"/>
                  </w:tcMar>
                  <w:vAlign w:val="center"/>
                </w:tcPr>
                <w:p w14:paraId="734C40D9">
                  <w:pPr>
                    <w:pStyle w:val="3"/>
                    <w:spacing w:line="240" w:lineRule="auto"/>
                    <w:ind w:firstLine="0" w:firstLineChars="0"/>
                    <w:jc w:val="center"/>
                    <w:rPr>
                      <w:color w:val="auto"/>
                      <w:sz w:val="18"/>
                      <w:szCs w:val="18"/>
                      <w:highlight w:val="none"/>
                    </w:rPr>
                  </w:pPr>
                  <w:r>
                    <w:rPr>
                      <w:rFonts w:hint="eastAsia"/>
                      <w:color w:val="auto"/>
                      <w:sz w:val="18"/>
                      <w:szCs w:val="18"/>
                      <w:highlight w:val="none"/>
                    </w:rPr>
                    <w:t>井场</w:t>
                  </w:r>
                </w:p>
              </w:tc>
              <w:tc>
                <w:tcPr>
                  <w:tcW w:w="2770" w:type="pct"/>
                  <w:shd w:val="clear" w:color="auto" w:fill="auto"/>
                  <w:tcMar>
                    <w:top w:w="57" w:type="dxa"/>
                    <w:left w:w="108" w:type="dxa"/>
                    <w:bottom w:w="57" w:type="dxa"/>
                    <w:right w:w="108" w:type="dxa"/>
                  </w:tcMar>
                  <w:vAlign w:val="center"/>
                </w:tcPr>
                <w:p w14:paraId="4F60C628">
                  <w:pPr>
                    <w:pStyle w:val="3"/>
                    <w:spacing w:line="240" w:lineRule="auto"/>
                    <w:ind w:firstLine="0" w:firstLineChars="0"/>
                    <w:jc w:val="center"/>
                    <w:rPr>
                      <w:color w:val="auto"/>
                      <w:sz w:val="18"/>
                      <w:szCs w:val="18"/>
                      <w:highlight w:val="none"/>
                    </w:rPr>
                  </w:pPr>
                  <w:r>
                    <w:rPr>
                      <w:rFonts w:hint="eastAsia"/>
                      <w:color w:val="auto"/>
                      <w:sz w:val="18"/>
                      <w:szCs w:val="18"/>
                      <w:highlight w:val="none"/>
                    </w:rPr>
                    <w:t>19500</w:t>
                  </w:r>
                </w:p>
              </w:tc>
            </w:tr>
            <w:tr w14:paraId="5D0E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pct"/>
                  <w:shd w:val="clear" w:color="auto" w:fill="auto"/>
                  <w:tcMar>
                    <w:top w:w="57" w:type="dxa"/>
                    <w:left w:w="108" w:type="dxa"/>
                    <w:bottom w:w="57" w:type="dxa"/>
                    <w:right w:w="108" w:type="dxa"/>
                  </w:tcMar>
                  <w:vAlign w:val="center"/>
                </w:tcPr>
                <w:p w14:paraId="5D70A399">
                  <w:pPr>
                    <w:pStyle w:val="3"/>
                    <w:spacing w:line="240" w:lineRule="auto"/>
                    <w:ind w:firstLine="0" w:firstLineChars="0"/>
                    <w:jc w:val="center"/>
                    <w:rPr>
                      <w:color w:val="auto"/>
                      <w:sz w:val="18"/>
                      <w:szCs w:val="18"/>
                      <w:highlight w:val="none"/>
                    </w:rPr>
                  </w:pPr>
                  <w:r>
                    <w:rPr>
                      <w:rFonts w:hint="eastAsia"/>
                      <w:color w:val="auto"/>
                      <w:sz w:val="18"/>
                      <w:szCs w:val="18"/>
                      <w:highlight w:val="none"/>
                    </w:rPr>
                    <w:t>放喷池</w:t>
                  </w:r>
                </w:p>
              </w:tc>
              <w:tc>
                <w:tcPr>
                  <w:tcW w:w="2770" w:type="pct"/>
                  <w:tcMar>
                    <w:top w:w="57" w:type="dxa"/>
                    <w:left w:w="108" w:type="dxa"/>
                    <w:bottom w:w="57" w:type="dxa"/>
                    <w:right w:w="108" w:type="dxa"/>
                  </w:tcMar>
                  <w:vAlign w:val="center"/>
                </w:tcPr>
                <w:p w14:paraId="454108FC">
                  <w:pPr>
                    <w:pStyle w:val="3"/>
                    <w:spacing w:line="240" w:lineRule="auto"/>
                    <w:ind w:firstLine="0" w:firstLineChars="0"/>
                    <w:jc w:val="center"/>
                    <w:rPr>
                      <w:color w:val="auto"/>
                      <w:sz w:val="18"/>
                      <w:szCs w:val="18"/>
                      <w:highlight w:val="none"/>
                    </w:rPr>
                  </w:pPr>
                  <w:r>
                    <w:rPr>
                      <w:rFonts w:hint="eastAsia"/>
                      <w:color w:val="auto"/>
                      <w:sz w:val="18"/>
                      <w:szCs w:val="18"/>
                      <w:highlight w:val="none"/>
                    </w:rPr>
                    <w:t>192</w:t>
                  </w:r>
                </w:p>
              </w:tc>
            </w:tr>
            <w:tr w14:paraId="4D06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pct"/>
                  <w:shd w:val="clear" w:color="auto" w:fill="auto"/>
                  <w:tcMar>
                    <w:top w:w="57" w:type="dxa"/>
                    <w:left w:w="108" w:type="dxa"/>
                    <w:bottom w:w="57" w:type="dxa"/>
                    <w:right w:w="108" w:type="dxa"/>
                  </w:tcMar>
                  <w:vAlign w:val="center"/>
                </w:tcPr>
                <w:p w14:paraId="0B42C074">
                  <w:pPr>
                    <w:pStyle w:val="3"/>
                    <w:spacing w:line="240" w:lineRule="auto"/>
                    <w:ind w:firstLine="0" w:firstLineChars="0"/>
                    <w:jc w:val="center"/>
                    <w:rPr>
                      <w:color w:val="auto"/>
                      <w:sz w:val="18"/>
                      <w:szCs w:val="18"/>
                      <w:highlight w:val="none"/>
                    </w:rPr>
                  </w:pPr>
                  <w:r>
                    <w:rPr>
                      <w:rFonts w:hint="eastAsia"/>
                      <w:color w:val="auto"/>
                      <w:sz w:val="18"/>
                      <w:szCs w:val="18"/>
                      <w:highlight w:val="none"/>
                    </w:rPr>
                    <w:t>放喷通道</w:t>
                  </w:r>
                </w:p>
              </w:tc>
              <w:tc>
                <w:tcPr>
                  <w:tcW w:w="2770" w:type="pct"/>
                  <w:tcMar>
                    <w:top w:w="57" w:type="dxa"/>
                    <w:left w:w="108" w:type="dxa"/>
                    <w:bottom w:w="57" w:type="dxa"/>
                    <w:right w:w="108" w:type="dxa"/>
                  </w:tcMar>
                  <w:vAlign w:val="center"/>
                </w:tcPr>
                <w:p w14:paraId="1ADDD7A4">
                  <w:pPr>
                    <w:pStyle w:val="3"/>
                    <w:spacing w:line="240" w:lineRule="auto"/>
                    <w:ind w:firstLine="0" w:firstLineChars="0"/>
                    <w:jc w:val="center"/>
                    <w:rPr>
                      <w:color w:val="auto"/>
                      <w:sz w:val="18"/>
                      <w:szCs w:val="18"/>
                      <w:highlight w:val="none"/>
                    </w:rPr>
                  </w:pPr>
                  <w:r>
                    <w:rPr>
                      <w:rFonts w:hint="eastAsia"/>
                      <w:color w:val="auto"/>
                      <w:sz w:val="18"/>
                      <w:szCs w:val="18"/>
                      <w:highlight w:val="none"/>
                      <w:lang w:val="en-US" w:eastAsia="zh-CN"/>
                    </w:rPr>
                    <w:t>3</w:t>
                  </w:r>
                  <w:r>
                    <w:rPr>
                      <w:rFonts w:hint="eastAsia"/>
                      <w:color w:val="auto"/>
                      <w:sz w:val="18"/>
                      <w:szCs w:val="18"/>
                      <w:highlight w:val="none"/>
                    </w:rPr>
                    <w:t>60</w:t>
                  </w:r>
                </w:p>
              </w:tc>
            </w:tr>
            <w:tr w14:paraId="6759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pct"/>
                  <w:shd w:val="clear" w:color="auto" w:fill="auto"/>
                  <w:tcMar>
                    <w:top w:w="57" w:type="dxa"/>
                    <w:left w:w="108" w:type="dxa"/>
                    <w:bottom w:w="57" w:type="dxa"/>
                    <w:right w:w="108" w:type="dxa"/>
                  </w:tcMar>
                  <w:vAlign w:val="center"/>
                </w:tcPr>
                <w:p w14:paraId="7DAC4D28">
                  <w:pPr>
                    <w:pStyle w:val="3"/>
                    <w:spacing w:line="240" w:lineRule="auto"/>
                    <w:ind w:firstLine="0" w:firstLineChars="0"/>
                    <w:jc w:val="center"/>
                    <w:rPr>
                      <w:color w:val="auto"/>
                      <w:sz w:val="18"/>
                      <w:szCs w:val="18"/>
                      <w:highlight w:val="none"/>
                    </w:rPr>
                  </w:pPr>
                  <w:r>
                    <w:rPr>
                      <w:rFonts w:hint="eastAsia"/>
                      <w:color w:val="auto"/>
                      <w:sz w:val="18"/>
                      <w:szCs w:val="18"/>
                      <w:highlight w:val="none"/>
                    </w:rPr>
                    <w:t>生活区</w:t>
                  </w:r>
                </w:p>
              </w:tc>
              <w:tc>
                <w:tcPr>
                  <w:tcW w:w="2770" w:type="pct"/>
                  <w:tcMar>
                    <w:top w:w="57" w:type="dxa"/>
                    <w:left w:w="108" w:type="dxa"/>
                    <w:bottom w:w="57" w:type="dxa"/>
                    <w:right w:w="108" w:type="dxa"/>
                  </w:tcMar>
                  <w:vAlign w:val="center"/>
                </w:tcPr>
                <w:p w14:paraId="5618FDA7">
                  <w:pPr>
                    <w:pStyle w:val="3"/>
                    <w:spacing w:line="240" w:lineRule="auto"/>
                    <w:ind w:firstLine="0" w:firstLineChars="0"/>
                    <w:jc w:val="center"/>
                    <w:rPr>
                      <w:color w:val="auto"/>
                      <w:sz w:val="18"/>
                      <w:szCs w:val="18"/>
                      <w:highlight w:val="none"/>
                    </w:rPr>
                  </w:pPr>
                  <w:r>
                    <w:rPr>
                      <w:rFonts w:hint="eastAsia"/>
                      <w:color w:val="auto"/>
                      <w:sz w:val="18"/>
                      <w:szCs w:val="18"/>
                      <w:highlight w:val="none"/>
                    </w:rPr>
                    <w:t>3000</w:t>
                  </w:r>
                </w:p>
              </w:tc>
            </w:tr>
            <w:tr w14:paraId="6E6B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pct"/>
                  <w:shd w:val="clear" w:color="auto" w:fill="auto"/>
                  <w:tcMar>
                    <w:top w:w="57" w:type="dxa"/>
                    <w:left w:w="108" w:type="dxa"/>
                    <w:bottom w:w="57" w:type="dxa"/>
                    <w:right w:w="108" w:type="dxa"/>
                  </w:tcMar>
                  <w:vAlign w:val="center"/>
                </w:tcPr>
                <w:p w14:paraId="67428612">
                  <w:pPr>
                    <w:pStyle w:val="3"/>
                    <w:spacing w:line="240" w:lineRule="auto"/>
                    <w:ind w:firstLine="0" w:firstLineChars="0"/>
                    <w:jc w:val="center"/>
                    <w:rPr>
                      <w:color w:val="auto"/>
                      <w:sz w:val="18"/>
                      <w:szCs w:val="18"/>
                      <w:highlight w:val="none"/>
                    </w:rPr>
                  </w:pPr>
                  <w:r>
                    <w:rPr>
                      <w:rFonts w:hint="eastAsia"/>
                      <w:color w:val="auto"/>
                      <w:sz w:val="18"/>
                      <w:szCs w:val="18"/>
                      <w:highlight w:val="none"/>
                    </w:rPr>
                    <w:t>合计</w:t>
                  </w:r>
                </w:p>
              </w:tc>
              <w:tc>
                <w:tcPr>
                  <w:tcW w:w="2770" w:type="pct"/>
                  <w:tcMar>
                    <w:top w:w="57" w:type="dxa"/>
                    <w:left w:w="108" w:type="dxa"/>
                    <w:bottom w:w="57" w:type="dxa"/>
                    <w:right w:w="108" w:type="dxa"/>
                  </w:tcMar>
                  <w:vAlign w:val="center"/>
                </w:tcPr>
                <w:p w14:paraId="7E1E49BC">
                  <w:pPr>
                    <w:pStyle w:val="3"/>
                    <w:spacing w:line="240" w:lineRule="auto"/>
                    <w:ind w:firstLine="0" w:firstLineChars="0"/>
                    <w:jc w:val="center"/>
                    <w:rPr>
                      <w:rFonts w:hint="eastAsia" w:eastAsia="宋体"/>
                      <w:color w:val="auto"/>
                      <w:sz w:val="18"/>
                      <w:szCs w:val="18"/>
                      <w:highlight w:val="none"/>
                      <w:lang w:eastAsia="zh-CN"/>
                    </w:rPr>
                  </w:pPr>
                  <w:r>
                    <w:rPr>
                      <w:rFonts w:hint="eastAsia"/>
                      <w:color w:val="auto"/>
                      <w:sz w:val="18"/>
                      <w:szCs w:val="18"/>
                      <w:highlight w:val="none"/>
                      <w:lang w:eastAsia="zh-CN"/>
                    </w:rPr>
                    <w:t>25284</w:t>
                  </w:r>
                </w:p>
              </w:tc>
            </w:tr>
          </w:tbl>
          <w:p w14:paraId="38724102">
            <w:pPr>
              <w:pStyle w:val="3"/>
              <w:ind w:firstLine="420"/>
              <w:rPr>
                <w:color w:val="auto"/>
                <w:sz w:val="21"/>
                <w:highlight w:val="none"/>
              </w:rPr>
            </w:pPr>
          </w:p>
          <w:p w14:paraId="1234BF5F">
            <w:pPr>
              <w:pStyle w:val="71"/>
              <w:numPr>
                <w:ilvl w:val="0"/>
                <w:numId w:val="16"/>
              </w:numPr>
              <w:spacing w:line="332" w:lineRule="auto"/>
              <w:ind w:firstLine="420" w:firstLineChars="200"/>
              <w:rPr>
                <w:color w:val="auto"/>
                <w:highlight w:val="none"/>
              </w:rPr>
            </w:pPr>
            <w:r>
              <w:rPr>
                <w:rFonts w:hint="eastAsia"/>
                <w:color w:val="auto"/>
                <w:highlight w:val="none"/>
              </w:rPr>
              <w:t>钻井工程</w:t>
            </w:r>
          </w:p>
          <w:p w14:paraId="0C9E6A98">
            <w:pPr>
              <w:pStyle w:val="73"/>
              <w:numPr>
                <w:ilvl w:val="0"/>
                <w:numId w:val="17"/>
              </w:numPr>
              <w:ind w:firstLine="420" w:firstLineChars="200"/>
              <w:rPr>
                <w:color w:val="auto"/>
                <w:highlight w:val="none"/>
              </w:rPr>
            </w:pPr>
            <w:r>
              <w:rPr>
                <w:rFonts w:hint="eastAsia"/>
                <w:color w:val="auto"/>
                <w:highlight w:val="none"/>
              </w:rPr>
              <w:t>基础数据</w:t>
            </w:r>
          </w:p>
          <w:p w14:paraId="346BFCD8">
            <w:pPr>
              <w:pStyle w:val="3"/>
              <w:ind w:firstLine="420"/>
              <w:rPr>
                <w:color w:val="auto"/>
                <w:sz w:val="21"/>
                <w:szCs w:val="21"/>
                <w:highlight w:val="none"/>
              </w:rPr>
            </w:pPr>
            <w:r>
              <w:rPr>
                <w:rFonts w:hint="eastAsia"/>
                <w:color w:val="auto"/>
                <w:sz w:val="21"/>
                <w:szCs w:val="21"/>
                <w:highlight w:val="none"/>
              </w:rPr>
              <w:t>本次新钻1口预探井，完钻后进行试油，获取有关技术参数。基础数据内容详见</w:t>
            </w:r>
            <w:r>
              <w:rPr>
                <w:rFonts w:hint="eastAsia"/>
                <w:color w:val="auto"/>
                <w:sz w:val="21"/>
                <w:szCs w:val="21"/>
                <w:highlight w:val="none"/>
              </w:rPr>
              <w:fldChar w:fldCharType="begin"/>
            </w:r>
            <w:r>
              <w:rPr>
                <w:color w:val="auto"/>
                <w:highlight w:val="none"/>
              </w:rPr>
              <w:instrText xml:space="preserve"> REF _Ref205979831 \h  \* MERGEFORMAT</w:instrText>
            </w:r>
            <w:r>
              <w:rPr>
                <w:rFonts w:hint="eastAsia"/>
                <w:color w:val="auto"/>
                <w:sz w:val="21"/>
                <w:szCs w:val="21"/>
                <w:highlight w:val="none"/>
              </w:rPr>
              <w:fldChar w:fldCharType="separate"/>
            </w:r>
            <w:r>
              <w:rPr>
                <w:rFonts w:hint="eastAsia"/>
                <w:color w:val="auto"/>
                <w:sz w:val="21"/>
                <w:szCs w:val="21"/>
                <w:highlight w:val="none"/>
              </w:rPr>
              <w:t>表14</w:t>
            </w:r>
            <w:r>
              <w:rPr>
                <w:rFonts w:hint="eastAsia"/>
                <w:color w:val="auto"/>
                <w:sz w:val="21"/>
                <w:szCs w:val="21"/>
                <w:highlight w:val="none"/>
              </w:rPr>
              <w:fldChar w:fldCharType="end"/>
            </w:r>
            <w:r>
              <w:rPr>
                <w:rFonts w:hint="eastAsia"/>
                <w:color w:val="auto"/>
                <w:sz w:val="21"/>
                <w:szCs w:val="21"/>
                <w:highlight w:val="none"/>
              </w:rPr>
              <w:t>。</w:t>
            </w:r>
          </w:p>
          <w:p w14:paraId="2DCFCA14">
            <w:pPr>
              <w:pStyle w:val="13"/>
              <w:bidi w:val="0"/>
              <w:rPr>
                <w:color w:val="auto"/>
                <w:highlight w:val="none"/>
              </w:rPr>
            </w:pPr>
            <w:bookmarkStart w:id="24" w:name="_Ref205979831"/>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14</w:t>
            </w:r>
            <w:r>
              <w:rPr>
                <w:rFonts w:hint="eastAsia"/>
                <w:color w:val="auto"/>
                <w:highlight w:val="none"/>
              </w:rPr>
              <w:fldChar w:fldCharType="end"/>
            </w:r>
            <w:bookmarkEnd w:id="24"/>
            <w:r>
              <w:rPr>
                <w:rFonts w:hint="eastAsia"/>
                <w:color w:val="auto"/>
                <w:highlight w:val="none"/>
              </w:rPr>
              <w:t xml:space="preserve">  本项目钻井工程基础数据内容一览表</w:t>
            </w:r>
          </w:p>
          <w:tbl>
            <w:tblPr>
              <w:tblStyle w:val="6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610"/>
              <w:gridCol w:w="451"/>
              <w:gridCol w:w="615"/>
              <w:gridCol w:w="722"/>
              <w:gridCol w:w="776"/>
              <w:gridCol w:w="1044"/>
              <w:gridCol w:w="603"/>
              <w:gridCol w:w="1018"/>
            </w:tblGrid>
            <w:tr w14:paraId="73E4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2" w:type="pct"/>
                  <w:vAlign w:val="center"/>
                </w:tcPr>
                <w:p w14:paraId="1788326A">
                  <w:pPr>
                    <w:pStyle w:val="3"/>
                    <w:spacing w:line="240" w:lineRule="auto"/>
                    <w:ind w:firstLine="0" w:firstLineChars="0"/>
                    <w:jc w:val="center"/>
                    <w:rPr>
                      <w:color w:val="auto"/>
                      <w:sz w:val="18"/>
                      <w:szCs w:val="18"/>
                      <w:highlight w:val="none"/>
                    </w:rPr>
                  </w:pPr>
                  <w:r>
                    <w:rPr>
                      <w:rFonts w:hint="eastAsia"/>
                      <w:color w:val="auto"/>
                      <w:sz w:val="18"/>
                      <w:szCs w:val="18"/>
                      <w:highlight w:val="none"/>
                    </w:rPr>
                    <w:t>井号</w:t>
                  </w:r>
                </w:p>
              </w:tc>
              <w:tc>
                <w:tcPr>
                  <w:tcW w:w="1070" w:type="pct"/>
                  <w:vAlign w:val="center"/>
                </w:tcPr>
                <w:p w14:paraId="5F02DB7B">
                  <w:pPr>
                    <w:pStyle w:val="3"/>
                    <w:spacing w:line="240" w:lineRule="auto"/>
                    <w:ind w:firstLine="0" w:firstLineChars="0"/>
                    <w:jc w:val="center"/>
                    <w:rPr>
                      <w:color w:val="auto"/>
                      <w:sz w:val="18"/>
                      <w:szCs w:val="18"/>
                      <w:highlight w:val="none"/>
                    </w:rPr>
                  </w:pPr>
                  <w:r>
                    <w:rPr>
                      <w:rFonts w:hint="eastAsia"/>
                      <w:color w:val="auto"/>
                      <w:sz w:val="18"/>
                      <w:szCs w:val="18"/>
                      <w:highlight w:val="none"/>
                    </w:rPr>
                    <w:t>地理坐标</w:t>
                  </w:r>
                </w:p>
              </w:tc>
              <w:tc>
                <w:tcPr>
                  <w:tcW w:w="299" w:type="pct"/>
                  <w:vAlign w:val="center"/>
                </w:tcPr>
                <w:p w14:paraId="0BAAE8C2">
                  <w:pPr>
                    <w:pStyle w:val="3"/>
                    <w:spacing w:line="240" w:lineRule="auto"/>
                    <w:ind w:firstLine="0" w:firstLineChars="0"/>
                    <w:jc w:val="center"/>
                    <w:rPr>
                      <w:color w:val="auto"/>
                      <w:sz w:val="18"/>
                      <w:szCs w:val="18"/>
                      <w:highlight w:val="none"/>
                    </w:rPr>
                  </w:pPr>
                  <w:r>
                    <w:rPr>
                      <w:rFonts w:hint="eastAsia"/>
                      <w:color w:val="auto"/>
                      <w:sz w:val="18"/>
                      <w:szCs w:val="18"/>
                      <w:highlight w:val="none"/>
                    </w:rPr>
                    <w:t>井型</w:t>
                  </w:r>
                </w:p>
              </w:tc>
              <w:tc>
                <w:tcPr>
                  <w:tcW w:w="408" w:type="pct"/>
                  <w:vAlign w:val="center"/>
                </w:tcPr>
                <w:p w14:paraId="36B0239C">
                  <w:pPr>
                    <w:pStyle w:val="3"/>
                    <w:spacing w:line="240" w:lineRule="auto"/>
                    <w:ind w:firstLine="0" w:firstLineChars="0"/>
                    <w:jc w:val="center"/>
                    <w:rPr>
                      <w:color w:val="auto"/>
                      <w:sz w:val="18"/>
                      <w:szCs w:val="18"/>
                      <w:highlight w:val="none"/>
                    </w:rPr>
                  </w:pPr>
                  <w:r>
                    <w:rPr>
                      <w:rFonts w:hint="eastAsia"/>
                      <w:color w:val="auto"/>
                      <w:sz w:val="18"/>
                      <w:szCs w:val="18"/>
                      <w:highlight w:val="none"/>
                    </w:rPr>
                    <w:t>井别</w:t>
                  </w:r>
                </w:p>
              </w:tc>
              <w:tc>
                <w:tcPr>
                  <w:tcW w:w="480" w:type="pct"/>
                  <w:vAlign w:val="center"/>
                </w:tcPr>
                <w:p w14:paraId="1E52D5F1">
                  <w:pPr>
                    <w:pStyle w:val="3"/>
                    <w:spacing w:line="240" w:lineRule="auto"/>
                    <w:ind w:firstLine="0" w:firstLineChars="0"/>
                    <w:jc w:val="center"/>
                    <w:rPr>
                      <w:color w:val="auto"/>
                      <w:sz w:val="18"/>
                      <w:szCs w:val="18"/>
                      <w:highlight w:val="none"/>
                    </w:rPr>
                  </w:pPr>
                  <w:r>
                    <w:rPr>
                      <w:rFonts w:hint="eastAsia"/>
                      <w:color w:val="auto"/>
                      <w:sz w:val="18"/>
                      <w:szCs w:val="18"/>
                      <w:highlight w:val="none"/>
                    </w:rPr>
                    <w:t>设计井深</w:t>
                  </w:r>
                </w:p>
              </w:tc>
              <w:tc>
                <w:tcPr>
                  <w:tcW w:w="515" w:type="pct"/>
                  <w:vAlign w:val="center"/>
                </w:tcPr>
                <w:p w14:paraId="6AE62FDA">
                  <w:pPr>
                    <w:pStyle w:val="3"/>
                    <w:spacing w:line="240" w:lineRule="auto"/>
                    <w:ind w:firstLine="0" w:firstLineChars="0"/>
                    <w:jc w:val="center"/>
                    <w:rPr>
                      <w:color w:val="auto"/>
                      <w:sz w:val="18"/>
                      <w:szCs w:val="18"/>
                      <w:highlight w:val="none"/>
                    </w:rPr>
                  </w:pPr>
                  <w:r>
                    <w:rPr>
                      <w:rFonts w:hint="eastAsia"/>
                      <w:color w:val="auto"/>
                      <w:sz w:val="18"/>
                      <w:szCs w:val="18"/>
                      <w:highlight w:val="none"/>
                    </w:rPr>
                    <w:t>目的层</w:t>
                  </w:r>
                </w:p>
              </w:tc>
              <w:tc>
                <w:tcPr>
                  <w:tcW w:w="694" w:type="pct"/>
                  <w:vAlign w:val="center"/>
                </w:tcPr>
                <w:p w14:paraId="2ECC6A1D">
                  <w:pPr>
                    <w:pStyle w:val="3"/>
                    <w:spacing w:line="240" w:lineRule="auto"/>
                    <w:ind w:firstLine="0" w:firstLineChars="0"/>
                    <w:jc w:val="center"/>
                    <w:rPr>
                      <w:color w:val="auto"/>
                      <w:sz w:val="18"/>
                      <w:szCs w:val="18"/>
                      <w:highlight w:val="none"/>
                    </w:rPr>
                  </w:pPr>
                  <w:r>
                    <w:rPr>
                      <w:rFonts w:hint="eastAsia"/>
                      <w:color w:val="auto"/>
                      <w:sz w:val="18"/>
                      <w:szCs w:val="18"/>
                      <w:highlight w:val="none"/>
                    </w:rPr>
                    <w:t>兼探层</w:t>
                  </w:r>
                </w:p>
              </w:tc>
              <w:tc>
                <w:tcPr>
                  <w:tcW w:w="400" w:type="pct"/>
                  <w:vAlign w:val="center"/>
                </w:tcPr>
                <w:p w14:paraId="1BC6ABF8">
                  <w:pPr>
                    <w:pStyle w:val="3"/>
                    <w:spacing w:line="240" w:lineRule="auto"/>
                    <w:ind w:firstLine="0" w:firstLineChars="0"/>
                    <w:jc w:val="center"/>
                    <w:rPr>
                      <w:color w:val="auto"/>
                      <w:sz w:val="18"/>
                      <w:szCs w:val="18"/>
                      <w:highlight w:val="none"/>
                    </w:rPr>
                  </w:pPr>
                  <w:r>
                    <w:rPr>
                      <w:rFonts w:hint="eastAsia"/>
                      <w:color w:val="auto"/>
                      <w:sz w:val="18"/>
                      <w:szCs w:val="18"/>
                      <w:highlight w:val="none"/>
                    </w:rPr>
                    <w:t>完钻层位</w:t>
                  </w:r>
                </w:p>
              </w:tc>
              <w:tc>
                <w:tcPr>
                  <w:tcW w:w="677" w:type="pct"/>
                  <w:vAlign w:val="center"/>
                </w:tcPr>
                <w:p w14:paraId="2FC0009E">
                  <w:pPr>
                    <w:pStyle w:val="3"/>
                    <w:spacing w:line="240" w:lineRule="auto"/>
                    <w:ind w:firstLine="0" w:firstLineChars="0"/>
                    <w:jc w:val="center"/>
                    <w:rPr>
                      <w:color w:val="auto"/>
                      <w:sz w:val="18"/>
                      <w:szCs w:val="18"/>
                      <w:highlight w:val="none"/>
                    </w:rPr>
                  </w:pPr>
                  <w:r>
                    <w:rPr>
                      <w:rFonts w:hint="eastAsia"/>
                      <w:color w:val="auto"/>
                      <w:sz w:val="18"/>
                      <w:szCs w:val="18"/>
                      <w:highlight w:val="none"/>
                    </w:rPr>
                    <w:t>完钻原则</w:t>
                  </w:r>
                </w:p>
              </w:tc>
            </w:tr>
            <w:tr w14:paraId="0D93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2" w:type="pct"/>
                  <w:vAlign w:val="center"/>
                </w:tcPr>
                <w:p w14:paraId="1ED1FB9B">
                  <w:pPr>
                    <w:pStyle w:val="3"/>
                    <w:spacing w:line="240" w:lineRule="auto"/>
                    <w:ind w:firstLine="0" w:firstLineChars="0"/>
                    <w:jc w:val="center"/>
                    <w:rPr>
                      <w:color w:val="auto"/>
                      <w:sz w:val="18"/>
                      <w:szCs w:val="18"/>
                      <w:highlight w:val="none"/>
                    </w:rPr>
                  </w:pPr>
                  <w:r>
                    <w:rPr>
                      <w:rFonts w:hint="eastAsia"/>
                      <w:color w:val="auto"/>
                      <w:sz w:val="18"/>
                      <w:szCs w:val="18"/>
                      <w:highlight w:val="none"/>
                    </w:rPr>
                    <w:t>董深斜2井</w:t>
                  </w:r>
                </w:p>
              </w:tc>
              <w:tc>
                <w:tcPr>
                  <w:tcW w:w="1070" w:type="pct"/>
                  <w:vAlign w:val="center"/>
                </w:tcPr>
                <w:p w14:paraId="526C253E">
                  <w:pPr>
                    <w:pStyle w:val="3"/>
                    <w:spacing w:line="240" w:lineRule="auto"/>
                    <w:ind w:firstLine="0" w:firstLineChars="0"/>
                    <w:jc w:val="center"/>
                    <w:rPr>
                      <w:color w:val="auto"/>
                      <w:sz w:val="18"/>
                      <w:szCs w:val="18"/>
                      <w:highlight w:val="none"/>
                    </w:rPr>
                  </w:pPr>
                  <w:r>
                    <w:rPr>
                      <w:rFonts w:hint="eastAsia"/>
                      <w:color w:val="auto"/>
                      <w:sz w:val="18"/>
                      <w:szCs w:val="18"/>
                      <w:highlight w:val="none"/>
                    </w:rPr>
                    <w:t>E 88°2'34.546"，</w:t>
                  </w:r>
                </w:p>
                <w:p w14:paraId="4BE08DB0">
                  <w:pPr>
                    <w:pStyle w:val="3"/>
                    <w:spacing w:line="240" w:lineRule="auto"/>
                    <w:ind w:firstLine="0" w:firstLineChars="0"/>
                    <w:jc w:val="center"/>
                    <w:rPr>
                      <w:color w:val="auto"/>
                      <w:sz w:val="18"/>
                      <w:szCs w:val="18"/>
                      <w:highlight w:val="none"/>
                    </w:rPr>
                  </w:pPr>
                  <w:r>
                    <w:rPr>
                      <w:rFonts w:hint="eastAsia"/>
                      <w:color w:val="auto"/>
                      <w:sz w:val="18"/>
                      <w:szCs w:val="18"/>
                      <w:highlight w:val="none"/>
                    </w:rPr>
                    <w:t>N 44°25'49.899"</w:t>
                  </w:r>
                </w:p>
              </w:tc>
              <w:tc>
                <w:tcPr>
                  <w:tcW w:w="299" w:type="pct"/>
                  <w:vAlign w:val="center"/>
                </w:tcPr>
                <w:p w14:paraId="00A88729">
                  <w:pPr>
                    <w:pStyle w:val="3"/>
                    <w:spacing w:line="240" w:lineRule="auto"/>
                    <w:ind w:firstLine="0" w:firstLineChars="0"/>
                    <w:jc w:val="center"/>
                    <w:rPr>
                      <w:color w:val="auto"/>
                      <w:sz w:val="18"/>
                      <w:szCs w:val="18"/>
                      <w:highlight w:val="none"/>
                    </w:rPr>
                  </w:pPr>
                  <w:r>
                    <w:rPr>
                      <w:color w:val="auto"/>
                      <w:sz w:val="18"/>
                      <w:szCs w:val="18"/>
                      <w:highlight w:val="none"/>
                    </w:rPr>
                    <w:t>定向井</w:t>
                  </w:r>
                </w:p>
              </w:tc>
              <w:tc>
                <w:tcPr>
                  <w:tcW w:w="408" w:type="pct"/>
                  <w:vAlign w:val="center"/>
                </w:tcPr>
                <w:p w14:paraId="5C55EAC9">
                  <w:pPr>
                    <w:pStyle w:val="3"/>
                    <w:spacing w:line="240" w:lineRule="auto"/>
                    <w:ind w:firstLine="0" w:firstLineChars="0"/>
                    <w:jc w:val="center"/>
                    <w:rPr>
                      <w:color w:val="auto"/>
                      <w:sz w:val="18"/>
                      <w:szCs w:val="18"/>
                      <w:highlight w:val="none"/>
                    </w:rPr>
                  </w:pPr>
                  <w:r>
                    <w:rPr>
                      <w:color w:val="auto"/>
                      <w:sz w:val="18"/>
                      <w:szCs w:val="18"/>
                      <w:highlight w:val="none"/>
                    </w:rPr>
                    <w:t>预探井</w:t>
                  </w:r>
                </w:p>
              </w:tc>
              <w:tc>
                <w:tcPr>
                  <w:tcW w:w="480" w:type="pct"/>
                  <w:vAlign w:val="center"/>
                </w:tcPr>
                <w:p w14:paraId="671D1861">
                  <w:pPr>
                    <w:pStyle w:val="3"/>
                    <w:spacing w:line="240" w:lineRule="auto"/>
                    <w:ind w:firstLine="0" w:firstLineChars="0"/>
                    <w:jc w:val="center"/>
                    <w:rPr>
                      <w:color w:val="auto"/>
                      <w:sz w:val="18"/>
                      <w:szCs w:val="18"/>
                      <w:highlight w:val="none"/>
                    </w:rPr>
                  </w:pPr>
                  <w:r>
                    <w:rPr>
                      <w:rFonts w:hint="eastAsia"/>
                      <w:color w:val="auto"/>
                      <w:sz w:val="18"/>
                      <w:szCs w:val="18"/>
                      <w:highlight w:val="none"/>
                    </w:rPr>
                    <w:t>8478.84m</w:t>
                  </w:r>
                </w:p>
              </w:tc>
              <w:tc>
                <w:tcPr>
                  <w:tcW w:w="515" w:type="pct"/>
                  <w:vAlign w:val="center"/>
                </w:tcPr>
                <w:p w14:paraId="623D341A">
                  <w:pPr>
                    <w:pStyle w:val="3"/>
                    <w:spacing w:line="240" w:lineRule="auto"/>
                    <w:ind w:firstLine="0" w:firstLineChars="0"/>
                    <w:jc w:val="center"/>
                    <w:rPr>
                      <w:color w:val="auto"/>
                      <w:sz w:val="18"/>
                      <w:szCs w:val="18"/>
                      <w:highlight w:val="none"/>
                    </w:rPr>
                  </w:pPr>
                  <w:r>
                    <w:rPr>
                      <w:color w:val="auto"/>
                      <w:sz w:val="18"/>
                      <w:szCs w:val="18"/>
                      <w:highlight w:val="none"/>
                    </w:rPr>
                    <w:t>P3w1③砂组</w:t>
                  </w:r>
                </w:p>
              </w:tc>
              <w:tc>
                <w:tcPr>
                  <w:tcW w:w="694" w:type="pct"/>
                  <w:vAlign w:val="center"/>
                </w:tcPr>
                <w:p w14:paraId="2E1EDBBF">
                  <w:pPr>
                    <w:pStyle w:val="3"/>
                    <w:spacing w:line="240" w:lineRule="auto"/>
                    <w:ind w:firstLine="0" w:firstLineChars="0"/>
                    <w:jc w:val="center"/>
                    <w:rPr>
                      <w:color w:val="auto"/>
                      <w:sz w:val="18"/>
                      <w:szCs w:val="18"/>
                      <w:highlight w:val="none"/>
                    </w:rPr>
                  </w:pPr>
                  <w:r>
                    <w:rPr>
                      <w:rFonts w:hint="eastAsia"/>
                      <w:color w:val="auto"/>
                      <w:sz w:val="18"/>
                      <w:szCs w:val="18"/>
                      <w:highlight w:val="none"/>
                    </w:rPr>
                    <w:t>J2t河道3/J2t河道2/J2t河道4/J2t河道1</w:t>
                  </w:r>
                </w:p>
              </w:tc>
              <w:tc>
                <w:tcPr>
                  <w:tcW w:w="400" w:type="pct"/>
                  <w:vAlign w:val="center"/>
                </w:tcPr>
                <w:p w14:paraId="6104B4BE">
                  <w:pPr>
                    <w:pStyle w:val="3"/>
                    <w:spacing w:line="240" w:lineRule="auto"/>
                    <w:ind w:firstLine="0" w:firstLineChars="0"/>
                    <w:jc w:val="center"/>
                    <w:rPr>
                      <w:color w:val="auto"/>
                      <w:sz w:val="18"/>
                      <w:szCs w:val="18"/>
                      <w:highlight w:val="none"/>
                    </w:rPr>
                  </w:pPr>
                  <w:r>
                    <w:rPr>
                      <w:rFonts w:hint="eastAsia"/>
                      <w:color w:val="auto"/>
                      <w:sz w:val="18"/>
                      <w:szCs w:val="18"/>
                      <w:highlight w:val="none"/>
                    </w:rPr>
                    <w:t>下乌尔河组</w:t>
                  </w:r>
                </w:p>
              </w:tc>
              <w:tc>
                <w:tcPr>
                  <w:tcW w:w="677" w:type="pct"/>
                  <w:vAlign w:val="center"/>
                </w:tcPr>
                <w:p w14:paraId="0C96BB10">
                  <w:pPr>
                    <w:pStyle w:val="3"/>
                    <w:spacing w:line="240" w:lineRule="auto"/>
                    <w:ind w:firstLine="0" w:firstLineChars="0"/>
                    <w:jc w:val="center"/>
                    <w:rPr>
                      <w:color w:val="auto"/>
                      <w:sz w:val="18"/>
                      <w:szCs w:val="18"/>
                      <w:highlight w:val="none"/>
                    </w:rPr>
                  </w:pPr>
                  <w:r>
                    <w:rPr>
                      <w:rFonts w:hint="eastAsia"/>
                      <w:color w:val="auto"/>
                      <w:sz w:val="18"/>
                      <w:szCs w:val="18"/>
                      <w:highlight w:val="none"/>
                    </w:rPr>
                    <w:t>进入下乌尔河组井底50m无显示完钻</w:t>
                  </w:r>
                </w:p>
              </w:tc>
            </w:tr>
          </w:tbl>
          <w:p w14:paraId="5C757345">
            <w:pPr>
              <w:pStyle w:val="3"/>
              <w:ind w:firstLine="420"/>
              <w:rPr>
                <w:color w:val="auto"/>
                <w:sz w:val="21"/>
                <w:highlight w:val="none"/>
              </w:rPr>
            </w:pPr>
          </w:p>
          <w:p w14:paraId="20D40146">
            <w:pPr>
              <w:pStyle w:val="73"/>
              <w:numPr>
                <w:ilvl w:val="0"/>
                <w:numId w:val="17"/>
              </w:numPr>
              <w:ind w:firstLine="420" w:firstLineChars="200"/>
              <w:rPr>
                <w:color w:val="auto"/>
                <w:highlight w:val="none"/>
              </w:rPr>
            </w:pPr>
            <w:r>
              <w:rPr>
                <w:rFonts w:hint="eastAsia"/>
                <w:color w:val="auto"/>
                <w:highlight w:val="none"/>
              </w:rPr>
              <w:t>井身结构</w:t>
            </w:r>
          </w:p>
          <w:p w14:paraId="0041A0CB">
            <w:pPr>
              <w:pStyle w:val="3"/>
              <w:ind w:firstLine="420"/>
              <w:rPr>
                <w:color w:val="auto"/>
                <w:sz w:val="21"/>
                <w:szCs w:val="21"/>
                <w:highlight w:val="none"/>
              </w:rPr>
            </w:pPr>
            <w:r>
              <w:rPr>
                <w:rFonts w:hint="eastAsia"/>
                <w:color w:val="auto"/>
                <w:sz w:val="21"/>
                <w:szCs w:val="21"/>
                <w:highlight w:val="none"/>
              </w:rPr>
              <w:t>本项目采用三开制井身结构，井身结构见</w:t>
            </w:r>
            <w:r>
              <w:rPr>
                <w:rFonts w:hint="eastAsia"/>
                <w:color w:val="auto"/>
                <w:sz w:val="21"/>
                <w:szCs w:val="21"/>
                <w:highlight w:val="none"/>
              </w:rPr>
              <w:fldChar w:fldCharType="begin"/>
            </w:r>
            <w:r>
              <w:rPr>
                <w:color w:val="auto"/>
                <w:highlight w:val="none"/>
              </w:rPr>
              <w:instrText xml:space="preserve"> REF _Ref205910356 \h  \* MERGEFORMAT</w:instrText>
            </w:r>
            <w:r>
              <w:rPr>
                <w:rFonts w:hint="eastAsia"/>
                <w:color w:val="auto"/>
                <w:sz w:val="21"/>
                <w:szCs w:val="21"/>
                <w:highlight w:val="none"/>
              </w:rPr>
              <w:fldChar w:fldCharType="separate"/>
            </w:r>
            <w:r>
              <w:rPr>
                <w:rFonts w:hint="eastAsia"/>
                <w:color w:val="auto"/>
                <w:sz w:val="21"/>
                <w:szCs w:val="21"/>
                <w:highlight w:val="none"/>
              </w:rPr>
              <w:t>表15</w:t>
            </w:r>
            <w:r>
              <w:rPr>
                <w:rFonts w:hint="eastAsia"/>
                <w:color w:val="auto"/>
                <w:sz w:val="21"/>
                <w:szCs w:val="21"/>
                <w:highlight w:val="none"/>
              </w:rPr>
              <w:fldChar w:fldCharType="end"/>
            </w:r>
            <w:r>
              <w:rPr>
                <w:rFonts w:hint="eastAsia"/>
                <w:color w:val="auto"/>
                <w:sz w:val="21"/>
                <w:szCs w:val="21"/>
                <w:highlight w:val="none"/>
              </w:rPr>
              <w:t>、</w:t>
            </w:r>
            <w:r>
              <w:rPr>
                <w:color w:val="auto"/>
                <w:sz w:val="21"/>
                <w:szCs w:val="21"/>
                <w:highlight w:val="none"/>
              </w:rPr>
              <w:fldChar w:fldCharType="begin"/>
            </w:r>
            <w:r>
              <w:rPr>
                <w:color w:val="auto"/>
                <w:sz w:val="21"/>
                <w:szCs w:val="21"/>
                <w:highlight w:val="none"/>
              </w:rPr>
              <w:instrText xml:space="preserve"> </w:instrText>
            </w:r>
            <w:r>
              <w:rPr>
                <w:rFonts w:hint="eastAsia"/>
                <w:color w:val="auto"/>
                <w:sz w:val="21"/>
                <w:szCs w:val="21"/>
                <w:highlight w:val="none"/>
              </w:rPr>
              <w:instrText xml:space="preserve">REF _Ref205910483 \r</w:instrText>
            </w:r>
            <w:r>
              <w:rPr>
                <w:color w:val="auto"/>
                <w:sz w:val="21"/>
                <w:szCs w:val="21"/>
                <w:highlight w:val="none"/>
              </w:rPr>
              <w:instrText xml:space="preserve">  \* MERGEFORMAT </w:instrText>
            </w:r>
            <w:r>
              <w:rPr>
                <w:color w:val="auto"/>
                <w:sz w:val="21"/>
                <w:szCs w:val="21"/>
                <w:highlight w:val="none"/>
              </w:rPr>
              <w:fldChar w:fldCharType="separate"/>
            </w:r>
            <w:r>
              <w:rPr>
                <w:rFonts w:hint="eastAsia"/>
                <w:color w:val="auto"/>
                <w:sz w:val="21"/>
                <w:szCs w:val="21"/>
                <w:highlight w:val="none"/>
              </w:rPr>
              <w:t>图1</w:t>
            </w:r>
            <w:r>
              <w:rPr>
                <w:color w:val="auto"/>
                <w:sz w:val="21"/>
                <w:szCs w:val="21"/>
                <w:highlight w:val="none"/>
              </w:rPr>
              <w:fldChar w:fldCharType="end"/>
            </w:r>
            <w:r>
              <w:rPr>
                <w:rFonts w:hint="eastAsia"/>
                <w:color w:val="auto"/>
                <w:sz w:val="21"/>
                <w:szCs w:val="21"/>
                <w:highlight w:val="none"/>
              </w:rPr>
              <w:t>。</w:t>
            </w:r>
          </w:p>
          <w:p w14:paraId="70C22E5C">
            <w:pPr>
              <w:pStyle w:val="13"/>
              <w:bidi w:val="0"/>
              <w:rPr>
                <w:color w:val="auto"/>
                <w:highlight w:val="none"/>
              </w:rPr>
            </w:pPr>
            <w:bookmarkStart w:id="25" w:name="_Ref205910356"/>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15</w:t>
            </w:r>
            <w:r>
              <w:rPr>
                <w:rFonts w:hint="eastAsia"/>
                <w:color w:val="auto"/>
                <w:highlight w:val="none"/>
              </w:rPr>
              <w:fldChar w:fldCharType="end"/>
            </w:r>
            <w:bookmarkEnd w:id="25"/>
            <w:r>
              <w:rPr>
                <w:rFonts w:hint="eastAsia"/>
                <w:color w:val="auto"/>
                <w:highlight w:val="none"/>
              </w:rPr>
              <w:t xml:space="preserve"> 本项目井身结构情况一览表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963"/>
              <w:gridCol w:w="753"/>
              <w:gridCol w:w="1077"/>
              <w:gridCol w:w="1130"/>
              <w:gridCol w:w="1334"/>
              <w:gridCol w:w="1193"/>
            </w:tblGrid>
            <w:tr w14:paraId="4632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11" w:type="pct"/>
                  <w:tcMar>
                    <w:left w:w="28" w:type="dxa"/>
                    <w:right w:w="28" w:type="dxa"/>
                  </w:tcMar>
                  <w:vAlign w:val="center"/>
                </w:tcPr>
                <w:p w14:paraId="2C1B2FFF">
                  <w:pPr>
                    <w:pStyle w:val="41"/>
                    <w:rPr>
                      <w:rFonts w:cs="宋体"/>
                      <w:color w:val="auto"/>
                      <w:szCs w:val="18"/>
                      <w:highlight w:val="none"/>
                    </w:rPr>
                  </w:pPr>
                  <w:r>
                    <w:rPr>
                      <w:rFonts w:hint="eastAsia" w:cs="宋体"/>
                      <w:color w:val="auto"/>
                      <w:szCs w:val="18"/>
                      <w:highlight w:val="none"/>
                    </w:rPr>
                    <w:t>开钻</w:t>
                  </w:r>
                </w:p>
                <w:p w14:paraId="285B6BA5">
                  <w:pPr>
                    <w:pStyle w:val="41"/>
                    <w:rPr>
                      <w:rFonts w:cs="宋体"/>
                      <w:color w:val="auto"/>
                      <w:szCs w:val="18"/>
                      <w:highlight w:val="none"/>
                    </w:rPr>
                  </w:pPr>
                  <w:r>
                    <w:rPr>
                      <w:rFonts w:hint="eastAsia" w:cs="宋体"/>
                      <w:color w:val="auto"/>
                      <w:szCs w:val="18"/>
                      <w:highlight w:val="none"/>
                    </w:rPr>
                    <w:t>顺序</w:t>
                  </w:r>
                </w:p>
              </w:tc>
              <w:tc>
                <w:tcPr>
                  <w:tcW w:w="640" w:type="pct"/>
                  <w:tcMar>
                    <w:left w:w="28" w:type="dxa"/>
                    <w:right w:w="28" w:type="dxa"/>
                  </w:tcMar>
                  <w:vAlign w:val="center"/>
                </w:tcPr>
                <w:p w14:paraId="32CA1F35">
                  <w:pPr>
                    <w:pStyle w:val="41"/>
                    <w:rPr>
                      <w:rFonts w:cs="宋体"/>
                      <w:color w:val="auto"/>
                      <w:szCs w:val="18"/>
                      <w:highlight w:val="none"/>
                    </w:rPr>
                  </w:pPr>
                  <w:r>
                    <w:rPr>
                      <w:rFonts w:hint="eastAsia" w:cs="宋体"/>
                      <w:color w:val="auto"/>
                      <w:szCs w:val="18"/>
                      <w:highlight w:val="none"/>
                    </w:rPr>
                    <w:t>钻头尺寸</w:t>
                  </w:r>
                </w:p>
                <w:p w14:paraId="023A290D">
                  <w:pPr>
                    <w:pStyle w:val="41"/>
                    <w:rPr>
                      <w:rFonts w:cs="宋体"/>
                      <w:color w:val="auto"/>
                      <w:szCs w:val="18"/>
                      <w:highlight w:val="none"/>
                    </w:rPr>
                  </w:pPr>
                  <w:r>
                    <w:rPr>
                      <w:rFonts w:hint="eastAsia" w:cs="宋体"/>
                      <w:color w:val="auto"/>
                      <w:szCs w:val="18"/>
                      <w:highlight w:val="none"/>
                    </w:rPr>
                    <w:t>（mm）</w:t>
                  </w:r>
                </w:p>
              </w:tc>
              <w:tc>
                <w:tcPr>
                  <w:tcW w:w="500" w:type="pct"/>
                  <w:tcMar>
                    <w:left w:w="28" w:type="dxa"/>
                    <w:right w:w="28" w:type="dxa"/>
                  </w:tcMar>
                  <w:vAlign w:val="center"/>
                </w:tcPr>
                <w:p w14:paraId="4AFB9942">
                  <w:pPr>
                    <w:pStyle w:val="41"/>
                    <w:rPr>
                      <w:rFonts w:cs="宋体"/>
                      <w:color w:val="auto"/>
                      <w:szCs w:val="18"/>
                      <w:highlight w:val="none"/>
                    </w:rPr>
                  </w:pPr>
                  <w:r>
                    <w:rPr>
                      <w:rFonts w:hint="eastAsia" w:cs="宋体"/>
                      <w:color w:val="auto"/>
                      <w:szCs w:val="18"/>
                      <w:highlight w:val="none"/>
                    </w:rPr>
                    <w:t>井深</w:t>
                  </w:r>
                </w:p>
                <w:p w14:paraId="6491D44A">
                  <w:pPr>
                    <w:pStyle w:val="41"/>
                    <w:rPr>
                      <w:rFonts w:cs="宋体"/>
                      <w:color w:val="auto"/>
                      <w:szCs w:val="18"/>
                      <w:highlight w:val="none"/>
                    </w:rPr>
                  </w:pPr>
                  <w:r>
                    <w:rPr>
                      <w:rFonts w:hint="eastAsia" w:cs="宋体"/>
                      <w:color w:val="auto"/>
                      <w:szCs w:val="18"/>
                      <w:highlight w:val="none"/>
                    </w:rPr>
                    <w:t>（m）</w:t>
                  </w:r>
                </w:p>
              </w:tc>
              <w:tc>
                <w:tcPr>
                  <w:tcW w:w="716" w:type="pct"/>
                  <w:tcMar>
                    <w:left w:w="28" w:type="dxa"/>
                    <w:right w:w="28" w:type="dxa"/>
                  </w:tcMar>
                  <w:vAlign w:val="center"/>
                </w:tcPr>
                <w:p w14:paraId="3029E6DB">
                  <w:pPr>
                    <w:pStyle w:val="41"/>
                    <w:rPr>
                      <w:rFonts w:cs="宋体"/>
                      <w:color w:val="auto"/>
                      <w:szCs w:val="18"/>
                      <w:highlight w:val="none"/>
                    </w:rPr>
                  </w:pPr>
                  <w:r>
                    <w:rPr>
                      <w:rFonts w:hint="eastAsia" w:cs="宋体"/>
                      <w:color w:val="auto"/>
                      <w:szCs w:val="18"/>
                      <w:highlight w:val="none"/>
                    </w:rPr>
                    <w:t>套管尺寸</w:t>
                  </w:r>
                </w:p>
                <w:p w14:paraId="2C5DC501">
                  <w:pPr>
                    <w:pStyle w:val="41"/>
                    <w:rPr>
                      <w:rFonts w:cs="宋体"/>
                      <w:color w:val="auto"/>
                      <w:szCs w:val="18"/>
                      <w:highlight w:val="none"/>
                    </w:rPr>
                  </w:pPr>
                  <w:r>
                    <w:rPr>
                      <w:rFonts w:hint="eastAsia" w:cs="宋体"/>
                      <w:color w:val="auto"/>
                      <w:szCs w:val="18"/>
                      <w:highlight w:val="none"/>
                    </w:rPr>
                    <w:t>（mm）</w:t>
                  </w:r>
                </w:p>
              </w:tc>
              <w:tc>
                <w:tcPr>
                  <w:tcW w:w="751" w:type="pct"/>
                  <w:tcMar>
                    <w:left w:w="28" w:type="dxa"/>
                    <w:right w:w="28" w:type="dxa"/>
                  </w:tcMar>
                  <w:vAlign w:val="center"/>
                </w:tcPr>
                <w:p w14:paraId="0ECD39A3">
                  <w:pPr>
                    <w:pStyle w:val="41"/>
                    <w:rPr>
                      <w:rFonts w:cs="宋体"/>
                      <w:color w:val="auto"/>
                      <w:szCs w:val="18"/>
                      <w:highlight w:val="none"/>
                    </w:rPr>
                  </w:pPr>
                  <w:r>
                    <w:rPr>
                      <w:rFonts w:hint="eastAsia" w:cs="宋体"/>
                      <w:color w:val="auto"/>
                      <w:szCs w:val="18"/>
                      <w:highlight w:val="none"/>
                    </w:rPr>
                    <w:t>套管下深</w:t>
                  </w:r>
                </w:p>
                <w:p w14:paraId="3145FED6">
                  <w:pPr>
                    <w:pStyle w:val="41"/>
                    <w:rPr>
                      <w:rFonts w:cs="宋体"/>
                      <w:color w:val="auto"/>
                      <w:szCs w:val="18"/>
                      <w:highlight w:val="none"/>
                    </w:rPr>
                  </w:pPr>
                  <w:r>
                    <w:rPr>
                      <w:rFonts w:hint="eastAsia" w:cs="宋体"/>
                      <w:color w:val="auto"/>
                      <w:szCs w:val="18"/>
                      <w:highlight w:val="none"/>
                    </w:rPr>
                    <w:t>（m）</w:t>
                  </w:r>
                </w:p>
              </w:tc>
              <w:tc>
                <w:tcPr>
                  <w:tcW w:w="886" w:type="pct"/>
                  <w:tcMar>
                    <w:left w:w="28" w:type="dxa"/>
                    <w:right w:w="28" w:type="dxa"/>
                  </w:tcMar>
                  <w:vAlign w:val="center"/>
                </w:tcPr>
                <w:p w14:paraId="4750B241">
                  <w:pPr>
                    <w:pStyle w:val="41"/>
                    <w:rPr>
                      <w:rFonts w:cs="宋体"/>
                      <w:color w:val="auto"/>
                      <w:szCs w:val="18"/>
                      <w:highlight w:val="none"/>
                    </w:rPr>
                  </w:pPr>
                  <w:r>
                    <w:rPr>
                      <w:rFonts w:hint="eastAsia" w:cs="宋体"/>
                      <w:color w:val="auto"/>
                      <w:szCs w:val="18"/>
                      <w:highlight w:val="none"/>
                    </w:rPr>
                    <w:t>水泥封固段</w:t>
                  </w:r>
                </w:p>
                <w:p w14:paraId="3B439E01">
                  <w:pPr>
                    <w:pStyle w:val="41"/>
                    <w:rPr>
                      <w:rFonts w:cs="宋体"/>
                      <w:color w:val="auto"/>
                      <w:szCs w:val="18"/>
                      <w:highlight w:val="none"/>
                    </w:rPr>
                  </w:pPr>
                  <w:r>
                    <w:rPr>
                      <w:rFonts w:hint="eastAsia" w:cs="宋体"/>
                      <w:color w:val="auto"/>
                      <w:szCs w:val="18"/>
                      <w:highlight w:val="none"/>
                    </w:rPr>
                    <w:t>（m）</w:t>
                  </w:r>
                </w:p>
              </w:tc>
              <w:tc>
                <w:tcPr>
                  <w:tcW w:w="793" w:type="pct"/>
                  <w:vAlign w:val="center"/>
                </w:tcPr>
                <w:p w14:paraId="2DA0BC6E">
                  <w:pPr>
                    <w:pStyle w:val="41"/>
                    <w:rPr>
                      <w:rFonts w:cs="宋体"/>
                      <w:color w:val="auto"/>
                      <w:szCs w:val="18"/>
                      <w:highlight w:val="none"/>
                    </w:rPr>
                  </w:pPr>
                  <w:r>
                    <w:rPr>
                      <w:rFonts w:hint="eastAsia" w:cs="宋体"/>
                      <w:color w:val="auto"/>
                      <w:szCs w:val="18"/>
                      <w:highlight w:val="none"/>
                    </w:rPr>
                    <w:t>备注</w:t>
                  </w:r>
                </w:p>
              </w:tc>
            </w:tr>
            <w:tr w14:paraId="66E1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11" w:type="pct"/>
                  <w:tcMar>
                    <w:left w:w="28" w:type="dxa"/>
                    <w:right w:w="28" w:type="dxa"/>
                  </w:tcMar>
                  <w:vAlign w:val="center"/>
                </w:tcPr>
                <w:p w14:paraId="7DB75F78">
                  <w:pPr>
                    <w:pStyle w:val="41"/>
                    <w:rPr>
                      <w:rFonts w:cs="宋体"/>
                      <w:color w:val="auto"/>
                      <w:szCs w:val="18"/>
                      <w:highlight w:val="none"/>
                    </w:rPr>
                  </w:pPr>
                  <w:r>
                    <w:rPr>
                      <w:rFonts w:hint="eastAsia" w:cs="宋体"/>
                      <w:color w:val="auto"/>
                      <w:szCs w:val="18"/>
                      <w:highlight w:val="none"/>
                    </w:rPr>
                    <w:t>导管</w:t>
                  </w:r>
                </w:p>
              </w:tc>
              <w:tc>
                <w:tcPr>
                  <w:tcW w:w="640" w:type="pct"/>
                  <w:tcMar>
                    <w:left w:w="28" w:type="dxa"/>
                    <w:right w:w="28" w:type="dxa"/>
                  </w:tcMar>
                  <w:vAlign w:val="center"/>
                </w:tcPr>
                <w:p w14:paraId="53D708CF">
                  <w:pPr>
                    <w:pStyle w:val="41"/>
                    <w:rPr>
                      <w:rFonts w:cs="宋体"/>
                      <w:color w:val="auto"/>
                      <w:szCs w:val="18"/>
                      <w:highlight w:val="none"/>
                    </w:rPr>
                  </w:pPr>
                  <w:r>
                    <w:rPr>
                      <w:rFonts w:hint="eastAsia" w:cs="宋体"/>
                      <w:color w:val="auto"/>
                      <w:szCs w:val="18"/>
                      <w:highlight w:val="none"/>
                    </w:rPr>
                    <w:t>/</w:t>
                  </w:r>
                </w:p>
              </w:tc>
              <w:tc>
                <w:tcPr>
                  <w:tcW w:w="500" w:type="pct"/>
                  <w:tcMar>
                    <w:left w:w="28" w:type="dxa"/>
                    <w:right w:w="28" w:type="dxa"/>
                  </w:tcMar>
                  <w:vAlign w:val="center"/>
                </w:tcPr>
                <w:p w14:paraId="0BD6AF2F">
                  <w:pPr>
                    <w:pStyle w:val="41"/>
                    <w:rPr>
                      <w:rFonts w:cs="宋体"/>
                      <w:color w:val="auto"/>
                      <w:szCs w:val="18"/>
                      <w:highlight w:val="none"/>
                    </w:rPr>
                  </w:pPr>
                  <w:r>
                    <w:rPr>
                      <w:rFonts w:hint="eastAsia" w:cs="宋体"/>
                      <w:color w:val="auto"/>
                      <w:szCs w:val="18"/>
                      <w:highlight w:val="none"/>
                    </w:rPr>
                    <w:t>/</w:t>
                  </w:r>
                </w:p>
              </w:tc>
              <w:tc>
                <w:tcPr>
                  <w:tcW w:w="716" w:type="pct"/>
                  <w:tcMar>
                    <w:left w:w="28" w:type="dxa"/>
                    <w:right w:w="28" w:type="dxa"/>
                  </w:tcMar>
                  <w:vAlign w:val="center"/>
                </w:tcPr>
                <w:p w14:paraId="58B1A951">
                  <w:pPr>
                    <w:pStyle w:val="41"/>
                    <w:rPr>
                      <w:rFonts w:cs="宋体"/>
                      <w:color w:val="auto"/>
                      <w:szCs w:val="18"/>
                      <w:highlight w:val="none"/>
                    </w:rPr>
                  </w:pPr>
                  <w:r>
                    <w:rPr>
                      <w:rFonts w:hint="eastAsia" w:cs="宋体"/>
                      <w:color w:val="auto"/>
                      <w:szCs w:val="18"/>
                      <w:highlight w:val="none"/>
                    </w:rPr>
                    <w:t>Φ508</w:t>
                  </w:r>
                </w:p>
              </w:tc>
              <w:tc>
                <w:tcPr>
                  <w:tcW w:w="751" w:type="pct"/>
                  <w:tcMar>
                    <w:left w:w="28" w:type="dxa"/>
                    <w:right w:w="28" w:type="dxa"/>
                  </w:tcMar>
                  <w:vAlign w:val="center"/>
                </w:tcPr>
                <w:p w14:paraId="3A914D89">
                  <w:pPr>
                    <w:pStyle w:val="41"/>
                    <w:rPr>
                      <w:rFonts w:cs="宋体"/>
                      <w:color w:val="auto"/>
                      <w:szCs w:val="18"/>
                      <w:highlight w:val="none"/>
                    </w:rPr>
                  </w:pPr>
                  <w:r>
                    <w:rPr>
                      <w:rFonts w:hint="eastAsia" w:cs="宋体"/>
                      <w:color w:val="auto"/>
                      <w:szCs w:val="18"/>
                      <w:highlight w:val="none"/>
                    </w:rPr>
                    <w:t>50</w:t>
                  </w:r>
                </w:p>
              </w:tc>
              <w:tc>
                <w:tcPr>
                  <w:tcW w:w="886" w:type="pct"/>
                  <w:tcMar>
                    <w:left w:w="28" w:type="dxa"/>
                    <w:right w:w="28" w:type="dxa"/>
                  </w:tcMar>
                  <w:vAlign w:val="center"/>
                </w:tcPr>
                <w:p w14:paraId="300C1D62">
                  <w:pPr>
                    <w:pStyle w:val="41"/>
                    <w:rPr>
                      <w:rFonts w:cs="宋体"/>
                      <w:color w:val="auto"/>
                      <w:szCs w:val="18"/>
                      <w:highlight w:val="none"/>
                    </w:rPr>
                  </w:pPr>
                  <w:r>
                    <w:rPr>
                      <w:rFonts w:hint="eastAsia" w:cs="宋体"/>
                      <w:color w:val="auto"/>
                      <w:szCs w:val="18"/>
                      <w:highlight w:val="none"/>
                    </w:rPr>
                    <w:t>/</w:t>
                  </w:r>
                </w:p>
              </w:tc>
              <w:tc>
                <w:tcPr>
                  <w:tcW w:w="793" w:type="pct"/>
                  <w:vAlign w:val="center"/>
                </w:tcPr>
                <w:p w14:paraId="7D7A809B">
                  <w:pPr>
                    <w:pStyle w:val="41"/>
                    <w:rPr>
                      <w:rFonts w:cs="宋体"/>
                      <w:color w:val="auto"/>
                      <w:szCs w:val="18"/>
                      <w:highlight w:val="none"/>
                    </w:rPr>
                  </w:pPr>
                  <w:r>
                    <w:rPr>
                      <w:rFonts w:hint="eastAsia" w:cs="宋体"/>
                      <w:color w:val="auto"/>
                      <w:szCs w:val="18"/>
                      <w:highlight w:val="none"/>
                    </w:rPr>
                    <w:t>钻前施工</w:t>
                  </w:r>
                </w:p>
              </w:tc>
            </w:tr>
            <w:tr w14:paraId="2492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11" w:type="pct"/>
                  <w:tcMar>
                    <w:left w:w="28" w:type="dxa"/>
                    <w:right w:w="28" w:type="dxa"/>
                  </w:tcMar>
                  <w:vAlign w:val="center"/>
                </w:tcPr>
                <w:p w14:paraId="304B6631">
                  <w:pPr>
                    <w:pStyle w:val="41"/>
                    <w:rPr>
                      <w:rFonts w:cs="宋体"/>
                      <w:color w:val="auto"/>
                      <w:szCs w:val="18"/>
                      <w:highlight w:val="none"/>
                    </w:rPr>
                  </w:pPr>
                  <w:r>
                    <w:rPr>
                      <w:rFonts w:hint="eastAsia" w:cs="宋体"/>
                      <w:color w:val="auto"/>
                      <w:szCs w:val="18"/>
                      <w:highlight w:val="none"/>
                    </w:rPr>
                    <w:t>一开</w:t>
                  </w:r>
                </w:p>
              </w:tc>
              <w:tc>
                <w:tcPr>
                  <w:tcW w:w="640" w:type="pct"/>
                  <w:tcMar>
                    <w:left w:w="28" w:type="dxa"/>
                    <w:right w:w="28" w:type="dxa"/>
                  </w:tcMar>
                  <w:vAlign w:val="center"/>
                </w:tcPr>
                <w:p w14:paraId="5DDCC084">
                  <w:pPr>
                    <w:pStyle w:val="41"/>
                    <w:rPr>
                      <w:rFonts w:cs="宋体"/>
                      <w:color w:val="auto"/>
                      <w:szCs w:val="18"/>
                      <w:highlight w:val="none"/>
                    </w:rPr>
                  </w:pPr>
                  <w:r>
                    <w:rPr>
                      <w:rFonts w:hint="eastAsia" w:cs="宋体"/>
                      <w:color w:val="auto"/>
                      <w:szCs w:val="18"/>
                      <w:highlight w:val="none"/>
                    </w:rPr>
                    <w:t>Φ444.5</w:t>
                  </w:r>
                </w:p>
              </w:tc>
              <w:tc>
                <w:tcPr>
                  <w:tcW w:w="500" w:type="pct"/>
                  <w:tcMar>
                    <w:left w:w="28" w:type="dxa"/>
                    <w:right w:w="28" w:type="dxa"/>
                  </w:tcMar>
                  <w:vAlign w:val="center"/>
                </w:tcPr>
                <w:p w14:paraId="20D6F43E">
                  <w:pPr>
                    <w:pStyle w:val="41"/>
                    <w:rPr>
                      <w:rFonts w:cs="宋体"/>
                      <w:color w:val="auto"/>
                      <w:szCs w:val="18"/>
                      <w:highlight w:val="none"/>
                    </w:rPr>
                  </w:pPr>
                  <w:r>
                    <w:rPr>
                      <w:rFonts w:hint="eastAsia" w:cs="宋体"/>
                      <w:color w:val="auto"/>
                      <w:szCs w:val="18"/>
                      <w:highlight w:val="none"/>
                    </w:rPr>
                    <w:t>2001</w:t>
                  </w:r>
                </w:p>
              </w:tc>
              <w:tc>
                <w:tcPr>
                  <w:tcW w:w="716" w:type="pct"/>
                  <w:tcMar>
                    <w:left w:w="28" w:type="dxa"/>
                    <w:right w:w="28" w:type="dxa"/>
                  </w:tcMar>
                  <w:vAlign w:val="center"/>
                </w:tcPr>
                <w:p w14:paraId="06AB17EC">
                  <w:pPr>
                    <w:pStyle w:val="41"/>
                    <w:rPr>
                      <w:rFonts w:cs="宋体"/>
                      <w:color w:val="auto"/>
                      <w:szCs w:val="18"/>
                      <w:highlight w:val="none"/>
                    </w:rPr>
                  </w:pPr>
                  <w:r>
                    <w:rPr>
                      <w:rFonts w:hint="eastAsia" w:cs="宋体"/>
                      <w:color w:val="auto"/>
                      <w:szCs w:val="18"/>
                      <w:highlight w:val="none"/>
                    </w:rPr>
                    <w:t>Φ339.7</w:t>
                  </w:r>
                </w:p>
              </w:tc>
              <w:tc>
                <w:tcPr>
                  <w:tcW w:w="751" w:type="pct"/>
                  <w:tcMar>
                    <w:left w:w="28" w:type="dxa"/>
                    <w:right w:w="28" w:type="dxa"/>
                  </w:tcMar>
                  <w:vAlign w:val="center"/>
                </w:tcPr>
                <w:p w14:paraId="64CA10B4">
                  <w:pPr>
                    <w:pStyle w:val="41"/>
                    <w:rPr>
                      <w:rFonts w:cs="宋体"/>
                      <w:color w:val="auto"/>
                      <w:szCs w:val="18"/>
                      <w:highlight w:val="none"/>
                    </w:rPr>
                  </w:pPr>
                  <w:r>
                    <w:rPr>
                      <w:rFonts w:hint="eastAsia" w:cs="宋体"/>
                      <w:color w:val="auto"/>
                      <w:szCs w:val="18"/>
                      <w:highlight w:val="none"/>
                    </w:rPr>
                    <w:t>2000</w:t>
                  </w:r>
                </w:p>
              </w:tc>
              <w:tc>
                <w:tcPr>
                  <w:tcW w:w="886" w:type="pct"/>
                  <w:tcMar>
                    <w:left w:w="28" w:type="dxa"/>
                    <w:right w:w="28" w:type="dxa"/>
                  </w:tcMar>
                  <w:vAlign w:val="center"/>
                </w:tcPr>
                <w:p w14:paraId="2B922893">
                  <w:pPr>
                    <w:pStyle w:val="41"/>
                    <w:rPr>
                      <w:rFonts w:cs="宋体"/>
                      <w:color w:val="auto"/>
                      <w:szCs w:val="18"/>
                      <w:highlight w:val="none"/>
                    </w:rPr>
                  </w:pPr>
                  <w:r>
                    <w:rPr>
                      <w:rFonts w:hint="eastAsia" w:cs="宋体"/>
                      <w:color w:val="auto"/>
                      <w:szCs w:val="18"/>
                      <w:highlight w:val="none"/>
                    </w:rPr>
                    <w:t>0～2001</w:t>
                  </w:r>
                </w:p>
              </w:tc>
              <w:tc>
                <w:tcPr>
                  <w:tcW w:w="793" w:type="pct"/>
                  <w:vAlign w:val="center"/>
                </w:tcPr>
                <w:p w14:paraId="36AC5CA9">
                  <w:pPr>
                    <w:pStyle w:val="41"/>
                    <w:rPr>
                      <w:rFonts w:cs="宋体"/>
                      <w:color w:val="auto"/>
                      <w:szCs w:val="18"/>
                      <w:highlight w:val="none"/>
                    </w:rPr>
                  </w:pPr>
                </w:p>
              </w:tc>
            </w:tr>
            <w:tr w14:paraId="2E4E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11" w:type="pct"/>
                  <w:tcMar>
                    <w:left w:w="28" w:type="dxa"/>
                    <w:right w:w="28" w:type="dxa"/>
                  </w:tcMar>
                  <w:vAlign w:val="center"/>
                </w:tcPr>
                <w:p w14:paraId="480C908E">
                  <w:pPr>
                    <w:pStyle w:val="41"/>
                    <w:rPr>
                      <w:rFonts w:cs="宋体"/>
                      <w:color w:val="auto"/>
                      <w:szCs w:val="18"/>
                      <w:highlight w:val="none"/>
                    </w:rPr>
                  </w:pPr>
                  <w:r>
                    <w:rPr>
                      <w:rFonts w:hint="eastAsia" w:cs="宋体"/>
                      <w:color w:val="auto"/>
                      <w:szCs w:val="18"/>
                      <w:highlight w:val="none"/>
                    </w:rPr>
                    <w:t>二开</w:t>
                  </w:r>
                </w:p>
              </w:tc>
              <w:tc>
                <w:tcPr>
                  <w:tcW w:w="640" w:type="pct"/>
                  <w:tcMar>
                    <w:left w:w="28" w:type="dxa"/>
                    <w:right w:w="28" w:type="dxa"/>
                  </w:tcMar>
                  <w:vAlign w:val="center"/>
                </w:tcPr>
                <w:p w14:paraId="50C4885E">
                  <w:pPr>
                    <w:pStyle w:val="41"/>
                    <w:rPr>
                      <w:rFonts w:cs="宋体"/>
                      <w:color w:val="auto"/>
                      <w:szCs w:val="18"/>
                      <w:highlight w:val="none"/>
                    </w:rPr>
                  </w:pPr>
                  <w:r>
                    <w:rPr>
                      <w:rFonts w:hint="eastAsia" w:cs="宋体"/>
                      <w:color w:val="auto"/>
                      <w:szCs w:val="18"/>
                      <w:highlight w:val="none"/>
                    </w:rPr>
                    <w:t>Φ311.2</w:t>
                  </w:r>
                </w:p>
              </w:tc>
              <w:tc>
                <w:tcPr>
                  <w:tcW w:w="500" w:type="pct"/>
                  <w:tcMar>
                    <w:left w:w="28" w:type="dxa"/>
                    <w:right w:w="28" w:type="dxa"/>
                  </w:tcMar>
                  <w:vAlign w:val="center"/>
                </w:tcPr>
                <w:p w14:paraId="02A6019A">
                  <w:pPr>
                    <w:pStyle w:val="41"/>
                    <w:rPr>
                      <w:rFonts w:cs="宋体"/>
                      <w:color w:val="auto"/>
                      <w:szCs w:val="18"/>
                      <w:highlight w:val="none"/>
                    </w:rPr>
                  </w:pPr>
                  <w:r>
                    <w:rPr>
                      <w:rFonts w:hint="eastAsia" w:cs="宋体"/>
                      <w:color w:val="auto"/>
                      <w:szCs w:val="18"/>
                      <w:highlight w:val="none"/>
                    </w:rPr>
                    <w:t>4732</w:t>
                  </w:r>
                </w:p>
              </w:tc>
              <w:tc>
                <w:tcPr>
                  <w:tcW w:w="716" w:type="pct"/>
                  <w:tcMar>
                    <w:left w:w="28" w:type="dxa"/>
                    <w:right w:w="28" w:type="dxa"/>
                  </w:tcMar>
                  <w:vAlign w:val="center"/>
                </w:tcPr>
                <w:p w14:paraId="1AAF4010">
                  <w:pPr>
                    <w:pStyle w:val="41"/>
                    <w:rPr>
                      <w:rFonts w:cs="宋体"/>
                      <w:color w:val="auto"/>
                      <w:szCs w:val="18"/>
                      <w:highlight w:val="none"/>
                    </w:rPr>
                  </w:pPr>
                  <w:r>
                    <w:rPr>
                      <w:rFonts w:hint="eastAsia" w:cs="宋体"/>
                      <w:color w:val="auto"/>
                      <w:szCs w:val="18"/>
                      <w:highlight w:val="none"/>
                    </w:rPr>
                    <w:t>Φ244.5</w:t>
                  </w:r>
                </w:p>
              </w:tc>
              <w:tc>
                <w:tcPr>
                  <w:tcW w:w="751" w:type="pct"/>
                  <w:tcMar>
                    <w:left w:w="28" w:type="dxa"/>
                    <w:right w:w="28" w:type="dxa"/>
                  </w:tcMar>
                  <w:vAlign w:val="center"/>
                </w:tcPr>
                <w:p w14:paraId="25495DBF">
                  <w:pPr>
                    <w:pStyle w:val="41"/>
                    <w:rPr>
                      <w:rFonts w:cs="宋体"/>
                      <w:color w:val="auto"/>
                      <w:szCs w:val="18"/>
                      <w:highlight w:val="none"/>
                    </w:rPr>
                  </w:pPr>
                  <w:r>
                    <w:rPr>
                      <w:rFonts w:hint="eastAsia" w:cs="宋体"/>
                      <w:color w:val="auto"/>
                      <w:szCs w:val="18"/>
                      <w:highlight w:val="none"/>
                    </w:rPr>
                    <w:t>4730</w:t>
                  </w:r>
                </w:p>
              </w:tc>
              <w:tc>
                <w:tcPr>
                  <w:tcW w:w="886" w:type="pct"/>
                  <w:tcMar>
                    <w:left w:w="28" w:type="dxa"/>
                    <w:right w:w="28" w:type="dxa"/>
                  </w:tcMar>
                  <w:vAlign w:val="center"/>
                </w:tcPr>
                <w:p w14:paraId="5B32571E">
                  <w:pPr>
                    <w:pStyle w:val="41"/>
                    <w:rPr>
                      <w:rFonts w:cs="宋体"/>
                      <w:color w:val="auto"/>
                      <w:szCs w:val="18"/>
                      <w:highlight w:val="none"/>
                    </w:rPr>
                  </w:pPr>
                  <w:r>
                    <w:rPr>
                      <w:rFonts w:hint="eastAsia" w:cs="宋体"/>
                      <w:color w:val="auto"/>
                      <w:szCs w:val="18"/>
                      <w:highlight w:val="none"/>
                    </w:rPr>
                    <w:t>1800～4732</w:t>
                  </w:r>
                </w:p>
              </w:tc>
              <w:tc>
                <w:tcPr>
                  <w:tcW w:w="793" w:type="pct"/>
                  <w:vAlign w:val="center"/>
                </w:tcPr>
                <w:p w14:paraId="4D24BB24">
                  <w:pPr>
                    <w:pStyle w:val="41"/>
                    <w:rPr>
                      <w:rFonts w:cs="宋体"/>
                      <w:color w:val="auto"/>
                      <w:szCs w:val="18"/>
                      <w:highlight w:val="none"/>
                    </w:rPr>
                  </w:pPr>
                </w:p>
              </w:tc>
            </w:tr>
            <w:tr w14:paraId="466D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1" w:type="pct"/>
                  <w:tcMar>
                    <w:left w:w="28" w:type="dxa"/>
                    <w:right w:w="28" w:type="dxa"/>
                  </w:tcMar>
                  <w:vAlign w:val="center"/>
                </w:tcPr>
                <w:p w14:paraId="1C9E6AA7">
                  <w:pPr>
                    <w:pStyle w:val="41"/>
                    <w:rPr>
                      <w:rFonts w:cs="宋体"/>
                      <w:color w:val="auto"/>
                      <w:szCs w:val="18"/>
                      <w:highlight w:val="none"/>
                    </w:rPr>
                  </w:pPr>
                  <w:r>
                    <w:rPr>
                      <w:rFonts w:hint="eastAsia" w:cs="宋体"/>
                      <w:color w:val="auto"/>
                      <w:szCs w:val="18"/>
                      <w:highlight w:val="none"/>
                    </w:rPr>
                    <w:t>三开</w:t>
                  </w:r>
                </w:p>
              </w:tc>
              <w:tc>
                <w:tcPr>
                  <w:tcW w:w="640" w:type="pct"/>
                  <w:tcMar>
                    <w:left w:w="28" w:type="dxa"/>
                    <w:right w:w="28" w:type="dxa"/>
                  </w:tcMar>
                  <w:vAlign w:val="center"/>
                </w:tcPr>
                <w:p w14:paraId="018779BF">
                  <w:pPr>
                    <w:pStyle w:val="41"/>
                    <w:rPr>
                      <w:rFonts w:cs="宋体"/>
                      <w:color w:val="auto"/>
                      <w:szCs w:val="18"/>
                      <w:highlight w:val="none"/>
                    </w:rPr>
                  </w:pPr>
                  <w:r>
                    <w:rPr>
                      <w:rFonts w:hint="eastAsia" w:cs="宋体"/>
                      <w:color w:val="auto"/>
                      <w:szCs w:val="18"/>
                      <w:highlight w:val="none"/>
                    </w:rPr>
                    <w:t>Φ215.9</w:t>
                  </w:r>
                </w:p>
              </w:tc>
              <w:tc>
                <w:tcPr>
                  <w:tcW w:w="500" w:type="pct"/>
                  <w:tcMar>
                    <w:left w:w="28" w:type="dxa"/>
                    <w:right w:w="28" w:type="dxa"/>
                  </w:tcMar>
                  <w:vAlign w:val="center"/>
                </w:tcPr>
                <w:p w14:paraId="6FD68CE5">
                  <w:pPr>
                    <w:pStyle w:val="41"/>
                    <w:rPr>
                      <w:rFonts w:cs="宋体"/>
                      <w:color w:val="auto"/>
                      <w:szCs w:val="18"/>
                      <w:highlight w:val="none"/>
                    </w:rPr>
                  </w:pPr>
                  <w:r>
                    <w:rPr>
                      <w:rFonts w:hint="eastAsia" w:cs="宋体"/>
                      <w:color w:val="auto"/>
                      <w:szCs w:val="18"/>
                      <w:highlight w:val="none"/>
                    </w:rPr>
                    <w:t>8478.84</w:t>
                  </w:r>
                </w:p>
              </w:tc>
              <w:tc>
                <w:tcPr>
                  <w:tcW w:w="716" w:type="pct"/>
                  <w:tcMar>
                    <w:left w:w="28" w:type="dxa"/>
                    <w:right w:w="28" w:type="dxa"/>
                  </w:tcMar>
                  <w:vAlign w:val="center"/>
                </w:tcPr>
                <w:p w14:paraId="364CE66F">
                  <w:pPr>
                    <w:pStyle w:val="41"/>
                    <w:rPr>
                      <w:rFonts w:cs="宋体"/>
                      <w:color w:val="auto"/>
                      <w:szCs w:val="18"/>
                      <w:highlight w:val="none"/>
                    </w:rPr>
                  </w:pPr>
                  <w:r>
                    <w:rPr>
                      <w:rFonts w:hint="eastAsia" w:cs="宋体"/>
                      <w:color w:val="auto"/>
                      <w:szCs w:val="18"/>
                      <w:highlight w:val="none"/>
                    </w:rPr>
                    <w:t>Φ139.7</w:t>
                  </w:r>
                </w:p>
              </w:tc>
              <w:tc>
                <w:tcPr>
                  <w:tcW w:w="751" w:type="pct"/>
                  <w:tcMar>
                    <w:left w:w="28" w:type="dxa"/>
                    <w:right w:w="28" w:type="dxa"/>
                  </w:tcMar>
                  <w:vAlign w:val="center"/>
                </w:tcPr>
                <w:p w14:paraId="4C4CF075">
                  <w:pPr>
                    <w:pStyle w:val="41"/>
                    <w:rPr>
                      <w:rFonts w:cs="宋体"/>
                      <w:color w:val="auto"/>
                      <w:szCs w:val="18"/>
                      <w:highlight w:val="none"/>
                    </w:rPr>
                  </w:pPr>
                  <w:r>
                    <w:rPr>
                      <w:rFonts w:hint="eastAsia" w:cs="宋体"/>
                      <w:color w:val="auto"/>
                      <w:szCs w:val="18"/>
                      <w:highlight w:val="none"/>
                    </w:rPr>
                    <w:t>8475</w:t>
                  </w:r>
                </w:p>
              </w:tc>
              <w:tc>
                <w:tcPr>
                  <w:tcW w:w="886" w:type="pct"/>
                  <w:tcMar>
                    <w:left w:w="28" w:type="dxa"/>
                    <w:right w:w="28" w:type="dxa"/>
                  </w:tcMar>
                  <w:vAlign w:val="center"/>
                </w:tcPr>
                <w:p w14:paraId="6569BEDD">
                  <w:pPr>
                    <w:pStyle w:val="41"/>
                    <w:rPr>
                      <w:rFonts w:cs="宋体"/>
                      <w:color w:val="auto"/>
                      <w:szCs w:val="18"/>
                      <w:highlight w:val="none"/>
                    </w:rPr>
                  </w:pPr>
                  <w:r>
                    <w:rPr>
                      <w:rFonts w:hint="eastAsia" w:cs="宋体"/>
                      <w:color w:val="auto"/>
                      <w:szCs w:val="18"/>
                      <w:highlight w:val="none"/>
                    </w:rPr>
                    <w:t>2000～8478.84</w:t>
                  </w:r>
                </w:p>
              </w:tc>
              <w:tc>
                <w:tcPr>
                  <w:tcW w:w="793" w:type="pct"/>
                  <w:vAlign w:val="center"/>
                </w:tcPr>
                <w:p w14:paraId="385A9B69">
                  <w:pPr>
                    <w:pStyle w:val="41"/>
                    <w:rPr>
                      <w:rFonts w:cs="宋体"/>
                      <w:color w:val="auto"/>
                      <w:szCs w:val="18"/>
                      <w:highlight w:val="none"/>
                    </w:rPr>
                  </w:pPr>
                </w:p>
              </w:tc>
            </w:tr>
          </w:tbl>
          <w:p w14:paraId="605590F1">
            <w:pPr>
              <w:pStyle w:val="3"/>
              <w:ind w:firstLine="0" w:firstLineChars="0"/>
              <w:rPr>
                <w:color w:val="auto"/>
                <w:sz w:val="21"/>
                <w:highlight w:val="none"/>
              </w:rPr>
            </w:pPr>
          </w:p>
          <w:p w14:paraId="328AF716">
            <w:pPr>
              <w:pStyle w:val="3"/>
              <w:ind w:firstLine="0" w:firstLineChars="0"/>
              <w:jc w:val="center"/>
              <w:rPr>
                <w:color w:val="auto"/>
                <w:sz w:val="21"/>
                <w:highlight w:val="none"/>
              </w:rPr>
            </w:pPr>
            <w:r>
              <w:rPr>
                <w:rFonts w:hint="eastAsia" w:ascii="Times New Roman" w:hAnsi="Times New Roman" w:cs="Times New Roman"/>
                <w:color w:val="auto"/>
                <w:highlight w:val="none"/>
              </w:rPr>
              <w:drawing>
                <wp:inline distT="0" distB="0" distL="114300" distR="114300">
                  <wp:extent cx="4420870" cy="5386070"/>
                  <wp:effectExtent l="0" t="0" r="17780" b="5080"/>
                  <wp:docPr id="19" name="图片 1" descr="董深斜2_井身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董深斜2_井身结构图"/>
                          <pic:cNvPicPr>
                            <a:picLocks noChangeAspect="1"/>
                          </pic:cNvPicPr>
                        </pic:nvPicPr>
                        <pic:blipFill>
                          <a:blip r:embed="rId11"/>
                          <a:stretch>
                            <a:fillRect/>
                          </a:stretch>
                        </pic:blipFill>
                        <pic:spPr>
                          <a:xfrm>
                            <a:off x="0" y="0"/>
                            <a:ext cx="4420870" cy="5386070"/>
                          </a:xfrm>
                          <a:prstGeom prst="rect">
                            <a:avLst/>
                          </a:prstGeom>
                          <a:noFill/>
                          <a:ln>
                            <a:noFill/>
                          </a:ln>
                        </pic:spPr>
                      </pic:pic>
                    </a:graphicData>
                  </a:graphic>
                </wp:inline>
              </w:drawing>
            </w:r>
          </w:p>
          <w:p w14:paraId="021B75D4">
            <w:pPr>
              <w:pStyle w:val="13"/>
              <w:bidi w:val="0"/>
              <w:rPr>
                <w:color w:val="auto"/>
                <w:highlight w:val="none"/>
              </w:rPr>
            </w:pPr>
            <w:r>
              <w:rPr>
                <w:rFonts w:hint="eastAsia"/>
                <w:color w:val="auto"/>
                <w:highlight w:val="none"/>
              </w:rPr>
              <w:t xml:space="preserve">图1  </w:t>
            </w:r>
            <w:bookmarkStart w:id="26" w:name="_Ref205910483"/>
            <w:r>
              <w:rPr>
                <w:rFonts w:hint="eastAsia"/>
                <w:color w:val="auto"/>
                <w:highlight w:val="none"/>
              </w:rPr>
              <w:t>钻井井身结构示意图</w:t>
            </w:r>
            <w:bookmarkEnd w:id="26"/>
          </w:p>
          <w:p w14:paraId="1C3CFF89">
            <w:pPr>
              <w:pStyle w:val="41"/>
              <w:jc w:val="both"/>
              <w:rPr>
                <w:color w:val="auto"/>
                <w:highlight w:val="none"/>
              </w:rPr>
            </w:pPr>
          </w:p>
          <w:p w14:paraId="7283F0A6">
            <w:pPr>
              <w:pStyle w:val="73"/>
              <w:numPr>
                <w:ilvl w:val="0"/>
                <w:numId w:val="17"/>
              </w:numPr>
              <w:ind w:firstLine="420" w:firstLineChars="200"/>
              <w:rPr>
                <w:color w:val="auto"/>
                <w:highlight w:val="none"/>
              </w:rPr>
            </w:pPr>
            <w:r>
              <w:rPr>
                <w:rFonts w:hint="eastAsia"/>
                <w:color w:val="auto"/>
                <w:highlight w:val="none"/>
              </w:rPr>
              <w:t>主要设备</w:t>
            </w:r>
          </w:p>
          <w:p w14:paraId="4AB3F7B5">
            <w:pPr>
              <w:pStyle w:val="3"/>
              <w:ind w:firstLine="420"/>
              <w:rPr>
                <w:color w:val="auto"/>
                <w:sz w:val="21"/>
                <w:szCs w:val="21"/>
                <w:highlight w:val="none"/>
              </w:rPr>
            </w:pPr>
            <w:r>
              <w:rPr>
                <w:rFonts w:hint="eastAsia"/>
                <w:color w:val="auto"/>
                <w:sz w:val="21"/>
                <w:szCs w:val="21"/>
                <w:highlight w:val="none"/>
              </w:rPr>
              <w:t>钻井设备主要包括提升系统、循环系统、动力系统、控制系统、仪器仪表等，单井钻井主要设备见</w:t>
            </w:r>
            <w:r>
              <w:rPr>
                <w:rFonts w:hint="eastAsia"/>
                <w:color w:val="auto"/>
                <w:sz w:val="21"/>
                <w:szCs w:val="21"/>
                <w:highlight w:val="none"/>
              </w:rPr>
              <w:fldChar w:fldCharType="begin"/>
            </w:r>
            <w:r>
              <w:rPr>
                <w:color w:val="auto"/>
                <w:highlight w:val="none"/>
              </w:rPr>
              <w:instrText xml:space="preserve"> REF _Ref205910114 \h  \* MERGEFORMAT</w:instrText>
            </w:r>
            <w:r>
              <w:rPr>
                <w:rFonts w:hint="eastAsia"/>
                <w:color w:val="auto"/>
                <w:sz w:val="21"/>
                <w:szCs w:val="21"/>
                <w:highlight w:val="none"/>
              </w:rPr>
              <w:fldChar w:fldCharType="separate"/>
            </w:r>
            <w:r>
              <w:rPr>
                <w:rFonts w:hint="eastAsia"/>
                <w:color w:val="auto"/>
                <w:sz w:val="21"/>
                <w:szCs w:val="21"/>
                <w:highlight w:val="none"/>
              </w:rPr>
              <w:t>表16</w:t>
            </w:r>
            <w:r>
              <w:rPr>
                <w:rFonts w:hint="eastAsia"/>
                <w:color w:val="auto"/>
                <w:sz w:val="21"/>
                <w:szCs w:val="21"/>
                <w:highlight w:val="none"/>
              </w:rPr>
              <w:fldChar w:fldCharType="end"/>
            </w:r>
            <w:r>
              <w:rPr>
                <w:rFonts w:hint="eastAsia"/>
                <w:color w:val="auto"/>
                <w:sz w:val="21"/>
                <w:szCs w:val="21"/>
                <w:highlight w:val="none"/>
              </w:rPr>
              <w:t>。</w:t>
            </w:r>
          </w:p>
          <w:p w14:paraId="7532BEC8">
            <w:pPr>
              <w:pStyle w:val="13"/>
              <w:bidi w:val="0"/>
              <w:rPr>
                <w:color w:val="auto"/>
                <w:highlight w:val="none"/>
              </w:rPr>
            </w:pPr>
            <w:bookmarkStart w:id="27" w:name="_Ref205910114"/>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16</w:t>
            </w:r>
            <w:r>
              <w:rPr>
                <w:rFonts w:hint="eastAsia"/>
                <w:color w:val="auto"/>
                <w:highlight w:val="none"/>
              </w:rPr>
              <w:fldChar w:fldCharType="end"/>
            </w:r>
            <w:bookmarkEnd w:id="27"/>
            <w:r>
              <w:rPr>
                <w:rFonts w:hint="eastAsia"/>
                <w:color w:val="auto"/>
                <w:highlight w:val="none"/>
              </w:rPr>
              <w:t xml:space="preserve">  本项目钻井期主要设备统计表</w:t>
            </w:r>
          </w:p>
          <w:tbl>
            <w:tblPr>
              <w:tblStyle w:val="26"/>
              <w:tblW w:w="7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971"/>
              <w:gridCol w:w="1775"/>
              <w:gridCol w:w="1651"/>
              <w:gridCol w:w="1475"/>
            </w:tblGrid>
            <w:tr w14:paraId="177D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511" w:type="pct"/>
                  <w:vAlign w:val="center"/>
                </w:tcPr>
                <w:p w14:paraId="09284ADC">
                  <w:pPr>
                    <w:pStyle w:val="41"/>
                    <w:rPr>
                      <w:color w:val="auto"/>
                      <w:highlight w:val="none"/>
                    </w:rPr>
                  </w:pPr>
                  <w:bookmarkStart w:id="28" w:name="_Toc465174098"/>
                  <w:r>
                    <w:rPr>
                      <w:color w:val="auto"/>
                      <w:highlight w:val="none"/>
                    </w:rPr>
                    <w:t>序号</w:t>
                  </w:r>
                </w:p>
              </w:tc>
              <w:tc>
                <w:tcPr>
                  <w:tcW w:w="1287" w:type="pct"/>
                  <w:vAlign w:val="center"/>
                </w:tcPr>
                <w:p w14:paraId="38080E4B">
                  <w:pPr>
                    <w:pStyle w:val="41"/>
                    <w:rPr>
                      <w:color w:val="auto"/>
                      <w:highlight w:val="none"/>
                    </w:rPr>
                  </w:pPr>
                  <w:r>
                    <w:rPr>
                      <w:color w:val="auto"/>
                      <w:highlight w:val="none"/>
                    </w:rPr>
                    <w:t>设备名称</w:t>
                  </w:r>
                </w:p>
              </w:tc>
              <w:tc>
                <w:tcPr>
                  <w:tcW w:w="1159" w:type="pct"/>
                  <w:vAlign w:val="center"/>
                </w:tcPr>
                <w:p w14:paraId="791B5609">
                  <w:pPr>
                    <w:pStyle w:val="41"/>
                    <w:rPr>
                      <w:color w:val="auto"/>
                      <w:highlight w:val="none"/>
                    </w:rPr>
                  </w:pPr>
                  <w:r>
                    <w:rPr>
                      <w:color w:val="auto"/>
                      <w:highlight w:val="none"/>
                    </w:rPr>
                    <w:t>型号</w:t>
                  </w:r>
                </w:p>
              </w:tc>
              <w:tc>
                <w:tcPr>
                  <w:tcW w:w="1078" w:type="pct"/>
                  <w:vAlign w:val="center"/>
                </w:tcPr>
                <w:p w14:paraId="1B281104">
                  <w:pPr>
                    <w:pStyle w:val="41"/>
                    <w:rPr>
                      <w:color w:val="auto"/>
                      <w:highlight w:val="none"/>
                    </w:rPr>
                  </w:pPr>
                  <w:r>
                    <w:rPr>
                      <w:color w:val="auto"/>
                      <w:highlight w:val="none"/>
                    </w:rPr>
                    <w:t>主要参数</w:t>
                  </w:r>
                </w:p>
              </w:tc>
              <w:tc>
                <w:tcPr>
                  <w:tcW w:w="963" w:type="pct"/>
                  <w:shd w:val="clear" w:color="auto" w:fill="auto"/>
                  <w:vAlign w:val="center"/>
                </w:tcPr>
                <w:p w14:paraId="7C2EA90F">
                  <w:pPr>
                    <w:pStyle w:val="41"/>
                    <w:rPr>
                      <w:color w:val="auto"/>
                      <w:highlight w:val="none"/>
                    </w:rPr>
                  </w:pPr>
                  <w:r>
                    <w:rPr>
                      <w:rFonts w:hint="eastAsia"/>
                      <w:color w:val="auto"/>
                      <w:highlight w:val="none"/>
                    </w:rPr>
                    <w:t>数量</w:t>
                  </w:r>
                </w:p>
              </w:tc>
            </w:tr>
            <w:tr w14:paraId="07D8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3C2E1833">
                  <w:pPr>
                    <w:pStyle w:val="41"/>
                    <w:rPr>
                      <w:color w:val="auto"/>
                      <w:highlight w:val="none"/>
                    </w:rPr>
                  </w:pPr>
                  <w:r>
                    <w:rPr>
                      <w:color w:val="auto"/>
                      <w:highlight w:val="none"/>
                    </w:rPr>
                    <w:t>1</w:t>
                  </w:r>
                </w:p>
              </w:tc>
              <w:tc>
                <w:tcPr>
                  <w:tcW w:w="1287" w:type="pct"/>
                  <w:vAlign w:val="center"/>
                </w:tcPr>
                <w:p w14:paraId="78C67A4A">
                  <w:pPr>
                    <w:pStyle w:val="41"/>
                    <w:rPr>
                      <w:color w:val="auto"/>
                      <w:highlight w:val="none"/>
                    </w:rPr>
                  </w:pPr>
                  <w:r>
                    <w:rPr>
                      <w:color w:val="auto"/>
                      <w:highlight w:val="none"/>
                    </w:rPr>
                    <w:t>井架</w:t>
                  </w:r>
                </w:p>
              </w:tc>
              <w:tc>
                <w:tcPr>
                  <w:tcW w:w="1159" w:type="pct"/>
                  <w:vAlign w:val="center"/>
                </w:tcPr>
                <w:p w14:paraId="071C81D1">
                  <w:pPr>
                    <w:pStyle w:val="41"/>
                    <w:rPr>
                      <w:color w:val="auto"/>
                      <w:highlight w:val="none"/>
                    </w:rPr>
                  </w:pPr>
                  <w:r>
                    <w:rPr>
                      <w:color w:val="auto"/>
                      <w:highlight w:val="none"/>
                    </w:rPr>
                    <w:t>JJ585/48-K</w:t>
                  </w:r>
                </w:p>
              </w:tc>
              <w:tc>
                <w:tcPr>
                  <w:tcW w:w="1078" w:type="pct"/>
                  <w:vAlign w:val="center"/>
                </w:tcPr>
                <w:p w14:paraId="57F6A9FA">
                  <w:pPr>
                    <w:pStyle w:val="41"/>
                    <w:rPr>
                      <w:color w:val="auto"/>
                      <w:highlight w:val="none"/>
                    </w:rPr>
                  </w:pPr>
                  <w:r>
                    <w:rPr>
                      <w:color w:val="auto"/>
                      <w:highlight w:val="none"/>
                    </w:rPr>
                    <w:t>5850kN</w:t>
                  </w:r>
                </w:p>
              </w:tc>
              <w:tc>
                <w:tcPr>
                  <w:tcW w:w="963" w:type="pct"/>
                  <w:shd w:val="clear" w:color="auto" w:fill="auto"/>
                  <w:vAlign w:val="center"/>
                </w:tcPr>
                <w:p w14:paraId="113AC7A0">
                  <w:pPr>
                    <w:pStyle w:val="41"/>
                    <w:rPr>
                      <w:color w:val="auto"/>
                      <w:highlight w:val="none"/>
                    </w:rPr>
                  </w:pPr>
                  <w:r>
                    <w:rPr>
                      <w:rFonts w:hint="eastAsia"/>
                      <w:color w:val="auto"/>
                      <w:highlight w:val="none"/>
                    </w:rPr>
                    <w:t>1座</w:t>
                  </w:r>
                </w:p>
              </w:tc>
            </w:tr>
            <w:tr w14:paraId="2EB1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59B60B8D">
                  <w:pPr>
                    <w:pStyle w:val="41"/>
                    <w:rPr>
                      <w:color w:val="auto"/>
                      <w:highlight w:val="none"/>
                    </w:rPr>
                  </w:pPr>
                  <w:r>
                    <w:rPr>
                      <w:color w:val="auto"/>
                      <w:highlight w:val="none"/>
                    </w:rPr>
                    <w:t>2</w:t>
                  </w:r>
                </w:p>
              </w:tc>
              <w:tc>
                <w:tcPr>
                  <w:tcW w:w="1287" w:type="pct"/>
                  <w:vAlign w:val="center"/>
                </w:tcPr>
                <w:p w14:paraId="73946D38">
                  <w:pPr>
                    <w:pStyle w:val="41"/>
                    <w:rPr>
                      <w:color w:val="auto"/>
                      <w:highlight w:val="none"/>
                    </w:rPr>
                  </w:pPr>
                  <w:r>
                    <w:rPr>
                      <w:color w:val="auto"/>
                      <w:highlight w:val="none"/>
                    </w:rPr>
                    <w:t>底座</w:t>
                  </w:r>
                </w:p>
              </w:tc>
              <w:tc>
                <w:tcPr>
                  <w:tcW w:w="1159" w:type="pct"/>
                  <w:vAlign w:val="center"/>
                </w:tcPr>
                <w:p w14:paraId="384C0118">
                  <w:pPr>
                    <w:pStyle w:val="41"/>
                    <w:rPr>
                      <w:color w:val="auto"/>
                      <w:highlight w:val="none"/>
                    </w:rPr>
                  </w:pPr>
                  <w:r>
                    <w:rPr>
                      <w:color w:val="auto"/>
                      <w:highlight w:val="none"/>
                    </w:rPr>
                    <w:t>DZ585/12-X2</w:t>
                  </w:r>
                </w:p>
              </w:tc>
              <w:tc>
                <w:tcPr>
                  <w:tcW w:w="1078" w:type="pct"/>
                  <w:vAlign w:val="center"/>
                </w:tcPr>
                <w:p w14:paraId="6172FA95">
                  <w:pPr>
                    <w:pStyle w:val="41"/>
                    <w:rPr>
                      <w:color w:val="auto"/>
                      <w:highlight w:val="none"/>
                    </w:rPr>
                  </w:pPr>
                  <w:r>
                    <w:rPr>
                      <w:color w:val="auto"/>
                      <w:highlight w:val="none"/>
                    </w:rPr>
                    <w:t>5850kN</w:t>
                  </w:r>
                </w:p>
              </w:tc>
              <w:tc>
                <w:tcPr>
                  <w:tcW w:w="963" w:type="pct"/>
                  <w:shd w:val="clear" w:color="auto" w:fill="auto"/>
                  <w:vAlign w:val="center"/>
                </w:tcPr>
                <w:p w14:paraId="40E058F8">
                  <w:pPr>
                    <w:pStyle w:val="41"/>
                    <w:rPr>
                      <w:color w:val="auto"/>
                      <w:highlight w:val="none"/>
                    </w:rPr>
                  </w:pPr>
                  <w:r>
                    <w:rPr>
                      <w:rFonts w:hint="eastAsia"/>
                      <w:color w:val="auto"/>
                      <w:highlight w:val="none"/>
                    </w:rPr>
                    <w:t>1座</w:t>
                  </w:r>
                </w:p>
              </w:tc>
            </w:tr>
            <w:tr w14:paraId="73E0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04AA0CD7">
                  <w:pPr>
                    <w:pStyle w:val="41"/>
                    <w:rPr>
                      <w:color w:val="auto"/>
                      <w:highlight w:val="none"/>
                    </w:rPr>
                  </w:pPr>
                  <w:r>
                    <w:rPr>
                      <w:color w:val="auto"/>
                      <w:highlight w:val="none"/>
                    </w:rPr>
                    <w:t>3</w:t>
                  </w:r>
                </w:p>
              </w:tc>
              <w:tc>
                <w:tcPr>
                  <w:tcW w:w="1287" w:type="pct"/>
                  <w:vAlign w:val="center"/>
                </w:tcPr>
                <w:p w14:paraId="5327A356">
                  <w:pPr>
                    <w:pStyle w:val="41"/>
                    <w:rPr>
                      <w:color w:val="auto"/>
                      <w:highlight w:val="none"/>
                    </w:rPr>
                  </w:pPr>
                  <w:r>
                    <w:rPr>
                      <w:color w:val="auto"/>
                      <w:highlight w:val="none"/>
                    </w:rPr>
                    <w:t>天车</w:t>
                  </w:r>
                </w:p>
              </w:tc>
              <w:tc>
                <w:tcPr>
                  <w:tcW w:w="1159" w:type="pct"/>
                  <w:vAlign w:val="center"/>
                </w:tcPr>
                <w:p w14:paraId="00677BE5">
                  <w:pPr>
                    <w:pStyle w:val="41"/>
                    <w:rPr>
                      <w:color w:val="auto"/>
                      <w:highlight w:val="none"/>
                    </w:rPr>
                  </w:pPr>
                  <w:r>
                    <w:rPr>
                      <w:color w:val="auto"/>
                      <w:highlight w:val="none"/>
                    </w:rPr>
                    <w:t>TC585</w:t>
                  </w:r>
                </w:p>
              </w:tc>
              <w:tc>
                <w:tcPr>
                  <w:tcW w:w="1078" w:type="pct"/>
                  <w:vAlign w:val="center"/>
                </w:tcPr>
                <w:p w14:paraId="5C264290">
                  <w:pPr>
                    <w:pStyle w:val="41"/>
                    <w:rPr>
                      <w:color w:val="auto"/>
                      <w:highlight w:val="none"/>
                    </w:rPr>
                  </w:pPr>
                  <w:r>
                    <w:rPr>
                      <w:color w:val="auto"/>
                      <w:highlight w:val="none"/>
                    </w:rPr>
                    <w:t>5850kN</w:t>
                  </w:r>
                </w:p>
              </w:tc>
              <w:tc>
                <w:tcPr>
                  <w:tcW w:w="963" w:type="pct"/>
                  <w:shd w:val="clear" w:color="auto" w:fill="auto"/>
                  <w:vAlign w:val="center"/>
                </w:tcPr>
                <w:p w14:paraId="41A8971E">
                  <w:pPr>
                    <w:pStyle w:val="41"/>
                    <w:rPr>
                      <w:color w:val="auto"/>
                      <w:highlight w:val="none"/>
                    </w:rPr>
                  </w:pPr>
                  <w:r>
                    <w:rPr>
                      <w:rFonts w:hint="eastAsia"/>
                      <w:color w:val="auto"/>
                      <w:highlight w:val="none"/>
                    </w:rPr>
                    <w:t>1座</w:t>
                  </w:r>
                </w:p>
              </w:tc>
            </w:tr>
            <w:tr w14:paraId="4EE2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21E8FAA0">
                  <w:pPr>
                    <w:pStyle w:val="41"/>
                    <w:rPr>
                      <w:color w:val="auto"/>
                      <w:highlight w:val="none"/>
                    </w:rPr>
                  </w:pPr>
                  <w:r>
                    <w:rPr>
                      <w:color w:val="auto"/>
                      <w:highlight w:val="none"/>
                    </w:rPr>
                    <w:t>4</w:t>
                  </w:r>
                </w:p>
              </w:tc>
              <w:tc>
                <w:tcPr>
                  <w:tcW w:w="1287" w:type="pct"/>
                  <w:vAlign w:val="center"/>
                </w:tcPr>
                <w:p w14:paraId="5F05C0A1">
                  <w:pPr>
                    <w:pStyle w:val="41"/>
                    <w:rPr>
                      <w:color w:val="auto"/>
                      <w:highlight w:val="none"/>
                    </w:rPr>
                  </w:pPr>
                  <w:r>
                    <w:rPr>
                      <w:color w:val="auto"/>
                      <w:highlight w:val="none"/>
                    </w:rPr>
                    <w:t>游车</w:t>
                  </w:r>
                </w:p>
              </w:tc>
              <w:tc>
                <w:tcPr>
                  <w:tcW w:w="1159" w:type="pct"/>
                  <w:vAlign w:val="center"/>
                </w:tcPr>
                <w:p w14:paraId="542C9A5B">
                  <w:pPr>
                    <w:pStyle w:val="41"/>
                    <w:rPr>
                      <w:color w:val="auto"/>
                      <w:highlight w:val="none"/>
                    </w:rPr>
                  </w:pPr>
                  <w:r>
                    <w:rPr>
                      <w:color w:val="auto"/>
                      <w:highlight w:val="none"/>
                    </w:rPr>
                    <w:t>YC585</w:t>
                  </w:r>
                </w:p>
              </w:tc>
              <w:tc>
                <w:tcPr>
                  <w:tcW w:w="1078" w:type="pct"/>
                  <w:vAlign w:val="center"/>
                </w:tcPr>
                <w:p w14:paraId="3EF79771">
                  <w:pPr>
                    <w:pStyle w:val="41"/>
                    <w:rPr>
                      <w:color w:val="auto"/>
                      <w:highlight w:val="none"/>
                    </w:rPr>
                  </w:pPr>
                  <w:r>
                    <w:rPr>
                      <w:color w:val="auto"/>
                      <w:highlight w:val="none"/>
                    </w:rPr>
                    <w:t>5850kN</w:t>
                  </w:r>
                </w:p>
              </w:tc>
              <w:tc>
                <w:tcPr>
                  <w:tcW w:w="963" w:type="pct"/>
                  <w:shd w:val="clear" w:color="auto" w:fill="auto"/>
                  <w:vAlign w:val="center"/>
                </w:tcPr>
                <w:p w14:paraId="0F1637F2">
                  <w:pPr>
                    <w:pStyle w:val="41"/>
                    <w:rPr>
                      <w:color w:val="auto"/>
                      <w:highlight w:val="none"/>
                    </w:rPr>
                  </w:pPr>
                  <w:r>
                    <w:rPr>
                      <w:rFonts w:hint="eastAsia"/>
                      <w:color w:val="auto"/>
                      <w:highlight w:val="none"/>
                    </w:rPr>
                    <w:t>1座</w:t>
                  </w:r>
                </w:p>
              </w:tc>
            </w:tr>
            <w:tr w14:paraId="2B91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66C59E02">
                  <w:pPr>
                    <w:pStyle w:val="41"/>
                    <w:rPr>
                      <w:color w:val="auto"/>
                      <w:highlight w:val="none"/>
                    </w:rPr>
                  </w:pPr>
                  <w:r>
                    <w:rPr>
                      <w:color w:val="auto"/>
                      <w:highlight w:val="none"/>
                    </w:rPr>
                    <w:t>5</w:t>
                  </w:r>
                </w:p>
              </w:tc>
              <w:tc>
                <w:tcPr>
                  <w:tcW w:w="1287" w:type="pct"/>
                  <w:vAlign w:val="center"/>
                </w:tcPr>
                <w:p w14:paraId="7F3458F2">
                  <w:pPr>
                    <w:pStyle w:val="41"/>
                    <w:rPr>
                      <w:color w:val="auto"/>
                      <w:highlight w:val="none"/>
                    </w:rPr>
                  </w:pPr>
                  <w:r>
                    <w:rPr>
                      <w:color w:val="auto"/>
                      <w:highlight w:val="none"/>
                    </w:rPr>
                    <w:t>转盘</w:t>
                  </w:r>
                </w:p>
              </w:tc>
              <w:tc>
                <w:tcPr>
                  <w:tcW w:w="1159" w:type="pct"/>
                  <w:vAlign w:val="center"/>
                </w:tcPr>
                <w:p w14:paraId="474E94B5">
                  <w:pPr>
                    <w:pStyle w:val="41"/>
                    <w:rPr>
                      <w:color w:val="auto"/>
                      <w:highlight w:val="none"/>
                    </w:rPr>
                  </w:pPr>
                  <w:r>
                    <w:rPr>
                      <w:color w:val="auto"/>
                      <w:highlight w:val="none"/>
                    </w:rPr>
                    <w:t>ZP375H</w:t>
                  </w:r>
                </w:p>
              </w:tc>
              <w:tc>
                <w:tcPr>
                  <w:tcW w:w="1078" w:type="pct"/>
                  <w:vAlign w:val="center"/>
                </w:tcPr>
                <w:p w14:paraId="1108E4B1">
                  <w:pPr>
                    <w:pStyle w:val="41"/>
                    <w:rPr>
                      <w:color w:val="auto"/>
                      <w:highlight w:val="none"/>
                    </w:rPr>
                  </w:pPr>
                  <w:r>
                    <w:rPr>
                      <w:color w:val="auto"/>
                      <w:highlight w:val="none"/>
                    </w:rPr>
                    <w:t>7250kN</w:t>
                  </w:r>
                </w:p>
              </w:tc>
              <w:tc>
                <w:tcPr>
                  <w:tcW w:w="963" w:type="pct"/>
                  <w:shd w:val="clear" w:color="auto" w:fill="auto"/>
                  <w:vAlign w:val="center"/>
                </w:tcPr>
                <w:p w14:paraId="07A03389">
                  <w:pPr>
                    <w:pStyle w:val="41"/>
                    <w:rPr>
                      <w:color w:val="auto"/>
                      <w:highlight w:val="none"/>
                    </w:rPr>
                  </w:pPr>
                  <w:r>
                    <w:rPr>
                      <w:rFonts w:hint="eastAsia"/>
                      <w:color w:val="auto"/>
                      <w:highlight w:val="none"/>
                    </w:rPr>
                    <w:t>1台</w:t>
                  </w:r>
                </w:p>
              </w:tc>
            </w:tr>
            <w:tr w14:paraId="0B4B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63DF0869">
                  <w:pPr>
                    <w:pStyle w:val="41"/>
                    <w:rPr>
                      <w:color w:val="auto"/>
                      <w:highlight w:val="none"/>
                    </w:rPr>
                  </w:pPr>
                  <w:r>
                    <w:rPr>
                      <w:color w:val="auto"/>
                      <w:highlight w:val="none"/>
                    </w:rPr>
                    <w:t>6</w:t>
                  </w:r>
                </w:p>
              </w:tc>
              <w:tc>
                <w:tcPr>
                  <w:tcW w:w="1287" w:type="pct"/>
                  <w:vAlign w:val="center"/>
                </w:tcPr>
                <w:p w14:paraId="05813FE1">
                  <w:pPr>
                    <w:pStyle w:val="41"/>
                    <w:rPr>
                      <w:color w:val="auto"/>
                      <w:highlight w:val="none"/>
                    </w:rPr>
                  </w:pPr>
                  <w:r>
                    <w:rPr>
                      <w:color w:val="auto"/>
                      <w:highlight w:val="none"/>
                    </w:rPr>
                    <w:t>钻井泵</w:t>
                  </w:r>
                </w:p>
              </w:tc>
              <w:tc>
                <w:tcPr>
                  <w:tcW w:w="1159" w:type="pct"/>
                  <w:vAlign w:val="center"/>
                </w:tcPr>
                <w:p w14:paraId="72A04D96">
                  <w:pPr>
                    <w:pStyle w:val="41"/>
                    <w:rPr>
                      <w:color w:val="auto"/>
                      <w:highlight w:val="none"/>
                    </w:rPr>
                  </w:pPr>
                  <w:r>
                    <w:rPr>
                      <w:color w:val="auto"/>
                      <w:highlight w:val="none"/>
                    </w:rPr>
                    <w:t>F-1600HL</w:t>
                  </w:r>
                </w:p>
              </w:tc>
              <w:tc>
                <w:tcPr>
                  <w:tcW w:w="1078" w:type="pct"/>
                  <w:vAlign w:val="center"/>
                </w:tcPr>
                <w:p w14:paraId="625B6114">
                  <w:pPr>
                    <w:pStyle w:val="41"/>
                    <w:rPr>
                      <w:color w:val="auto"/>
                      <w:highlight w:val="none"/>
                    </w:rPr>
                  </w:pPr>
                  <w:r>
                    <w:rPr>
                      <w:color w:val="auto"/>
                      <w:highlight w:val="none"/>
                    </w:rPr>
                    <w:t>1193kW</w:t>
                  </w:r>
                </w:p>
              </w:tc>
              <w:tc>
                <w:tcPr>
                  <w:tcW w:w="963" w:type="pct"/>
                  <w:shd w:val="clear" w:color="auto" w:fill="auto"/>
                  <w:vAlign w:val="center"/>
                </w:tcPr>
                <w:p w14:paraId="70051B5B">
                  <w:pPr>
                    <w:pStyle w:val="41"/>
                    <w:rPr>
                      <w:color w:val="auto"/>
                      <w:highlight w:val="none"/>
                    </w:rPr>
                  </w:pPr>
                  <w:r>
                    <w:rPr>
                      <w:rFonts w:hint="eastAsia"/>
                      <w:color w:val="auto"/>
                      <w:highlight w:val="none"/>
                    </w:rPr>
                    <w:t>3台</w:t>
                  </w:r>
                </w:p>
              </w:tc>
            </w:tr>
            <w:tr w14:paraId="3D60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20E9C8F0">
                  <w:pPr>
                    <w:pStyle w:val="41"/>
                    <w:rPr>
                      <w:color w:val="auto"/>
                      <w:highlight w:val="none"/>
                    </w:rPr>
                  </w:pPr>
                  <w:r>
                    <w:rPr>
                      <w:color w:val="auto"/>
                      <w:highlight w:val="none"/>
                    </w:rPr>
                    <w:t>7</w:t>
                  </w:r>
                </w:p>
              </w:tc>
              <w:tc>
                <w:tcPr>
                  <w:tcW w:w="1287" w:type="pct"/>
                  <w:shd w:val="clear" w:color="auto" w:fill="auto"/>
                  <w:vAlign w:val="center"/>
                </w:tcPr>
                <w:p w14:paraId="654A734C">
                  <w:pPr>
                    <w:pStyle w:val="41"/>
                    <w:rPr>
                      <w:color w:val="auto"/>
                      <w:highlight w:val="none"/>
                    </w:rPr>
                  </w:pPr>
                  <w:r>
                    <w:rPr>
                      <w:color w:val="auto"/>
                      <w:highlight w:val="none"/>
                    </w:rPr>
                    <w:t>顶驱</w:t>
                  </w:r>
                </w:p>
              </w:tc>
              <w:tc>
                <w:tcPr>
                  <w:tcW w:w="1159" w:type="pct"/>
                  <w:shd w:val="clear" w:color="auto" w:fill="auto"/>
                  <w:vAlign w:val="center"/>
                </w:tcPr>
                <w:p w14:paraId="49F6BC1F">
                  <w:pPr>
                    <w:pStyle w:val="41"/>
                    <w:rPr>
                      <w:color w:val="auto"/>
                      <w:highlight w:val="none"/>
                    </w:rPr>
                  </w:pPr>
                  <w:r>
                    <w:rPr>
                      <w:color w:val="auto"/>
                      <w:highlight w:val="none"/>
                    </w:rPr>
                    <w:t>DQ90BS-JH</w:t>
                  </w:r>
                </w:p>
              </w:tc>
              <w:tc>
                <w:tcPr>
                  <w:tcW w:w="1078" w:type="pct"/>
                  <w:shd w:val="clear" w:color="auto" w:fill="auto"/>
                  <w:vAlign w:val="center"/>
                </w:tcPr>
                <w:p w14:paraId="7F58BD2D">
                  <w:pPr>
                    <w:pStyle w:val="41"/>
                    <w:rPr>
                      <w:color w:val="auto"/>
                      <w:highlight w:val="none"/>
                    </w:rPr>
                  </w:pPr>
                  <w:r>
                    <w:rPr>
                      <w:color w:val="auto"/>
                      <w:highlight w:val="none"/>
                    </w:rPr>
                    <w:t>750t</w:t>
                  </w:r>
                </w:p>
              </w:tc>
              <w:tc>
                <w:tcPr>
                  <w:tcW w:w="963" w:type="pct"/>
                  <w:shd w:val="clear" w:color="auto" w:fill="auto"/>
                  <w:vAlign w:val="center"/>
                </w:tcPr>
                <w:p w14:paraId="71C75A92">
                  <w:pPr>
                    <w:pStyle w:val="41"/>
                    <w:rPr>
                      <w:color w:val="auto"/>
                      <w:highlight w:val="none"/>
                    </w:rPr>
                  </w:pPr>
                  <w:r>
                    <w:rPr>
                      <w:rFonts w:hint="eastAsia"/>
                      <w:color w:val="auto"/>
                      <w:highlight w:val="none"/>
                    </w:rPr>
                    <w:t>1台</w:t>
                  </w:r>
                </w:p>
              </w:tc>
            </w:tr>
            <w:tr w14:paraId="273F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6FB05DCA">
                  <w:pPr>
                    <w:pStyle w:val="41"/>
                    <w:rPr>
                      <w:color w:val="auto"/>
                      <w:highlight w:val="none"/>
                    </w:rPr>
                  </w:pPr>
                  <w:r>
                    <w:rPr>
                      <w:color w:val="auto"/>
                      <w:highlight w:val="none"/>
                    </w:rPr>
                    <w:t>8</w:t>
                  </w:r>
                </w:p>
              </w:tc>
              <w:tc>
                <w:tcPr>
                  <w:tcW w:w="1287" w:type="pct"/>
                  <w:shd w:val="clear" w:color="auto" w:fill="auto"/>
                  <w:vAlign w:val="center"/>
                </w:tcPr>
                <w:p w14:paraId="3E630379">
                  <w:pPr>
                    <w:pStyle w:val="41"/>
                    <w:rPr>
                      <w:color w:val="auto"/>
                      <w:highlight w:val="none"/>
                    </w:rPr>
                  </w:pPr>
                  <w:r>
                    <w:rPr>
                      <w:color w:val="auto"/>
                      <w:highlight w:val="none"/>
                    </w:rPr>
                    <w:t>死绳固定器</w:t>
                  </w:r>
                </w:p>
              </w:tc>
              <w:tc>
                <w:tcPr>
                  <w:tcW w:w="1159" w:type="pct"/>
                  <w:shd w:val="clear" w:color="auto" w:fill="auto"/>
                  <w:vAlign w:val="center"/>
                </w:tcPr>
                <w:p w14:paraId="078C3C40">
                  <w:pPr>
                    <w:pStyle w:val="41"/>
                    <w:rPr>
                      <w:color w:val="auto"/>
                      <w:highlight w:val="none"/>
                    </w:rPr>
                  </w:pPr>
                  <w:r>
                    <w:rPr>
                      <w:color w:val="auto"/>
                      <w:highlight w:val="none"/>
                    </w:rPr>
                    <w:t>JZG56</w:t>
                  </w:r>
                </w:p>
              </w:tc>
              <w:tc>
                <w:tcPr>
                  <w:tcW w:w="1078" w:type="pct"/>
                  <w:shd w:val="clear" w:color="auto" w:fill="auto"/>
                  <w:vAlign w:val="center"/>
                </w:tcPr>
                <w:p w14:paraId="1D4478C7">
                  <w:pPr>
                    <w:pStyle w:val="41"/>
                    <w:rPr>
                      <w:color w:val="auto"/>
                      <w:highlight w:val="none"/>
                    </w:rPr>
                  </w:pPr>
                  <w:r>
                    <w:rPr>
                      <w:color w:val="auto"/>
                      <w:highlight w:val="none"/>
                    </w:rPr>
                    <w:t>560kN</w:t>
                  </w:r>
                </w:p>
              </w:tc>
              <w:tc>
                <w:tcPr>
                  <w:tcW w:w="963" w:type="pct"/>
                  <w:shd w:val="clear" w:color="auto" w:fill="auto"/>
                  <w:vAlign w:val="center"/>
                </w:tcPr>
                <w:p w14:paraId="73E107DC">
                  <w:pPr>
                    <w:pStyle w:val="41"/>
                    <w:rPr>
                      <w:color w:val="auto"/>
                      <w:highlight w:val="none"/>
                    </w:rPr>
                  </w:pPr>
                  <w:r>
                    <w:rPr>
                      <w:rFonts w:hint="eastAsia"/>
                      <w:color w:val="auto"/>
                      <w:highlight w:val="none"/>
                    </w:rPr>
                    <w:t>1座</w:t>
                  </w:r>
                </w:p>
              </w:tc>
            </w:tr>
            <w:tr w14:paraId="0211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4916AD84">
                  <w:pPr>
                    <w:pStyle w:val="41"/>
                    <w:rPr>
                      <w:color w:val="auto"/>
                      <w:highlight w:val="none"/>
                    </w:rPr>
                  </w:pPr>
                  <w:r>
                    <w:rPr>
                      <w:color w:val="auto"/>
                      <w:highlight w:val="none"/>
                    </w:rPr>
                    <w:t>9</w:t>
                  </w:r>
                </w:p>
              </w:tc>
              <w:tc>
                <w:tcPr>
                  <w:tcW w:w="1287" w:type="pct"/>
                  <w:shd w:val="clear" w:color="auto" w:fill="auto"/>
                  <w:vAlign w:val="center"/>
                </w:tcPr>
                <w:p w14:paraId="5D93FB73">
                  <w:pPr>
                    <w:pStyle w:val="41"/>
                    <w:rPr>
                      <w:color w:val="auto"/>
                      <w:highlight w:val="none"/>
                    </w:rPr>
                  </w:pPr>
                  <w:r>
                    <w:rPr>
                      <w:color w:val="auto"/>
                      <w:highlight w:val="none"/>
                    </w:rPr>
                    <w:t>B型大钳</w:t>
                  </w:r>
                </w:p>
              </w:tc>
              <w:tc>
                <w:tcPr>
                  <w:tcW w:w="1159" w:type="pct"/>
                  <w:shd w:val="clear" w:color="auto" w:fill="auto"/>
                  <w:vAlign w:val="center"/>
                </w:tcPr>
                <w:p w14:paraId="4E06A673">
                  <w:pPr>
                    <w:pStyle w:val="41"/>
                    <w:rPr>
                      <w:color w:val="auto"/>
                      <w:highlight w:val="none"/>
                    </w:rPr>
                  </w:pPr>
                  <w:r>
                    <w:rPr>
                      <w:color w:val="auto"/>
                      <w:highlight w:val="none"/>
                    </w:rPr>
                    <w:t>Q33/8-12 3/4/75</w:t>
                  </w:r>
                </w:p>
              </w:tc>
              <w:tc>
                <w:tcPr>
                  <w:tcW w:w="1078" w:type="pct"/>
                  <w:shd w:val="clear" w:color="auto" w:fill="auto"/>
                  <w:vAlign w:val="center"/>
                </w:tcPr>
                <w:p w14:paraId="1741D983">
                  <w:pPr>
                    <w:pStyle w:val="41"/>
                    <w:rPr>
                      <w:color w:val="auto"/>
                      <w:highlight w:val="none"/>
                    </w:rPr>
                  </w:pPr>
                  <w:r>
                    <w:rPr>
                      <w:color w:val="auto"/>
                      <w:highlight w:val="none"/>
                    </w:rPr>
                    <w:t>75kN.m</w:t>
                  </w:r>
                </w:p>
              </w:tc>
              <w:tc>
                <w:tcPr>
                  <w:tcW w:w="963" w:type="pct"/>
                  <w:shd w:val="clear" w:color="auto" w:fill="auto"/>
                  <w:vAlign w:val="center"/>
                </w:tcPr>
                <w:p w14:paraId="42722CD0">
                  <w:pPr>
                    <w:pStyle w:val="41"/>
                    <w:rPr>
                      <w:color w:val="auto"/>
                      <w:highlight w:val="none"/>
                    </w:rPr>
                  </w:pPr>
                  <w:r>
                    <w:rPr>
                      <w:rFonts w:hint="eastAsia"/>
                      <w:color w:val="auto"/>
                      <w:highlight w:val="none"/>
                    </w:rPr>
                    <w:t>2个</w:t>
                  </w:r>
                </w:p>
              </w:tc>
            </w:tr>
            <w:tr w14:paraId="46EA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5CE538C1">
                  <w:pPr>
                    <w:pStyle w:val="41"/>
                    <w:rPr>
                      <w:color w:val="auto"/>
                      <w:highlight w:val="none"/>
                    </w:rPr>
                  </w:pPr>
                  <w:r>
                    <w:rPr>
                      <w:color w:val="auto"/>
                      <w:highlight w:val="none"/>
                    </w:rPr>
                    <w:t>10</w:t>
                  </w:r>
                </w:p>
              </w:tc>
              <w:tc>
                <w:tcPr>
                  <w:tcW w:w="1287" w:type="pct"/>
                  <w:shd w:val="clear" w:color="auto" w:fill="auto"/>
                  <w:vAlign w:val="center"/>
                </w:tcPr>
                <w:p w14:paraId="600E92FE">
                  <w:pPr>
                    <w:pStyle w:val="41"/>
                    <w:rPr>
                      <w:color w:val="auto"/>
                      <w:highlight w:val="none"/>
                    </w:rPr>
                  </w:pPr>
                  <w:r>
                    <w:rPr>
                      <w:color w:val="auto"/>
                      <w:highlight w:val="none"/>
                    </w:rPr>
                    <w:t>液压大钳</w:t>
                  </w:r>
                </w:p>
              </w:tc>
              <w:tc>
                <w:tcPr>
                  <w:tcW w:w="1159" w:type="pct"/>
                  <w:shd w:val="clear" w:color="auto" w:fill="auto"/>
                  <w:vAlign w:val="center"/>
                </w:tcPr>
                <w:p w14:paraId="2E93E7CD">
                  <w:pPr>
                    <w:pStyle w:val="41"/>
                    <w:rPr>
                      <w:color w:val="auto"/>
                      <w:highlight w:val="none"/>
                    </w:rPr>
                  </w:pPr>
                  <w:r>
                    <w:rPr>
                      <w:color w:val="auto"/>
                      <w:highlight w:val="none"/>
                    </w:rPr>
                    <w:t>ZQ203/125II</w:t>
                  </w:r>
                </w:p>
              </w:tc>
              <w:tc>
                <w:tcPr>
                  <w:tcW w:w="1078" w:type="pct"/>
                  <w:shd w:val="clear" w:color="auto" w:fill="auto"/>
                  <w:vAlign w:val="center"/>
                </w:tcPr>
                <w:p w14:paraId="68429FEF">
                  <w:pPr>
                    <w:pStyle w:val="41"/>
                    <w:rPr>
                      <w:color w:val="auto"/>
                      <w:highlight w:val="none"/>
                    </w:rPr>
                  </w:pPr>
                  <w:r>
                    <w:rPr>
                      <w:color w:val="auto"/>
                      <w:highlight w:val="none"/>
                    </w:rPr>
                    <w:t>18MPa</w:t>
                  </w:r>
                </w:p>
              </w:tc>
              <w:tc>
                <w:tcPr>
                  <w:tcW w:w="963" w:type="pct"/>
                  <w:shd w:val="clear" w:color="auto" w:fill="auto"/>
                  <w:vAlign w:val="center"/>
                </w:tcPr>
                <w:p w14:paraId="5979EA3D">
                  <w:pPr>
                    <w:pStyle w:val="41"/>
                    <w:rPr>
                      <w:color w:val="auto"/>
                      <w:highlight w:val="none"/>
                    </w:rPr>
                  </w:pPr>
                  <w:r>
                    <w:rPr>
                      <w:rFonts w:hint="eastAsia"/>
                      <w:color w:val="auto"/>
                      <w:highlight w:val="none"/>
                    </w:rPr>
                    <w:t>1个</w:t>
                  </w:r>
                </w:p>
              </w:tc>
            </w:tr>
            <w:tr w14:paraId="3D02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6CA89643">
                  <w:pPr>
                    <w:pStyle w:val="41"/>
                    <w:rPr>
                      <w:color w:val="auto"/>
                      <w:highlight w:val="none"/>
                    </w:rPr>
                  </w:pPr>
                  <w:r>
                    <w:rPr>
                      <w:color w:val="auto"/>
                      <w:highlight w:val="none"/>
                    </w:rPr>
                    <w:t>11</w:t>
                  </w:r>
                </w:p>
              </w:tc>
              <w:tc>
                <w:tcPr>
                  <w:tcW w:w="1287" w:type="pct"/>
                  <w:shd w:val="clear" w:color="auto" w:fill="auto"/>
                  <w:vAlign w:val="center"/>
                </w:tcPr>
                <w:p w14:paraId="11C1BAB6">
                  <w:pPr>
                    <w:pStyle w:val="41"/>
                    <w:rPr>
                      <w:color w:val="auto"/>
                      <w:highlight w:val="none"/>
                    </w:rPr>
                  </w:pPr>
                  <w:r>
                    <w:rPr>
                      <w:color w:val="auto"/>
                      <w:highlight w:val="none"/>
                    </w:rPr>
                    <w:t>盘刹液压站</w:t>
                  </w:r>
                </w:p>
              </w:tc>
              <w:tc>
                <w:tcPr>
                  <w:tcW w:w="1159" w:type="pct"/>
                  <w:shd w:val="clear" w:color="auto" w:fill="auto"/>
                  <w:vAlign w:val="center"/>
                </w:tcPr>
                <w:p w14:paraId="078A8617">
                  <w:pPr>
                    <w:pStyle w:val="41"/>
                    <w:rPr>
                      <w:color w:val="auto"/>
                      <w:highlight w:val="none"/>
                    </w:rPr>
                  </w:pPr>
                  <w:r>
                    <w:rPr>
                      <w:color w:val="auto"/>
                      <w:highlight w:val="none"/>
                    </w:rPr>
                    <w:t>PY-01A9a</w:t>
                  </w:r>
                </w:p>
              </w:tc>
              <w:tc>
                <w:tcPr>
                  <w:tcW w:w="1078" w:type="pct"/>
                  <w:shd w:val="clear" w:color="auto" w:fill="auto"/>
                  <w:vAlign w:val="center"/>
                </w:tcPr>
                <w:p w14:paraId="79858B59">
                  <w:pPr>
                    <w:pStyle w:val="41"/>
                    <w:rPr>
                      <w:color w:val="auto"/>
                      <w:highlight w:val="none"/>
                    </w:rPr>
                  </w:pPr>
                  <w:r>
                    <w:rPr>
                      <w:color w:val="auto"/>
                      <w:highlight w:val="none"/>
                    </w:rPr>
                    <w:t>8MPa</w:t>
                  </w:r>
                </w:p>
              </w:tc>
              <w:tc>
                <w:tcPr>
                  <w:tcW w:w="963" w:type="pct"/>
                  <w:shd w:val="clear" w:color="auto" w:fill="auto"/>
                  <w:vAlign w:val="center"/>
                </w:tcPr>
                <w:p w14:paraId="6701137B">
                  <w:pPr>
                    <w:pStyle w:val="41"/>
                    <w:rPr>
                      <w:color w:val="auto"/>
                      <w:highlight w:val="none"/>
                    </w:rPr>
                  </w:pPr>
                  <w:r>
                    <w:rPr>
                      <w:rFonts w:hint="eastAsia"/>
                      <w:color w:val="auto"/>
                      <w:highlight w:val="none"/>
                    </w:rPr>
                    <w:t>1台</w:t>
                  </w:r>
                </w:p>
              </w:tc>
            </w:tr>
            <w:tr w14:paraId="4D4E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0D95B666">
                  <w:pPr>
                    <w:pStyle w:val="41"/>
                    <w:rPr>
                      <w:color w:val="auto"/>
                      <w:highlight w:val="none"/>
                    </w:rPr>
                  </w:pPr>
                  <w:r>
                    <w:rPr>
                      <w:color w:val="auto"/>
                      <w:highlight w:val="none"/>
                    </w:rPr>
                    <w:t>12</w:t>
                  </w:r>
                </w:p>
              </w:tc>
              <w:tc>
                <w:tcPr>
                  <w:tcW w:w="1287" w:type="pct"/>
                  <w:shd w:val="clear" w:color="auto" w:fill="auto"/>
                  <w:vAlign w:val="center"/>
                </w:tcPr>
                <w:p w14:paraId="791FC25E">
                  <w:pPr>
                    <w:pStyle w:val="41"/>
                    <w:rPr>
                      <w:color w:val="auto"/>
                      <w:highlight w:val="none"/>
                    </w:rPr>
                  </w:pPr>
                  <w:r>
                    <w:rPr>
                      <w:color w:val="auto"/>
                      <w:highlight w:val="none"/>
                    </w:rPr>
                    <w:t>液压盘式刹车</w:t>
                  </w:r>
                </w:p>
              </w:tc>
              <w:tc>
                <w:tcPr>
                  <w:tcW w:w="1159" w:type="pct"/>
                  <w:shd w:val="clear" w:color="auto" w:fill="auto"/>
                  <w:vAlign w:val="center"/>
                </w:tcPr>
                <w:p w14:paraId="2676A951">
                  <w:pPr>
                    <w:pStyle w:val="41"/>
                    <w:rPr>
                      <w:color w:val="auto"/>
                      <w:highlight w:val="none"/>
                    </w:rPr>
                  </w:pPr>
                  <w:r>
                    <w:rPr>
                      <w:color w:val="auto"/>
                      <w:highlight w:val="none"/>
                    </w:rPr>
                    <w:t>PS200/5850</w:t>
                  </w:r>
                </w:p>
              </w:tc>
              <w:tc>
                <w:tcPr>
                  <w:tcW w:w="1078" w:type="pct"/>
                  <w:shd w:val="clear" w:color="auto" w:fill="auto"/>
                  <w:vAlign w:val="center"/>
                </w:tcPr>
                <w:p w14:paraId="745A458B">
                  <w:pPr>
                    <w:pStyle w:val="41"/>
                    <w:rPr>
                      <w:color w:val="auto"/>
                      <w:highlight w:val="none"/>
                    </w:rPr>
                  </w:pPr>
                  <w:r>
                    <w:rPr>
                      <w:color w:val="auto"/>
                      <w:highlight w:val="none"/>
                    </w:rPr>
                    <w:t>200kN.m</w:t>
                  </w:r>
                </w:p>
              </w:tc>
              <w:tc>
                <w:tcPr>
                  <w:tcW w:w="963" w:type="pct"/>
                  <w:shd w:val="clear" w:color="auto" w:fill="auto"/>
                  <w:vAlign w:val="center"/>
                </w:tcPr>
                <w:p w14:paraId="03C8A683">
                  <w:pPr>
                    <w:pStyle w:val="41"/>
                    <w:rPr>
                      <w:color w:val="auto"/>
                      <w:highlight w:val="none"/>
                    </w:rPr>
                  </w:pPr>
                  <w:r>
                    <w:rPr>
                      <w:rFonts w:hint="eastAsia"/>
                      <w:color w:val="auto"/>
                      <w:highlight w:val="none"/>
                    </w:rPr>
                    <w:t>1台</w:t>
                  </w:r>
                </w:p>
              </w:tc>
            </w:tr>
            <w:tr w14:paraId="7E51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4498782E">
                  <w:pPr>
                    <w:pStyle w:val="41"/>
                    <w:rPr>
                      <w:color w:val="auto"/>
                      <w:highlight w:val="none"/>
                    </w:rPr>
                  </w:pPr>
                  <w:r>
                    <w:rPr>
                      <w:color w:val="auto"/>
                      <w:highlight w:val="none"/>
                    </w:rPr>
                    <w:t>13</w:t>
                  </w:r>
                </w:p>
              </w:tc>
              <w:tc>
                <w:tcPr>
                  <w:tcW w:w="1287" w:type="pct"/>
                  <w:shd w:val="clear" w:color="auto" w:fill="auto"/>
                  <w:vAlign w:val="center"/>
                </w:tcPr>
                <w:p w14:paraId="6BA87F90">
                  <w:pPr>
                    <w:pStyle w:val="41"/>
                    <w:rPr>
                      <w:color w:val="auto"/>
                      <w:highlight w:val="none"/>
                    </w:rPr>
                  </w:pPr>
                  <w:r>
                    <w:rPr>
                      <w:color w:val="auto"/>
                      <w:highlight w:val="none"/>
                    </w:rPr>
                    <w:t>综合液压站</w:t>
                  </w:r>
                </w:p>
              </w:tc>
              <w:tc>
                <w:tcPr>
                  <w:tcW w:w="1159" w:type="pct"/>
                  <w:shd w:val="clear" w:color="auto" w:fill="auto"/>
                  <w:vAlign w:val="center"/>
                </w:tcPr>
                <w:p w14:paraId="3A29BFC6">
                  <w:pPr>
                    <w:pStyle w:val="41"/>
                    <w:rPr>
                      <w:color w:val="auto"/>
                      <w:highlight w:val="none"/>
                    </w:rPr>
                  </w:pPr>
                  <w:r>
                    <w:rPr>
                      <w:color w:val="auto"/>
                      <w:highlight w:val="none"/>
                    </w:rPr>
                    <w:t>TDHPU120*2/16-8B-M</w:t>
                  </w:r>
                </w:p>
              </w:tc>
              <w:tc>
                <w:tcPr>
                  <w:tcW w:w="1078" w:type="pct"/>
                  <w:shd w:val="clear" w:color="auto" w:fill="auto"/>
                  <w:vAlign w:val="center"/>
                </w:tcPr>
                <w:p w14:paraId="428BD675">
                  <w:pPr>
                    <w:pStyle w:val="41"/>
                    <w:rPr>
                      <w:color w:val="auto"/>
                      <w:highlight w:val="none"/>
                    </w:rPr>
                  </w:pPr>
                  <w:r>
                    <w:rPr>
                      <w:color w:val="auto"/>
                      <w:highlight w:val="none"/>
                    </w:rPr>
                    <w:t>16MPa</w:t>
                  </w:r>
                </w:p>
              </w:tc>
              <w:tc>
                <w:tcPr>
                  <w:tcW w:w="963" w:type="pct"/>
                  <w:shd w:val="clear" w:color="auto" w:fill="auto"/>
                  <w:vAlign w:val="center"/>
                </w:tcPr>
                <w:p w14:paraId="20736B7B">
                  <w:pPr>
                    <w:pStyle w:val="41"/>
                    <w:rPr>
                      <w:color w:val="auto"/>
                      <w:highlight w:val="none"/>
                    </w:rPr>
                  </w:pPr>
                  <w:r>
                    <w:rPr>
                      <w:rFonts w:hint="eastAsia"/>
                      <w:color w:val="auto"/>
                      <w:highlight w:val="none"/>
                    </w:rPr>
                    <w:t>1台</w:t>
                  </w:r>
                </w:p>
              </w:tc>
            </w:tr>
            <w:tr w14:paraId="502E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511" w:type="pct"/>
                  <w:vAlign w:val="center"/>
                </w:tcPr>
                <w:p w14:paraId="5FF850EA">
                  <w:pPr>
                    <w:pStyle w:val="41"/>
                    <w:rPr>
                      <w:color w:val="auto"/>
                      <w:highlight w:val="none"/>
                    </w:rPr>
                  </w:pPr>
                  <w:r>
                    <w:rPr>
                      <w:color w:val="auto"/>
                      <w:highlight w:val="none"/>
                    </w:rPr>
                    <w:t>14</w:t>
                  </w:r>
                </w:p>
              </w:tc>
              <w:tc>
                <w:tcPr>
                  <w:tcW w:w="1287" w:type="pct"/>
                  <w:shd w:val="clear" w:color="auto" w:fill="auto"/>
                  <w:vAlign w:val="center"/>
                </w:tcPr>
                <w:p w14:paraId="1984F188">
                  <w:pPr>
                    <w:pStyle w:val="41"/>
                    <w:rPr>
                      <w:color w:val="auto"/>
                      <w:highlight w:val="none"/>
                    </w:rPr>
                  </w:pPr>
                  <w:r>
                    <w:rPr>
                      <w:color w:val="auto"/>
                      <w:highlight w:val="none"/>
                    </w:rPr>
                    <w:t>司钻房</w:t>
                  </w:r>
                </w:p>
              </w:tc>
              <w:tc>
                <w:tcPr>
                  <w:tcW w:w="1159" w:type="pct"/>
                  <w:shd w:val="clear" w:color="auto" w:fill="auto"/>
                  <w:vAlign w:val="center"/>
                </w:tcPr>
                <w:p w14:paraId="461681A3">
                  <w:pPr>
                    <w:pStyle w:val="41"/>
                    <w:rPr>
                      <w:color w:val="auto"/>
                      <w:highlight w:val="none"/>
                    </w:rPr>
                  </w:pPr>
                  <w:r>
                    <w:rPr>
                      <w:color w:val="auto"/>
                      <w:highlight w:val="none"/>
                    </w:rPr>
                    <w:t>SZF-ZJ80D</w:t>
                  </w:r>
                </w:p>
              </w:tc>
              <w:tc>
                <w:tcPr>
                  <w:tcW w:w="1078" w:type="pct"/>
                  <w:shd w:val="clear" w:color="auto" w:fill="auto"/>
                  <w:vAlign w:val="center"/>
                </w:tcPr>
                <w:p w14:paraId="1CEC34D7">
                  <w:pPr>
                    <w:pStyle w:val="41"/>
                    <w:rPr>
                      <w:color w:val="auto"/>
                      <w:highlight w:val="none"/>
                    </w:rPr>
                  </w:pPr>
                  <w:r>
                    <w:rPr>
                      <w:color w:val="auto"/>
                      <w:highlight w:val="none"/>
                    </w:rPr>
                    <w:t>3500kg</w:t>
                  </w:r>
                </w:p>
              </w:tc>
              <w:tc>
                <w:tcPr>
                  <w:tcW w:w="963" w:type="pct"/>
                  <w:shd w:val="clear" w:color="auto" w:fill="auto"/>
                  <w:vAlign w:val="center"/>
                </w:tcPr>
                <w:p w14:paraId="59D3B451">
                  <w:pPr>
                    <w:pStyle w:val="41"/>
                    <w:rPr>
                      <w:color w:val="auto"/>
                      <w:highlight w:val="none"/>
                    </w:rPr>
                  </w:pPr>
                  <w:r>
                    <w:rPr>
                      <w:rFonts w:hint="eastAsia"/>
                      <w:color w:val="auto"/>
                      <w:highlight w:val="none"/>
                    </w:rPr>
                    <w:t>1栋</w:t>
                  </w:r>
                </w:p>
              </w:tc>
            </w:tr>
            <w:tr w14:paraId="72ED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1D84964A">
                  <w:pPr>
                    <w:pStyle w:val="41"/>
                    <w:rPr>
                      <w:color w:val="auto"/>
                      <w:highlight w:val="none"/>
                    </w:rPr>
                  </w:pPr>
                  <w:r>
                    <w:rPr>
                      <w:color w:val="auto"/>
                      <w:highlight w:val="none"/>
                    </w:rPr>
                    <w:t>15</w:t>
                  </w:r>
                </w:p>
              </w:tc>
              <w:tc>
                <w:tcPr>
                  <w:tcW w:w="1287" w:type="pct"/>
                  <w:shd w:val="clear" w:color="auto" w:fill="auto"/>
                  <w:vAlign w:val="center"/>
                </w:tcPr>
                <w:p w14:paraId="63120CC4">
                  <w:pPr>
                    <w:pStyle w:val="41"/>
                    <w:rPr>
                      <w:color w:val="auto"/>
                      <w:highlight w:val="none"/>
                    </w:rPr>
                  </w:pPr>
                  <w:r>
                    <w:rPr>
                      <w:color w:val="auto"/>
                      <w:highlight w:val="none"/>
                    </w:rPr>
                    <w:t>液压旋转猫头</w:t>
                  </w:r>
                </w:p>
              </w:tc>
              <w:tc>
                <w:tcPr>
                  <w:tcW w:w="1159" w:type="pct"/>
                  <w:shd w:val="clear" w:color="auto" w:fill="auto"/>
                  <w:vAlign w:val="center"/>
                </w:tcPr>
                <w:p w14:paraId="26A1BBC6">
                  <w:pPr>
                    <w:pStyle w:val="41"/>
                    <w:rPr>
                      <w:color w:val="auto"/>
                      <w:highlight w:val="none"/>
                    </w:rPr>
                  </w:pPr>
                  <w:r>
                    <w:rPr>
                      <w:color w:val="auto"/>
                      <w:highlight w:val="none"/>
                    </w:rPr>
                    <w:t>YXM-16</w:t>
                  </w:r>
                </w:p>
              </w:tc>
              <w:tc>
                <w:tcPr>
                  <w:tcW w:w="1078" w:type="pct"/>
                  <w:shd w:val="clear" w:color="auto" w:fill="auto"/>
                  <w:vAlign w:val="center"/>
                </w:tcPr>
                <w:p w14:paraId="50C5F185">
                  <w:pPr>
                    <w:pStyle w:val="41"/>
                    <w:rPr>
                      <w:color w:val="auto"/>
                      <w:highlight w:val="none"/>
                    </w:rPr>
                  </w:pPr>
                  <w:r>
                    <w:rPr>
                      <w:color w:val="auto"/>
                      <w:highlight w:val="none"/>
                    </w:rPr>
                    <w:t>16000kN</w:t>
                  </w:r>
                </w:p>
              </w:tc>
              <w:tc>
                <w:tcPr>
                  <w:tcW w:w="963" w:type="pct"/>
                  <w:shd w:val="clear" w:color="auto" w:fill="auto"/>
                  <w:vAlign w:val="center"/>
                </w:tcPr>
                <w:p w14:paraId="532DBD6B">
                  <w:pPr>
                    <w:pStyle w:val="41"/>
                    <w:rPr>
                      <w:color w:val="auto"/>
                      <w:highlight w:val="none"/>
                    </w:rPr>
                  </w:pPr>
                  <w:r>
                    <w:rPr>
                      <w:rFonts w:hint="eastAsia"/>
                      <w:color w:val="auto"/>
                      <w:highlight w:val="none"/>
                    </w:rPr>
                    <w:t>2台</w:t>
                  </w:r>
                </w:p>
              </w:tc>
            </w:tr>
            <w:tr w14:paraId="491F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48B60B3F">
                  <w:pPr>
                    <w:pStyle w:val="41"/>
                    <w:rPr>
                      <w:color w:val="auto"/>
                      <w:highlight w:val="none"/>
                    </w:rPr>
                  </w:pPr>
                  <w:r>
                    <w:rPr>
                      <w:color w:val="auto"/>
                      <w:highlight w:val="none"/>
                    </w:rPr>
                    <w:t>16</w:t>
                  </w:r>
                </w:p>
              </w:tc>
              <w:tc>
                <w:tcPr>
                  <w:tcW w:w="1287" w:type="pct"/>
                  <w:shd w:val="clear" w:color="auto" w:fill="auto"/>
                  <w:vAlign w:val="center"/>
                </w:tcPr>
                <w:p w14:paraId="48FFF3D2">
                  <w:pPr>
                    <w:pStyle w:val="41"/>
                    <w:rPr>
                      <w:color w:val="auto"/>
                      <w:highlight w:val="none"/>
                    </w:rPr>
                  </w:pPr>
                  <w:r>
                    <w:rPr>
                      <w:color w:val="auto"/>
                      <w:highlight w:val="none"/>
                    </w:rPr>
                    <w:t>气动绞车</w:t>
                  </w:r>
                </w:p>
              </w:tc>
              <w:tc>
                <w:tcPr>
                  <w:tcW w:w="1159" w:type="pct"/>
                  <w:shd w:val="clear" w:color="auto" w:fill="auto"/>
                  <w:vAlign w:val="center"/>
                </w:tcPr>
                <w:p w14:paraId="375F3AD8">
                  <w:pPr>
                    <w:pStyle w:val="41"/>
                    <w:rPr>
                      <w:color w:val="auto"/>
                      <w:highlight w:val="none"/>
                    </w:rPr>
                  </w:pPr>
                  <w:r>
                    <w:rPr>
                      <w:color w:val="auto"/>
                      <w:highlight w:val="none"/>
                    </w:rPr>
                    <w:t>XJFH-5/25 KEZP</w:t>
                  </w:r>
                </w:p>
              </w:tc>
              <w:tc>
                <w:tcPr>
                  <w:tcW w:w="1078" w:type="pct"/>
                  <w:shd w:val="clear" w:color="auto" w:fill="auto"/>
                  <w:vAlign w:val="center"/>
                </w:tcPr>
                <w:p w14:paraId="3AE3AC64">
                  <w:pPr>
                    <w:pStyle w:val="41"/>
                    <w:rPr>
                      <w:color w:val="auto"/>
                      <w:highlight w:val="none"/>
                    </w:rPr>
                  </w:pPr>
                  <w:r>
                    <w:rPr>
                      <w:color w:val="auto"/>
                      <w:highlight w:val="none"/>
                    </w:rPr>
                    <w:t>50kN</w:t>
                  </w:r>
                </w:p>
              </w:tc>
              <w:tc>
                <w:tcPr>
                  <w:tcW w:w="963" w:type="pct"/>
                  <w:vAlign w:val="center"/>
                </w:tcPr>
                <w:p w14:paraId="6305CF1E">
                  <w:pPr>
                    <w:pStyle w:val="41"/>
                    <w:rPr>
                      <w:color w:val="auto"/>
                      <w:highlight w:val="none"/>
                    </w:rPr>
                  </w:pPr>
                  <w:r>
                    <w:rPr>
                      <w:rFonts w:hint="eastAsia"/>
                      <w:color w:val="auto"/>
                      <w:highlight w:val="none"/>
                    </w:rPr>
                    <w:t>2台</w:t>
                  </w:r>
                </w:p>
              </w:tc>
            </w:tr>
            <w:tr w14:paraId="28C2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7983388F">
                  <w:pPr>
                    <w:pStyle w:val="41"/>
                    <w:rPr>
                      <w:color w:val="auto"/>
                      <w:highlight w:val="none"/>
                    </w:rPr>
                  </w:pPr>
                  <w:r>
                    <w:rPr>
                      <w:color w:val="auto"/>
                      <w:highlight w:val="none"/>
                    </w:rPr>
                    <w:t>17</w:t>
                  </w:r>
                </w:p>
              </w:tc>
              <w:tc>
                <w:tcPr>
                  <w:tcW w:w="1287" w:type="pct"/>
                  <w:shd w:val="clear" w:color="auto" w:fill="auto"/>
                  <w:vAlign w:val="center"/>
                </w:tcPr>
                <w:p w14:paraId="594C2ADA">
                  <w:pPr>
                    <w:pStyle w:val="41"/>
                    <w:rPr>
                      <w:color w:val="auto"/>
                      <w:highlight w:val="none"/>
                    </w:rPr>
                  </w:pPr>
                  <w:r>
                    <w:rPr>
                      <w:color w:val="auto"/>
                      <w:highlight w:val="none"/>
                    </w:rPr>
                    <w:t>防喷器移送装置</w:t>
                  </w:r>
                </w:p>
              </w:tc>
              <w:tc>
                <w:tcPr>
                  <w:tcW w:w="1159" w:type="pct"/>
                  <w:shd w:val="clear" w:color="auto" w:fill="auto"/>
                  <w:vAlign w:val="center"/>
                </w:tcPr>
                <w:p w14:paraId="38FAAC43">
                  <w:pPr>
                    <w:pStyle w:val="41"/>
                    <w:rPr>
                      <w:color w:val="auto"/>
                      <w:highlight w:val="none"/>
                    </w:rPr>
                  </w:pPr>
                  <w:r>
                    <w:rPr>
                      <w:color w:val="auto"/>
                      <w:highlight w:val="none"/>
                    </w:rPr>
                    <w:t>FY-100Y</w:t>
                  </w:r>
                </w:p>
              </w:tc>
              <w:tc>
                <w:tcPr>
                  <w:tcW w:w="1078" w:type="pct"/>
                  <w:shd w:val="clear" w:color="auto" w:fill="auto"/>
                  <w:vAlign w:val="center"/>
                </w:tcPr>
                <w:p w14:paraId="3BEF601B">
                  <w:pPr>
                    <w:pStyle w:val="41"/>
                    <w:rPr>
                      <w:color w:val="auto"/>
                      <w:highlight w:val="none"/>
                    </w:rPr>
                  </w:pPr>
                  <w:r>
                    <w:rPr>
                      <w:color w:val="auto"/>
                      <w:highlight w:val="none"/>
                    </w:rPr>
                    <w:t>2×500=1000（kN）</w:t>
                  </w:r>
                </w:p>
              </w:tc>
              <w:tc>
                <w:tcPr>
                  <w:tcW w:w="963" w:type="pct"/>
                  <w:vAlign w:val="center"/>
                </w:tcPr>
                <w:p w14:paraId="5797842B">
                  <w:pPr>
                    <w:pStyle w:val="41"/>
                    <w:rPr>
                      <w:color w:val="auto"/>
                      <w:highlight w:val="none"/>
                    </w:rPr>
                  </w:pPr>
                  <w:r>
                    <w:rPr>
                      <w:rFonts w:hint="eastAsia"/>
                      <w:color w:val="auto"/>
                      <w:highlight w:val="none"/>
                    </w:rPr>
                    <w:t>1台</w:t>
                  </w:r>
                </w:p>
              </w:tc>
            </w:tr>
            <w:tr w14:paraId="7292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5366D423">
                  <w:pPr>
                    <w:pStyle w:val="41"/>
                    <w:rPr>
                      <w:color w:val="auto"/>
                      <w:highlight w:val="none"/>
                    </w:rPr>
                  </w:pPr>
                  <w:r>
                    <w:rPr>
                      <w:color w:val="auto"/>
                      <w:highlight w:val="none"/>
                    </w:rPr>
                    <w:t>18</w:t>
                  </w:r>
                </w:p>
              </w:tc>
              <w:tc>
                <w:tcPr>
                  <w:tcW w:w="1287" w:type="pct"/>
                  <w:shd w:val="clear" w:color="auto" w:fill="auto"/>
                  <w:vAlign w:val="center"/>
                </w:tcPr>
                <w:p w14:paraId="0C804F8F">
                  <w:pPr>
                    <w:pStyle w:val="41"/>
                    <w:rPr>
                      <w:color w:val="auto"/>
                      <w:highlight w:val="none"/>
                    </w:rPr>
                  </w:pPr>
                  <w:r>
                    <w:rPr>
                      <w:color w:val="auto"/>
                      <w:highlight w:val="none"/>
                    </w:rPr>
                    <w:t>绞车</w:t>
                  </w:r>
                </w:p>
              </w:tc>
              <w:tc>
                <w:tcPr>
                  <w:tcW w:w="1159" w:type="pct"/>
                  <w:shd w:val="clear" w:color="auto" w:fill="auto"/>
                  <w:vAlign w:val="center"/>
                </w:tcPr>
                <w:p w14:paraId="3532AAD0">
                  <w:pPr>
                    <w:pStyle w:val="41"/>
                    <w:rPr>
                      <w:color w:val="auto"/>
                      <w:highlight w:val="none"/>
                    </w:rPr>
                  </w:pPr>
                  <w:r>
                    <w:rPr>
                      <w:color w:val="auto"/>
                      <w:highlight w:val="none"/>
                    </w:rPr>
                    <w:t>JC80D</w:t>
                  </w:r>
                </w:p>
              </w:tc>
              <w:tc>
                <w:tcPr>
                  <w:tcW w:w="1078" w:type="pct"/>
                  <w:shd w:val="clear" w:color="auto" w:fill="auto"/>
                  <w:vAlign w:val="center"/>
                </w:tcPr>
                <w:p w14:paraId="482F18BF">
                  <w:pPr>
                    <w:pStyle w:val="41"/>
                    <w:rPr>
                      <w:color w:val="auto"/>
                      <w:highlight w:val="none"/>
                    </w:rPr>
                  </w:pPr>
                  <w:r>
                    <w:rPr>
                      <w:color w:val="auto"/>
                      <w:highlight w:val="none"/>
                    </w:rPr>
                    <w:t>2210kW</w:t>
                  </w:r>
                </w:p>
              </w:tc>
              <w:tc>
                <w:tcPr>
                  <w:tcW w:w="963" w:type="pct"/>
                  <w:vAlign w:val="center"/>
                </w:tcPr>
                <w:p w14:paraId="12FF8749">
                  <w:pPr>
                    <w:pStyle w:val="41"/>
                    <w:rPr>
                      <w:color w:val="auto"/>
                      <w:highlight w:val="none"/>
                    </w:rPr>
                  </w:pPr>
                  <w:r>
                    <w:rPr>
                      <w:rFonts w:hint="eastAsia"/>
                      <w:color w:val="auto"/>
                      <w:highlight w:val="none"/>
                    </w:rPr>
                    <w:t>1台</w:t>
                  </w:r>
                </w:p>
              </w:tc>
            </w:tr>
            <w:tr w14:paraId="011D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7C63E97E">
                  <w:pPr>
                    <w:pStyle w:val="41"/>
                    <w:rPr>
                      <w:color w:val="auto"/>
                      <w:highlight w:val="none"/>
                    </w:rPr>
                  </w:pPr>
                  <w:r>
                    <w:rPr>
                      <w:color w:val="auto"/>
                      <w:highlight w:val="none"/>
                    </w:rPr>
                    <w:t>19</w:t>
                  </w:r>
                </w:p>
              </w:tc>
              <w:tc>
                <w:tcPr>
                  <w:tcW w:w="1287" w:type="pct"/>
                  <w:shd w:val="clear" w:color="auto" w:fill="auto"/>
                  <w:vAlign w:val="center"/>
                </w:tcPr>
                <w:p w14:paraId="7D87E7FF">
                  <w:pPr>
                    <w:pStyle w:val="41"/>
                    <w:rPr>
                      <w:color w:val="auto"/>
                      <w:highlight w:val="none"/>
                    </w:rPr>
                  </w:pPr>
                  <w:r>
                    <w:rPr>
                      <w:color w:val="auto"/>
                      <w:highlight w:val="none"/>
                    </w:rPr>
                    <w:t>电磁刹车</w:t>
                  </w:r>
                </w:p>
              </w:tc>
              <w:tc>
                <w:tcPr>
                  <w:tcW w:w="1159" w:type="pct"/>
                  <w:shd w:val="clear" w:color="auto" w:fill="auto"/>
                  <w:vAlign w:val="center"/>
                </w:tcPr>
                <w:p w14:paraId="68F2AA08">
                  <w:pPr>
                    <w:pStyle w:val="41"/>
                    <w:rPr>
                      <w:color w:val="auto"/>
                      <w:highlight w:val="none"/>
                    </w:rPr>
                  </w:pPr>
                  <w:r>
                    <w:rPr>
                      <w:color w:val="auto"/>
                      <w:highlight w:val="none"/>
                    </w:rPr>
                    <w:t>DWS80</w:t>
                  </w:r>
                </w:p>
              </w:tc>
              <w:tc>
                <w:tcPr>
                  <w:tcW w:w="1078" w:type="pct"/>
                  <w:shd w:val="clear" w:color="auto" w:fill="auto"/>
                  <w:vAlign w:val="center"/>
                </w:tcPr>
                <w:p w14:paraId="39F492B4">
                  <w:pPr>
                    <w:pStyle w:val="41"/>
                    <w:rPr>
                      <w:color w:val="auto"/>
                      <w:highlight w:val="none"/>
                    </w:rPr>
                  </w:pPr>
                  <w:r>
                    <w:rPr>
                      <w:color w:val="auto"/>
                      <w:highlight w:val="none"/>
                    </w:rPr>
                    <w:t>8000m</w:t>
                  </w:r>
                </w:p>
              </w:tc>
              <w:tc>
                <w:tcPr>
                  <w:tcW w:w="963" w:type="pct"/>
                  <w:shd w:val="clear" w:color="auto" w:fill="auto"/>
                  <w:vAlign w:val="center"/>
                </w:tcPr>
                <w:p w14:paraId="361300BC">
                  <w:pPr>
                    <w:pStyle w:val="41"/>
                    <w:rPr>
                      <w:color w:val="auto"/>
                      <w:highlight w:val="none"/>
                    </w:rPr>
                  </w:pPr>
                  <w:r>
                    <w:rPr>
                      <w:rFonts w:hint="eastAsia"/>
                      <w:color w:val="auto"/>
                      <w:highlight w:val="none"/>
                    </w:rPr>
                    <w:t>1台</w:t>
                  </w:r>
                </w:p>
              </w:tc>
            </w:tr>
            <w:tr w14:paraId="0745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7D83A72F">
                  <w:pPr>
                    <w:pStyle w:val="41"/>
                    <w:rPr>
                      <w:color w:val="auto"/>
                      <w:highlight w:val="none"/>
                    </w:rPr>
                  </w:pPr>
                  <w:r>
                    <w:rPr>
                      <w:color w:val="auto"/>
                      <w:highlight w:val="none"/>
                    </w:rPr>
                    <w:t>20</w:t>
                  </w:r>
                </w:p>
              </w:tc>
              <w:tc>
                <w:tcPr>
                  <w:tcW w:w="1287" w:type="pct"/>
                  <w:shd w:val="clear" w:color="auto" w:fill="auto"/>
                  <w:vAlign w:val="center"/>
                </w:tcPr>
                <w:p w14:paraId="7B2AF9CF">
                  <w:pPr>
                    <w:pStyle w:val="41"/>
                    <w:rPr>
                      <w:color w:val="auto"/>
                      <w:highlight w:val="none"/>
                    </w:rPr>
                  </w:pPr>
                  <w:r>
                    <w:rPr>
                      <w:color w:val="auto"/>
                      <w:highlight w:val="none"/>
                    </w:rPr>
                    <w:t>四联振动筛</w:t>
                  </w:r>
                </w:p>
              </w:tc>
              <w:tc>
                <w:tcPr>
                  <w:tcW w:w="1159" w:type="pct"/>
                  <w:shd w:val="clear" w:color="auto" w:fill="auto"/>
                  <w:vAlign w:val="center"/>
                </w:tcPr>
                <w:p w14:paraId="208FAF1F">
                  <w:pPr>
                    <w:pStyle w:val="41"/>
                    <w:rPr>
                      <w:color w:val="auto"/>
                      <w:highlight w:val="none"/>
                    </w:rPr>
                  </w:pPr>
                  <w:r>
                    <w:rPr>
                      <w:color w:val="auto"/>
                      <w:highlight w:val="none"/>
                    </w:rPr>
                    <w:t>RSD/PS20</w:t>
                  </w:r>
                </w:p>
              </w:tc>
              <w:tc>
                <w:tcPr>
                  <w:tcW w:w="1078" w:type="pct"/>
                  <w:shd w:val="clear" w:color="auto" w:fill="auto"/>
                  <w:vAlign w:val="center"/>
                </w:tcPr>
                <w:p w14:paraId="08437DE9">
                  <w:pPr>
                    <w:pStyle w:val="41"/>
                    <w:rPr>
                      <w:color w:val="auto"/>
                      <w:highlight w:val="none"/>
                    </w:rPr>
                  </w:pPr>
                  <w:r>
                    <w:rPr>
                      <w:color w:val="auto"/>
                      <w:highlight w:val="none"/>
                    </w:rPr>
                    <w:t>（60-65）L/s</w:t>
                  </w:r>
                </w:p>
              </w:tc>
              <w:tc>
                <w:tcPr>
                  <w:tcW w:w="963" w:type="pct"/>
                  <w:shd w:val="clear" w:color="auto" w:fill="auto"/>
                  <w:vAlign w:val="center"/>
                </w:tcPr>
                <w:p w14:paraId="0032416E">
                  <w:pPr>
                    <w:pStyle w:val="41"/>
                    <w:rPr>
                      <w:color w:val="auto"/>
                      <w:highlight w:val="none"/>
                    </w:rPr>
                  </w:pPr>
                  <w:r>
                    <w:rPr>
                      <w:rFonts w:hint="eastAsia"/>
                      <w:color w:val="auto"/>
                      <w:highlight w:val="none"/>
                    </w:rPr>
                    <w:t>1台</w:t>
                  </w:r>
                </w:p>
              </w:tc>
            </w:tr>
            <w:tr w14:paraId="7A80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6BF63052">
                  <w:pPr>
                    <w:pStyle w:val="41"/>
                    <w:rPr>
                      <w:color w:val="auto"/>
                      <w:highlight w:val="none"/>
                    </w:rPr>
                  </w:pPr>
                  <w:r>
                    <w:rPr>
                      <w:color w:val="auto"/>
                      <w:highlight w:val="none"/>
                    </w:rPr>
                    <w:t>21</w:t>
                  </w:r>
                </w:p>
              </w:tc>
              <w:tc>
                <w:tcPr>
                  <w:tcW w:w="1287" w:type="pct"/>
                  <w:shd w:val="clear" w:color="auto" w:fill="auto"/>
                  <w:vAlign w:val="center"/>
                </w:tcPr>
                <w:p w14:paraId="59ADC638">
                  <w:pPr>
                    <w:pStyle w:val="41"/>
                    <w:rPr>
                      <w:color w:val="auto"/>
                      <w:highlight w:val="none"/>
                    </w:rPr>
                  </w:pPr>
                  <w:r>
                    <w:rPr>
                      <w:color w:val="auto"/>
                      <w:highlight w:val="none"/>
                    </w:rPr>
                    <w:t>除砂器</w:t>
                  </w:r>
                </w:p>
              </w:tc>
              <w:tc>
                <w:tcPr>
                  <w:tcW w:w="1159" w:type="pct"/>
                  <w:shd w:val="clear" w:color="auto" w:fill="auto"/>
                  <w:vAlign w:val="center"/>
                </w:tcPr>
                <w:p w14:paraId="6E0DBF69">
                  <w:pPr>
                    <w:pStyle w:val="41"/>
                    <w:rPr>
                      <w:color w:val="auto"/>
                      <w:highlight w:val="none"/>
                    </w:rPr>
                  </w:pPr>
                  <w:r>
                    <w:rPr>
                      <w:color w:val="auto"/>
                      <w:highlight w:val="none"/>
                    </w:rPr>
                    <w:t>ZQJ300*2</w:t>
                  </w:r>
                </w:p>
              </w:tc>
              <w:tc>
                <w:tcPr>
                  <w:tcW w:w="1078" w:type="pct"/>
                  <w:shd w:val="clear" w:color="auto" w:fill="auto"/>
                  <w:vAlign w:val="center"/>
                </w:tcPr>
                <w:p w14:paraId="04328F46">
                  <w:pPr>
                    <w:pStyle w:val="41"/>
                    <w:rPr>
                      <w:color w:val="auto"/>
                      <w:highlight w:val="none"/>
                    </w:rPr>
                  </w:pPr>
                  <w:r>
                    <w:rPr>
                      <w:color w:val="auto"/>
                      <w:highlight w:val="none"/>
                    </w:rPr>
                    <w:t>240m</w:t>
                  </w:r>
                  <w:r>
                    <w:rPr>
                      <w:color w:val="auto"/>
                      <w:highlight w:val="none"/>
                      <w:vertAlign w:val="superscript"/>
                    </w:rPr>
                    <w:t>3</w:t>
                  </w:r>
                  <w:r>
                    <w:rPr>
                      <w:color w:val="auto"/>
                      <w:highlight w:val="none"/>
                    </w:rPr>
                    <w:t>/h</w:t>
                  </w:r>
                </w:p>
              </w:tc>
              <w:tc>
                <w:tcPr>
                  <w:tcW w:w="963" w:type="pct"/>
                  <w:shd w:val="clear" w:color="auto" w:fill="auto"/>
                  <w:vAlign w:val="center"/>
                </w:tcPr>
                <w:p w14:paraId="1249028A">
                  <w:pPr>
                    <w:pStyle w:val="41"/>
                    <w:rPr>
                      <w:color w:val="auto"/>
                      <w:highlight w:val="none"/>
                    </w:rPr>
                  </w:pPr>
                  <w:r>
                    <w:rPr>
                      <w:rFonts w:hint="eastAsia"/>
                      <w:color w:val="auto"/>
                      <w:highlight w:val="none"/>
                    </w:rPr>
                    <w:t>1台</w:t>
                  </w:r>
                </w:p>
              </w:tc>
            </w:tr>
            <w:tr w14:paraId="692A8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0B5758AF">
                  <w:pPr>
                    <w:pStyle w:val="41"/>
                    <w:rPr>
                      <w:color w:val="auto"/>
                      <w:highlight w:val="none"/>
                    </w:rPr>
                  </w:pPr>
                  <w:r>
                    <w:rPr>
                      <w:color w:val="auto"/>
                      <w:highlight w:val="none"/>
                    </w:rPr>
                    <w:t>22</w:t>
                  </w:r>
                </w:p>
              </w:tc>
              <w:tc>
                <w:tcPr>
                  <w:tcW w:w="1287" w:type="pct"/>
                  <w:shd w:val="clear" w:color="auto" w:fill="auto"/>
                  <w:vAlign w:val="center"/>
                </w:tcPr>
                <w:p w14:paraId="43C4733D">
                  <w:pPr>
                    <w:pStyle w:val="41"/>
                    <w:rPr>
                      <w:color w:val="auto"/>
                      <w:highlight w:val="none"/>
                    </w:rPr>
                  </w:pPr>
                  <w:r>
                    <w:rPr>
                      <w:color w:val="auto"/>
                      <w:highlight w:val="none"/>
                    </w:rPr>
                    <w:t>除泥器</w:t>
                  </w:r>
                </w:p>
              </w:tc>
              <w:tc>
                <w:tcPr>
                  <w:tcW w:w="1159" w:type="pct"/>
                  <w:shd w:val="clear" w:color="auto" w:fill="auto"/>
                  <w:vAlign w:val="center"/>
                </w:tcPr>
                <w:p w14:paraId="7516EF77">
                  <w:pPr>
                    <w:pStyle w:val="41"/>
                    <w:rPr>
                      <w:color w:val="auto"/>
                      <w:highlight w:val="none"/>
                    </w:rPr>
                  </w:pPr>
                  <w:r>
                    <w:rPr>
                      <w:color w:val="auto"/>
                      <w:highlight w:val="none"/>
                    </w:rPr>
                    <w:t>RSD/NPC202-A</w:t>
                  </w:r>
                </w:p>
              </w:tc>
              <w:tc>
                <w:tcPr>
                  <w:tcW w:w="1078" w:type="pct"/>
                  <w:shd w:val="clear" w:color="auto" w:fill="auto"/>
                  <w:vAlign w:val="center"/>
                </w:tcPr>
                <w:p w14:paraId="1F4E44DA">
                  <w:pPr>
                    <w:pStyle w:val="41"/>
                    <w:rPr>
                      <w:color w:val="auto"/>
                      <w:highlight w:val="none"/>
                    </w:rPr>
                  </w:pPr>
                  <w:r>
                    <w:rPr>
                      <w:color w:val="auto"/>
                      <w:highlight w:val="none"/>
                    </w:rPr>
                    <w:t>（180-216）m</w:t>
                  </w:r>
                  <w:r>
                    <w:rPr>
                      <w:color w:val="auto"/>
                      <w:highlight w:val="none"/>
                      <w:vertAlign w:val="superscript"/>
                    </w:rPr>
                    <w:t>3</w:t>
                  </w:r>
                  <w:r>
                    <w:rPr>
                      <w:color w:val="auto"/>
                      <w:highlight w:val="none"/>
                    </w:rPr>
                    <w:t>/h</w:t>
                  </w:r>
                </w:p>
              </w:tc>
              <w:tc>
                <w:tcPr>
                  <w:tcW w:w="963" w:type="pct"/>
                  <w:shd w:val="clear" w:color="auto" w:fill="auto"/>
                  <w:vAlign w:val="center"/>
                </w:tcPr>
                <w:p w14:paraId="5F0FB718">
                  <w:pPr>
                    <w:pStyle w:val="41"/>
                    <w:rPr>
                      <w:color w:val="auto"/>
                      <w:highlight w:val="none"/>
                    </w:rPr>
                  </w:pPr>
                  <w:r>
                    <w:rPr>
                      <w:rFonts w:hint="eastAsia"/>
                      <w:color w:val="auto"/>
                      <w:highlight w:val="none"/>
                    </w:rPr>
                    <w:t>1台</w:t>
                  </w:r>
                </w:p>
              </w:tc>
            </w:tr>
            <w:tr w14:paraId="717B9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61847DD8">
                  <w:pPr>
                    <w:pStyle w:val="41"/>
                    <w:rPr>
                      <w:color w:val="auto"/>
                      <w:highlight w:val="none"/>
                    </w:rPr>
                  </w:pPr>
                  <w:r>
                    <w:rPr>
                      <w:color w:val="auto"/>
                      <w:highlight w:val="none"/>
                    </w:rPr>
                    <w:t>23</w:t>
                  </w:r>
                </w:p>
              </w:tc>
              <w:tc>
                <w:tcPr>
                  <w:tcW w:w="1287" w:type="pct"/>
                  <w:shd w:val="clear" w:color="auto" w:fill="auto"/>
                  <w:vAlign w:val="center"/>
                </w:tcPr>
                <w:p w14:paraId="0CF8ED0F">
                  <w:pPr>
                    <w:pStyle w:val="41"/>
                    <w:rPr>
                      <w:color w:val="auto"/>
                      <w:highlight w:val="none"/>
                    </w:rPr>
                  </w:pPr>
                  <w:r>
                    <w:rPr>
                      <w:color w:val="auto"/>
                      <w:highlight w:val="none"/>
                    </w:rPr>
                    <w:t>真空除气器</w:t>
                  </w:r>
                </w:p>
              </w:tc>
              <w:tc>
                <w:tcPr>
                  <w:tcW w:w="1159" w:type="pct"/>
                  <w:shd w:val="clear" w:color="auto" w:fill="auto"/>
                  <w:vAlign w:val="center"/>
                </w:tcPr>
                <w:p w14:paraId="4217E904">
                  <w:pPr>
                    <w:pStyle w:val="41"/>
                    <w:rPr>
                      <w:color w:val="auto"/>
                      <w:highlight w:val="none"/>
                    </w:rPr>
                  </w:pPr>
                  <w:r>
                    <w:rPr>
                      <w:color w:val="auto"/>
                      <w:highlight w:val="none"/>
                    </w:rPr>
                    <w:t>ZCQ240</w:t>
                  </w:r>
                </w:p>
              </w:tc>
              <w:tc>
                <w:tcPr>
                  <w:tcW w:w="1078" w:type="pct"/>
                  <w:shd w:val="clear" w:color="auto" w:fill="auto"/>
                  <w:vAlign w:val="center"/>
                </w:tcPr>
                <w:p w14:paraId="04F30095">
                  <w:pPr>
                    <w:pStyle w:val="41"/>
                    <w:rPr>
                      <w:color w:val="auto"/>
                      <w:highlight w:val="none"/>
                    </w:rPr>
                  </w:pPr>
                  <w:r>
                    <w:rPr>
                      <w:color w:val="auto"/>
                      <w:highlight w:val="none"/>
                    </w:rPr>
                    <w:t>240m</w:t>
                  </w:r>
                  <w:r>
                    <w:rPr>
                      <w:color w:val="auto"/>
                      <w:highlight w:val="none"/>
                      <w:vertAlign w:val="superscript"/>
                    </w:rPr>
                    <w:t>3</w:t>
                  </w:r>
                  <w:r>
                    <w:rPr>
                      <w:color w:val="auto"/>
                      <w:highlight w:val="none"/>
                    </w:rPr>
                    <w:t>/h</w:t>
                  </w:r>
                </w:p>
              </w:tc>
              <w:tc>
                <w:tcPr>
                  <w:tcW w:w="963" w:type="pct"/>
                  <w:shd w:val="clear" w:color="auto" w:fill="auto"/>
                  <w:vAlign w:val="center"/>
                </w:tcPr>
                <w:p w14:paraId="72674B34">
                  <w:pPr>
                    <w:pStyle w:val="41"/>
                    <w:rPr>
                      <w:color w:val="auto"/>
                      <w:highlight w:val="none"/>
                    </w:rPr>
                  </w:pPr>
                  <w:r>
                    <w:rPr>
                      <w:rFonts w:hint="eastAsia"/>
                      <w:color w:val="auto"/>
                      <w:highlight w:val="none"/>
                    </w:rPr>
                    <w:t>1台</w:t>
                  </w:r>
                </w:p>
              </w:tc>
            </w:tr>
            <w:tr w14:paraId="20C9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1D2117A7">
                  <w:pPr>
                    <w:pStyle w:val="41"/>
                    <w:rPr>
                      <w:color w:val="auto"/>
                      <w:highlight w:val="none"/>
                    </w:rPr>
                  </w:pPr>
                  <w:r>
                    <w:rPr>
                      <w:color w:val="auto"/>
                      <w:highlight w:val="none"/>
                    </w:rPr>
                    <w:t>24</w:t>
                  </w:r>
                </w:p>
              </w:tc>
              <w:tc>
                <w:tcPr>
                  <w:tcW w:w="1287" w:type="pct"/>
                  <w:shd w:val="clear" w:color="auto" w:fill="auto"/>
                  <w:vAlign w:val="center"/>
                </w:tcPr>
                <w:p w14:paraId="12EAEA71">
                  <w:pPr>
                    <w:pStyle w:val="41"/>
                    <w:rPr>
                      <w:color w:val="auto"/>
                      <w:highlight w:val="none"/>
                    </w:rPr>
                  </w:pPr>
                  <w:r>
                    <w:rPr>
                      <w:color w:val="auto"/>
                      <w:highlight w:val="none"/>
                    </w:rPr>
                    <w:t>离心机</w:t>
                  </w:r>
                </w:p>
              </w:tc>
              <w:tc>
                <w:tcPr>
                  <w:tcW w:w="1159" w:type="pct"/>
                  <w:shd w:val="clear" w:color="auto" w:fill="auto"/>
                  <w:vAlign w:val="center"/>
                </w:tcPr>
                <w:p w14:paraId="1FF3696D">
                  <w:pPr>
                    <w:pStyle w:val="41"/>
                    <w:rPr>
                      <w:color w:val="auto"/>
                      <w:highlight w:val="none"/>
                    </w:rPr>
                  </w:pPr>
                  <w:r>
                    <w:rPr>
                      <w:color w:val="auto"/>
                      <w:highlight w:val="none"/>
                    </w:rPr>
                    <w:t>LW500-NY</w:t>
                  </w:r>
                </w:p>
              </w:tc>
              <w:tc>
                <w:tcPr>
                  <w:tcW w:w="1078" w:type="pct"/>
                  <w:shd w:val="clear" w:color="auto" w:fill="auto"/>
                  <w:vAlign w:val="center"/>
                </w:tcPr>
                <w:p w14:paraId="72D02D98">
                  <w:pPr>
                    <w:pStyle w:val="41"/>
                    <w:rPr>
                      <w:color w:val="auto"/>
                      <w:highlight w:val="none"/>
                    </w:rPr>
                  </w:pPr>
                  <w:r>
                    <w:rPr>
                      <w:color w:val="auto"/>
                      <w:highlight w:val="none"/>
                    </w:rPr>
                    <w:t>60m</w:t>
                  </w:r>
                  <w:r>
                    <w:rPr>
                      <w:color w:val="auto"/>
                      <w:highlight w:val="none"/>
                      <w:vertAlign w:val="superscript"/>
                    </w:rPr>
                    <w:t>3</w:t>
                  </w:r>
                  <w:r>
                    <w:rPr>
                      <w:color w:val="auto"/>
                      <w:highlight w:val="none"/>
                    </w:rPr>
                    <w:t>/h</w:t>
                  </w:r>
                </w:p>
              </w:tc>
              <w:tc>
                <w:tcPr>
                  <w:tcW w:w="963" w:type="pct"/>
                  <w:shd w:val="clear" w:color="auto" w:fill="auto"/>
                  <w:vAlign w:val="center"/>
                </w:tcPr>
                <w:p w14:paraId="3419C2C9">
                  <w:pPr>
                    <w:pStyle w:val="41"/>
                    <w:rPr>
                      <w:color w:val="auto"/>
                      <w:highlight w:val="none"/>
                    </w:rPr>
                  </w:pPr>
                  <w:r>
                    <w:rPr>
                      <w:rFonts w:hint="eastAsia"/>
                      <w:color w:val="auto"/>
                      <w:highlight w:val="none"/>
                    </w:rPr>
                    <w:t>1台</w:t>
                  </w:r>
                </w:p>
              </w:tc>
            </w:tr>
            <w:tr w14:paraId="0B966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50C51C66">
                  <w:pPr>
                    <w:pStyle w:val="41"/>
                    <w:rPr>
                      <w:color w:val="auto"/>
                      <w:highlight w:val="none"/>
                    </w:rPr>
                  </w:pPr>
                  <w:r>
                    <w:rPr>
                      <w:color w:val="auto"/>
                      <w:highlight w:val="none"/>
                    </w:rPr>
                    <w:t>25</w:t>
                  </w:r>
                </w:p>
              </w:tc>
              <w:tc>
                <w:tcPr>
                  <w:tcW w:w="1287" w:type="pct"/>
                  <w:shd w:val="clear" w:color="auto" w:fill="auto"/>
                  <w:vAlign w:val="center"/>
                </w:tcPr>
                <w:p w14:paraId="3AA61DA1">
                  <w:pPr>
                    <w:pStyle w:val="41"/>
                    <w:rPr>
                      <w:color w:val="auto"/>
                      <w:highlight w:val="none"/>
                    </w:rPr>
                  </w:pPr>
                  <w:r>
                    <w:rPr>
                      <w:color w:val="auto"/>
                      <w:highlight w:val="none"/>
                    </w:rPr>
                    <w:t>离心机</w:t>
                  </w:r>
                </w:p>
              </w:tc>
              <w:tc>
                <w:tcPr>
                  <w:tcW w:w="1159" w:type="pct"/>
                  <w:shd w:val="clear" w:color="auto" w:fill="auto"/>
                  <w:vAlign w:val="center"/>
                </w:tcPr>
                <w:p w14:paraId="038BB311">
                  <w:pPr>
                    <w:pStyle w:val="41"/>
                    <w:rPr>
                      <w:color w:val="auto"/>
                      <w:highlight w:val="none"/>
                    </w:rPr>
                  </w:pPr>
                  <w:r>
                    <w:rPr>
                      <w:color w:val="auto"/>
                      <w:highlight w:val="none"/>
                    </w:rPr>
                    <w:t>LW600-NY</w:t>
                  </w:r>
                </w:p>
              </w:tc>
              <w:tc>
                <w:tcPr>
                  <w:tcW w:w="1078" w:type="pct"/>
                  <w:shd w:val="clear" w:color="auto" w:fill="auto"/>
                  <w:vAlign w:val="center"/>
                </w:tcPr>
                <w:p w14:paraId="107C7ABE">
                  <w:pPr>
                    <w:pStyle w:val="41"/>
                    <w:rPr>
                      <w:color w:val="auto"/>
                      <w:highlight w:val="none"/>
                    </w:rPr>
                  </w:pPr>
                  <w:r>
                    <w:rPr>
                      <w:color w:val="auto"/>
                      <w:highlight w:val="none"/>
                    </w:rPr>
                    <w:t>80m</w:t>
                  </w:r>
                  <w:r>
                    <w:rPr>
                      <w:color w:val="auto"/>
                      <w:highlight w:val="none"/>
                      <w:vertAlign w:val="superscript"/>
                    </w:rPr>
                    <w:t>3</w:t>
                  </w:r>
                  <w:r>
                    <w:rPr>
                      <w:color w:val="auto"/>
                      <w:highlight w:val="none"/>
                    </w:rPr>
                    <w:t>/h</w:t>
                  </w:r>
                </w:p>
              </w:tc>
              <w:tc>
                <w:tcPr>
                  <w:tcW w:w="963" w:type="pct"/>
                  <w:shd w:val="clear" w:color="auto" w:fill="auto"/>
                  <w:vAlign w:val="center"/>
                </w:tcPr>
                <w:p w14:paraId="45942065">
                  <w:pPr>
                    <w:pStyle w:val="41"/>
                    <w:rPr>
                      <w:color w:val="auto"/>
                      <w:highlight w:val="none"/>
                    </w:rPr>
                  </w:pPr>
                  <w:r>
                    <w:rPr>
                      <w:rFonts w:hint="eastAsia"/>
                      <w:color w:val="auto"/>
                      <w:highlight w:val="none"/>
                    </w:rPr>
                    <w:t>1台</w:t>
                  </w:r>
                </w:p>
              </w:tc>
            </w:tr>
            <w:tr w14:paraId="657F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1302DB7B">
                  <w:pPr>
                    <w:pStyle w:val="41"/>
                    <w:rPr>
                      <w:color w:val="auto"/>
                      <w:highlight w:val="none"/>
                    </w:rPr>
                  </w:pPr>
                  <w:r>
                    <w:rPr>
                      <w:color w:val="auto"/>
                      <w:highlight w:val="none"/>
                    </w:rPr>
                    <w:t>26</w:t>
                  </w:r>
                </w:p>
              </w:tc>
              <w:tc>
                <w:tcPr>
                  <w:tcW w:w="1287" w:type="pct"/>
                  <w:shd w:val="clear" w:color="auto" w:fill="auto"/>
                  <w:vAlign w:val="center"/>
                </w:tcPr>
                <w:p w14:paraId="2B93EE3D">
                  <w:pPr>
                    <w:pStyle w:val="41"/>
                    <w:rPr>
                      <w:color w:val="auto"/>
                      <w:highlight w:val="none"/>
                    </w:rPr>
                  </w:pPr>
                  <w:r>
                    <w:rPr>
                      <w:color w:val="auto"/>
                      <w:highlight w:val="none"/>
                    </w:rPr>
                    <w:t>变频离心机</w:t>
                  </w:r>
                </w:p>
              </w:tc>
              <w:tc>
                <w:tcPr>
                  <w:tcW w:w="1159" w:type="pct"/>
                  <w:shd w:val="clear" w:color="auto" w:fill="auto"/>
                  <w:vAlign w:val="center"/>
                </w:tcPr>
                <w:p w14:paraId="2598B6FB">
                  <w:pPr>
                    <w:pStyle w:val="41"/>
                    <w:rPr>
                      <w:color w:val="auto"/>
                      <w:highlight w:val="none"/>
                    </w:rPr>
                  </w:pPr>
                  <w:r>
                    <w:rPr>
                      <w:color w:val="auto"/>
                      <w:highlight w:val="none"/>
                    </w:rPr>
                    <w:t>GLW/BP450-NY</w:t>
                  </w:r>
                </w:p>
              </w:tc>
              <w:tc>
                <w:tcPr>
                  <w:tcW w:w="1078" w:type="pct"/>
                  <w:shd w:val="clear" w:color="auto" w:fill="auto"/>
                  <w:vAlign w:val="center"/>
                </w:tcPr>
                <w:p w14:paraId="682407ED">
                  <w:pPr>
                    <w:pStyle w:val="41"/>
                    <w:rPr>
                      <w:color w:val="auto"/>
                      <w:highlight w:val="none"/>
                    </w:rPr>
                  </w:pPr>
                  <w:r>
                    <w:rPr>
                      <w:color w:val="auto"/>
                      <w:highlight w:val="none"/>
                    </w:rPr>
                    <w:t>60m</w:t>
                  </w:r>
                  <w:r>
                    <w:rPr>
                      <w:color w:val="auto"/>
                      <w:highlight w:val="none"/>
                      <w:vertAlign w:val="superscript"/>
                    </w:rPr>
                    <w:t>3</w:t>
                  </w:r>
                  <w:r>
                    <w:rPr>
                      <w:color w:val="auto"/>
                      <w:highlight w:val="none"/>
                    </w:rPr>
                    <w:t>/h</w:t>
                  </w:r>
                </w:p>
              </w:tc>
              <w:tc>
                <w:tcPr>
                  <w:tcW w:w="963" w:type="pct"/>
                  <w:shd w:val="clear" w:color="auto" w:fill="auto"/>
                  <w:vAlign w:val="center"/>
                </w:tcPr>
                <w:p w14:paraId="0C0BE3B4">
                  <w:pPr>
                    <w:pStyle w:val="41"/>
                    <w:rPr>
                      <w:color w:val="auto"/>
                      <w:highlight w:val="none"/>
                    </w:rPr>
                  </w:pPr>
                  <w:r>
                    <w:rPr>
                      <w:rFonts w:hint="eastAsia"/>
                      <w:color w:val="auto"/>
                      <w:highlight w:val="none"/>
                    </w:rPr>
                    <w:t>1台</w:t>
                  </w:r>
                </w:p>
              </w:tc>
            </w:tr>
            <w:tr w14:paraId="3896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511" w:type="pct"/>
                  <w:vAlign w:val="center"/>
                </w:tcPr>
                <w:p w14:paraId="5017DC7E">
                  <w:pPr>
                    <w:pStyle w:val="41"/>
                    <w:rPr>
                      <w:color w:val="auto"/>
                      <w:highlight w:val="none"/>
                    </w:rPr>
                  </w:pPr>
                  <w:r>
                    <w:rPr>
                      <w:color w:val="auto"/>
                      <w:highlight w:val="none"/>
                    </w:rPr>
                    <w:t>27</w:t>
                  </w:r>
                </w:p>
              </w:tc>
              <w:tc>
                <w:tcPr>
                  <w:tcW w:w="1287" w:type="pct"/>
                  <w:shd w:val="clear" w:color="auto" w:fill="auto"/>
                  <w:vAlign w:val="center"/>
                </w:tcPr>
                <w:p w14:paraId="5A5A7A7D">
                  <w:pPr>
                    <w:pStyle w:val="41"/>
                    <w:rPr>
                      <w:color w:val="auto"/>
                      <w:highlight w:val="none"/>
                    </w:rPr>
                  </w:pPr>
                  <w:r>
                    <w:rPr>
                      <w:color w:val="auto"/>
                      <w:highlight w:val="none"/>
                    </w:rPr>
                    <w:t>SCR房</w:t>
                  </w:r>
                </w:p>
              </w:tc>
              <w:tc>
                <w:tcPr>
                  <w:tcW w:w="1159" w:type="pct"/>
                  <w:shd w:val="clear" w:color="auto" w:fill="auto"/>
                  <w:vAlign w:val="center"/>
                </w:tcPr>
                <w:p w14:paraId="7443B990">
                  <w:pPr>
                    <w:pStyle w:val="41"/>
                    <w:rPr>
                      <w:color w:val="auto"/>
                      <w:highlight w:val="none"/>
                    </w:rPr>
                  </w:pPr>
                  <w:r>
                    <w:rPr>
                      <w:color w:val="auto"/>
                      <w:highlight w:val="none"/>
                    </w:rPr>
                    <w:t>HD-ZJ80D/116</w:t>
                  </w:r>
                </w:p>
              </w:tc>
              <w:tc>
                <w:tcPr>
                  <w:tcW w:w="1078" w:type="pct"/>
                  <w:shd w:val="clear" w:color="auto" w:fill="auto"/>
                  <w:vAlign w:val="center"/>
                </w:tcPr>
                <w:p w14:paraId="340632BF">
                  <w:pPr>
                    <w:pStyle w:val="41"/>
                    <w:rPr>
                      <w:color w:val="auto"/>
                      <w:highlight w:val="none"/>
                    </w:rPr>
                  </w:pPr>
                  <w:r>
                    <w:rPr>
                      <w:color w:val="auto"/>
                      <w:highlight w:val="none"/>
                    </w:rPr>
                    <w:t>34t</w:t>
                  </w:r>
                </w:p>
              </w:tc>
              <w:tc>
                <w:tcPr>
                  <w:tcW w:w="963" w:type="pct"/>
                  <w:shd w:val="clear" w:color="auto" w:fill="auto"/>
                  <w:vAlign w:val="center"/>
                </w:tcPr>
                <w:p w14:paraId="31964673">
                  <w:pPr>
                    <w:pStyle w:val="41"/>
                    <w:rPr>
                      <w:color w:val="auto"/>
                      <w:highlight w:val="none"/>
                    </w:rPr>
                  </w:pPr>
                  <w:r>
                    <w:rPr>
                      <w:rFonts w:hint="eastAsia"/>
                      <w:color w:val="auto"/>
                      <w:highlight w:val="none"/>
                    </w:rPr>
                    <w:t>1栋</w:t>
                  </w:r>
                </w:p>
              </w:tc>
            </w:tr>
            <w:tr w14:paraId="4623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2CB0203B">
                  <w:pPr>
                    <w:pStyle w:val="41"/>
                    <w:rPr>
                      <w:color w:val="auto"/>
                      <w:highlight w:val="none"/>
                    </w:rPr>
                  </w:pPr>
                  <w:r>
                    <w:rPr>
                      <w:color w:val="auto"/>
                      <w:highlight w:val="none"/>
                    </w:rPr>
                    <w:t>28</w:t>
                  </w:r>
                </w:p>
              </w:tc>
              <w:tc>
                <w:tcPr>
                  <w:tcW w:w="1287" w:type="pct"/>
                  <w:shd w:val="clear" w:color="auto" w:fill="auto"/>
                  <w:vAlign w:val="center"/>
                </w:tcPr>
                <w:p w14:paraId="0A100888">
                  <w:pPr>
                    <w:pStyle w:val="41"/>
                    <w:rPr>
                      <w:color w:val="auto"/>
                      <w:highlight w:val="none"/>
                    </w:rPr>
                  </w:pPr>
                  <w:r>
                    <w:rPr>
                      <w:color w:val="auto"/>
                      <w:highlight w:val="none"/>
                    </w:rPr>
                    <w:t>MCC+无功补偿房</w:t>
                  </w:r>
                </w:p>
              </w:tc>
              <w:tc>
                <w:tcPr>
                  <w:tcW w:w="1159" w:type="pct"/>
                  <w:shd w:val="clear" w:color="auto" w:fill="auto"/>
                  <w:vAlign w:val="center"/>
                </w:tcPr>
                <w:p w14:paraId="08DB4B8A">
                  <w:pPr>
                    <w:pStyle w:val="41"/>
                    <w:rPr>
                      <w:color w:val="auto"/>
                      <w:highlight w:val="none"/>
                    </w:rPr>
                  </w:pPr>
                  <w:r>
                    <w:rPr>
                      <w:color w:val="auto"/>
                      <w:highlight w:val="none"/>
                    </w:rPr>
                    <w:t>HD-ZJ80D-MCC</w:t>
                  </w:r>
                </w:p>
              </w:tc>
              <w:tc>
                <w:tcPr>
                  <w:tcW w:w="1078" w:type="pct"/>
                  <w:shd w:val="clear" w:color="auto" w:fill="auto"/>
                  <w:vAlign w:val="center"/>
                </w:tcPr>
                <w:p w14:paraId="7F7F0A02">
                  <w:pPr>
                    <w:pStyle w:val="41"/>
                    <w:rPr>
                      <w:color w:val="auto"/>
                      <w:highlight w:val="none"/>
                    </w:rPr>
                  </w:pPr>
                  <w:r>
                    <w:rPr>
                      <w:color w:val="auto"/>
                      <w:highlight w:val="none"/>
                    </w:rPr>
                    <w:t>25t</w:t>
                  </w:r>
                </w:p>
              </w:tc>
              <w:tc>
                <w:tcPr>
                  <w:tcW w:w="963" w:type="pct"/>
                  <w:shd w:val="clear" w:color="auto" w:fill="auto"/>
                  <w:vAlign w:val="center"/>
                </w:tcPr>
                <w:p w14:paraId="6D2D1390">
                  <w:pPr>
                    <w:pStyle w:val="41"/>
                    <w:rPr>
                      <w:color w:val="auto"/>
                      <w:highlight w:val="none"/>
                    </w:rPr>
                  </w:pPr>
                  <w:r>
                    <w:rPr>
                      <w:rFonts w:hint="eastAsia"/>
                      <w:color w:val="auto"/>
                      <w:highlight w:val="none"/>
                    </w:rPr>
                    <w:t>1栋</w:t>
                  </w:r>
                </w:p>
              </w:tc>
            </w:tr>
            <w:tr w14:paraId="58FB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0D2C2D57">
                  <w:pPr>
                    <w:pStyle w:val="41"/>
                    <w:rPr>
                      <w:color w:val="auto"/>
                      <w:highlight w:val="none"/>
                    </w:rPr>
                  </w:pPr>
                  <w:r>
                    <w:rPr>
                      <w:color w:val="auto"/>
                      <w:highlight w:val="none"/>
                    </w:rPr>
                    <w:t>29</w:t>
                  </w:r>
                </w:p>
              </w:tc>
              <w:tc>
                <w:tcPr>
                  <w:tcW w:w="1287" w:type="pct"/>
                  <w:shd w:val="clear" w:color="auto" w:fill="auto"/>
                  <w:vAlign w:val="center"/>
                </w:tcPr>
                <w:p w14:paraId="514F6B2B">
                  <w:pPr>
                    <w:pStyle w:val="41"/>
                    <w:rPr>
                      <w:color w:val="auto"/>
                      <w:highlight w:val="none"/>
                    </w:rPr>
                  </w:pPr>
                  <w:r>
                    <w:rPr>
                      <w:color w:val="auto"/>
                      <w:highlight w:val="none"/>
                    </w:rPr>
                    <w:t>潍柴发电机</w:t>
                  </w:r>
                </w:p>
              </w:tc>
              <w:tc>
                <w:tcPr>
                  <w:tcW w:w="1159" w:type="pct"/>
                  <w:shd w:val="clear" w:color="000000" w:fill="FFFFFF"/>
                  <w:vAlign w:val="center"/>
                </w:tcPr>
                <w:p w14:paraId="17363969">
                  <w:pPr>
                    <w:pStyle w:val="41"/>
                    <w:rPr>
                      <w:color w:val="auto"/>
                      <w:highlight w:val="none"/>
                    </w:rPr>
                  </w:pPr>
                  <w:r>
                    <w:rPr>
                      <w:color w:val="auto"/>
                      <w:highlight w:val="none"/>
                    </w:rPr>
                    <w:t>WHA5D</w:t>
                  </w:r>
                </w:p>
              </w:tc>
              <w:tc>
                <w:tcPr>
                  <w:tcW w:w="1078" w:type="pct"/>
                  <w:shd w:val="clear" w:color="000000" w:fill="FFFFFF"/>
                  <w:vAlign w:val="center"/>
                </w:tcPr>
                <w:p w14:paraId="6491133B">
                  <w:pPr>
                    <w:pStyle w:val="41"/>
                    <w:rPr>
                      <w:color w:val="auto"/>
                      <w:highlight w:val="none"/>
                    </w:rPr>
                  </w:pPr>
                  <w:r>
                    <w:rPr>
                      <w:color w:val="auto"/>
                      <w:highlight w:val="none"/>
                    </w:rPr>
                    <w:t>360kW</w:t>
                  </w:r>
                </w:p>
              </w:tc>
              <w:tc>
                <w:tcPr>
                  <w:tcW w:w="963" w:type="pct"/>
                  <w:vAlign w:val="center"/>
                </w:tcPr>
                <w:p w14:paraId="6B5A0E2E">
                  <w:pPr>
                    <w:pStyle w:val="41"/>
                    <w:rPr>
                      <w:color w:val="auto"/>
                      <w:highlight w:val="none"/>
                    </w:rPr>
                  </w:pPr>
                  <w:r>
                    <w:rPr>
                      <w:rFonts w:hint="eastAsia"/>
                      <w:color w:val="auto"/>
                      <w:highlight w:val="none"/>
                    </w:rPr>
                    <w:t>1台</w:t>
                  </w:r>
                </w:p>
              </w:tc>
            </w:tr>
            <w:tr w14:paraId="3DEC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11" w:type="pct"/>
                  <w:vAlign w:val="center"/>
                </w:tcPr>
                <w:p w14:paraId="7297FFDC">
                  <w:pPr>
                    <w:pStyle w:val="41"/>
                    <w:rPr>
                      <w:color w:val="auto"/>
                      <w:highlight w:val="none"/>
                    </w:rPr>
                  </w:pPr>
                  <w:r>
                    <w:rPr>
                      <w:color w:val="auto"/>
                      <w:highlight w:val="none"/>
                    </w:rPr>
                    <w:t>30</w:t>
                  </w:r>
                </w:p>
              </w:tc>
              <w:tc>
                <w:tcPr>
                  <w:tcW w:w="1287" w:type="pct"/>
                  <w:shd w:val="clear" w:color="auto" w:fill="auto"/>
                  <w:vAlign w:val="center"/>
                </w:tcPr>
                <w:p w14:paraId="053909BD">
                  <w:pPr>
                    <w:pStyle w:val="41"/>
                    <w:rPr>
                      <w:color w:val="auto"/>
                      <w:highlight w:val="none"/>
                    </w:rPr>
                  </w:pPr>
                  <w:r>
                    <w:rPr>
                      <w:color w:val="auto"/>
                      <w:highlight w:val="none"/>
                    </w:rPr>
                    <w:t>螺杆式空压机</w:t>
                  </w:r>
                </w:p>
              </w:tc>
              <w:tc>
                <w:tcPr>
                  <w:tcW w:w="1159" w:type="pct"/>
                  <w:shd w:val="clear" w:color="auto" w:fill="auto"/>
                  <w:vAlign w:val="center"/>
                </w:tcPr>
                <w:p w14:paraId="7FF077D7">
                  <w:pPr>
                    <w:pStyle w:val="41"/>
                    <w:rPr>
                      <w:color w:val="auto"/>
                      <w:highlight w:val="none"/>
                    </w:rPr>
                  </w:pPr>
                  <w:r>
                    <w:rPr>
                      <w:color w:val="auto"/>
                      <w:highlight w:val="none"/>
                    </w:rPr>
                    <w:t>LS16-60HH  AC</w:t>
                  </w:r>
                </w:p>
              </w:tc>
              <w:tc>
                <w:tcPr>
                  <w:tcW w:w="1078" w:type="pct"/>
                  <w:shd w:val="clear" w:color="000000" w:fill="FFFFFF"/>
                  <w:vAlign w:val="center"/>
                </w:tcPr>
                <w:p w14:paraId="0577B4B7">
                  <w:pPr>
                    <w:pStyle w:val="41"/>
                    <w:rPr>
                      <w:color w:val="auto"/>
                      <w:highlight w:val="none"/>
                    </w:rPr>
                  </w:pPr>
                  <w:r>
                    <w:rPr>
                      <w:color w:val="auto"/>
                      <w:highlight w:val="none"/>
                    </w:rPr>
                    <w:t>45</w:t>
                  </w:r>
                  <w:r>
                    <w:rPr>
                      <w:rFonts w:hint="eastAsia"/>
                      <w:color w:val="auto"/>
                      <w:highlight w:val="none"/>
                    </w:rPr>
                    <w:t>kW</w:t>
                  </w:r>
                </w:p>
              </w:tc>
              <w:tc>
                <w:tcPr>
                  <w:tcW w:w="963" w:type="pct"/>
                  <w:vAlign w:val="center"/>
                </w:tcPr>
                <w:p w14:paraId="76C042BA">
                  <w:pPr>
                    <w:pStyle w:val="41"/>
                    <w:rPr>
                      <w:color w:val="auto"/>
                      <w:highlight w:val="none"/>
                    </w:rPr>
                  </w:pPr>
                  <w:r>
                    <w:rPr>
                      <w:rFonts w:hint="eastAsia"/>
                      <w:color w:val="auto"/>
                      <w:highlight w:val="none"/>
                    </w:rPr>
                    <w:t>2台</w:t>
                  </w:r>
                </w:p>
              </w:tc>
            </w:tr>
            <w:bookmarkEnd w:id="28"/>
          </w:tbl>
          <w:p w14:paraId="0B9EDC68">
            <w:pPr>
              <w:pStyle w:val="3"/>
              <w:ind w:firstLine="0" w:firstLineChars="0"/>
              <w:rPr>
                <w:color w:val="auto"/>
                <w:sz w:val="21"/>
                <w:highlight w:val="none"/>
              </w:rPr>
            </w:pPr>
          </w:p>
          <w:p w14:paraId="687A418B">
            <w:pPr>
              <w:pStyle w:val="73"/>
              <w:numPr>
                <w:ilvl w:val="0"/>
                <w:numId w:val="17"/>
              </w:numPr>
              <w:ind w:firstLine="420" w:firstLineChars="200"/>
              <w:rPr>
                <w:color w:val="auto"/>
                <w:highlight w:val="none"/>
              </w:rPr>
            </w:pPr>
            <w:r>
              <w:rPr>
                <w:rFonts w:hint="eastAsia"/>
                <w:color w:val="auto"/>
                <w:highlight w:val="none"/>
              </w:rPr>
              <w:t>钻井液体系</w:t>
            </w:r>
          </w:p>
          <w:p w14:paraId="35316171">
            <w:pPr>
              <w:pStyle w:val="3"/>
              <w:ind w:firstLine="420"/>
              <w:rPr>
                <w:color w:val="auto"/>
                <w:sz w:val="21"/>
                <w:szCs w:val="21"/>
                <w:highlight w:val="none"/>
              </w:rPr>
            </w:pPr>
            <w:r>
              <w:rPr>
                <w:rFonts w:hint="eastAsia"/>
                <w:color w:val="auto"/>
                <w:sz w:val="21"/>
                <w:szCs w:val="21"/>
                <w:highlight w:val="none"/>
              </w:rPr>
              <w:t>钻井过程中需要使用钻井液，根据井身结构，</w:t>
            </w:r>
            <w:bookmarkStart w:id="29" w:name="OLE_LINK22"/>
            <w:r>
              <w:rPr>
                <w:rFonts w:hint="eastAsia"/>
                <w:color w:val="auto"/>
                <w:sz w:val="21"/>
                <w:szCs w:val="21"/>
                <w:highlight w:val="none"/>
              </w:rPr>
              <w:t>本项目一开、二开采用水基钻井液，三开使用合成基钻井液。</w:t>
            </w:r>
            <w:bookmarkEnd w:id="29"/>
            <w:r>
              <w:rPr>
                <w:rFonts w:hint="eastAsia"/>
                <w:color w:val="auto"/>
                <w:sz w:val="21"/>
                <w:szCs w:val="21"/>
                <w:highlight w:val="none"/>
              </w:rPr>
              <w:t>钻井液体系详见</w:t>
            </w:r>
            <w:r>
              <w:rPr>
                <w:rFonts w:hint="eastAsia"/>
                <w:color w:val="auto"/>
                <w:sz w:val="21"/>
                <w:szCs w:val="21"/>
                <w:highlight w:val="none"/>
              </w:rPr>
              <w:fldChar w:fldCharType="begin"/>
            </w:r>
            <w:r>
              <w:rPr>
                <w:color w:val="auto"/>
                <w:highlight w:val="none"/>
              </w:rPr>
              <w:instrText xml:space="preserve"> REF _Ref205911451 \h  \* MERGEFORMAT</w:instrText>
            </w:r>
            <w:r>
              <w:rPr>
                <w:rFonts w:hint="eastAsia"/>
                <w:color w:val="auto"/>
                <w:sz w:val="21"/>
                <w:szCs w:val="21"/>
                <w:highlight w:val="none"/>
              </w:rPr>
              <w:fldChar w:fldCharType="separate"/>
            </w:r>
            <w:r>
              <w:rPr>
                <w:rFonts w:hint="eastAsia"/>
                <w:color w:val="auto"/>
                <w:sz w:val="21"/>
                <w:szCs w:val="21"/>
                <w:highlight w:val="none"/>
              </w:rPr>
              <w:t>表17</w:t>
            </w:r>
            <w:r>
              <w:rPr>
                <w:rFonts w:hint="eastAsia"/>
                <w:color w:val="auto"/>
                <w:sz w:val="21"/>
                <w:szCs w:val="21"/>
                <w:highlight w:val="none"/>
              </w:rPr>
              <w:fldChar w:fldCharType="end"/>
            </w:r>
            <w:r>
              <w:rPr>
                <w:rFonts w:hint="eastAsia"/>
                <w:color w:val="auto"/>
                <w:sz w:val="21"/>
                <w:szCs w:val="21"/>
                <w:highlight w:val="none"/>
              </w:rPr>
              <w:t>，钻井液材料信息详见</w:t>
            </w:r>
            <w:r>
              <w:rPr>
                <w:rFonts w:hint="eastAsia"/>
                <w:color w:val="auto"/>
                <w:sz w:val="21"/>
                <w:szCs w:val="21"/>
                <w:highlight w:val="none"/>
              </w:rPr>
              <w:fldChar w:fldCharType="begin"/>
            </w:r>
            <w:r>
              <w:rPr>
                <w:color w:val="auto"/>
                <w:highlight w:val="none"/>
              </w:rPr>
              <w:instrText xml:space="preserve"> REF _Ref205986661 \h  \* MERGEFORMAT</w:instrText>
            </w:r>
            <w:r>
              <w:rPr>
                <w:rFonts w:hint="eastAsia"/>
                <w:color w:val="auto"/>
                <w:sz w:val="21"/>
                <w:szCs w:val="21"/>
                <w:highlight w:val="none"/>
              </w:rPr>
              <w:fldChar w:fldCharType="separate"/>
            </w:r>
            <w:r>
              <w:rPr>
                <w:rFonts w:hint="eastAsia"/>
                <w:color w:val="auto"/>
                <w:sz w:val="21"/>
                <w:szCs w:val="21"/>
                <w:highlight w:val="none"/>
              </w:rPr>
              <w:t>表18</w:t>
            </w:r>
            <w:r>
              <w:rPr>
                <w:rFonts w:hint="eastAsia"/>
                <w:color w:val="auto"/>
                <w:sz w:val="21"/>
                <w:szCs w:val="21"/>
                <w:highlight w:val="none"/>
              </w:rPr>
              <w:fldChar w:fldCharType="end"/>
            </w:r>
            <w:r>
              <w:rPr>
                <w:rFonts w:hint="eastAsia"/>
                <w:color w:val="auto"/>
                <w:sz w:val="21"/>
                <w:szCs w:val="21"/>
                <w:highlight w:val="none"/>
              </w:rPr>
              <w:t>，主要成分理化性质详见</w:t>
            </w:r>
            <w:r>
              <w:rPr>
                <w:rFonts w:hint="eastAsia"/>
                <w:color w:val="auto"/>
                <w:sz w:val="21"/>
                <w:szCs w:val="21"/>
                <w:highlight w:val="none"/>
              </w:rPr>
              <w:fldChar w:fldCharType="begin"/>
            </w:r>
            <w:r>
              <w:rPr>
                <w:color w:val="auto"/>
                <w:highlight w:val="none"/>
              </w:rPr>
              <w:instrText xml:space="preserve"> REF _Ref205987146 \h  \* MERGEFORMAT</w:instrText>
            </w:r>
            <w:r>
              <w:rPr>
                <w:rFonts w:hint="eastAsia"/>
                <w:color w:val="auto"/>
                <w:sz w:val="21"/>
                <w:szCs w:val="21"/>
                <w:highlight w:val="none"/>
              </w:rPr>
              <w:fldChar w:fldCharType="separate"/>
            </w:r>
            <w:r>
              <w:rPr>
                <w:rFonts w:hint="eastAsia"/>
                <w:color w:val="auto"/>
                <w:sz w:val="21"/>
                <w:szCs w:val="21"/>
                <w:highlight w:val="none"/>
              </w:rPr>
              <w:t>表19</w:t>
            </w:r>
            <w:r>
              <w:rPr>
                <w:rFonts w:hint="eastAsia"/>
                <w:color w:val="auto"/>
                <w:sz w:val="21"/>
                <w:szCs w:val="21"/>
                <w:highlight w:val="none"/>
              </w:rPr>
              <w:fldChar w:fldCharType="end"/>
            </w:r>
            <w:r>
              <w:rPr>
                <w:rFonts w:hint="eastAsia"/>
                <w:color w:val="auto"/>
                <w:sz w:val="21"/>
                <w:szCs w:val="21"/>
                <w:highlight w:val="none"/>
              </w:rPr>
              <w:t>。</w:t>
            </w:r>
          </w:p>
          <w:p w14:paraId="4273EDC3">
            <w:pPr>
              <w:pStyle w:val="13"/>
              <w:bidi w:val="0"/>
              <w:rPr>
                <w:color w:val="auto"/>
                <w:highlight w:val="none"/>
              </w:rPr>
            </w:pPr>
            <w:bookmarkStart w:id="30" w:name="_Ref205911451"/>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17</w:t>
            </w:r>
            <w:r>
              <w:rPr>
                <w:rFonts w:hint="eastAsia"/>
                <w:color w:val="auto"/>
                <w:highlight w:val="none"/>
              </w:rPr>
              <w:fldChar w:fldCharType="end"/>
            </w:r>
            <w:bookmarkEnd w:id="30"/>
            <w:r>
              <w:rPr>
                <w:rFonts w:hint="eastAsia"/>
                <w:color w:val="auto"/>
                <w:highlight w:val="none"/>
              </w:rPr>
              <w:t xml:space="preserve">  本项目钻井液体系一览表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790"/>
              <w:gridCol w:w="1642"/>
              <w:gridCol w:w="3241"/>
            </w:tblGrid>
            <w:tr w14:paraId="54D1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66" w:type="pct"/>
                  <w:vAlign w:val="center"/>
                </w:tcPr>
                <w:p w14:paraId="704DA7D8">
                  <w:pPr>
                    <w:pStyle w:val="41"/>
                    <w:rPr>
                      <w:color w:val="auto"/>
                      <w:highlight w:val="none"/>
                    </w:rPr>
                  </w:pPr>
                  <w:r>
                    <w:rPr>
                      <w:color w:val="auto"/>
                      <w:highlight w:val="none"/>
                    </w:rPr>
                    <w:t>序号</w:t>
                  </w:r>
                </w:p>
              </w:tc>
              <w:tc>
                <w:tcPr>
                  <w:tcW w:w="1189" w:type="pct"/>
                  <w:vAlign w:val="center"/>
                </w:tcPr>
                <w:p w14:paraId="2AF98C38">
                  <w:pPr>
                    <w:pStyle w:val="41"/>
                    <w:rPr>
                      <w:color w:val="auto"/>
                      <w:highlight w:val="none"/>
                    </w:rPr>
                  </w:pPr>
                  <w:r>
                    <w:rPr>
                      <w:color w:val="auto"/>
                      <w:highlight w:val="none"/>
                    </w:rPr>
                    <w:t>钻头尺寸（mm）</w:t>
                  </w:r>
                </w:p>
              </w:tc>
              <w:tc>
                <w:tcPr>
                  <w:tcW w:w="1091" w:type="pct"/>
                  <w:vAlign w:val="center"/>
                </w:tcPr>
                <w:p w14:paraId="3474437F">
                  <w:pPr>
                    <w:pStyle w:val="41"/>
                    <w:rPr>
                      <w:color w:val="auto"/>
                      <w:highlight w:val="none"/>
                    </w:rPr>
                  </w:pPr>
                  <w:r>
                    <w:rPr>
                      <w:color w:val="auto"/>
                      <w:highlight w:val="none"/>
                    </w:rPr>
                    <w:t>井段（m）</w:t>
                  </w:r>
                </w:p>
              </w:tc>
              <w:tc>
                <w:tcPr>
                  <w:tcW w:w="2152" w:type="pct"/>
                  <w:vAlign w:val="center"/>
                </w:tcPr>
                <w:p w14:paraId="5DECDC5C">
                  <w:pPr>
                    <w:pStyle w:val="41"/>
                    <w:rPr>
                      <w:color w:val="auto"/>
                      <w:highlight w:val="none"/>
                    </w:rPr>
                  </w:pPr>
                  <w:r>
                    <w:rPr>
                      <w:color w:val="auto"/>
                      <w:highlight w:val="none"/>
                    </w:rPr>
                    <w:t>钻井液体系</w:t>
                  </w:r>
                </w:p>
              </w:tc>
            </w:tr>
            <w:tr w14:paraId="2C43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6" w:type="pct"/>
                  <w:vAlign w:val="center"/>
                </w:tcPr>
                <w:p w14:paraId="0218762D">
                  <w:pPr>
                    <w:pStyle w:val="41"/>
                    <w:rPr>
                      <w:color w:val="auto"/>
                      <w:highlight w:val="none"/>
                    </w:rPr>
                  </w:pPr>
                  <w:r>
                    <w:rPr>
                      <w:color w:val="auto"/>
                      <w:highlight w:val="none"/>
                    </w:rPr>
                    <w:t>导管</w:t>
                  </w:r>
                </w:p>
              </w:tc>
              <w:tc>
                <w:tcPr>
                  <w:tcW w:w="1189" w:type="pct"/>
                  <w:vAlign w:val="center"/>
                </w:tcPr>
                <w:p w14:paraId="42CB1DC4">
                  <w:pPr>
                    <w:pStyle w:val="41"/>
                    <w:rPr>
                      <w:color w:val="auto"/>
                      <w:highlight w:val="none"/>
                    </w:rPr>
                  </w:pPr>
                  <w:r>
                    <w:rPr>
                      <w:rFonts w:hint="eastAsia"/>
                      <w:color w:val="auto"/>
                      <w:highlight w:val="none"/>
                    </w:rPr>
                    <w:t>/</w:t>
                  </w:r>
                </w:p>
              </w:tc>
              <w:tc>
                <w:tcPr>
                  <w:tcW w:w="1091" w:type="pct"/>
                  <w:vAlign w:val="center"/>
                </w:tcPr>
                <w:p w14:paraId="392F1FFF">
                  <w:pPr>
                    <w:pStyle w:val="41"/>
                    <w:rPr>
                      <w:color w:val="auto"/>
                      <w:highlight w:val="none"/>
                    </w:rPr>
                  </w:pPr>
                  <w:r>
                    <w:rPr>
                      <w:color w:val="auto"/>
                      <w:highlight w:val="none"/>
                    </w:rPr>
                    <w:t>0～</w:t>
                  </w:r>
                  <w:r>
                    <w:rPr>
                      <w:rFonts w:hint="eastAsia"/>
                      <w:color w:val="auto"/>
                      <w:highlight w:val="none"/>
                    </w:rPr>
                    <w:t>50</w:t>
                  </w:r>
                </w:p>
              </w:tc>
              <w:tc>
                <w:tcPr>
                  <w:tcW w:w="2152" w:type="pct"/>
                  <w:vAlign w:val="center"/>
                </w:tcPr>
                <w:p w14:paraId="63DE65B5">
                  <w:pPr>
                    <w:pStyle w:val="41"/>
                    <w:rPr>
                      <w:color w:val="auto"/>
                      <w:highlight w:val="none"/>
                    </w:rPr>
                  </w:pPr>
                  <w:r>
                    <w:rPr>
                      <w:rFonts w:hint="eastAsia" w:ascii="Times New Roman" w:hAnsi="Times New Roman" w:cs="Times New Roman"/>
                      <w:color w:val="auto"/>
                      <w:highlight w:val="none"/>
                    </w:rPr>
                    <w:t>钻前施工</w:t>
                  </w:r>
                </w:p>
              </w:tc>
            </w:tr>
            <w:tr w14:paraId="1305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6" w:type="pct"/>
                  <w:vAlign w:val="center"/>
                </w:tcPr>
                <w:p w14:paraId="2010F797">
                  <w:pPr>
                    <w:pStyle w:val="41"/>
                    <w:rPr>
                      <w:color w:val="auto"/>
                      <w:highlight w:val="none"/>
                    </w:rPr>
                  </w:pPr>
                  <w:r>
                    <w:rPr>
                      <w:color w:val="auto"/>
                      <w:highlight w:val="none"/>
                    </w:rPr>
                    <w:t>一开</w:t>
                  </w:r>
                </w:p>
              </w:tc>
              <w:tc>
                <w:tcPr>
                  <w:tcW w:w="1189" w:type="pct"/>
                  <w:vAlign w:val="center"/>
                </w:tcPr>
                <w:p w14:paraId="30CB7833">
                  <w:pPr>
                    <w:pStyle w:val="41"/>
                    <w:rPr>
                      <w:color w:val="auto"/>
                      <w:highlight w:val="none"/>
                    </w:rPr>
                  </w:pPr>
                  <w:r>
                    <w:rPr>
                      <w:color w:val="auto"/>
                      <w:highlight w:val="none"/>
                    </w:rPr>
                    <w:t>Φ444.5</w:t>
                  </w:r>
                </w:p>
              </w:tc>
              <w:tc>
                <w:tcPr>
                  <w:tcW w:w="1091" w:type="pct"/>
                  <w:vAlign w:val="center"/>
                </w:tcPr>
                <w:p w14:paraId="38D66300">
                  <w:pPr>
                    <w:pStyle w:val="41"/>
                    <w:rPr>
                      <w:color w:val="auto"/>
                      <w:highlight w:val="none"/>
                    </w:rPr>
                  </w:pPr>
                  <w:r>
                    <w:rPr>
                      <w:rFonts w:hint="eastAsia"/>
                      <w:color w:val="auto"/>
                      <w:highlight w:val="none"/>
                    </w:rPr>
                    <w:t>50</w:t>
                  </w:r>
                  <w:r>
                    <w:rPr>
                      <w:color w:val="auto"/>
                      <w:highlight w:val="none"/>
                    </w:rPr>
                    <w:t>～2001</w:t>
                  </w:r>
                </w:p>
              </w:tc>
              <w:tc>
                <w:tcPr>
                  <w:tcW w:w="2152" w:type="pct"/>
                  <w:vAlign w:val="center"/>
                </w:tcPr>
                <w:p w14:paraId="591DB19D">
                  <w:pPr>
                    <w:pStyle w:val="41"/>
                    <w:rPr>
                      <w:color w:val="auto"/>
                      <w:highlight w:val="none"/>
                    </w:rPr>
                  </w:pPr>
                  <w:r>
                    <w:rPr>
                      <w:color w:val="auto"/>
                      <w:highlight w:val="none"/>
                    </w:rPr>
                    <w:t>钙处理-聚合物钻井液</w:t>
                  </w:r>
                </w:p>
              </w:tc>
            </w:tr>
            <w:tr w14:paraId="5763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6" w:type="pct"/>
                  <w:vMerge w:val="restart"/>
                  <w:vAlign w:val="center"/>
                </w:tcPr>
                <w:p w14:paraId="50BD4F50">
                  <w:pPr>
                    <w:pStyle w:val="41"/>
                    <w:rPr>
                      <w:color w:val="auto"/>
                      <w:highlight w:val="none"/>
                    </w:rPr>
                  </w:pPr>
                  <w:r>
                    <w:rPr>
                      <w:color w:val="auto"/>
                      <w:highlight w:val="none"/>
                    </w:rPr>
                    <w:t>二开</w:t>
                  </w:r>
                </w:p>
              </w:tc>
              <w:tc>
                <w:tcPr>
                  <w:tcW w:w="1189" w:type="pct"/>
                  <w:vMerge w:val="restart"/>
                  <w:vAlign w:val="center"/>
                </w:tcPr>
                <w:p w14:paraId="2F450D0A">
                  <w:pPr>
                    <w:pStyle w:val="41"/>
                    <w:rPr>
                      <w:color w:val="auto"/>
                      <w:highlight w:val="none"/>
                    </w:rPr>
                  </w:pPr>
                  <w:r>
                    <w:rPr>
                      <w:color w:val="auto"/>
                      <w:highlight w:val="none"/>
                    </w:rPr>
                    <w:t>Φ311.2</w:t>
                  </w:r>
                </w:p>
              </w:tc>
              <w:tc>
                <w:tcPr>
                  <w:tcW w:w="1091" w:type="pct"/>
                  <w:vAlign w:val="center"/>
                </w:tcPr>
                <w:p w14:paraId="3B1CA55D">
                  <w:pPr>
                    <w:pStyle w:val="41"/>
                    <w:rPr>
                      <w:color w:val="auto"/>
                      <w:highlight w:val="none"/>
                    </w:rPr>
                  </w:pPr>
                  <w:r>
                    <w:rPr>
                      <w:color w:val="auto"/>
                      <w:highlight w:val="none"/>
                    </w:rPr>
                    <w:t>2001～2900</w:t>
                  </w:r>
                </w:p>
              </w:tc>
              <w:tc>
                <w:tcPr>
                  <w:tcW w:w="2152" w:type="pct"/>
                  <w:vAlign w:val="center"/>
                </w:tcPr>
                <w:p w14:paraId="354F79AA">
                  <w:pPr>
                    <w:pStyle w:val="41"/>
                    <w:rPr>
                      <w:color w:val="auto"/>
                      <w:highlight w:val="none"/>
                    </w:rPr>
                  </w:pPr>
                  <w:r>
                    <w:rPr>
                      <w:color w:val="auto"/>
                      <w:highlight w:val="none"/>
                    </w:rPr>
                    <w:t>钙处理-聚合物钻井液</w:t>
                  </w:r>
                </w:p>
              </w:tc>
            </w:tr>
            <w:tr w14:paraId="2615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6" w:type="pct"/>
                  <w:vMerge w:val="continue"/>
                  <w:vAlign w:val="center"/>
                </w:tcPr>
                <w:p w14:paraId="663A2FA8">
                  <w:pPr>
                    <w:pStyle w:val="41"/>
                    <w:rPr>
                      <w:color w:val="auto"/>
                      <w:highlight w:val="none"/>
                    </w:rPr>
                  </w:pPr>
                </w:p>
              </w:tc>
              <w:tc>
                <w:tcPr>
                  <w:tcW w:w="1189" w:type="pct"/>
                  <w:vMerge w:val="continue"/>
                  <w:vAlign w:val="center"/>
                </w:tcPr>
                <w:p w14:paraId="087294DE">
                  <w:pPr>
                    <w:pStyle w:val="41"/>
                    <w:rPr>
                      <w:color w:val="auto"/>
                      <w:highlight w:val="none"/>
                    </w:rPr>
                  </w:pPr>
                </w:p>
              </w:tc>
              <w:tc>
                <w:tcPr>
                  <w:tcW w:w="1091" w:type="pct"/>
                  <w:vAlign w:val="center"/>
                </w:tcPr>
                <w:p w14:paraId="4E06A5C5">
                  <w:pPr>
                    <w:pStyle w:val="41"/>
                    <w:rPr>
                      <w:color w:val="auto"/>
                      <w:highlight w:val="none"/>
                    </w:rPr>
                  </w:pPr>
                  <w:r>
                    <w:rPr>
                      <w:color w:val="auto"/>
                      <w:highlight w:val="none"/>
                    </w:rPr>
                    <w:t>2</w:t>
                  </w:r>
                  <w:r>
                    <w:rPr>
                      <w:rFonts w:hint="eastAsia"/>
                      <w:color w:val="auto"/>
                      <w:highlight w:val="none"/>
                    </w:rPr>
                    <w:t>900</w:t>
                  </w:r>
                  <w:r>
                    <w:rPr>
                      <w:color w:val="auto"/>
                      <w:highlight w:val="none"/>
                    </w:rPr>
                    <w:t>～</w:t>
                  </w:r>
                  <w:r>
                    <w:rPr>
                      <w:rFonts w:hint="eastAsia"/>
                      <w:color w:val="auto"/>
                      <w:highlight w:val="none"/>
                    </w:rPr>
                    <w:t>4732</w:t>
                  </w:r>
                </w:p>
              </w:tc>
              <w:tc>
                <w:tcPr>
                  <w:tcW w:w="2152" w:type="pct"/>
                  <w:vAlign w:val="center"/>
                </w:tcPr>
                <w:p w14:paraId="40B36AEF">
                  <w:pPr>
                    <w:pStyle w:val="41"/>
                    <w:rPr>
                      <w:color w:val="auto"/>
                      <w:highlight w:val="none"/>
                    </w:rPr>
                  </w:pPr>
                  <w:r>
                    <w:rPr>
                      <w:color w:val="auto"/>
                      <w:highlight w:val="none"/>
                    </w:rPr>
                    <w:t>复合盐</w:t>
                  </w:r>
                  <w:r>
                    <w:rPr>
                      <w:rFonts w:hint="eastAsia"/>
                      <w:color w:val="auto"/>
                      <w:highlight w:val="none"/>
                    </w:rPr>
                    <w:t>（</w:t>
                  </w:r>
                  <w:r>
                    <w:rPr>
                      <w:color w:val="auto"/>
                      <w:highlight w:val="none"/>
                    </w:rPr>
                    <w:t>润滑</w:t>
                  </w:r>
                  <w:r>
                    <w:rPr>
                      <w:rFonts w:hint="eastAsia"/>
                      <w:color w:val="auto"/>
                      <w:highlight w:val="none"/>
                    </w:rPr>
                    <w:t>）</w:t>
                  </w:r>
                  <w:r>
                    <w:rPr>
                      <w:color w:val="auto"/>
                      <w:highlight w:val="none"/>
                    </w:rPr>
                    <w:t>封堵防塌钻井液</w:t>
                  </w:r>
                </w:p>
              </w:tc>
            </w:tr>
            <w:tr w14:paraId="1AA5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66" w:type="pct"/>
                  <w:vAlign w:val="center"/>
                </w:tcPr>
                <w:p w14:paraId="1843B4BB">
                  <w:pPr>
                    <w:pStyle w:val="41"/>
                    <w:rPr>
                      <w:color w:val="auto"/>
                      <w:highlight w:val="none"/>
                    </w:rPr>
                  </w:pPr>
                  <w:r>
                    <w:rPr>
                      <w:color w:val="auto"/>
                      <w:highlight w:val="none"/>
                    </w:rPr>
                    <w:t>三开</w:t>
                  </w:r>
                </w:p>
              </w:tc>
              <w:tc>
                <w:tcPr>
                  <w:tcW w:w="1189" w:type="pct"/>
                  <w:vAlign w:val="center"/>
                </w:tcPr>
                <w:p w14:paraId="2B7FF1CF">
                  <w:pPr>
                    <w:pStyle w:val="41"/>
                    <w:rPr>
                      <w:color w:val="auto"/>
                      <w:highlight w:val="none"/>
                    </w:rPr>
                  </w:pPr>
                  <w:r>
                    <w:rPr>
                      <w:color w:val="auto"/>
                      <w:highlight w:val="none"/>
                    </w:rPr>
                    <w:t>Φ215.9</w:t>
                  </w:r>
                </w:p>
              </w:tc>
              <w:tc>
                <w:tcPr>
                  <w:tcW w:w="1091" w:type="pct"/>
                  <w:vAlign w:val="center"/>
                </w:tcPr>
                <w:p w14:paraId="3A618AF0">
                  <w:pPr>
                    <w:pStyle w:val="41"/>
                    <w:rPr>
                      <w:color w:val="auto"/>
                      <w:highlight w:val="none"/>
                    </w:rPr>
                  </w:pPr>
                  <w:r>
                    <w:rPr>
                      <w:rFonts w:hint="eastAsia"/>
                      <w:color w:val="auto"/>
                      <w:highlight w:val="none"/>
                    </w:rPr>
                    <w:t>4732</w:t>
                  </w:r>
                  <w:r>
                    <w:rPr>
                      <w:color w:val="auto"/>
                      <w:highlight w:val="none"/>
                    </w:rPr>
                    <w:t>～</w:t>
                  </w:r>
                  <w:r>
                    <w:rPr>
                      <w:rFonts w:hint="eastAsia"/>
                      <w:color w:val="auto"/>
                      <w:highlight w:val="none"/>
                    </w:rPr>
                    <w:t>8478.84</w:t>
                  </w:r>
                </w:p>
              </w:tc>
              <w:tc>
                <w:tcPr>
                  <w:tcW w:w="2152" w:type="pct"/>
                  <w:vAlign w:val="center"/>
                </w:tcPr>
                <w:p w14:paraId="0156C0FE">
                  <w:pPr>
                    <w:pStyle w:val="41"/>
                    <w:rPr>
                      <w:color w:val="auto"/>
                      <w:highlight w:val="none"/>
                    </w:rPr>
                  </w:pPr>
                  <w:r>
                    <w:rPr>
                      <w:color w:val="auto"/>
                      <w:highlight w:val="none"/>
                    </w:rPr>
                    <w:t>合成基钻井液</w:t>
                  </w:r>
                </w:p>
              </w:tc>
            </w:tr>
          </w:tbl>
          <w:p w14:paraId="37013BDF">
            <w:pPr>
              <w:pStyle w:val="3"/>
              <w:ind w:firstLine="420"/>
              <w:rPr>
                <w:color w:val="auto"/>
                <w:sz w:val="21"/>
                <w:highlight w:val="none"/>
              </w:rPr>
            </w:pPr>
          </w:p>
          <w:p w14:paraId="77555B75">
            <w:pPr>
              <w:pStyle w:val="13"/>
              <w:bidi w:val="0"/>
              <w:rPr>
                <w:color w:val="auto"/>
                <w:szCs w:val="18"/>
                <w:highlight w:val="none"/>
              </w:rPr>
            </w:pPr>
            <w:bookmarkStart w:id="31" w:name="_Ref205986661"/>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18</w:t>
            </w:r>
            <w:r>
              <w:rPr>
                <w:rFonts w:hint="eastAsia"/>
                <w:color w:val="auto"/>
                <w:highlight w:val="none"/>
              </w:rPr>
              <w:fldChar w:fldCharType="end"/>
            </w:r>
            <w:bookmarkEnd w:id="31"/>
            <w:r>
              <w:rPr>
                <w:rFonts w:hint="eastAsia"/>
                <w:color w:val="auto"/>
                <w:highlight w:val="none"/>
              </w:rPr>
              <w:t xml:space="preserve">  本项目钻井液材料一览表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3026"/>
              <w:gridCol w:w="796"/>
              <w:gridCol w:w="1110"/>
              <w:gridCol w:w="987"/>
              <w:gridCol w:w="1141"/>
            </w:tblGrid>
            <w:tr w14:paraId="2E577A56">
              <w:tblPrEx>
                <w:tblCellMar>
                  <w:top w:w="0" w:type="dxa"/>
                  <w:left w:w="108" w:type="dxa"/>
                  <w:bottom w:w="0" w:type="dxa"/>
                  <w:right w:w="108" w:type="dxa"/>
                </w:tblCellMar>
              </w:tblPrEx>
              <w:trPr>
                <w:trHeight w:val="532" w:hRule="exact"/>
                <w:jc w:val="center"/>
              </w:trPr>
              <w:tc>
                <w:tcPr>
                  <w:tcW w:w="308" w:type="pct"/>
                  <w:vAlign w:val="center"/>
                </w:tcPr>
                <w:p w14:paraId="351FEBE8">
                  <w:pPr>
                    <w:pStyle w:val="41"/>
                    <w:rPr>
                      <w:color w:val="auto"/>
                      <w:highlight w:val="none"/>
                    </w:rPr>
                  </w:pPr>
                  <w:r>
                    <w:rPr>
                      <w:color w:val="auto"/>
                      <w:highlight w:val="none"/>
                    </w:rPr>
                    <w:t>序号</w:t>
                  </w:r>
                </w:p>
              </w:tc>
              <w:tc>
                <w:tcPr>
                  <w:tcW w:w="2010" w:type="pct"/>
                  <w:vAlign w:val="center"/>
                </w:tcPr>
                <w:p w14:paraId="14781EB3">
                  <w:pPr>
                    <w:pStyle w:val="41"/>
                    <w:rPr>
                      <w:color w:val="auto"/>
                      <w:highlight w:val="none"/>
                    </w:rPr>
                  </w:pPr>
                  <w:r>
                    <w:rPr>
                      <w:color w:val="auto"/>
                      <w:highlight w:val="none"/>
                    </w:rPr>
                    <w:t>材料名称或代号</w:t>
                  </w:r>
                </w:p>
              </w:tc>
              <w:tc>
                <w:tcPr>
                  <w:tcW w:w="528" w:type="pct"/>
                  <w:vAlign w:val="center"/>
                </w:tcPr>
                <w:p w14:paraId="12D0639C">
                  <w:pPr>
                    <w:pStyle w:val="41"/>
                    <w:rPr>
                      <w:color w:val="auto"/>
                      <w:highlight w:val="none"/>
                    </w:rPr>
                  </w:pPr>
                  <w:r>
                    <w:rPr>
                      <w:color w:val="auto"/>
                      <w:highlight w:val="none"/>
                    </w:rPr>
                    <w:t>一开</w:t>
                  </w:r>
                </w:p>
                <w:p w14:paraId="3F164731">
                  <w:pPr>
                    <w:pStyle w:val="41"/>
                    <w:rPr>
                      <w:color w:val="auto"/>
                      <w:highlight w:val="none"/>
                    </w:rPr>
                  </w:pPr>
                  <w:r>
                    <w:rPr>
                      <w:color w:val="auto"/>
                      <w:highlight w:val="none"/>
                    </w:rPr>
                    <w:t>（t）</w:t>
                  </w:r>
                </w:p>
              </w:tc>
              <w:tc>
                <w:tcPr>
                  <w:tcW w:w="737" w:type="pct"/>
                  <w:vAlign w:val="center"/>
                </w:tcPr>
                <w:p w14:paraId="35FE7675">
                  <w:pPr>
                    <w:pStyle w:val="41"/>
                    <w:rPr>
                      <w:color w:val="auto"/>
                      <w:highlight w:val="none"/>
                    </w:rPr>
                  </w:pPr>
                  <w:r>
                    <w:rPr>
                      <w:color w:val="auto"/>
                      <w:highlight w:val="none"/>
                    </w:rPr>
                    <w:t>二开</w:t>
                  </w:r>
                </w:p>
                <w:p w14:paraId="55C961D4">
                  <w:pPr>
                    <w:pStyle w:val="41"/>
                    <w:rPr>
                      <w:color w:val="auto"/>
                      <w:highlight w:val="none"/>
                    </w:rPr>
                  </w:pPr>
                  <w:r>
                    <w:rPr>
                      <w:color w:val="auto"/>
                      <w:highlight w:val="none"/>
                    </w:rPr>
                    <w:t>（t）</w:t>
                  </w:r>
                </w:p>
              </w:tc>
              <w:tc>
                <w:tcPr>
                  <w:tcW w:w="655" w:type="pct"/>
                  <w:vAlign w:val="center"/>
                </w:tcPr>
                <w:p w14:paraId="512F284C">
                  <w:pPr>
                    <w:pStyle w:val="41"/>
                    <w:rPr>
                      <w:color w:val="auto"/>
                      <w:highlight w:val="none"/>
                    </w:rPr>
                  </w:pPr>
                  <w:r>
                    <w:rPr>
                      <w:color w:val="auto"/>
                      <w:highlight w:val="none"/>
                    </w:rPr>
                    <w:t>三开</w:t>
                  </w:r>
                </w:p>
                <w:p w14:paraId="772A4809">
                  <w:pPr>
                    <w:pStyle w:val="41"/>
                    <w:rPr>
                      <w:color w:val="auto"/>
                      <w:highlight w:val="none"/>
                    </w:rPr>
                  </w:pPr>
                  <w:r>
                    <w:rPr>
                      <w:color w:val="auto"/>
                      <w:highlight w:val="none"/>
                    </w:rPr>
                    <w:t>（t）</w:t>
                  </w:r>
                </w:p>
              </w:tc>
              <w:tc>
                <w:tcPr>
                  <w:tcW w:w="758" w:type="pct"/>
                  <w:vAlign w:val="center"/>
                </w:tcPr>
                <w:p w14:paraId="622CF3D1">
                  <w:pPr>
                    <w:pStyle w:val="41"/>
                    <w:rPr>
                      <w:color w:val="auto"/>
                      <w:highlight w:val="none"/>
                    </w:rPr>
                  </w:pPr>
                  <w:r>
                    <w:rPr>
                      <w:color w:val="auto"/>
                      <w:highlight w:val="none"/>
                    </w:rPr>
                    <w:t>合计</w:t>
                  </w:r>
                </w:p>
                <w:p w14:paraId="3717C48D">
                  <w:pPr>
                    <w:pStyle w:val="41"/>
                    <w:rPr>
                      <w:color w:val="auto"/>
                      <w:highlight w:val="none"/>
                    </w:rPr>
                  </w:pPr>
                  <w:r>
                    <w:rPr>
                      <w:color w:val="auto"/>
                      <w:highlight w:val="none"/>
                    </w:rPr>
                    <w:t>（t）</w:t>
                  </w:r>
                </w:p>
              </w:tc>
            </w:tr>
            <w:tr w14:paraId="744E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6881EB68">
                  <w:pPr>
                    <w:pStyle w:val="41"/>
                    <w:rPr>
                      <w:color w:val="auto"/>
                      <w:highlight w:val="none"/>
                    </w:rPr>
                  </w:pPr>
                  <w:r>
                    <w:rPr>
                      <w:color w:val="auto"/>
                      <w:highlight w:val="none"/>
                    </w:rPr>
                    <w:t>1</w:t>
                  </w:r>
                </w:p>
              </w:tc>
              <w:tc>
                <w:tcPr>
                  <w:tcW w:w="2010" w:type="pct"/>
                  <w:vAlign w:val="center"/>
                </w:tcPr>
                <w:p w14:paraId="0DC3A88B">
                  <w:pPr>
                    <w:pStyle w:val="41"/>
                    <w:rPr>
                      <w:color w:val="auto"/>
                      <w:highlight w:val="none"/>
                    </w:rPr>
                  </w:pPr>
                  <w:r>
                    <w:rPr>
                      <w:color w:val="auto"/>
                      <w:highlight w:val="none"/>
                    </w:rPr>
                    <w:t>膨润土</w:t>
                  </w:r>
                </w:p>
              </w:tc>
              <w:tc>
                <w:tcPr>
                  <w:tcW w:w="528" w:type="pct"/>
                  <w:vAlign w:val="center"/>
                </w:tcPr>
                <w:p w14:paraId="2CFA3CE7">
                  <w:pPr>
                    <w:pStyle w:val="41"/>
                    <w:rPr>
                      <w:color w:val="auto"/>
                      <w:highlight w:val="none"/>
                    </w:rPr>
                  </w:pPr>
                  <w:r>
                    <w:rPr>
                      <w:color w:val="auto"/>
                      <w:highlight w:val="none"/>
                    </w:rPr>
                    <w:t>30</w:t>
                  </w:r>
                </w:p>
              </w:tc>
              <w:tc>
                <w:tcPr>
                  <w:tcW w:w="737" w:type="pct"/>
                  <w:vAlign w:val="center"/>
                </w:tcPr>
                <w:p w14:paraId="2533E4E3">
                  <w:pPr>
                    <w:pStyle w:val="41"/>
                    <w:rPr>
                      <w:color w:val="auto"/>
                      <w:highlight w:val="none"/>
                    </w:rPr>
                  </w:pPr>
                  <w:r>
                    <w:rPr>
                      <w:rFonts w:hint="eastAsia"/>
                      <w:color w:val="auto"/>
                      <w:highlight w:val="none"/>
                    </w:rPr>
                    <w:t>30</w:t>
                  </w:r>
                </w:p>
              </w:tc>
              <w:tc>
                <w:tcPr>
                  <w:tcW w:w="655" w:type="pct"/>
                  <w:vAlign w:val="center"/>
                </w:tcPr>
                <w:p w14:paraId="3C4EACE1">
                  <w:pPr>
                    <w:pStyle w:val="41"/>
                    <w:rPr>
                      <w:color w:val="auto"/>
                      <w:highlight w:val="none"/>
                    </w:rPr>
                  </w:pPr>
                </w:p>
              </w:tc>
              <w:tc>
                <w:tcPr>
                  <w:tcW w:w="758" w:type="pct"/>
                  <w:vAlign w:val="center"/>
                </w:tcPr>
                <w:p w14:paraId="510880D1">
                  <w:pPr>
                    <w:pStyle w:val="41"/>
                    <w:rPr>
                      <w:color w:val="auto"/>
                      <w:highlight w:val="none"/>
                    </w:rPr>
                  </w:pPr>
                  <w:r>
                    <w:rPr>
                      <w:color w:val="auto"/>
                      <w:highlight w:val="none"/>
                    </w:rPr>
                    <w:t>60</w:t>
                  </w:r>
                </w:p>
              </w:tc>
            </w:tr>
            <w:tr w14:paraId="1961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6AE601A3">
                  <w:pPr>
                    <w:pStyle w:val="41"/>
                    <w:rPr>
                      <w:color w:val="auto"/>
                      <w:highlight w:val="none"/>
                    </w:rPr>
                  </w:pPr>
                  <w:r>
                    <w:rPr>
                      <w:color w:val="auto"/>
                      <w:highlight w:val="none"/>
                    </w:rPr>
                    <w:t>2</w:t>
                  </w:r>
                </w:p>
              </w:tc>
              <w:tc>
                <w:tcPr>
                  <w:tcW w:w="2010" w:type="pct"/>
                  <w:vAlign w:val="center"/>
                </w:tcPr>
                <w:p w14:paraId="090648E8">
                  <w:pPr>
                    <w:pStyle w:val="41"/>
                    <w:rPr>
                      <w:color w:val="auto"/>
                      <w:highlight w:val="none"/>
                    </w:rPr>
                  </w:pPr>
                  <w:r>
                    <w:rPr>
                      <w:color w:val="auto"/>
                      <w:highlight w:val="none"/>
                    </w:rPr>
                    <w:t>工业用氢氧化钠</w:t>
                  </w:r>
                </w:p>
              </w:tc>
              <w:tc>
                <w:tcPr>
                  <w:tcW w:w="528" w:type="pct"/>
                  <w:vAlign w:val="center"/>
                </w:tcPr>
                <w:p w14:paraId="61044351">
                  <w:pPr>
                    <w:pStyle w:val="41"/>
                    <w:rPr>
                      <w:color w:val="auto"/>
                      <w:highlight w:val="none"/>
                    </w:rPr>
                  </w:pPr>
                  <w:r>
                    <w:rPr>
                      <w:rFonts w:hint="eastAsia"/>
                      <w:color w:val="auto"/>
                      <w:highlight w:val="none"/>
                    </w:rPr>
                    <w:t>2</w:t>
                  </w:r>
                </w:p>
              </w:tc>
              <w:tc>
                <w:tcPr>
                  <w:tcW w:w="737" w:type="pct"/>
                  <w:vAlign w:val="center"/>
                </w:tcPr>
                <w:p w14:paraId="050A7921">
                  <w:pPr>
                    <w:pStyle w:val="41"/>
                    <w:rPr>
                      <w:color w:val="auto"/>
                      <w:highlight w:val="none"/>
                    </w:rPr>
                  </w:pPr>
                  <w:r>
                    <w:rPr>
                      <w:rFonts w:hint="eastAsia"/>
                      <w:color w:val="auto"/>
                      <w:highlight w:val="none"/>
                    </w:rPr>
                    <w:t>10</w:t>
                  </w:r>
                </w:p>
              </w:tc>
              <w:tc>
                <w:tcPr>
                  <w:tcW w:w="655" w:type="pct"/>
                  <w:vAlign w:val="center"/>
                </w:tcPr>
                <w:p w14:paraId="5E9A1F01">
                  <w:pPr>
                    <w:pStyle w:val="41"/>
                    <w:rPr>
                      <w:color w:val="auto"/>
                      <w:highlight w:val="none"/>
                    </w:rPr>
                  </w:pPr>
                </w:p>
              </w:tc>
              <w:tc>
                <w:tcPr>
                  <w:tcW w:w="758" w:type="pct"/>
                  <w:vAlign w:val="center"/>
                </w:tcPr>
                <w:p w14:paraId="0EC4C31A">
                  <w:pPr>
                    <w:pStyle w:val="41"/>
                    <w:rPr>
                      <w:color w:val="auto"/>
                      <w:highlight w:val="none"/>
                    </w:rPr>
                  </w:pPr>
                  <w:r>
                    <w:rPr>
                      <w:rFonts w:hint="eastAsia"/>
                      <w:color w:val="auto"/>
                      <w:highlight w:val="none"/>
                    </w:rPr>
                    <w:t>12</w:t>
                  </w:r>
                </w:p>
              </w:tc>
            </w:tr>
            <w:tr w14:paraId="3829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7DBAB7C7">
                  <w:pPr>
                    <w:pStyle w:val="41"/>
                    <w:rPr>
                      <w:color w:val="auto"/>
                      <w:highlight w:val="none"/>
                    </w:rPr>
                  </w:pPr>
                  <w:r>
                    <w:rPr>
                      <w:color w:val="auto"/>
                      <w:highlight w:val="none"/>
                    </w:rPr>
                    <w:t>3</w:t>
                  </w:r>
                </w:p>
              </w:tc>
              <w:tc>
                <w:tcPr>
                  <w:tcW w:w="2010" w:type="pct"/>
                  <w:vAlign w:val="center"/>
                </w:tcPr>
                <w:p w14:paraId="1E0AF65E">
                  <w:pPr>
                    <w:pStyle w:val="41"/>
                    <w:rPr>
                      <w:color w:val="auto"/>
                      <w:highlight w:val="none"/>
                    </w:rPr>
                  </w:pPr>
                  <w:r>
                    <w:rPr>
                      <w:color w:val="auto"/>
                      <w:highlight w:val="none"/>
                    </w:rPr>
                    <w:t>碳酸钠</w:t>
                  </w:r>
                </w:p>
              </w:tc>
              <w:tc>
                <w:tcPr>
                  <w:tcW w:w="528" w:type="pct"/>
                  <w:vAlign w:val="center"/>
                </w:tcPr>
                <w:p w14:paraId="2F4C5639">
                  <w:pPr>
                    <w:pStyle w:val="41"/>
                    <w:rPr>
                      <w:color w:val="auto"/>
                      <w:highlight w:val="none"/>
                    </w:rPr>
                  </w:pPr>
                  <w:r>
                    <w:rPr>
                      <w:rFonts w:hint="eastAsia"/>
                      <w:color w:val="auto"/>
                      <w:highlight w:val="none"/>
                    </w:rPr>
                    <w:t>3</w:t>
                  </w:r>
                </w:p>
              </w:tc>
              <w:tc>
                <w:tcPr>
                  <w:tcW w:w="737" w:type="pct"/>
                  <w:vAlign w:val="center"/>
                </w:tcPr>
                <w:p w14:paraId="36F0D588">
                  <w:pPr>
                    <w:pStyle w:val="41"/>
                    <w:rPr>
                      <w:color w:val="auto"/>
                      <w:highlight w:val="none"/>
                    </w:rPr>
                  </w:pPr>
                  <w:r>
                    <w:rPr>
                      <w:rFonts w:hint="eastAsia"/>
                      <w:color w:val="auto"/>
                      <w:highlight w:val="none"/>
                    </w:rPr>
                    <w:t>3</w:t>
                  </w:r>
                </w:p>
              </w:tc>
              <w:tc>
                <w:tcPr>
                  <w:tcW w:w="655" w:type="pct"/>
                  <w:vAlign w:val="center"/>
                </w:tcPr>
                <w:p w14:paraId="170CAE1E">
                  <w:pPr>
                    <w:pStyle w:val="41"/>
                    <w:rPr>
                      <w:color w:val="auto"/>
                      <w:highlight w:val="none"/>
                    </w:rPr>
                  </w:pPr>
                </w:p>
              </w:tc>
              <w:tc>
                <w:tcPr>
                  <w:tcW w:w="758" w:type="pct"/>
                  <w:vAlign w:val="center"/>
                </w:tcPr>
                <w:p w14:paraId="7CC29312">
                  <w:pPr>
                    <w:pStyle w:val="41"/>
                    <w:rPr>
                      <w:color w:val="auto"/>
                      <w:highlight w:val="none"/>
                    </w:rPr>
                  </w:pPr>
                  <w:r>
                    <w:rPr>
                      <w:color w:val="auto"/>
                      <w:highlight w:val="none"/>
                    </w:rPr>
                    <w:t>6</w:t>
                  </w:r>
                </w:p>
              </w:tc>
            </w:tr>
            <w:tr w14:paraId="5E5D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5B0BFE5E">
                  <w:pPr>
                    <w:pStyle w:val="41"/>
                    <w:rPr>
                      <w:color w:val="auto"/>
                      <w:highlight w:val="none"/>
                    </w:rPr>
                  </w:pPr>
                  <w:r>
                    <w:rPr>
                      <w:color w:val="auto"/>
                      <w:highlight w:val="none"/>
                    </w:rPr>
                    <w:t>4</w:t>
                  </w:r>
                </w:p>
              </w:tc>
              <w:tc>
                <w:tcPr>
                  <w:tcW w:w="2010" w:type="pct"/>
                  <w:vAlign w:val="center"/>
                </w:tcPr>
                <w:p w14:paraId="4E6FC6EF">
                  <w:pPr>
                    <w:pStyle w:val="41"/>
                    <w:rPr>
                      <w:color w:val="auto"/>
                      <w:highlight w:val="none"/>
                    </w:rPr>
                  </w:pPr>
                  <w:r>
                    <w:rPr>
                      <w:color w:val="auto"/>
                      <w:highlight w:val="none"/>
                    </w:rPr>
                    <w:t>钻井液用聚丙烯酰胺干粉</w:t>
                  </w:r>
                </w:p>
              </w:tc>
              <w:tc>
                <w:tcPr>
                  <w:tcW w:w="528" w:type="pct"/>
                  <w:vAlign w:val="center"/>
                </w:tcPr>
                <w:p w14:paraId="3AD02F44">
                  <w:pPr>
                    <w:pStyle w:val="41"/>
                    <w:rPr>
                      <w:color w:val="auto"/>
                      <w:highlight w:val="none"/>
                    </w:rPr>
                  </w:pPr>
                  <w:r>
                    <w:rPr>
                      <w:rFonts w:hint="eastAsia"/>
                      <w:color w:val="auto"/>
                      <w:highlight w:val="none"/>
                    </w:rPr>
                    <w:t>1</w:t>
                  </w:r>
                </w:p>
              </w:tc>
              <w:tc>
                <w:tcPr>
                  <w:tcW w:w="737" w:type="pct"/>
                  <w:vAlign w:val="center"/>
                </w:tcPr>
                <w:p w14:paraId="38881747">
                  <w:pPr>
                    <w:pStyle w:val="41"/>
                    <w:rPr>
                      <w:color w:val="auto"/>
                      <w:highlight w:val="none"/>
                    </w:rPr>
                  </w:pPr>
                  <w:r>
                    <w:rPr>
                      <w:rFonts w:hint="eastAsia"/>
                      <w:color w:val="auto"/>
                      <w:highlight w:val="none"/>
                    </w:rPr>
                    <w:t>5</w:t>
                  </w:r>
                </w:p>
              </w:tc>
              <w:tc>
                <w:tcPr>
                  <w:tcW w:w="655" w:type="pct"/>
                  <w:vAlign w:val="center"/>
                </w:tcPr>
                <w:p w14:paraId="36B71EA5">
                  <w:pPr>
                    <w:pStyle w:val="41"/>
                    <w:rPr>
                      <w:color w:val="auto"/>
                      <w:highlight w:val="none"/>
                    </w:rPr>
                  </w:pPr>
                </w:p>
              </w:tc>
              <w:tc>
                <w:tcPr>
                  <w:tcW w:w="758" w:type="pct"/>
                  <w:vAlign w:val="center"/>
                </w:tcPr>
                <w:p w14:paraId="6785137A">
                  <w:pPr>
                    <w:pStyle w:val="41"/>
                    <w:rPr>
                      <w:color w:val="auto"/>
                      <w:highlight w:val="none"/>
                    </w:rPr>
                  </w:pPr>
                  <w:r>
                    <w:rPr>
                      <w:rFonts w:hint="eastAsia"/>
                      <w:color w:val="auto"/>
                      <w:highlight w:val="none"/>
                    </w:rPr>
                    <w:t>6</w:t>
                  </w:r>
                </w:p>
              </w:tc>
            </w:tr>
            <w:tr w14:paraId="75D5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749CA8BF">
                  <w:pPr>
                    <w:pStyle w:val="41"/>
                    <w:rPr>
                      <w:color w:val="auto"/>
                      <w:highlight w:val="none"/>
                    </w:rPr>
                  </w:pPr>
                  <w:r>
                    <w:rPr>
                      <w:color w:val="auto"/>
                      <w:highlight w:val="none"/>
                    </w:rPr>
                    <w:t>5</w:t>
                  </w:r>
                </w:p>
              </w:tc>
              <w:tc>
                <w:tcPr>
                  <w:tcW w:w="2010" w:type="pct"/>
                  <w:vAlign w:val="center"/>
                </w:tcPr>
                <w:p w14:paraId="0B96EF0A">
                  <w:pPr>
                    <w:pStyle w:val="41"/>
                    <w:rPr>
                      <w:color w:val="auto"/>
                      <w:highlight w:val="none"/>
                    </w:rPr>
                  </w:pPr>
                  <w:r>
                    <w:rPr>
                      <w:color w:val="auto"/>
                      <w:highlight w:val="none"/>
                    </w:rPr>
                    <w:t>氯化钙</w:t>
                  </w:r>
                </w:p>
              </w:tc>
              <w:tc>
                <w:tcPr>
                  <w:tcW w:w="528" w:type="pct"/>
                  <w:vAlign w:val="center"/>
                </w:tcPr>
                <w:p w14:paraId="0DB811E7">
                  <w:pPr>
                    <w:pStyle w:val="41"/>
                    <w:rPr>
                      <w:color w:val="auto"/>
                      <w:highlight w:val="none"/>
                    </w:rPr>
                  </w:pPr>
                  <w:r>
                    <w:rPr>
                      <w:color w:val="auto"/>
                      <w:highlight w:val="none"/>
                    </w:rPr>
                    <w:t>25</w:t>
                  </w:r>
                </w:p>
              </w:tc>
              <w:tc>
                <w:tcPr>
                  <w:tcW w:w="737" w:type="pct"/>
                  <w:vAlign w:val="center"/>
                </w:tcPr>
                <w:p w14:paraId="482D6A7A">
                  <w:pPr>
                    <w:pStyle w:val="41"/>
                    <w:rPr>
                      <w:color w:val="auto"/>
                      <w:highlight w:val="none"/>
                    </w:rPr>
                  </w:pPr>
                </w:p>
              </w:tc>
              <w:tc>
                <w:tcPr>
                  <w:tcW w:w="655" w:type="pct"/>
                  <w:vAlign w:val="center"/>
                </w:tcPr>
                <w:p w14:paraId="3C96E109">
                  <w:pPr>
                    <w:pStyle w:val="41"/>
                    <w:rPr>
                      <w:color w:val="auto"/>
                      <w:highlight w:val="none"/>
                    </w:rPr>
                  </w:pPr>
                </w:p>
              </w:tc>
              <w:tc>
                <w:tcPr>
                  <w:tcW w:w="758" w:type="pct"/>
                  <w:vAlign w:val="center"/>
                </w:tcPr>
                <w:p w14:paraId="4EBD697E">
                  <w:pPr>
                    <w:pStyle w:val="41"/>
                    <w:rPr>
                      <w:color w:val="auto"/>
                      <w:highlight w:val="none"/>
                    </w:rPr>
                  </w:pPr>
                  <w:r>
                    <w:rPr>
                      <w:color w:val="auto"/>
                      <w:highlight w:val="none"/>
                    </w:rPr>
                    <w:t>25</w:t>
                  </w:r>
                </w:p>
              </w:tc>
            </w:tr>
            <w:tr w14:paraId="62FF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1D39A3B1">
                  <w:pPr>
                    <w:pStyle w:val="41"/>
                    <w:rPr>
                      <w:color w:val="auto"/>
                      <w:highlight w:val="none"/>
                    </w:rPr>
                  </w:pPr>
                  <w:r>
                    <w:rPr>
                      <w:color w:val="auto"/>
                      <w:highlight w:val="none"/>
                    </w:rPr>
                    <w:t>6</w:t>
                  </w:r>
                </w:p>
              </w:tc>
              <w:tc>
                <w:tcPr>
                  <w:tcW w:w="2010" w:type="pct"/>
                  <w:vAlign w:val="center"/>
                </w:tcPr>
                <w:p w14:paraId="052CCEB3">
                  <w:pPr>
                    <w:pStyle w:val="41"/>
                    <w:rPr>
                      <w:color w:val="auto"/>
                      <w:highlight w:val="none"/>
                    </w:rPr>
                  </w:pPr>
                  <w:r>
                    <w:rPr>
                      <w:color w:val="auto"/>
                      <w:highlight w:val="none"/>
                    </w:rPr>
                    <w:t>氯化钠</w:t>
                  </w:r>
                </w:p>
              </w:tc>
              <w:tc>
                <w:tcPr>
                  <w:tcW w:w="528" w:type="pct"/>
                  <w:vAlign w:val="center"/>
                </w:tcPr>
                <w:p w14:paraId="014DC1C2">
                  <w:pPr>
                    <w:pStyle w:val="41"/>
                    <w:rPr>
                      <w:color w:val="auto"/>
                      <w:highlight w:val="none"/>
                    </w:rPr>
                  </w:pPr>
                </w:p>
              </w:tc>
              <w:tc>
                <w:tcPr>
                  <w:tcW w:w="737" w:type="pct"/>
                  <w:vAlign w:val="center"/>
                </w:tcPr>
                <w:p w14:paraId="617A4DD0">
                  <w:pPr>
                    <w:pStyle w:val="41"/>
                    <w:rPr>
                      <w:color w:val="auto"/>
                      <w:highlight w:val="none"/>
                    </w:rPr>
                  </w:pPr>
                  <w:r>
                    <w:rPr>
                      <w:color w:val="auto"/>
                      <w:highlight w:val="none"/>
                    </w:rPr>
                    <w:t>100</w:t>
                  </w:r>
                </w:p>
              </w:tc>
              <w:tc>
                <w:tcPr>
                  <w:tcW w:w="655" w:type="pct"/>
                  <w:vAlign w:val="center"/>
                </w:tcPr>
                <w:p w14:paraId="3A9B1AD8">
                  <w:pPr>
                    <w:pStyle w:val="41"/>
                    <w:rPr>
                      <w:color w:val="auto"/>
                      <w:highlight w:val="none"/>
                    </w:rPr>
                  </w:pPr>
                </w:p>
              </w:tc>
              <w:tc>
                <w:tcPr>
                  <w:tcW w:w="758" w:type="pct"/>
                  <w:vAlign w:val="center"/>
                </w:tcPr>
                <w:p w14:paraId="6F777308">
                  <w:pPr>
                    <w:pStyle w:val="41"/>
                    <w:rPr>
                      <w:color w:val="auto"/>
                      <w:highlight w:val="none"/>
                    </w:rPr>
                  </w:pPr>
                  <w:r>
                    <w:rPr>
                      <w:color w:val="auto"/>
                      <w:highlight w:val="none"/>
                    </w:rPr>
                    <w:t>100</w:t>
                  </w:r>
                </w:p>
              </w:tc>
            </w:tr>
            <w:tr w14:paraId="29E2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61698D6F">
                  <w:pPr>
                    <w:pStyle w:val="41"/>
                    <w:rPr>
                      <w:color w:val="auto"/>
                      <w:highlight w:val="none"/>
                    </w:rPr>
                  </w:pPr>
                  <w:r>
                    <w:rPr>
                      <w:color w:val="auto"/>
                      <w:highlight w:val="none"/>
                    </w:rPr>
                    <w:t>7</w:t>
                  </w:r>
                </w:p>
              </w:tc>
              <w:tc>
                <w:tcPr>
                  <w:tcW w:w="2010" w:type="pct"/>
                  <w:vAlign w:val="center"/>
                </w:tcPr>
                <w:p w14:paraId="731E2A49">
                  <w:pPr>
                    <w:pStyle w:val="41"/>
                    <w:rPr>
                      <w:color w:val="auto"/>
                      <w:highlight w:val="none"/>
                    </w:rPr>
                  </w:pPr>
                  <w:r>
                    <w:rPr>
                      <w:color w:val="auto"/>
                      <w:highlight w:val="none"/>
                    </w:rPr>
                    <w:t>氯化钾</w:t>
                  </w:r>
                </w:p>
              </w:tc>
              <w:tc>
                <w:tcPr>
                  <w:tcW w:w="528" w:type="pct"/>
                  <w:vAlign w:val="center"/>
                </w:tcPr>
                <w:p w14:paraId="7EAA5FA2">
                  <w:pPr>
                    <w:pStyle w:val="41"/>
                    <w:rPr>
                      <w:color w:val="auto"/>
                      <w:highlight w:val="none"/>
                    </w:rPr>
                  </w:pPr>
                </w:p>
              </w:tc>
              <w:tc>
                <w:tcPr>
                  <w:tcW w:w="737" w:type="pct"/>
                  <w:vAlign w:val="center"/>
                </w:tcPr>
                <w:p w14:paraId="17F74BF7">
                  <w:pPr>
                    <w:pStyle w:val="41"/>
                    <w:rPr>
                      <w:color w:val="auto"/>
                      <w:highlight w:val="none"/>
                    </w:rPr>
                  </w:pPr>
                  <w:r>
                    <w:rPr>
                      <w:rFonts w:hint="eastAsia"/>
                      <w:color w:val="auto"/>
                      <w:highlight w:val="none"/>
                    </w:rPr>
                    <w:t>60</w:t>
                  </w:r>
                </w:p>
              </w:tc>
              <w:tc>
                <w:tcPr>
                  <w:tcW w:w="655" w:type="pct"/>
                  <w:vAlign w:val="center"/>
                </w:tcPr>
                <w:p w14:paraId="2C30D255">
                  <w:pPr>
                    <w:pStyle w:val="41"/>
                    <w:rPr>
                      <w:color w:val="auto"/>
                      <w:highlight w:val="none"/>
                    </w:rPr>
                  </w:pPr>
                </w:p>
              </w:tc>
              <w:tc>
                <w:tcPr>
                  <w:tcW w:w="758" w:type="pct"/>
                  <w:vAlign w:val="center"/>
                </w:tcPr>
                <w:p w14:paraId="11A1B07C">
                  <w:pPr>
                    <w:pStyle w:val="41"/>
                    <w:rPr>
                      <w:color w:val="auto"/>
                      <w:highlight w:val="none"/>
                    </w:rPr>
                  </w:pPr>
                  <w:r>
                    <w:rPr>
                      <w:rFonts w:hint="eastAsia"/>
                      <w:color w:val="auto"/>
                      <w:highlight w:val="none"/>
                    </w:rPr>
                    <w:t>60</w:t>
                  </w:r>
                </w:p>
              </w:tc>
            </w:tr>
            <w:tr w14:paraId="3C2F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57E4632E">
                  <w:pPr>
                    <w:pStyle w:val="41"/>
                    <w:rPr>
                      <w:color w:val="auto"/>
                      <w:highlight w:val="none"/>
                    </w:rPr>
                  </w:pPr>
                  <w:r>
                    <w:rPr>
                      <w:color w:val="auto"/>
                      <w:highlight w:val="none"/>
                    </w:rPr>
                    <w:t>8</w:t>
                  </w:r>
                </w:p>
              </w:tc>
              <w:tc>
                <w:tcPr>
                  <w:tcW w:w="2010" w:type="pct"/>
                  <w:vAlign w:val="center"/>
                </w:tcPr>
                <w:p w14:paraId="37DBDC08">
                  <w:pPr>
                    <w:pStyle w:val="41"/>
                    <w:rPr>
                      <w:color w:val="auto"/>
                      <w:highlight w:val="none"/>
                    </w:rPr>
                  </w:pPr>
                  <w:r>
                    <w:rPr>
                      <w:color w:val="auto"/>
                      <w:highlight w:val="none"/>
                    </w:rPr>
                    <w:t>钻井液用胺基聚醇（或胺基硅醇）</w:t>
                  </w:r>
                </w:p>
              </w:tc>
              <w:tc>
                <w:tcPr>
                  <w:tcW w:w="528" w:type="pct"/>
                  <w:vAlign w:val="center"/>
                </w:tcPr>
                <w:p w14:paraId="74C1A696">
                  <w:pPr>
                    <w:pStyle w:val="41"/>
                    <w:rPr>
                      <w:color w:val="auto"/>
                      <w:highlight w:val="none"/>
                    </w:rPr>
                  </w:pPr>
                </w:p>
              </w:tc>
              <w:tc>
                <w:tcPr>
                  <w:tcW w:w="737" w:type="pct"/>
                  <w:vAlign w:val="center"/>
                </w:tcPr>
                <w:p w14:paraId="02ACBEC3">
                  <w:pPr>
                    <w:pStyle w:val="41"/>
                    <w:rPr>
                      <w:color w:val="auto"/>
                      <w:highlight w:val="none"/>
                    </w:rPr>
                  </w:pPr>
                  <w:r>
                    <w:rPr>
                      <w:rFonts w:hint="eastAsia"/>
                      <w:color w:val="auto"/>
                      <w:highlight w:val="none"/>
                    </w:rPr>
                    <w:t>8</w:t>
                  </w:r>
                </w:p>
              </w:tc>
              <w:tc>
                <w:tcPr>
                  <w:tcW w:w="655" w:type="pct"/>
                  <w:vAlign w:val="center"/>
                </w:tcPr>
                <w:p w14:paraId="75724B24">
                  <w:pPr>
                    <w:pStyle w:val="41"/>
                    <w:rPr>
                      <w:color w:val="auto"/>
                      <w:highlight w:val="none"/>
                    </w:rPr>
                  </w:pPr>
                </w:p>
              </w:tc>
              <w:tc>
                <w:tcPr>
                  <w:tcW w:w="758" w:type="pct"/>
                  <w:vAlign w:val="center"/>
                </w:tcPr>
                <w:p w14:paraId="604540F8">
                  <w:pPr>
                    <w:pStyle w:val="41"/>
                    <w:rPr>
                      <w:color w:val="auto"/>
                      <w:highlight w:val="none"/>
                    </w:rPr>
                  </w:pPr>
                  <w:r>
                    <w:rPr>
                      <w:rFonts w:hint="eastAsia"/>
                      <w:color w:val="auto"/>
                      <w:highlight w:val="none"/>
                    </w:rPr>
                    <w:t>8</w:t>
                  </w:r>
                </w:p>
              </w:tc>
            </w:tr>
            <w:tr w14:paraId="5360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74FABCEB">
                  <w:pPr>
                    <w:pStyle w:val="41"/>
                    <w:rPr>
                      <w:color w:val="auto"/>
                      <w:highlight w:val="none"/>
                    </w:rPr>
                  </w:pPr>
                  <w:r>
                    <w:rPr>
                      <w:color w:val="auto"/>
                      <w:highlight w:val="none"/>
                    </w:rPr>
                    <w:t>9</w:t>
                  </w:r>
                </w:p>
              </w:tc>
              <w:tc>
                <w:tcPr>
                  <w:tcW w:w="2010" w:type="pct"/>
                  <w:vAlign w:val="center"/>
                </w:tcPr>
                <w:p w14:paraId="65A6F470">
                  <w:pPr>
                    <w:pStyle w:val="41"/>
                    <w:rPr>
                      <w:color w:val="auto"/>
                      <w:highlight w:val="none"/>
                    </w:rPr>
                  </w:pPr>
                  <w:r>
                    <w:rPr>
                      <w:color w:val="auto"/>
                      <w:highlight w:val="none"/>
                    </w:rPr>
                    <w:t>钻井液用低黏聚阴离子纤维素</w:t>
                  </w:r>
                </w:p>
              </w:tc>
              <w:tc>
                <w:tcPr>
                  <w:tcW w:w="528" w:type="pct"/>
                  <w:vAlign w:val="center"/>
                </w:tcPr>
                <w:p w14:paraId="2AACE7E5">
                  <w:pPr>
                    <w:pStyle w:val="41"/>
                    <w:rPr>
                      <w:color w:val="auto"/>
                      <w:highlight w:val="none"/>
                    </w:rPr>
                  </w:pPr>
                  <w:r>
                    <w:rPr>
                      <w:rFonts w:hint="eastAsia"/>
                      <w:color w:val="auto"/>
                      <w:highlight w:val="none"/>
                    </w:rPr>
                    <w:t>2</w:t>
                  </w:r>
                </w:p>
              </w:tc>
              <w:tc>
                <w:tcPr>
                  <w:tcW w:w="737" w:type="pct"/>
                  <w:vAlign w:val="center"/>
                </w:tcPr>
                <w:p w14:paraId="4112B117">
                  <w:pPr>
                    <w:pStyle w:val="41"/>
                    <w:rPr>
                      <w:color w:val="auto"/>
                      <w:highlight w:val="none"/>
                    </w:rPr>
                  </w:pPr>
                  <w:r>
                    <w:rPr>
                      <w:rFonts w:hint="eastAsia"/>
                      <w:color w:val="auto"/>
                      <w:highlight w:val="none"/>
                    </w:rPr>
                    <w:t>8</w:t>
                  </w:r>
                </w:p>
              </w:tc>
              <w:tc>
                <w:tcPr>
                  <w:tcW w:w="655" w:type="pct"/>
                  <w:vAlign w:val="center"/>
                </w:tcPr>
                <w:p w14:paraId="42A5A856">
                  <w:pPr>
                    <w:pStyle w:val="41"/>
                    <w:rPr>
                      <w:color w:val="auto"/>
                      <w:highlight w:val="none"/>
                    </w:rPr>
                  </w:pPr>
                </w:p>
              </w:tc>
              <w:tc>
                <w:tcPr>
                  <w:tcW w:w="758" w:type="pct"/>
                  <w:vAlign w:val="center"/>
                </w:tcPr>
                <w:p w14:paraId="4E429D04">
                  <w:pPr>
                    <w:pStyle w:val="41"/>
                    <w:rPr>
                      <w:color w:val="auto"/>
                      <w:highlight w:val="none"/>
                    </w:rPr>
                  </w:pPr>
                  <w:r>
                    <w:rPr>
                      <w:rFonts w:hint="eastAsia"/>
                      <w:color w:val="auto"/>
                      <w:highlight w:val="none"/>
                    </w:rPr>
                    <w:t>10</w:t>
                  </w:r>
                </w:p>
              </w:tc>
            </w:tr>
            <w:tr w14:paraId="7A62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43112867">
                  <w:pPr>
                    <w:pStyle w:val="41"/>
                    <w:rPr>
                      <w:color w:val="auto"/>
                      <w:highlight w:val="none"/>
                    </w:rPr>
                  </w:pPr>
                  <w:r>
                    <w:rPr>
                      <w:color w:val="auto"/>
                      <w:highlight w:val="none"/>
                    </w:rPr>
                    <w:t>10</w:t>
                  </w:r>
                </w:p>
              </w:tc>
              <w:tc>
                <w:tcPr>
                  <w:tcW w:w="2010" w:type="pct"/>
                  <w:vAlign w:val="center"/>
                </w:tcPr>
                <w:p w14:paraId="5C152B4E">
                  <w:pPr>
                    <w:pStyle w:val="41"/>
                    <w:rPr>
                      <w:color w:val="auto"/>
                      <w:highlight w:val="none"/>
                    </w:rPr>
                  </w:pPr>
                  <w:r>
                    <w:rPr>
                      <w:color w:val="auto"/>
                      <w:highlight w:val="none"/>
                    </w:rPr>
                    <w:t>钻井液用抗高温抗盐防塌降滤失剂</w:t>
                  </w:r>
                </w:p>
              </w:tc>
              <w:tc>
                <w:tcPr>
                  <w:tcW w:w="528" w:type="pct"/>
                  <w:vAlign w:val="center"/>
                </w:tcPr>
                <w:p w14:paraId="24806FE7">
                  <w:pPr>
                    <w:pStyle w:val="41"/>
                    <w:rPr>
                      <w:color w:val="auto"/>
                      <w:highlight w:val="none"/>
                    </w:rPr>
                  </w:pPr>
                </w:p>
              </w:tc>
              <w:tc>
                <w:tcPr>
                  <w:tcW w:w="737" w:type="pct"/>
                  <w:vAlign w:val="center"/>
                </w:tcPr>
                <w:p w14:paraId="076327D3">
                  <w:pPr>
                    <w:pStyle w:val="41"/>
                    <w:rPr>
                      <w:color w:val="auto"/>
                      <w:highlight w:val="none"/>
                    </w:rPr>
                  </w:pPr>
                  <w:r>
                    <w:rPr>
                      <w:rFonts w:hint="eastAsia"/>
                      <w:color w:val="auto"/>
                      <w:highlight w:val="none"/>
                    </w:rPr>
                    <w:t>16</w:t>
                  </w:r>
                </w:p>
              </w:tc>
              <w:tc>
                <w:tcPr>
                  <w:tcW w:w="655" w:type="pct"/>
                  <w:vAlign w:val="center"/>
                </w:tcPr>
                <w:p w14:paraId="7D625A79">
                  <w:pPr>
                    <w:pStyle w:val="41"/>
                    <w:rPr>
                      <w:color w:val="auto"/>
                      <w:highlight w:val="none"/>
                    </w:rPr>
                  </w:pPr>
                </w:p>
              </w:tc>
              <w:tc>
                <w:tcPr>
                  <w:tcW w:w="758" w:type="pct"/>
                  <w:vAlign w:val="center"/>
                </w:tcPr>
                <w:p w14:paraId="3781F8AC">
                  <w:pPr>
                    <w:pStyle w:val="41"/>
                    <w:rPr>
                      <w:color w:val="auto"/>
                      <w:highlight w:val="none"/>
                    </w:rPr>
                  </w:pPr>
                  <w:r>
                    <w:rPr>
                      <w:rFonts w:hint="eastAsia"/>
                      <w:color w:val="auto"/>
                      <w:highlight w:val="none"/>
                    </w:rPr>
                    <w:t>16</w:t>
                  </w:r>
                </w:p>
              </w:tc>
            </w:tr>
            <w:tr w14:paraId="51E1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1CEA99B6">
                  <w:pPr>
                    <w:pStyle w:val="41"/>
                    <w:rPr>
                      <w:color w:val="auto"/>
                      <w:highlight w:val="none"/>
                    </w:rPr>
                  </w:pPr>
                  <w:r>
                    <w:rPr>
                      <w:color w:val="auto"/>
                      <w:highlight w:val="none"/>
                    </w:rPr>
                    <w:t>11</w:t>
                  </w:r>
                </w:p>
              </w:tc>
              <w:tc>
                <w:tcPr>
                  <w:tcW w:w="2010" w:type="pct"/>
                  <w:vAlign w:val="center"/>
                </w:tcPr>
                <w:p w14:paraId="1D3E4D4B">
                  <w:pPr>
                    <w:pStyle w:val="41"/>
                    <w:rPr>
                      <w:color w:val="auto"/>
                      <w:highlight w:val="none"/>
                    </w:rPr>
                  </w:pPr>
                  <w:r>
                    <w:rPr>
                      <w:color w:val="auto"/>
                      <w:highlight w:val="none"/>
                    </w:rPr>
                    <w:t>钻井液用共聚物降滤失剂</w:t>
                  </w:r>
                </w:p>
              </w:tc>
              <w:tc>
                <w:tcPr>
                  <w:tcW w:w="528" w:type="pct"/>
                  <w:vAlign w:val="center"/>
                </w:tcPr>
                <w:p w14:paraId="675357A7">
                  <w:pPr>
                    <w:pStyle w:val="41"/>
                    <w:rPr>
                      <w:color w:val="auto"/>
                      <w:highlight w:val="none"/>
                    </w:rPr>
                  </w:pPr>
                </w:p>
              </w:tc>
              <w:tc>
                <w:tcPr>
                  <w:tcW w:w="737" w:type="pct"/>
                  <w:vAlign w:val="center"/>
                </w:tcPr>
                <w:p w14:paraId="74408ED6">
                  <w:pPr>
                    <w:pStyle w:val="41"/>
                    <w:rPr>
                      <w:color w:val="auto"/>
                      <w:highlight w:val="none"/>
                    </w:rPr>
                  </w:pPr>
                  <w:r>
                    <w:rPr>
                      <w:rFonts w:hint="eastAsia"/>
                      <w:color w:val="auto"/>
                      <w:highlight w:val="none"/>
                    </w:rPr>
                    <w:t>8</w:t>
                  </w:r>
                </w:p>
              </w:tc>
              <w:tc>
                <w:tcPr>
                  <w:tcW w:w="655" w:type="pct"/>
                  <w:vAlign w:val="center"/>
                </w:tcPr>
                <w:p w14:paraId="2ECE8E01">
                  <w:pPr>
                    <w:pStyle w:val="41"/>
                    <w:rPr>
                      <w:color w:val="auto"/>
                      <w:highlight w:val="none"/>
                    </w:rPr>
                  </w:pPr>
                </w:p>
              </w:tc>
              <w:tc>
                <w:tcPr>
                  <w:tcW w:w="758" w:type="pct"/>
                  <w:vAlign w:val="center"/>
                </w:tcPr>
                <w:p w14:paraId="19FB5C5E">
                  <w:pPr>
                    <w:pStyle w:val="41"/>
                    <w:rPr>
                      <w:color w:val="auto"/>
                      <w:highlight w:val="none"/>
                    </w:rPr>
                  </w:pPr>
                  <w:r>
                    <w:rPr>
                      <w:rFonts w:hint="eastAsia"/>
                      <w:color w:val="auto"/>
                      <w:highlight w:val="none"/>
                    </w:rPr>
                    <w:t>8</w:t>
                  </w:r>
                </w:p>
              </w:tc>
            </w:tr>
            <w:tr w14:paraId="2B2D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17FAC6CE">
                  <w:pPr>
                    <w:pStyle w:val="41"/>
                    <w:rPr>
                      <w:color w:val="auto"/>
                      <w:highlight w:val="none"/>
                    </w:rPr>
                  </w:pPr>
                  <w:r>
                    <w:rPr>
                      <w:color w:val="auto"/>
                      <w:highlight w:val="none"/>
                    </w:rPr>
                    <w:t>12</w:t>
                  </w:r>
                </w:p>
              </w:tc>
              <w:tc>
                <w:tcPr>
                  <w:tcW w:w="2010" w:type="pct"/>
                  <w:vAlign w:val="center"/>
                </w:tcPr>
                <w:p w14:paraId="5B852B2C">
                  <w:pPr>
                    <w:pStyle w:val="41"/>
                    <w:rPr>
                      <w:color w:val="auto"/>
                      <w:highlight w:val="none"/>
                    </w:rPr>
                  </w:pPr>
                  <w:r>
                    <w:rPr>
                      <w:color w:val="auto"/>
                      <w:highlight w:val="none"/>
                    </w:rPr>
                    <w:t>钻井液用高黏聚阴离子纤维素</w:t>
                  </w:r>
                </w:p>
              </w:tc>
              <w:tc>
                <w:tcPr>
                  <w:tcW w:w="528" w:type="pct"/>
                  <w:vAlign w:val="center"/>
                </w:tcPr>
                <w:p w14:paraId="71254B91">
                  <w:pPr>
                    <w:pStyle w:val="41"/>
                    <w:rPr>
                      <w:color w:val="auto"/>
                      <w:highlight w:val="none"/>
                    </w:rPr>
                  </w:pPr>
                  <w:r>
                    <w:rPr>
                      <w:rFonts w:hint="eastAsia"/>
                      <w:color w:val="auto"/>
                      <w:highlight w:val="none"/>
                    </w:rPr>
                    <w:t>2</w:t>
                  </w:r>
                </w:p>
              </w:tc>
              <w:tc>
                <w:tcPr>
                  <w:tcW w:w="737" w:type="pct"/>
                  <w:vAlign w:val="center"/>
                </w:tcPr>
                <w:p w14:paraId="44109251">
                  <w:pPr>
                    <w:pStyle w:val="41"/>
                    <w:rPr>
                      <w:color w:val="auto"/>
                      <w:highlight w:val="none"/>
                    </w:rPr>
                  </w:pPr>
                </w:p>
              </w:tc>
              <w:tc>
                <w:tcPr>
                  <w:tcW w:w="655" w:type="pct"/>
                  <w:vAlign w:val="center"/>
                </w:tcPr>
                <w:p w14:paraId="79CF74D6">
                  <w:pPr>
                    <w:pStyle w:val="41"/>
                    <w:rPr>
                      <w:color w:val="auto"/>
                      <w:highlight w:val="none"/>
                    </w:rPr>
                  </w:pPr>
                </w:p>
              </w:tc>
              <w:tc>
                <w:tcPr>
                  <w:tcW w:w="758" w:type="pct"/>
                  <w:vAlign w:val="center"/>
                </w:tcPr>
                <w:p w14:paraId="787BDC54">
                  <w:pPr>
                    <w:pStyle w:val="41"/>
                    <w:rPr>
                      <w:color w:val="auto"/>
                      <w:highlight w:val="none"/>
                    </w:rPr>
                  </w:pPr>
                  <w:r>
                    <w:rPr>
                      <w:rFonts w:hint="eastAsia"/>
                      <w:color w:val="auto"/>
                      <w:highlight w:val="none"/>
                    </w:rPr>
                    <w:t>2</w:t>
                  </w:r>
                </w:p>
              </w:tc>
            </w:tr>
            <w:tr w14:paraId="6BBE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6BCD51D8">
                  <w:pPr>
                    <w:pStyle w:val="41"/>
                    <w:rPr>
                      <w:color w:val="auto"/>
                      <w:highlight w:val="none"/>
                    </w:rPr>
                  </w:pPr>
                  <w:r>
                    <w:rPr>
                      <w:color w:val="auto"/>
                      <w:highlight w:val="none"/>
                    </w:rPr>
                    <w:t>13</w:t>
                  </w:r>
                </w:p>
              </w:tc>
              <w:tc>
                <w:tcPr>
                  <w:tcW w:w="2010" w:type="pct"/>
                  <w:vAlign w:val="center"/>
                </w:tcPr>
                <w:p w14:paraId="4581B1B3">
                  <w:pPr>
                    <w:pStyle w:val="41"/>
                    <w:rPr>
                      <w:color w:val="auto"/>
                      <w:highlight w:val="none"/>
                    </w:rPr>
                  </w:pPr>
                  <w:r>
                    <w:rPr>
                      <w:color w:val="auto"/>
                      <w:highlight w:val="none"/>
                    </w:rPr>
                    <w:t>钻井液用抗温封堵防塌剂-1</w:t>
                  </w:r>
                </w:p>
              </w:tc>
              <w:tc>
                <w:tcPr>
                  <w:tcW w:w="528" w:type="pct"/>
                  <w:vAlign w:val="center"/>
                </w:tcPr>
                <w:p w14:paraId="0F70B8D4">
                  <w:pPr>
                    <w:pStyle w:val="41"/>
                    <w:rPr>
                      <w:color w:val="auto"/>
                      <w:highlight w:val="none"/>
                    </w:rPr>
                  </w:pPr>
                </w:p>
              </w:tc>
              <w:tc>
                <w:tcPr>
                  <w:tcW w:w="737" w:type="pct"/>
                  <w:vAlign w:val="center"/>
                </w:tcPr>
                <w:p w14:paraId="6BA80E09">
                  <w:pPr>
                    <w:pStyle w:val="41"/>
                    <w:rPr>
                      <w:color w:val="auto"/>
                      <w:highlight w:val="none"/>
                    </w:rPr>
                  </w:pPr>
                  <w:r>
                    <w:rPr>
                      <w:rFonts w:hint="eastAsia"/>
                      <w:color w:val="auto"/>
                      <w:highlight w:val="none"/>
                    </w:rPr>
                    <w:t>16</w:t>
                  </w:r>
                </w:p>
              </w:tc>
              <w:tc>
                <w:tcPr>
                  <w:tcW w:w="655" w:type="pct"/>
                  <w:vAlign w:val="center"/>
                </w:tcPr>
                <w:p w14:paraId="3425E04C">
                  <w:pPr>
                    <w:pStyle w:val="41"/>
                    <w:rPr>
                      <w:color w:val="auto"/>
                      <w:highlight w:val="none"/>
                    </w:rPr>
                  </w:pPr>
                </w:p>
              </w:tc>
              <w:tc>
                <w:tcPr>
                  <w:tcW w:w="758" w:type="pct"/>
                  <w:vAlign w:val="center"/>
                </w:tcPr>
                <w:p w14:paraId="4E3F4C25">
                  <w:pPr>
                    <w:pStyle w:val="41"/>
                    <w:rPr>
                      <w:color w:val="auto"/>
                      <w:highlight w:val="none"/>
                    </w:rPr>
                  </w:pPr>
                  <w:r>
                    <w:rPr>
                      <w:rFonts w:hint="eastAsia"/>
                      <w:color w:val="auto"/>
                      <w:highlight w:val="none"/>
                    </w:rPr>
                    <w:t>16</w:t>
                  </w:r>
                </w:p>
              </w:tc>
            </w:tr>
            <w:tr w14:paraId="4C4E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29B8B840">
                  <w:pPr>
                    <w:pStyle w:val="41"/>
                    <w:rPr>
                      <w:color w:val="auto"/>
                      <w:highlight w:val="none"/>
                    </w:rPr>
                  </w:pPr>
                  <w:r>
                    <w:rPr>
                      <w:color w:val="auto"/>
                      <w:highlight w:val="none"/>
                    </w:rPr>
                    <w:t>14</w:t>
                  </w:r>
                </w:p>
              </w:tc>
              <w:tc>
                <w:tcPr>
                  <w:tcW w:w="2010" w:type="pct"/>
                  <w:vAlign w:val="center"/>
                </w:tcPr>
                <w:p w14:paraId="2187BCC5">
                  <w:pPr>
                    <w:pStyle w:val="41"/>
                    <w:rPr>
                      <w:color w:val="auto"/>
                      <w:highlight w:val="none"/>
                    </w:rPr>
                  </w:pPr>
                  <w:r>
                    <w:rPr>
                      <w:color w:val="auto"/>
                      <w:highlight w:val="none"/>
                    </w:rPr>
                    <w:t>钻井液用多级配填充封堵剂</w:t>
                  </w:r>
                </w:p>
              </w:tc>
              <w:tc>
                <w:tcPr>
                  <w:tcW w:w="528" w:type="pct"/>
                  <w:vAlign w:val="center"/>
                </w:tcPr>
                <w:p w14:paraId="1B858CD4">
                  <w:pPr>
                    <w:pStyle w:val="41"/>
                    <w:rPr>
                      <w:color w:val="auto"/>
                      <w:highlight w:val="none"/>
                    </w:rPr>
                  </w:pPr>
                </w:p>
              </w:tc>
              <w:tc>
                <w:tcPr>
                  <w:tcW w:w="737" w:type="pct"/>
                  <w:vAlign w:val="center"/>
                </w:tcPr>
                <w:p w14:paraId="4967CE46">
                  <w:pPr>
                    <w:pStyle w:val="41"/>
                    <w:rPr>
                      <w:color w:val="auto"/>
                      <w:highlight w:val="none"/>
                    </w:rPr>
                  </w:pPr>
                  <w:r>
                    <w:rPr>
                      <w:rFonts w:hint="eastAsia"/>
                      <w:color w:val="auto"/>
                      <w:highlight w:val="none"/>
                    </w:rPr>
                    <w:t>24</w:t>
                  </w:r>
                </w:p>
              </w:tc>
              <w:tc>
                <w:tcPr>
                  <w:tcW w:w="655" w:type="pct"/>
                  <w:vAlign w:val="center"/>
                </w:tcPr>
                <w:p w14:paraId="06DE963B">
                  <w:pPr>
                    <w:pStyle w:val="41"/>
                    <w:rPr>
                      <w:color w:val="auto"/>
                      <w:highlight w:val="none"/>
                    </w:rPr>
                  </w:pPr>
                </w:p>
              </w:tc>
              <w:tc>
                <w:tcPr>
                  <w:tcW w:w="758" w:type="pct"/>
                  <w:vAlign w:val="center"/>
                </w:tcPr>
                <w:p w14:paraId="25043FB3">
                  <w:pPr>
                    <w:pStyle w:val="41"/>
                    <w:rPr>
                      <w:color w:val="auto"/>
                      <w:highlight w:val="none"/>
                    </w:rPr>
                  </w:pPr>
                  <w:r>
                    <w:rPr>
                      <w:rFonts w:hint="eastAsia"/>
                      <w:color w:val="auto"/>
                      <w:highlight w:val="none"/>
                    </w:rPr>
                    <w:t>24</w:t>
                  </w:r>
                </w:p>
              </w:tc>
            </w:tr>
            <w:tr w14:paraId="4022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308" w:type="pct"/>
                  <w:vAlign w:val="center"/>
                </w:tcPr>
                <w:p w14:paraId="7343D29D">
                  <w:pPr>
                    <w:pStyle w:val="41"/>
                    <w:rPr>
                      <w:color w:val="auto"/>
                      <w:highlight w:val="none"/>
                    </w:rPr>
                  </w:pPr>
                  <w:r>
                    <w:rPr>
                      <w:color w:val="auto"/>
                      <w:highlight w:val="none"/>
                    </w:rPr>
                    <w:t>15</w:t>
                  </w:r>
                </w:p>
              </w:tc>
              <w:tc>
                <w:tcPr>
                  <w:tcW w:w="2010" w:type="pct"/>
                  <w:vAlign w:val="center"/>
                </w:tcPr>
                <w:p w14:paraId="78796EEB">
                  <w:pPr>
                    <w:pStyle w:val="41"/>
                    <w:rPr>
                      <w:color w:val="auto"/>
                      <w:highlight w:val="none"/>
                    </w:rPr>
                  </w:pPr>
                  <w:r>
                    <w:rPr>
                      <w:color w:val="auto"/>
                      <w:highlight w:val="none"/>
                    </w:rPr>
                    <w:t>钻井液用纳米封堵剂（或纳米二氧化硅</w:t>
                  </w:r>
                  <w:r>
                    <w:rPr>
                      <w:rFonts w:hint="eastAsia"/>
                      <w:color w:val="auto"/>
                      <w:highlight w:val="none"/>
                    </w:rPr>
                    <w:t>或乳化石蜡</w:t>
                  </w:r>
                  <w:r>
                    <w:rPr>
                      <w:color w:val="auto"/>
                      <w:highlight w:val="none"/>
                    </w:rPr>
                    <w:t>）</w:t>
                  </w:r>
                </w:p>
              </w:tc>
              <w:tc>
                <w:tcPr>
                  <w:tcW w:w="528" w:type="pct"/>
                  <w:vAlign w:val="center"/>
                </w:tcPr>
                <w:p w14:paraId="65A63AE8">
                  <w:pPr>
                    <w:pStyle w:val="41"/>
                    <w:rPr>
                      <w:color w:val="auto"/>
                      <w:highlight w:val="none"/>
                    </w:rPr>
                  </w:pPr>
                </w:p>
              </w:tc>
              <w:tc>
                <w:tcPr>
                  <w:tcW w:w="737" w:type="pct"/>
                  <w:vAlign w:val="center"/>
                </w:tcPr>
                <w:p w14:paraId="3C4A9D94">
                  <w:pPr>
                    <w:pStyle w:val="41"/>
                    <w:rPr>
                      <w:color w:val="auto"/>
                      <w:highlight w:val="none"/>
                    </w:rPr>
                  </w:pPr>
                  <w:r>
                    <w:rPr>
                      <w:rFonts w:hint="eastAsia"/>
                      <w:color w:val="auto"/>
                      <w:highlight w:val="none"/>
                    </w:rPr>
                    <w:t>16</w:t>
                  </w:r>
                </w:p>
              </w:tc>
              <w:tc>
                <w:tcPr>
                  <w:tcW w:w="655" w:type="pct"/>
                  <w:vAlign w:val="center"/>
                </w:tcPr>
                <w:p w14:paraId="3BCF1A01">
                  <w:pPr>
                    <w:pStyle w:val="41"/>
                    <w:rPr>
                      <w:color w:val="auto"/>
                      <w:highlight w:val="none"/>
                    </w:rPr>
                  </w:pPr>
                </w:p>
              </w:tc>
              <w:tc>
                <w:tcPr>
                  <w:tcW w:w="758" w:type="pct"/>
                  <w:vAlign w:val="center"/>
                </w:tcPr>
                <w:p w14:paraId="052DFC66">
                  <w:pPr>
                    <w:pStyle w:val="41"/>
                    <w:rPr>
                      <w:color w:val="auto"/>
                      <w:highlight w:val="none"/>
                    </w:rPr>
                  </w:pPr>
                  <w:r>
                    <w:rPr>
                      <w:rFonts w:hint="eastAsia"/>
                      <w:color w:val="auto"/>
                      <w:highlight w:val="none"/>
                    </w:rPr>
                    <w:t>16</w:t>
                  </w:r>
                </w:p>
              </w:tc>
            </w:tr>
            <w:tr w14:paraId="0F06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270C125A">
                  <w:pPr>
                    <w:pStyle w:val="41"/>
                    <w:rPr>
                      <w:color w:val="auto"/>
                      <w:highlight w:val="none"/>
                    </w:rPr>
                  </w:pPr>
                  <w:r>
                    <w:rPr>
                      <w:rFonts w:hint="eastAsia"/>
                      <w:color w:val="auto"/>
                      <w:highlight w:val="none"/>
                    </w:rPr>
                    <w:t>16</w:t>
                  </w:r>
                </w:p>
              </w:tc>
              <w:tc>
                <w:tcPr>
                  <w:tcW w:w="2010" w:type="pct"/>
                  <w:vAlign w:val="center"/>
                </w:tcPr>
                <w:p w14:paraId="16451B91">
                  <w:pPr>
                    <w:pStyle w:val="41"/>
                    <w:rPr>
                      <w:color w:val="auto"/>
                      <w:highlight w:val="none"/>
                    </w:rPr>
                  </w:pPr>
                  <w:r>
                    <w:rPr>
                      <w:color w:val="auto"/>
                      <w:highlight w:val="none"/>
                    </w:rPr>
                    <w:t>钻井液用硅氟类降黏剂</w:t>
                  </w:r>
                </w:p>
              </w:tc>
              <w:tc>
                <w:tcPr>
                  <w:tcW w:w="528" w:type="pct"/>
                  <w:vAlign w:val="center"/>
                </w:tcPr>
                <w:p w14:paraId="4EFC4750">
                  <w:pPr>
                    <w:pStyle w:val="41"/>
                    <w:rPr>
                      <w:color w:val="auto"/>
                      <w:highlight w:val="none"/>
                    </w:rPr>
                  </w:pPr>
                </w:p>
              </w:tc>
              <w:tc>
                <w:tcPr>
                  <w:tcW w:w="737" w:type="pct"/>
                  <w:vAlign w:val="center"/>
                </w:tcPr>
                <w:p w14:paraId="0848C3DC">
                  <w:pPr>
                    <w:pStyle w:val="41"/>
                    <w:rPr>
                      <w:color w:val="auto"/>
                      <w:highlight w:val="none"/>
                    </w:rPr>
                  </w:pPr>
                  <w:r>
                    <w:rPr>
                      <w:rFonts w:hint="eastAsia"/>
                      <w:color w:val="auto"/>
                      <w:highlight w:val="none"/>
                    </w:rPr>
                    <w:t>8</w:t>
                  </w:r>
                </w:p>
              </w:tc>
              <w:tc>
                <w:tcPr>
                  <w:tcW w:w="655" w:type="pct"/>
                  <w:vAlign w:val="center"/>
                </w:tcPr>
                <w:p w14:paraId="1A42D2D6">
                  <w:pPr>
                    <w:pStyle w:val="41"/>
                    <w:rPr>
                      <w:color w:val="auto"/>
                      <w:highlight w:val="none"/>
                    </w:rPr>
                  </w:pPr>
                </w:p>
              </w:tc>
              <w:tc>
                <w:tcPr>
                  <w:tcW w:w="758" w:type="pct"/>
                  <w:vAlign w:val="center"/>
                </w:tcPr>
                <w:p w14:paraId="7AC04A72">
                  <w:pPr>
                    <w:pStyle w:val="41"/>
                    <w:rPr>
                      <w:color w:val="auto"/>
                      <w:highlight w:val="none"/>
                    </w:rPr>
                  </w:pPr>
                  <w:r>
                    <w:rPr>
                      <w:rFonts w:hint="eastAsia"/>
                      <w:color w:val="auto"/>
                      <w:highlight w:val="none"/>
                    </w:rPr>
                    <w:t>8</w:t>
                  </w:r>
                </w:p>
              </w:tc>
            </w:tr>
            <w:tr w14:paraId="213A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vAlign w:val="center"/>
                </w:tcPr>
                <w:p w14:paraId="44A6E40C">
                  <w:pPr>
                    <w:pStyle w:val="41"/>
                    <w:rPr>
                      <w:color w:val="auto"/>
                      <w:highlight w:val="none"/>
                    </w:rPr>
                  </w:pPr>
                  <w:r>
                    <w:rPr>
                      <w:rFonts w:hint="eastAsia"/>
                      <w:color w:val="auto"/>
                      <w:highlight w:val="none"/>
                    </w:rPr>
                    <w:t>17</w:t>
                  </w:r>
                </w:p>
              </w:tc>
              <w:tc>
                <w:tcPr>
                  <w:tcW w:w="2010" w:type="pct"/>
                  <w:vAlign w:val="center"/>
                </w:tcPr>
                <w:p w14:paraId="5CF68437">
                  <w:pPr>
                    <w:pStyle w:val="41"/>
                    <w:rPr>
                      <w:color w:val="auto"/>
                      <w:highlight w:val="none"/>
                    </w:rPr>
                  </w:pPr>
                  <w:r>
                    <w:rPr>
                      <w:color w:val="auto"/>
                      <w:highlight w:val="none"/>
                    </w:rPr>
                    <w:t>钻井液用有机硅稳定剂</w:t>
                  </w:r>
                </w:p>
              </w:tc>
              <w:tc>
                <w:tcPr>
                  <w:tcW w:w="528" w:type="pct"/>
                  <w:vAlign w:val="center"/>
                </w:tcPr>
                <w:p w14:paraId="3C03A0F2">
                  <w:pPr>
                    <w:pStyle w:val="41"/>
                    <w:rPr>
                      <w:color w:val="auto"/>
                      <w:highlight w:val="none"/>
                    </w:rPr>
                  </w:pPr>
                </w:p>
              </w:tc>
              <w:tc>
                <w:tcPr>
                  <w:tcW w:w="737" w:type="pct"/>
                  <w:vAlign w:val="center"/>
                </w:tcPr>
                <w:p w14:paraId="5F5219AB">
                  <w:pPr>
                    <w:pStyle w:val="41"/>
                    <w:rPr>
                      <w:color w:val="auto"/>
                      <w:highlight w:val="none"/>
                    </w:rPr>
                  </w:pPr>
                  <w:r>
                    <w:rPr>
                      <w:rFonts w:hint="eastAsia"/>
                      <w:color w:val="auto"/>
                      <w:highlight w:val="none"/>
                    </w:rPr>
                    <w:t>8</w:t>
                  </w:r>
                </w:p>
              </w:tc>
              <w:tc>
                <w:tcPr>
                  <w:tcW w:w="655" w:type="pct"/>
                  <w:vAlign w:val="center"/>
                </w:tcPr>
                <w:p w14:paraId="0146876B">
                  <w:pPr>
                    <w:pStyle w:val="41"/>
                    <w:rPr>
                      <w:color w:val="auto"/>
                      <w:highlight w:val="none"/>
                    </w:rPr>
                  </w:pPr>
                </w:p>
              </w:tc>
              <w:tc>
                <w:tcPr>
                  <w:tcW w:w="758" w:type="pct"/>
                  <w:vAlign w:val="center"/>
                </w:tcPr>
                <w:p w14:paraId="192ABE6A">
                  <w:pPr>
                    <w:pStyle w:val="41"/>
                    <w:rPr>
                      <w:color w:val="auto"/>
                      <w:highlight w:val="none"/>
                    </w:rPr>
                  </w:pPr>
                  <w:r>
                    <w:rPr>
                      <w:rFonts w:hint="eastAsia"/>
                      <w:color w:val="auto"/>
                      <w:highlight w:val="none"/>
                    </w:rPr>
                    <w:t>8</w:t>
                  </w:r>
                </w:p>
              </w:tc>
            </w:tr>
            <w:tr w14:paraId="0168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shd w:val="clear" w:color="auto" w:fill="auto"/>
                  <w:vAlign w:val="center"/>
                </w:tcPr>
                <w:p w14:paraId="7748E6D5">
                  <w:pPr>
                    <w:pStyle w:val="41"/>
                    <w:rPr>
                      <w:color w:val="auto"/>
                      <w:highlight w:val="none"/>
                    </w:rPr>
                  </w:pPr>
                  <w:r>
                    <w:rPr>
                      <w:color w:val="auto"/>
                      <w:highlight w:val="none"/>
                    </w:rPr>
                    <w:t>18</w:t>
                  </w:r>
                </w:p>
              </w:tc>
              <w:tc>
                <w:tcPr>
                  <w:tcW w:w="2010" w:type="pct"/>
                  <w:vAlign w:val="center"/>
                </w:tcPr>
                <w:p w14:paraId="38660F56">
                  <w:pPr>
                    <w:pStyle w:val="41"/>
                    <w:rPr>
                      <w:color w:val="auto"/>
                      <w:highlight w:val="none"/>
                    </w:rPr>
                  </w:pPr>
                  <w:r>
                    <w:rPr>
                      <w:color w:val="auto"/>
                      <w:highlight w:val="none"/>
                    </w:rPr>
                    <w:t>钻井液用聚合醇Ⅰ型</w:t>
                  </w:r>
                </w:p>
              </w:tc>
              <w:tc>
                <w:tcPr>
                  <w:tcW w:w="528" w:type="pct"/>
                  <w:vAlign w:val="center"/>
                </w:tcPr>
                <w:p w14:paraId="5C446CF4">
                  <w:pPr>
                    <w:pStyle w:val="41"/>
                    <w:rPr>
                      <w:color w:val="auto"/>
                      <w:highlight w:val="none"/>
                    </w:rPr>
                  </w:pPr>
                </w:p>
              </w:tc>
              <w:tc>
                <w:tcPr>
                  <w:tcW w:w="737" w:type="pct"/>
                  <w:vAlign w:val="center"/>
                </w:tcPr>
                <w:p w14:paraId="007B9C73">
                  <w:pPr>
                    <w:pStyle w:val="41"/>
                    <w:rPr>
                      <w:color w:val="auto"/>
                      <w:highlight w:val="none"/>
                    </w:rPr>
                  </w:pPr>
                  <w:r>
                    <w:rPr>
                      <w:rFonts w:hint="eastAsia"/>
                      <w:color w:val="auto"/>
                      <w:highlight w:val="none"/>
                    </w:rPr>
                    <w:t>8</w:t>
                  </w:r>
                </w:p>
              </w:tc>
              <w:tc>
                <w:tcPr>
                  <w:tcW w:w="655" w:type="pct"/>
                  <w:vAlign w:val="center"/>
                </w:tcPr>
                <w:p w14:paraId="2B25B684">
                  <w:pPr>
                    <w:pStyle w:val="41"/>
                    <w:rPr>
                      <w:color w:val="auto"/>
                      <w:highlight w:val="none"/>
                    </w:rPr>
                  </w:pPr>
                </w:p>
              </w:tc>
              <w:tc>
                <w:tcPr>
                  <w:tcW w:w="758" w:type="pct"/>
                  <w:vAlign w:val="center"/>
                </w:tcPr>
                <w:p w14:paraId="034C795D">
                  <w:pPr>
                    <w:pStyle w:val="41"/>
                    <w:rPr>
                      <w:color w:val="auto"/>
                      <w:highlight w:val="none"/>
                    </w:rPr>
                  </w:pPr>
                  <w:r>
                    <w:rPr>
                      <w:rFonts w:hint="eastAsia"/>
                      <w:color w:val="auto"/>
                      <w:highlight w:val="none"/>
                    </w:rPr>
                    <w:t>8</w:t>
                  </w:r>
                </w:p>
              </w:tc>
            </w:tr>
            <w:tr w14:paraId="1F49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shd w:val="clear" w:color="auto" w:fill="auto"/>
                  <w:vAlign w:val="center"/>
                </w:tcPr>
                <w:p w14:paraId="5EAD6601">
                  <w:pPr>
                    <w:pStyle w:val="41"/>
                    <w:rPr>
                      <w:color w:val="auto"/>
                      <w:highlight w:val="none"/>
                    </w:rPr>
                  </w:pPr>
                  <w:r>
                    <w:rPr>
                      <w:color w:val="auto"/>
                      <w:highlight w:val="none"/>
                    </w:rPr>
                    <w:t>19</w:t>
                  </w:r>
                </w:p>
              </w:tc>
              <w:tc>
                <w:tcPr>
                  <w:tcW w:w="2010" w:type="pct"/>
                  <w:vAlign w:val="center"/>
                </w:tcPr>
                <w:p w14:paraId="37BEC3E6">
                  <w:pPr>
                    <w:pStyle w:val="41"/>
                    <w:rPr>
                      <w:color w:val="auto"/>
                      <w:highlight w:val="none"/>
                    </w:rPr>
                  </w:pPr>
                  <w:r>
                    <w:rPr>
                      <w:color w:val="auto"/>
                      <w:highlight w:val="none"/>
                    </w:rPr>
                    <w:t>钻井液用刚性堵漏剂（储备）</w:t>
                  </w:r>
                </w:p>
              </w:tc>
              <w:tc>
                <w:tcPr>
                  <w:tcW w:w="528" w:type="pct"/>
                  <w:vAlign w:val="center"/>
                </w:tcPr>
                <w:p w14:paraId="66AF9D55">
                  <w:pPr>
                    <w:pStyle w:val="41"/>
                    <w:rPr>
                      <w:color w:val="auto"/>
                      <w:highlight w:val="none"/>
                    </w:rPr>
                  </w:pPr>
                </w:p>
              </w:tc>
              <w:tc>
                <w:tcPr>
                  <w:tcW w:w="1393" w:type="pct"/>
                  <w:gridSpan w:val="2"/>
                  <w:vAlign w:val="center"/>
                </w:tcPr>
                <w:p w14:paraId="5BA5E42A">
                  <w:pPr>
                    <w:pStyle w:val="41"/>
                    <w:rPr>
                      <w:color w:val="auto"/>
                      <w:highlight w:val="none"/>
                    </w:rPr>
                  </w:pPr>
                  <w:r>
                    <w:rPr>
                      <w:color w:val="auto"/>
                      <w:highlight w:val="none"/>
                    </w:rPr>
                    <w:t>5</w:t>
                  </w:r>
                </w:p>
              </w:tc>
              <w:tc>
                <w:tcPr>
                  <w:tcW w:w="758" w:type="pct"/>
                  <w:vAlign w:val="center"/>
                </w:tcPr>
                <w:p w14:paraId="1DAE55CE">
                  <w:pPr>
                    <w:pStyle w:val="41"/>
                    <w:rPr>
                      <w:color w:val="auto"/>
                      <w:highlight w:val="none"/>
                    </w:rPr>
                  </w:pPr>
                  <w:r>
                    <w:rPr>
                      <w:color w:val="auto"/>
                      <w:highlight w:val="none"/>
                    </w:rPr>
                    <w:t>5</w:t>
                  </w:r>
                </w:p>
              </w:tc>
            </w:tr>
            <w:tr w14:paraId="781B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shd w:val="clear" w:color="auto" w:fill="auto"/>
                  <w:vAlign w:val="center"/>
                </w:tcPr>
                <w:p w14:paraId="78D7BF4C">
                  <w:pPr>
                    <w:pStyle w:val="41"/>
                    <w:rPr>
                      <w:color w:val="auto"/>
                      <w:highlight w:val="none"/>
                    </w:rPr>
                  </w:pPr>
                  <w:r>
                    <w:rPr>
                      <w:color w:val="auto"/>
                      <w:highlight w:val="none"/>
                    </w:rPr>
                    <w:t>20</w:t>
                  </w:r>
                </w:p>
              </w:tc>
              <w:tc>
                <w:tcPr>
                  <w:tcW w:w="2010" w:type="pct"/>
                  <w:vAlign w:val="center"/>
                </w:tcPr>
                <w:p w14:paraId="4D4C0390">
                  <w:pPr>
                    <w:pStyle w:val="41"/>
                    <w:rPr>
                      <w:color w:val="auto"/>
                      <w:highlight w:val="none"/>
                    </w:rPr>
                  </w:pPr>
                  <w:r>
                    <w:rPr>
                      <w:color w:val="auto"/>
                      <w:highlight w:val="none"/>
                    </w:rPr>
                    <w:t>钻井液用复合堵漏剂（储备）</w:t>
                  </w:r>
                </w:p>
              </w:tc>
              <w:tc>
                <w:tcPr>
                  <w:tcW w:w="528" w:type="pct"/>
                  <w:vAlign w:val="center"/>
                </w:tcPr>
                <w:p w14:paraId="1F89C196">
                  <w:pPr>
                    <w:pStyle w:val="41"/>
                    <w:rPr>
                      <w:color w:val="auto"/>
                      <w:highlight w:val="none"/>
                    </w:rPr>
                  </w:pPr>
                </w:p>
              </w:tc>
              <w:tc>
                <w:tcPr>
                  <w:tcW w:w="1393" w:type="pct"/>
                  <w:gridSpan w:val="2"/>
                  <w:vAlign w:val="center"/>
                </w:tcPr>
                <w:p w14:paraId="61462068">
                  <w:pPr>
                    <w:pStyle w:val="41"/>
                    <w:rPr>
                      <w:color w:val="auto"/>
                      <w:highlight w:val="none"/>
                    </w:rPr>
                  </w:pPr>
                  <w:r>
                    <w:rPr>
                      <w:color w:val="auto"/>
                      <w:highlight w:val="none"/>
                    </w:rPr>
                    <w:t>5</w:t>
                  </w:r>
                </w:p>
              </w:tc>
              <w:tc>
                <w:tcPr>
                  <w:tcW w:w="758" w:type="pct"/>
                  <w:vAlign w:val="center"/>
                </w:tcPr>
                <w:p w14:paraId="52EE71FF">
                  <w:pPr>
                    <w:pStyle w:val="41"/>
                    <w:rPr>
                      <w:color w:val="auto"/>
                      <w:highlight w:val="none"/>
                    </w:rPr>
                  </w:pPr>
                  <w:r>
                    <w:rPr>
                      <w:color w:val="auto"/>
                      <w:highlight w:val="none"/>
                    </w:rPr>
                    <w:t>5</w:t>
                  </w:r>
                </w:p>
              </w:tc>
            </w:tr>
            <w:tr w14:paraId="12D7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shd w:val="clear" w:color="auto" w:fill="auto"/>
                  <w:vAlign w:val="center"/>
                </w:tcPr>
                <w:p w14:paraId="536EB813">
                  <w:pPr>
                    <w:pStyle w:val="41"/>
                    <w:rPr>
                      <w:color w:val="auto"/>
                      <w:highlight w:val="none"/>
                    </w:rPr>
                  </w:pPr>
                  <w:r>
                    <w:rPr>
                      <w:color w:val="auto"/>
                      <w:highlight w:val="none"/>
                    </w:rPr>
                    <w:t>21</w:t>
                  </w:r>
                </w:p>
              </w:tc>
              <w:tc>
                <w:tcPr>
                  <w:tcW w:w="2010" w:type="pct"/>
                  <w:vAlign w:val="center"/>
                </w:tcPr>
                <w:p w14:paraId="3625E82E">
                  <w:pPr>
                    <w:pStyle w:val="41"/>
                    <w:rPr>
                      <w:color w:val="auto"/>
                      <w:highlight w:val="none"/>
                    </w:rPr>
                  </w:pPr>
                  <w:r>
                    <w:rPr>
                      <w:color w:val="auto"/>
                      <w:highlight w:val="none"/>
                    </w:rPr>
                    <w:t>核桃壳（储备）</w:t>
                  </w:r>
                </w:p>
              </w:tc>
              <w:tc>
                <w:tcPr>
                  <w:tcW w:w="528" w:type="pct"/>
                  <w:vAlign w:val="center"/>
                </w:tcPr>
                <w:p w14:paraId="722BD98B">
                  <w:pPr>
                    <w:pStyle w:val="41"/>
                    <w:rPr>
                      <w:color w:val="auto"/>
                      <w:highlight w:val="none"/>
                    </w:rPr>
                  </w:pPr>
                </w:p>
              </w:tc>
              <w:tc>
                <w:tcPr>
                  <w:tcW w:w="1393" w:type="pct"/>
                  <w:gridSpan w:val="2"/>
                  <w:vAlign w:val="center"/>
                </w:tcPr>
                <w:p w14:paraId="6359EC87">
                  <w:pPr>
                    <w:pStyle w:val="41"/>
                    <w:rPr>
                      <w:color w:val="auto"/>
                      <w:highlight w:val="none"/>
                    </w:rPr>
                  </w:pPr>
                  <w:r>
                    <w:rPr>
                      <w:color w:val="auto"/>
                      <w:highlight w:val="none"/>
                    </w:rPr>
                    <w:t>5</w:t>
                  </w:r>
                </w:p>
              </w:tc>
              <w:tc>
                <w:tcPr>
                  <w:tcW w:w="758" w:type="pct"/>
                  <w:vAlign w:val="center"/>
                </w:tcPr>
                <w:p w14:paraId="320D1FEC">
                  <w:pPr>
                    <w:pStyle w:val="41"/>
                    <w:rPr>
                      <w:color w:val="auto"/>
                      <w:highlight w:val="none"/>
                    </w:rPr>
                  </w:pPr>
                  <w:r>
                    <w:rPr>
                      <w:color w:val="auto"/>
                      <w:highlight w:val="none"/>
                    </w:rPr>
                    <w:t>5</w:t>
                  </w:r>
                </w:p>
              </w:tc>
            </w:tr>
            <w:tr w14:paraId="4B37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shd w:val="clear" w:color="auto" w:fill="auto"/>
                  <w:vAlign w:val="center"/>
                </w:tcPr>
                <w:p w14:paraId="09668126">
                  <w:pPr>
                    <w:pStyle w:val="41"/>
                    <w:rPr>
                      <w:color w:val="auto"/>
                      <w:highlight w:val="none"/>
                    </w:rPr>
                  </w:pPr>
                  <w:r>
                    <w:rPr>
                      <w:color w:val="auto"/>
                      <w:highlight w:val="none"/>
                    </w:rPr>
                    <w:t>22</w:t>
                  </w:r>
                </w:p>
              </w:tc>
              <w:tc>
                <w:tcPr>
                  <w:tcW w:w="2010" w:type="pct"/>
                  <w:vAlign w:val="center"/>
                </w:tcPr>
                <w:p w14:paraId="6AD7C3AF">
                  <w:pPr>
                    <w:pStyle w:val="41"/>
                    <w:rPr>
                      <w:color w:val="auto"/>
                      <w:highlight w:val="none"/>
                    </w:rPr>
                  </w:pPr>
                  <w:r>
                    <w:rPr>
                      <w:color w:val="auto"/>
                      <w:highlight w:val="none"/>
                    </w:rPr>
                    <w:t>钻井液用一袋式堵漏剂（储备）</w:t>
                  </w:r>
                </w:p>
              </w:tc>
              <w:tc>
                <w:tcPr>
                  <w:tcW w:w="528" w:type="pct"/>
                  <w:vAlign w:val="center"/>
                </w:tcPr>
                <w:p w14:paraId="47C73BB7">
                  <w:pPr>
                    <w:pStyle w:val="41"/>
                    <w:rPr>
                      <w:color w:val="auto"/>
                      <w:highlight w:val="none"/>
                    </w:rPr>
                  </w:pPr>
                </w:p>
              </w:tc>
              <w:tc>
                <w:tcPr>
                  <w:tcW w:w="1393" w:type="pct"/>
                  <w:gridSpan w:val="2"/>
                  <w:vAlign w:val="center"/>
                </w:tcPr>
                <w:p w14:paraId="705DD645">
                  <w:pPr>
                    <w:pStyle w:val="41"/>
                    <w:rPr>
                      <w:color w:val="auto"/>
                      <w:highlight w:val="none"/>
                    </w:rPr>
                  </w:pPr>
                  <w:r>
                    <w:rPr>
                      <w:color w:val="auto"/>
                      <w:highlight w:val="none"/>
                    </w:rPr>
                    <w:t>5</w:t>
                  </w:r>
                </w:p>
              </w:tc>
              <w:tc>
                <w:tcPr>
                  <w:tcW w:w="758" w:type="pct"/>
                  <w:vAlign w:val="center"/>
                </w:tcPr>
                <w:p w14:paraId="5569D080">
                  <w:pPr>
                    <w:pStyle w:val="41"/>
                    <w:rPr>
                      <w:color w:val="auto"/>
                      <w:highlight w:val="none"/>
                    </w:rPr>
                  </w:pPr>
                  <w:r>
                    <w:rPr>
                      <w:color w:val="auto"/>
                      <w:highlight w:val="none"/>
                    </w:rPr>
                    <w:t>5</w:t>
                  </w:r>
                </w:p>
              </w:tc>
            </w:tr>
            <w:tr w14:paraId="2841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shd w:val="clear" w:color="auto" w:fill="auto"/>
                  <w:vAlign w:val="center"/>
                </w:tcPr>
                <w:p w14:paraId="359CEFDE">
                  <w:pPr>
                    <w:pStyle w:val="41"/>
                    <w:rPr>
                      <w:color w:val="auto"/>
                      <w:highlight w:val="none"/>
                    </w:rPr>
                  </w:pPr>
                  <w:r>
                    <w:rPr>
                      <w:color w:val="auto"/>
                      <w:highlight w:val="none"/>
                    </w:rPr>
                    <w:t>23</w:t>
                  </w:r>
                </w:p>
              </w:tc>
              <w:tc>
                <w:tcPr>
                  <w:tcW w:w="2010" w:type="pct"/>
                  <w:vAlign w:val="center"/>
                </w:tcPr>
                <w:p w14:paraId="24515C33">
                  <w:pPr>
                    <w:pStyle w:val="41"/>
                    <w:rPr>
                      <w:color w:val="auto"/>
                      <w:highlight w:val="none"/>
                    </w:rPr>
                  </w:pPr>
                  <w:r>
                    <w:rPr>
                      <w:color w:val="auto"/>
                      <w:highlight w:val="none"/>
                    </w:rPr>
                    <w:t>合成基钻井液</w:t>
                  </w:r>
                </w:p>
              </w:tc>
              <w:tc>
                <w:tcPr>
                  <w:tcW w:w="528" w:type="pct"/>
                  <w:vAlign w:val="center"/>
                </w:tcPr>
                <w:p w14:paraId="1FAFA2CD">
                  <w:pPr>
                    <w:pStyle w:val="41"/>
                    <w:rPr>
                      <w:color w:val="auto"/>
                      <w:highlight w:val="none"/>
                    </w:rPr>
                  </w:pPr>
                </w:p>
              </w:tc>
              <w:tc>
                <w:tcPr>
                  <w:tcW w:w="737" w:type="pct"/>
                  <w:vAlign w:val="center"/>
                </w:tcPr>
                <w:p w14:paraId="239D80CA">
                  <w:pPr>
                    <w:pStyle w:val="41"/>
                    <w:rPr>
                      <w:color w:val="auto"/>
                      <w:highlight w:val="none"/>
                    </w:rPr>
                  </w:pPr>
                </w:p>
              </w:tc>
              <w:tc>
                <w:tcPr>
                  <w:tcW w:w="655" w:type="pct"/>
                  <w:vAlign w:val="center"/>
                </w:tcPr>
                <w:p w14:paraId="3320A3BC">
                  <w:pPr>
                    <w:pStyle w:val="41"/>
                    <w:rPr>
                      <w:color w:val="auto"/>
                      <w:highlight w:val="none"/>
                    </w:rPr>
                  </w:pPr>
                  <w:r>
                    <w:rPr>
                      <w:rFonts w:hint="eastAsia"/>
                      <w:color w:val="auto"/>
                      <w:highlight w:val="none"/>
                    </w:rPr>
                    <w:t>754</w:t>
                  </w:r>
                  <w:r>
                    <w:rPr>
                      <w:color w:val="auto"/>
                      <w:highlight w:val="none"/>
                    </w:rPr>
                    <w:t>m</w:t>
                  </w:r>
                  <w:r>
                    <w:rPr>
                      <w:color w:val="auto"/>
                      <w:highlight w:val="none"/>
                      <w:vertAlign w:val="superscript"/>
                    </w:rPr>
                    <w:t>3</w:t>
                  </w:r>
                </w:p>
              </w:tc>
              <w:tc>
                <w:tcPr>
                  <w:tcW w:w="758" w:type="pct"/>
                  <w:vAlign w:val="center"/>
                </w:tcPr>
                <w:p w14:paraId="13762585">
                  <w:pPr>
                    <w:pStyle w:val="41"/>
                    <w:rPr>
                      <w:color w:val="auto"/>
                      <w:highlight w:val="none"/>
                    </w:rPr>
                  </w:pPr>
                  <w:r>
                    <w:rPr>
                      <w:rFonts w:hint="eastAsia"/>
                      <w:color w:val="auto"/>
                      <w:highlight w:val="none"/>
                    </w:rPr>
                    <w:t>754</w:t>
                  </w:r>
                  <w:r>
                    <w:rPr>
                      <w:color w:val="auto"/>
                      <w:highlight w:val="none"/>
                    </w:rPr>
                    <w:t>m</w:t>
                  </w:r>
                  <w:r>
                    <w:rPr>
                      <w:color w:val="auto"/>
                      <w:highlight w:val="none"/>
                      <w:vertAlign w:val="superscript"/>
                    </w:rPr>
                    <w:t>3</w:t>
                  </w:r>
                </w:p>
              </w:tc>
            </w:tr>
            <w:tr w14:paraId="3583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308" w:type="pct"/>
                  <w:shd w:val="clear" w:color="auto" w:fill="auto"/>
                  <w:vAlign w:val="center"/>
                </w:tcPr>
                <w:p w14:paraId="27D8909E">
                  <w:pPr>
                    <w:pStyle w:val="41"/>
                    <w:rPr>
                      <w:color w:val="auto"/>
                      <w:highlight w:val="none"/>
                    </w:rPr>
                  </w:pPr>
                  <w:r>
                    <w:rPr>
                      <w:color w:val="auto"/>
                      <w:highlight w:val="none"/>
                    </w:rPr>
                    <w:t>24</w:t>
                  </w:r>
                </w:p>
              </w:tc>
              <w:tc>
                <w:tcPr>
                  <w:tcW w:w="2010" w:type="pct"/>
                  <w:vAlign w:val="center"/>
                </w:tcPr>
                <w:p w14:paraId="559EDF06">
                  <w:pPr>
                    <w:pStyle w:val="41"/>
                    <w:rPr>
                      <w:color w:val="auto"/>
                      <w:highlight w:val="none"/>
                    </w:rPr>
                  </w:pPr>
                  <w:r>
                    <w:rPr>
                      <w:color w:val="auto"/>
                      <w:highlight w:val="none"/>
                    </w:rPr>
                    <w:t>钻井液用重晶石粉（一级）（储备）</w:t>
                  </w:r>
                </w:p>
              </w:tc>
              <w:tc>
                <w:tcPr>
                  <w:tcW w:w="528" w:type="pct"/>
                  <w:vAlign w:val="center"/>
                </w:tcPr>
                <w:p w14:paraId="010A6E8E">
                  <w:pPr>
                    <w:pStyle w:val="41"/>
                    <w:rPr>
                      <w:color w:val="auto"/>
                      <w:highlight w:val="none"/>
                    </w:rPr>
                  </w:pPr>
                </w:p>
              </w:tc>
              <w:tc>
                <w:tcPr>
                  <w:tcW w:w="737" w:type="pct"/>
                  <w:vAlign w:val="center"/>
                </w:tcPr>
                <w:p w14:paraId="5BD60954">
                  <w:pPr>
                    <w:pStyle w:val="41"/>
                    <w:rPr>
                      <w:color w:val="auto"/>
                      <w:highlight w:val="none"/>
                    </w:rPr>
                  </w:pPr>
                  <w:r>
                    <w:rPr>
                      <w:rFonts w:hint="eastAsia"/>
                      <w:color w:val="auto"/>
                      <w:highlight w:val="none"/>
                    </w:rPr>
                    <w:t>540</w:t>
                  </w:r>
                </w:p>
              </w:tc>
              <w:tc>
                <w:tcPr>
                  <w:tcW w:w="655" w:type="pct"/>
                  <w:vAlign w:val="center"/>
                </w:tcPr>
                <w:p w14:paraId="4ED15C3D">
                  <w:pPr>
                    <w:pStyle w:val="41"/>
                    <w:rPr>
                      <w:color w:val="auto"/>
                      <w:highlight w:val="none"/>
                    </w:rPr>
                  </w:pPr>
                  <w:r>
                    <w:rPr>
                      <w:color w:val="auto"/>
                      <w:highlight w:val="none"/>
                    </w:rPr>
                    <w:t>460</w:t>
                  </w:r>
                </w:p>
              </w:tc>
              <w:tc>
                <w:tcPr>
                  <w:tcW w:w="758" w:type="pct"/>
                  <w:vAlign w:val="center"/>
                </w:tcPr>
                <w:p w14:paraId="245BBB70">
                  <w:pPr>
                    <w:pStyle w:val="41"/>
                    <w:rPr>
                      <w:rFonts w:hint="default"/>
                      <w:color w:val="auto"/>
                      <w:highlight w:val="none"/>
                      <w:lang w:val="en-US"/>
                    </w:rPr>
                  </w:pPr>
                  <w:r>
                    <w:rPr>
                      <w:rFonts w:hint="eastAsia"/>
                      <w:color w:val="auto"/>
                      <w:highlight w:val="none"/>
                      <w:lang w:val="en-US" w:eastAsia="zh-CN"/>
                    </w:rPr>
                    <w:t>1000</w:t>
                  </w:r>
                </w:p>
              </w:tc>
            </w:tr>
            <w:tr w14:paraId="46AB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jc w:val="center"/>
              </w:trPr>
              <w:tc>
                <w:tcPr>
                  <w:tcW w:w="308" w:type="pct"/>
                  <w:shd w:val="clear" w:color="auto" w:fill="auto"/>
                  <w:vAlign w:val="center"/>
                </w:tcPr>
                <w:p w14:paraId="6BF6C6BF">
                  <w:pPr>
                    <w:pStyle w:val="41"/>
                    <w:rPr>
                      <w:color w:val="auto"/>
                      <w:highlight w:val="none"/>
                    </w:rPr>
                  </w:pPr>
                  <w:r>
                    <w:rPr>
                      <w:color w:val="auto"/>
                      <w:highlight w:val="none"/>
                    </w:rPr>
                    <w:t>25</w:t>
                  </w:r>
                </w:p>
              </w:tc>
              <w:tc>
                <w:tcPr>
                  <w:tcW w:w="2010" w:type="pct"/>
                  <w:vAlign w:val="center"/>
                </w:tcPr>
                <w:p w14:paraId="705D48D9">
                  <w:pPr>
                    <w:pStyle w:val="41"/>
                    <w:rPr>
                      <w:color w:val="auto"/>
                      <w:highlight w:val="none"/>
                    </w:rPr>
                  </w:pPr>
                  <w:r>
                    <w:rPr>
                      <w:color w:val="auto"/>
                      <w:highlight w:val="none"/>
                    </w:rPr>
                    <w:t>钻井液用重晶石粉（一级）（消耗）</w:t>
                  </w:r>
                </w:p>
              </w:tc>
              <w:tc>
                <w:tcPr>
                  <w:tcW w:w="528" w:type="pct"/>
                  <w:vAlign w:val="center"/>
                </w:tcPr>
                <w:p w14:paraId="0251553F">
                  <w:pPr>
                    <w:pStyle w:val="41"/>
                    <w:rPr>
                      <w:color w:val="auto"/>
                      <w:highlight w:val="none"/>
                    </w:rPr>
                  </w:pPr>
                </w:p>
              </w:tc>
              <w:tc>
                <w:tcPr>
                  <w:tcW w:w="737" w:type="pct"/>
                  <w:vAlign w:val="center"/>
                </w:tcPr>
                <w:p w14:paraId="5704F213">
                  <w:pPr>
                    <w:pStyle w:val="41"/>
                    <w:rPr>
                      <w:color w:val="auto"/>
                      <w:highlight w:val="none"/>
                    </w:rPr>
                  </w:pPr>
                  <w:r>
                    <w:rPr>
                      <w:rFonts w:hint="eastAsia"/>
                      <w:color w:val="auto"/>
                      <w:highlight w:val="none"/>
                    </w:rPr>
                    <w:t>1090</w:t>
                  </w:r>
                </w:p>
              </w:tc>
              <w:tc>
                <w:tcPr>
                  <w:tcW w:w="655" w:type="pct"/>
                  <w:vAlign w:val="center"/>
                </w:tcPr>
                <w:p w14:paraId="37887F53">
                  <w:pPr>
                    <w:pStyle w:val="41"/>
                    <w:rPr>
                      <w:color w:val="auto"/>
                      <w:highlight w:val="none"/>
                    </w:rPr>
                  </w:pPr>
                  <w:r>
                    <w:rPr>
                      <w:color w:val="auto"/>
                      <w:highlight w:val="none"/>
                    </w:rPr>
                    <w:t>1</w:t>
                  </w:r>
                  <w:r>
                    <w:rPr>
                      <w:rFonts w:hint="eastAsia"/>
                      <w:color w:val="auto"/>
                      <w:highlight w:val="none"/>
                    </w:rPr>
                    <w:t>21</w:t>
                  </w:r>
                  <w:r>
                    <w:rPr>
                      <w:color w:val="auto"/>
                      <w:highlight w:val="none"/>
                    </w:rPr>
                    <w:t>5</w:t>
                  </w:r>
                </w:p>
              </w:tc>
              <w:tc>
                <w:tcPr>
                  <w:tcW w:w="758" w:type="pct"/>
                  <w:vAlign w:val="center"/>
                </w:tcPr>
                <w:p w14:paraId="05886AD4">
                  <w:pPr>
                    <w:pStyle w:val="41"/>
                    <w:rPr>
                      <w:color w:val="auto"/>
                      <w:highlight w:val="none"/>
                    </w:rPr>
                  </w:pPr>
                  <w:r>
                    <w:rPr>
                      <w:rFonts w:hint="eastAsia"/>
                      <w:color w:val="auto"/>
                      <w:highlight w:val="none"/>
                    </w:rPr>
                    <w:t>2305</w:t>
                  </w:r>
                </w:p>
              </w:tc>
            </w:tr>
            <w:tr w14:paraId="532E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8" w:type="pct"/>
                  <w:shd w:val="clear" w:color="auto" w:fill="auto"/>
                  <w:vAlign w:val="center"/>
                </w:tcPr>
                <w:p w14:paraId="1D72760D">
                  <w:pPr>
                    <w:pStyle w:val="41"/>
                    <w:rPr>
                      <w:color w:val="auto"/>
                      <w:highlight w:val="none"/>
                    </w:rPr>
                  </w:pPr>
                </w:p>
              </w:tc>
              <w:tc>
                <w:tcPr>
                  <w:tcW w:w="3933" w:type="pct"/>
                  <w:gridSpan w:val="4"/>
                  <w:vAlign w:val="center"/>
                </w:tcPr>
                <w:p w14:paraId="6090C8EE">
                  <w:pPr>
                    <w:pStyle w:val="41"/>
                    <w:rPr>
                      <w:color w:val="auto"/>
                      <w:highlight w:val="none"/>
                    </w:rPr>
                  </w:pPr>
                  <w:r>
                    <w:rPr>
                      <w:rFonts w:hint="eastAsia"/>
                      <w:color w:val="auto"/>
                      <w:highlight w:val="none"/>
                    </w:rPr>
                    <w:t>合计</w:t>
                  </w:r>
                </w:p>
              </w:tc>
              <w:tc>
                <w:tcPr>
                  <w:tcW w:w="758" w:type="pct"/>
                  <w:vAlign w:val="center"/>
                </w:tcPr>
                <w:p w14:paraId="5A18D1EC">
                  <w:pPr>
                    <w:pStyle w:val="41"/>
                    <w:rPr>
                      <w:color w:val="auto"/>
                      <w:highlight w:val="none"/>
                    </w:rPr>
                  </w:pPr>
                  <w:r>
                    <w:rPr>
                      <w:rFonts w:hint="eastAsia"/>
                      <w:color w:val="auto"/>
                      <w:highlight w:val="none"/>
                    </w:rPr>
                    <w:t>4472</w:t>
                  </w:r>
                </w:p>
              </w:tc>
            </w:tr>
            <w:tr w14:paraId="0A97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5000" w:type="pct"/>
                  <w:gridSpan w:val="6"/>
                  <w:vAlign w:val="center"/>
                </w:tcPr>
                <w:p w14:paraId="12825EF5">
                  <w:pPr>
                    <w:pStyle w:val="41"/>
                    <w:rPr>
                      <w:color w:val="auto"/>
                      <w:highlight w:val="none"/>
                    </w:rPr>
                  </w:pPr>
                  <w:r>
                    <w:rPr>
                      <w:color w:val="auto"/>
                      <w:highlight w:val="none"/>
                    </w:rPr>
                    <w:t>注：表中所列钻井液材料可用同类型或更高标准合格产品替代。</w:t>
                  </w:r>
                </w:p>
              </w:tc>
            </w:tr>
          </w:tbl>
          <w:p w14:paraId="68853B21">
            <w:pPr>
              <w:pStyle w:val="3"/>
              <w:ind w:firstLine="0" w:firstLineChars="0"/>
              <w:rPr>
                <w:color w:val="auto"/>
                <w:sz w:val="21"/>
                <w:highlight w:val="none"/>
              </w:rPr>
            </w:pPr>
          </w:p>
          <w:p w14:paraId="25E270D3">
            <w:pPr>
              <w:pStyle w:val="13"/>
              <w:bidi w:val="0"/>
              <w:rPr>
                <w:color w:val="auto"/>
                <w:highlight w:val="none"/>
              </w:rPr>
            </w:pPr>
            <w:bookmarkStart w:id="32" w:name="_Ref205987146"/>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19</w:t>
            </w:r>
            <w:r>
              <w:rPr>
                <w:rFonts w:hint="eastAsia"/>
                <w:color w:val="auto"/>
                <w:highlight w:val="none"/>
              </w:rPr>
              <w:fldChar w:fldCharType="end"/>
            </w:r>
            <w:bookmarkEnd w:id="32"/>
            <w:r>
              <w:rPr>
                <w:rFonts w:hint="eastAsia"/>
                <w:color w:val="auto"/>
                <w:highlight w:val="none"/>
              </w:rPr>
              <w:t xml:space="preserve">  钻井液主要成分理化性质一览表</w:t>
            </w:r>
          </w:p>
          <w:tbl>
            <w:tblPr>
              <w:tblStyle w:val="6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536"/>
              <w:gridCol w:w="4854"/>
            </w:tblGrid>
            <w:tr w14:paraId="7966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7B0F2351">
                  <w:pPr>
                    <w:pStyle w:val="3"/>
                    <w:spacing w:line="240" w:lineRule="auto"/>
                    <w:ind w:firstLine="0" w:firstLineChars="0"/>
                    <w:jc w:val="center"/>
                    <w:rPr>
                      <w:color w:val="auto"/>
                      <w:sz w:val="18"/>
                      <w:szCs w:val="18"/>
                      <w:highlight w:val="none"/>
                    </w:rPr>
                  </w:pPr>
                  <w:r>
                    <w:rPr>
                      <w:rFonts w:hint="eastAsia"/>
                      <w:color w:val="auto"/>
                      <w:sz w:val="18"/>
                      <w:szCs w:val="18"/>
                      <w:highlight w:val="none"/>
                    </w:rPr>
                    <w:t>成分</w:t>
                  </w:r>
                </w:p>
              </w:tc>
              <w:tc>
                <w:tcPr>
                  <w:tcW w:w="1020" w:type="pct"/>
                  <w:tcMar>
                    <w:top w:w="57" w:type="dxa"/>
                    <w:left w:w="108" w:type="dxa"/>
                    <w:bottom w:w="57" w:type="dxa"/>
                    <w:right w:w="108" w:type="dxa"/>
                  </w:tcMar>
                  <w:vAlign w:val="center"/>
                </w:tcPr>
                <w:p w14:paraId="0ECAE45F">
                  <w:pPr>
                    <w:pStyle w:val="3"/>
                    <w:spacing w:line="240" w:lineRule="auto"/>
                    <w:ind w:firstLine="0" w:firstLineChars="0"/>
                    <w:jc w:val="center"/>
                    <w:rPr>
                      <w:color w:val="auto"/>
                      <w:sz w:val="18"/>
                      <w:szCs w:val="18"/>
                      <w:highlight w:val="none"/>
                    </w:rPr>
                  </w:pPr>
                  <w:r>
                    <w:rPr>
                      <w:rFonts w:hint="eastAsia"/>
                      <w:color w:val="auto"/>
                      <w:sz w:val="18"/>
                      <w:szCs w:val="18"/>
                      <w:highlight w:val="none"/>
                    </w:rPr>
                    <w:t>作用</w:t>
                  </w:r>
                </w:p>
              </w:tc>
              <w:tc>
                <w:tcPr>
                  <w:tcW w:w="3224" w:type="pct"/>
                  <w:tcMar>
                    <w:top w:w="57" w:type="dxa"/>
                    <w:left w:w="108" w:type="dxa"/>
                    <w:bottom w:w="57" w:type="dxa"/>
                    <w:right w:w="108" w:type="dxa"/>
                  </w:tcMar>
                  <w:vAlign w:val="center"/>
                </w:tcPr>
                <w:p w14:paraId="18A7D36D">
                  <w:pPr>
                    <w:pStyle w:val="3"/>
                    <w:spacing w:line="240" w:lineRule="auto"/>
                    <w:ind w:firstLine="0" w:firstLineChars="0"/>
                    <w:jc w:val="center"/>
                    <w:rPr>
                      <w:color w:val="auto"/>
                      <w:sz w:val="18"/>
                      <w:szCs w:val="18"/>
                      <w:highlight w:val="none"/>
                    </w:rPr>
                  </w:pPr>
                  <w:r>
                    <w:rPr>
                      <w:rFonts w:hint="eastAsia"/>
                      <w:color w:val="auto"/>
                      <w:sz w:val="18"/>
                      <w:szCs w:val="18"/>
                      <w:highlight w:val="none"/>
                    </w:rPr>
                    <w:t>理化性质</w:t>
                  </w:r>
                </w:p>
              </w:tc>
            </w:tr>
            <w:tr w14:paraId="0823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74AB6CFE">
                  <w:pPr>
                    <w:pStyle w:val="3"/>
                    <w:spacing w:line="240" w:lineRule="auto"/>
                    <w:ind w:firstLine="0" w:firstLineChars="0"/>
                    <w:jc w:val="center"/>
                    <w:rPr>
                      <w:color w:val="auto"/>
                      <w:sz w:val="18"/>
                      <w:szCs w:val="18"/>
                      <w:highlight w:val="none"/>
                    </w:rPr>
                  </w:pPr>
                  <w:r>
                    <w:rPr>
                      <w:rFonts w:hint="eastAsia"/>
                      <w:color w:val="auto"/>
                      <w:sz w:val="18"/>
                      <w:szCs w:val="18"/>
                      <w:highlight w:val="none"/>
                    </w:rPr>
                    <w:t>膨润土</w:t>
                  </w:r>
                </w:p>
              </w:tc>
              <w:tc>
                <w:tcPr>
                  <w:tcW w:w="1020" w:type="pct"/>
                  <w:tcMar>
                    <w:top w:w="57" w:type="dxa"/>
                    <w:left w:w="108" w:type="dxa"/>
                    <w:bottom w:w="57" w:type="dxa"/>
                    <w:right w:w="108" w:type="dxa"/>
                  </w:tcMar>
                  <w:vAlign w:val="center"/>
                </w:tcPr>
                <w:p w14:paraId="6F814162">
                  <w:pPr>
                    <w:pStyle w:val="3"/>
                    <w:spacing w:line="240" w:lineRule="auto"/>
                    <w:ind w:firstLine="0" w:firstLineChars="0"/>
                    <w:jc w:val="center"/>
                    <w:rPr>
                      <w:color w:val="auto"/>
                      <w:sz w:val="18"/>
                      <w:szCs w:val="18"/>
                      <w:highlight w:val="none"/>
                    </w:rPr>
                  </w:pPr>
                  <w:r>
                    <w:rPr>
                      <w:rFonts w:hint="eastAsia"/>
                      <w:color w:val="auto"/>
                      <w:sz w:val="18"/>
                      <w:szCs w:val="18"/>
                      <w:highlight w:val="none"/>
                    </w:rPr>
                    <w:t>增稠</w:t>
                  </w:r>
                </w:p>
              </w:tc>
              <w:tc>
                <w:tcPr>
                  <w:tcW w:w="3224" w:type="pct"/>
                  <w:tcMar>
                    <w:top w:w="57" w:type="dxa"/>
                    <w:left w:w="108" w:type="dxa"/>
                    <w:bottom w:w="57" w:type="dxa"/>
                    <w:right w:w="108" w:type="dxa"/>
                  </w:tcMar>
                  <w:vAlign w:val="center"/>
                </w:tcPr>
                <w:p w14:paraId="4CB64935">
                  <w:pPr>
                    <w:pStyle w:val="3"/>
                    <w:spacing w:line="240" w:lineRule="auto"/>
                    <w:ind w:firstLine="0" w:firstLineChars="0"/>
                    <w:rPr>
                      <w:color w:val="auto"/>
                      <w:sz w:val="18"/>
                      <w:szCs w:val="18"/>
                      <w:highlight w:val="none"/>
                    </w:rPr>
                  </w:pPr>
                  <w:r>
                    <w:rPr>
                      <w:rFonts w:hint="eastAsia"/>
                      <w:color w:val="auto"/>
                      <w:sz w:val="18"/>
                      <w:szCs w:val="18"/>
                      <w:highlight w:val="none"/>
                    </w:rPr>
                    <w:t>主要成分为蒙脱石，外观因含杂质的不同，有白色、灰色、灰黄色和紫红色等颜色，易吸潮，吸潮后结块。</w:t>
                  </w:r>
                </w:p>
              </w:tc>
            </w:tr>
            <w:tr w14:paraId="3800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4E2BF5BC">
                  <w:pPr>
                    <w:pStyle w:val="3"/>
                    <w:spacing w:line="240" w:lineRule="auto"/>
                    <w:ind w:firstLine="0" w:firstLineChars="0"/>
                    <w:jc w:val="center"/>
                    <w:rPr>
                      <w:color w:val="auto"/>
                      <w:sz w:val="18"/>
                      <w:szCs w:val="18"/>
                      <w:highlight w:val="none"/>
                    </w:rPr>
                  </w:pPr>
                  <w:r>
                    <w:rPr>
                      <w:rFonts w:hint="eastAsia"/>
                      <w:color w:val="auto"/>
                      <w:sz w:val="18"/>
                      <w:szCs w:val="18"/>
                      <w:highlight w:val="none"/>
                    </w:rPr>
                    <w:t>工业用氢氧化钠</w:t>
                  </w:r>
                </w:p>
              </w:tc>
              <w:tc>
                <w:tcPr>
                  <w:tcW w:w="1020" w:type="pct"/>
                  <w:tcMar>
                    <w:top w:w="57" w:type="dxa"/>
                    <w:left w:w="108" w:type="dxa"/>
                    <w:bottom w:w="57" w:type="dxa"/>
                    <w:right w:w="108" w:type="dxa"/>
                  </w:tcMar>
                  <w:vAlign w:val="center"/>
                </w:tcPr>
                <w:p w14:paraId="077F0BC9">
                  <w:pPr>
                    <w:pStyle w:val="3"/>
                    <w:spacing w:line="240" w:lineRule="auto"/>
                    <w:ind w:firstLine="0" w:firstLineChars="0"/>
                    <w:jc w:val="center"/>
                    <w:rPr>
                      <w:color w:val="auto"/>
                      <w:sz w:val="18"/>
                      <w:szCs w:val="18"/>
                      <w:highlight w:val="none"/>
                    </w:rPr>
                  </w:pPr>
                  <w:r>
                    <w:rPr>
                      <w:rFonts w:hint="eastAsia"/>
                      <w:color w:val="auto"/>
                      <w:sz w:val="18"/>
                      <w:szCs w:val="18"/>
                      <w:highlight w:val="none"/>
                    </w:rPr>
                    <w:t>调节泥浆pH值，促使膨润土分散造浆</w:t>
                  </w:r>
                </w:p>
              </w:tc>
              <w:tc>
                <w:tcPr>
                  <w:tcW w:w="3224" w:type="pct"/>
                  <w:tcMar>
                    <w:top w:w="57" w:type="dxa"/>
                    <w:left w:w="108" w:type="dxa"/>
                    <w:bottom w:w="57" w:type="dxa"/>
                    <w:right w:w="108" w:type="dxa"/>
                  </w:tcMar>
                  <w:vAlign w:val="center"/>
                </w:tcPr>
                <w:p w14:paraId="2FF3D35F">
                  <w:pPr>
                    <w:pStyle w:val="3"/>
                    <w:spacing w:line="240" w:lineRule="auto"/>
                    <w:ind w:firstLine="0" w:firstLineChars="0"/>
                    <w:rPr>
                      <w:color w:val="auto"/>
                      <w:sz w:val="18"/>
                      <w:szCs w:val="18"/>
                      <w:highlight w:val="none"/>
                    </w:rPr>
                  </w:pPr>
                  <w:r>
                    <w:rPr>
                      <w:rFonts w:hint="eastAsia"/>
                      <w:color w:val="auto"/>
                      <w:sz w:val="18"/>
                      <w:szCs w:val="18"/>
                      <w:highlight w:val="none"/>
                    </w:rPr>
                    <w:t>氢氧化钠又称烧碱、火碱或苛性钠，白色结晶，易吸潮，有强烈的腐蚀性。</w:t>
                  </w:r>
                </w:p>
              </w:tc>
            </w:tr>
            <w:tr w14:paraId="053C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0B9023DC">
                  <w:pPr>
                    <w:pStyle w:val="3"/>
                    <w:spacing w:line="240" w:lineRule="auto"/>
                    <w:ind w:firstLine="0" w:firstLineChars="0"/>
                    <w:jc w:val="center"/>
                    <w:rPr>
                      <w:color w:val="auto"/>
                      <w:sz w:val="18"/>
                      <w:szCs w:val="18"/>
                      <w:highlight w:val="none"/>
                    </w:rPr>
                  </w:pPr>
                  <w:r>
                    <w:rPr>
                      <w:rFonts w:hint="eastAsia"/>
                      <w:color w:val="auto"/>
                      <w:sz w:val="18"/>
                      <w:szCs w:val="18"/>
                      <w:highlight w:val="none"/>
                    </w:rPr>
                    <w:t>碳酸钠</w:t>
                  </w:r>
                </w:p>
              </w:tc>
              <w:tc>
                <w:tcPr>
                  <w:tcW w:w="1020" w:type="pct"/>
                  <w:tcMar>
                    <w:top w:w="57" w:type="dxa"/>
                    <w:left w:w="108" w:type="dxa"/>
                    <w:bottom w:w="57" w:type="dxa"/>
                    <w:right w:w="108" w:type="dxa"/>
                  </w:tcMar>
                  <w:vAlign w:val="center"/>
                </w:tcPr>
                <w:p w14:paraId="33BC6027">
                  <w:pPr>
                    <w:pStyle w:val="3"/>
                    <w:spacing w:line="240" w:lineRule="auto"/>
                    <w:ind w:firstLine="0" w:firstLineChars="0"/>
                    <w:jc w:val="center"/>
                    <w:rPr>
                      <w:color w:val="auto"/>
                      <w:sz w:val="18"/>
                      <w:szCs w:val="18"/>
                      <w:highlight w:val="none"/>
                    </w:rPr>
                  </w:pPr>
                  <w:r>
                    <w:rPr>
                      <w:rFonts w:hint="eastAsia"/>
                      <w:color w:val="auto"/>
                      <w:sz w:val="18"/>
                      <w:szCs w:val="18"/>
                      <w:highlight w:val="none"/>
                    </w:rPr>
                    <w:t>促进水化，降低失水</w:t>
                  </w:r>
                </w:p>
              </w:tc>
              <w:tc>
                <w:tcPr>
                  <w:tcW w:w="3224" w:type="pct"/>
                  <w:tcMar>
                    <w:top w:w="57" w:type="dxa"/>
                    <w:left w:w="108" w:type="dxa"/>
                    <w:bottom w:w="57" w:type="dxa"/>
                    <w:right w:w="108" w:type="dxa"/>
                  </w:tcMar>
                  <w:vAlign w:val="center"/>
                </w:tcPr>
                <w:p w14:paraId="5CC1789B">
                  <w:pPr>
                    <w:pStyle w:val="3"/>
                    <w:spacing w:line="240" w:lineRule="auto"/>
                    <w:ind w:firstLine="0" w:firstLineChars="0"/>
                    <w:rPr>
                      <w:color w:val="auto"/>
                      <w:sz w:val="18"/>
                      <w:szCs w:val="18"/>
                      <w:highlight w:val="none"/>
                    </w:rPr>
                  </w:pPr>
                  <w:r>
                    <w:rPr>
                      <w:rFonts w:hint="eastAsia"/>
                      <w:color w:val="auto"/>
                      <w:sz w:val="18"/>
                      <w:szCs w:val="18"/>
                      <w:highlight w:val="none"/>
                    </w:rPr>
                    <w:t>碳酸钠又称纯碱、苏打，白色粉末结晶，易溶于水，水溶液呈碱性，在空气中易吸潮结块。</w:t>
                  </w:r>
                </w:p>
              </w:tc>
            </w:tr>
            <w:tr w14:paraId="43BA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04DB7183">
                  <w:pPr>
                    <w:pStyle w:val="3"/>
                    <w:spacing w:line="240" w:lineRule="auto"/>
                    <w:ind w:firstLine="0" w:firstLineChars="0"/>
                    <w:jc w:val="center"/>
                    <w:rPr>
                      <w:color w:val="auto"/>
                      <w:sz w:val="18"/>
                      <w:szCs w:val="18"/>
                      <w:highlight w:val="none"/>
                    </w:rPr>
                  </w:pPr>
                  <w:r>
                    <w:rPr>
                      <w:rFonts w:hint="eastAsia"/>
                      <w:color w:val="auto"/>
                      <w:sz w:val="18"/>
                      <w:szCs w:val="18"/>
                      <w:highlight w:val="none"/>
                    </w:rPr>
                    <w:t>氯化钙</w:t>
                  </w:r>
                </w:p>
              </w:tc>
              <w:tc>
                <w:tcPr>
                  <w:tcW w:w="1020" w:type="pct"/>
                  <w:tcMar>
                    <w:top w:w="57" w:type="dxa"/>
                    <w:left w:w="108" w:type="dxa"/>
                    <w:bottom w:w="57" w:type="dxa"/>
                    <w:right w:w="108" w:type="dxa"/>
                  </w:tcMar>
                  <w:vAlign w:val="center"/>
                </w:tcPr>
                <w:p w14:paraId="719E70E6">
                  <w:pPr>
                    <w:pStyle w:val="3"/>
                    <w:spacing w:line="240" w:lineRule="auto"/>
                    <w:ind w:firstLine="0" w:firstLineChars="0"/>
                    <w:jc w:val="center"/>
                    <w:rPr>
                      <w:color w:val="auto"/>
                      <w:sz w:val="18"/>
                      <w:szCs w:val="18"/>
                      <w:highlight w:val="none"/>
                    </w:rPr>
                  </w:pPr>
                  <w:r>
                    <w:rPr>
                      <w:rFonts w:hint="eastAsia"/>
                      <w:color w:val="auto"/>
                      <w:sz w:val="18"/>
                      <w:szCs w:val="18"/>
                      <w:highlight w:val="none"/>
                    </w:rPr>
                    <w:t>抑制泥岩分散调整流型</w:t>
                  </w:r>
                </w:p>
              </w:tc>
              <w:tc>
                <w:tcPr>
                  <w:tcW w:w="3224" w:type="pct"/>
                  <w:tcMar>
                    <w:top w:w="57" w:type="dxa"/>
                    <w:left w:w="108" w:type="dxa"/>
                    <w:bottom w:w="57" w:type="dxa"/>
                    <w:right w:w="108" w:type="dxa"/>
                  </w:tcMar>
                  <w:vAlign w:val="center"/>
                </w:tcPr>
                <w:p w14:paraId="665E1E3D">
                  <w:pPr>
                    <w:pStyle w:val="3"/>
                    <w:spacing w:line="240" w:lineRule="auto"/>
                    <w:ind w:firstLine="0" w:firstLineChars="0"/>
                    <w:rPr>
                      <w:color w:val="auto"/>
                      <w:sz w:val="18"/>
                      <w:szCs w:val="18"/>
                      <w:highlight w:val="none"/>
                    </w:rPr>
                  </w:pPr>
                  <w:r>
                    <w:rPr>
                      <w:rFonts w:hint="eastAsia"/>
                      <w:color w:val="auto"/>
                      <w:sz w:val="18"/>
                      <w:szCs w:val="18"/>
                      <w:highlight w:val="none"/>
                    </w:rPr>
                    <w:t>无色立方结晶体，白色或灰白色，有粒状、蜂窝块状、圆球状、不规则颗粒状、粉末状。微毒、无臭、味微苦。吸湿性极强，暴露于空气中极易潮解。易溶于水，同时放出大量的热，其水溶液呈微酸性。</w:t>
                  </w:r>
                </w:p>
              </w:tc>
            </w:tr>
            <w:tr w14:paraId="24DC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77EB7614">
                  <w:pPr>
                    <w:pStyle w:val="3"/>
                    <w:spacing w:line="240" w:lineRule="auto"/>
                    <w:ind w:firstLine="0" w:firstLineChars="0"/>
                    <w:jc w:val="center"/>
                    <w:rPr>
                      <w:color w:val="auto"/>
                      <w:sz w:val="18"/>
                      <w:szCs w:val="18"/>
                      <w:highlight w:val="none"/>
                    </w:rPr>
                  </w:pPr>
                  <w:r>
                    <w:rPr>
                      <w:rFonts w:hint="eastAsia"/>
                      <w:color w:val="auto"/>
                      <w:sz w:val="18"/>
                      <w:szCs w:val="18"/>
                      <w:highlight w:val="none"/>
                    </w:rPr>
                    <w:t>氯化钠</w:t>
                  </w:r>
                </w:p>
              </w:tc>
              <w:tc>
                <w:tcPr>
                  <w:tcW w:w="1020" w:type="pct"/>
                  <w:tcMar>
                    <w:top w:w="57" w:type="dxa"/>
                    <w:left w:w="108" w:type="dxa"/>
                    <w:bottom w:w="57" w:type="dxa"/>
                    <w:right w:w="108" w:type="dxa"/>
                  </w:tcMar>
                  <w:vAlign w:val="center"/>
                </w:tcPr>
                <w:p w14:paraId="1F1DC8A4">
                  <w:pPr>
                    <w:pStyle w:val="3"/>
                    <w:spacing w:line="240" w:lineRule="auto"/>
                    <w:ind w:firstLine="0" w:firstLineChars="0"/>
                    <w:jc w:val="center"/>
                    <w:rPr>
                      <w:color w:val="auto"/>
                      <w:sz w:val="18"/>
                      <w:szCs w:val="18"/>
                      <w:highlight w:val="none"/>
                    </w:rPr>
                  </w:pPr>
                  <w:r>
                    <w:rPr>
                      <w:rFonts w:hint="eastAsia"/>
                      <w:color w:val="auto"/>
                      <w:sz w:val="18"/>
                      <w:szCs w:val="18"/>
                      <w:highlight w:val="none"/>
                      <w:shd w:val="clear" w:color="auto" w:fill="FFFFFF"/>
                    </w:rPr>
                    <w:t>降低钻井液活度，保持井壁稳定</w:t>
                  </w:r>
                </w:p>
              </w:tc>
              <w:tc>
                <w:tcPr>
                  <w:tcW w:w="3224" w:type="pct"/>
                  <w:tcMar>
                    <w:top w:w="57" w:type="dxa"/>
                    <w:left w:w="108" w:type="dxa"/>
                    <w:bottom w:w="57" w:type="dxa"/>
                    <w:right w:w="108" w:type="dxa"/>
                  </w:tcMar>
                  <w:vAlign w:val="center"/>
                </w:tcPr>
                <w:p w14:paraId="54A6FA4B">
                  <w:pPr>
                    <w:pStyle w:val="3"/>
                    <w:spacing w:line="240" w:lineRule="auto"/>
                    <w:ind w:firstLine="0" w:firstLineChars="0"/>
                    <w:rPr>
                      <w:color w:val="auto"/>
                      <w:sz w:val="18"/>
                      <w:szCs w:val="18"/>
                      <w:highlight w:val="none"/>
                    </w:rPr>
                  </w:pPr>
                  <w:r>
                    <w:rPr>
                      <w:rFonts w:hint="eastAsia"/>
                      <w:color w:val="auto"/>
                      <w:sz w:val="18"/>
                      <w:szCs w:val="18"/>
                      <w:highlight w:val="none"/>
                    </w:rPr>
                    <w:t>氯化钠是一种无机离子化合物，化学式NaCl，无色立方结晶或细小结晶粉末，味咸。外观是白色晶体状，易溶于水、甘油，微溶于乙醇（酒精）、液氨；不溶于浓盐酸。工业氯化钠可以增加钻井液的密度，以控制井下的压力，并减轻井下油气的泄漏和井喷的风险。此外，它还可以增加钻井液的黏度，增强润滑性能，从而提高钻速，减少钻井过程中的摩擦和磨损。</w:t>
                  </w:r>
                </w:p>
              </w:tc>
            </w:tr>
            <w:tr w14:paraId="48E4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4A17A077">
                  <w:pPr>
                    <w:pStyle w:val="3"/>
                    <w:spacing w:line="240" w:lineRule="auto"/>
                    <w:ind w:firstLine="0" w:firstLineChars="0"/>
                    <w:jc w:val="center"/>
                    <w:rPr>
                      <w:color w:val="auto"/>
                      <w:sz w:val="18"/>
                      <w:szCs w:val="18"/>
                      <w:highlight w:val="none"/>
                    </w:rPr>
                  </w:pPr>
                  <w:r>
                    <w:rPr>
                      <w:rFonts w:hint="eastAsia"/>
                      <w:color w:val="auto"/>
                      <w:sz w:val="18"/>
                      <w:szCs w:val="18"/>
                      <w:highlight w:val="none"/>
                    </w:rPr>
                    <w:t>氯化钾</w:t>
                  </w:r>
                </w:p>
              </w:tc>
              <w:tc>
                <w:tcPr>
                  <w:tcW w:w="1020" w:type="pct"/>
                  <w:tcMar>
                    <w:top w:w="57" w:type="dxa"/>
                    <w:left w:w="108" w:type="dxa"/>
                    <w:bottom w:w="57" w:type="dxa"/>
                    <w:right w:w="108" w:type="dxa"/>
                  </w:tcMar>
                  <w:vAlign w:val="center"/>
                </w:tcPr>
                <w:p w14:paraId="0773D54B">
                  <w:pPr>
                    <w:pStyle w:val="3"/>
                    <w:spacing w:line="240" w:lineRule="auto"/>
                    <w:ind w:firstLine="0" w:firstLineChars="0"/>
                    <w:jc w:val="center"/>
                    <w:rPr>
                      <w:color w:val="auto"/>
                      <w:sz w:val="18"/>
                      <w:szCs w:val="18"/>
                      <w:highlight w:val="none"/>
                    </w:rPr>
                  </w:pPr>
                  <w:r>
                    <w:rPr>
                      <w:rFonts w:hint="eastAsia"/>
                      <w:color w:val="auto"/>
                      <w:sz w:val="18"/>
                      <w:szCs w:val="18"/>
                      <w:highlight w:val="none"/>
                    </w:rPr>
                    <w:t>降低钻井液活度，</w:t>
                  </w:r>
                  <w:r>
                    <w:rPr>
                      <w:rFonts w:hint="eastAsia"/>
                      <w:color w:val="auto"/>
                      <w:sz w:val="18"/>
                      <w:szCs w:val="18"/>
                      <w:highlight w:val="none"/>
                      <w:shd w:val="clear" w:color="auto" w:fill="FFFFFF"/>
                    </w:rPr>
                    <w:t>保持井壁稳定</w:t>
                  </w:r>
                </w:p>
              </w:tc>
              <w:tc>
                <w:tcPr>
                  <w:tcW w:w="3224" w:type="pct"/>
                  <w:tcMar>
                    <w:top w:w="57" w:type="dxa"/>
                    <w:left w:w="108" w:type="dxa"/>
                    <w:bottom w:w="57" w:type="dxa"/>
                    <w:right w:w="108" w:type="dxa"/>
                  </w:tcMar>
                  <w:vAlign w:val="center"/>
                </w:tcPr>
                <w:p w14:paraId="01CA4C7B">
                  <w:pPr>
                    <w:pStyle w:val="3"/>
                    <w:spacing w:line="240" w:lineRule="auto"/>
                    <w:ind w:firstLine="0" w:firstLineChars="0"/>
                    <w:rPr>
                      <w:color w:val="auto"/>
                      <w:sz w:val="18"/>
                      <w:szCs w:val="18"/>
                      <w:highlight w:val="none"/>
                    </w:rPr>
                  </w:pPr>
                  <w:r>
                    <w:rPr>
                      <w:rFonts w:hint="eastAsia"/>
                      <w:color w:val="auto"/>
                      <w:sz w:val="18"/>
                      <w:szCs w:val="18"/>
                      <w:highlight w:val="none"/>
                      <w:shd w:val="clear" w:color="auto" w:fill="FFFFFF"/>
                    </w:rPr>
                    <w:t>氯化钾是一种无机化合物，化学式为KCl，白色晶体，味极咸，无臭无毒性。易溶于水、醚、甘油及碱类，微溶于乙醇，但不溶于无水乙醇，有吸湿性，易结块。其作用是抗无机离子污染，降低钻井液滤失量，提高钻速，减少井下复杂情况及降低钻井成本等。</w:t>
                  </w:r>
                </w:p>
              </w:tc>
            </w:tr>
            <w:tr w14:paraId="4935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34CB73AE">
                  <w:pPr>
                    <w:pStyle w:val="3"/>
                    <w:spacing w:line="240" w:lineRule="auto"/>
                    <w:ind w:firstLine="0" w:firstLineChars="0"/>
                    <w:jc w:val="center"/>
                    <w:rPr>
                      <w:color w:val="auto"/>
                      <w:sz w:val="18"/>
                      <w:szCs w:val="18"/>
                      <w:highlight w:val="none"/>
                    </w:rPr>
                  </w:pPr>
                  <w:r>
                    <w:rPr>
                      <w:rFonts w:hint="eastAsia"/>
                      <w:color w:val="auto"/>
                      <w:sz w:val="18"/>
                      <w:szCs w:val="18"/>
                      <w:highlight w:val="none"/>
                    </w:rPr>
                    <w:t>降滤失剂</w:t>
                  </w:r>
                </w:p>
              </w:tc>
              <w:tc>
                <w:tcPr>
                  <w:tcW w:w="1020" w:type="pct"/>
                  <w:tcMar>
                    <w:top w:w="57" w:type="dxa"/>
                    <w:left w:w="108" w:type="dxa"/>
                    <w:bottom w:w="57" w:type="dxa"/>
                    <w:right w:w="108" w:type="dxa"/>
                  </w:tcMar>
                  <w:vAlign w:val="center"/>
                </w:tcPr>
                <w:p w14:paraId="7C21A5F6">
                  <w:pPr>
                    <w:pStyle w:val="3"/>
                    <w:spacing w:line="240" w:lineRule="auto"/>
                    <w:ind w:firstLine="0" w:firstLineChars="0"/>
                    <w:jc w:val="center"/>
                    <w:rPr>
                      <w:color w:val="auto"/>
                      <w:sz w:val="18"/>
                      <w:szCs w:val="18"/>
                      <w:highlight w:val="none"/>
                    </w:rPr>
                  </w:pPr>
                  <w:r>
                    <w:rPr>
                      <w:rFonts w:hint="eastAsia"/>
                      <w:color w:val="auto"/>
                      <w:sz w:val="18"/>
                      <w:szCs w:val="18"/>
                      <w:highlight w:val="none"/>
                    </w:rPr>
                    <w:t>降滤失</w:t>
                  </w:r>
                </w:p>
              </w:tc>
              <w:tc>
                <w:tcPr>
                  <w:tcW w:w="3224" w:type="pct"/>
                  <w:tcMar>
                    <w:top w:w="57" w:type="dxa"/>
                    <w:left w:w="108" w:type="dxa"/>
                    <w:bottom w:w="57" w:type="dxa"/>
                    <w:right w:w="108" w:type="dxa"/>
                  </w:tcMar>
                  <w:vAlign w:val="center"/>
                </w:tcPr>
                <w:p w14:paraId="31E8C0B5">
                  <w:pPr>
                    <w:pStyle w:val="3"/>
                    <w:spacing w:line="240" w:lineRule="auto"/>
                    <w:ind w:firstLine="0" w:firstLineChars="0"/>
                    <w:rPr>
                      <w:color w:val="auto"/>
                      <w:sz w:val="18"/>
                      <w:szCs w:val="18"/>
                      <w:highlight w:val="none"/>
                    </w:rPr>
                  </w:pPr>
                  <w:r>
                    <w:rPr>
                      <w:rFonts w:hint="eastAsia"/>
                      <w:color w:val="auto"/>
                      <w:sz w:val="18"/>
                      <w:szCs w:val="18"/>
                      <w:highlight w:val="none"/>
                    </w:rPr>
                    <w:t>白色自由流动粉末或颗粒，pH值7.0～9.0，该产品具有良好的降滤失效果，同时还能显著改善泥浆流变性，抗温、抗污染能力强，性能稳定。</w:t>
                  </w:r>
                </w:p>
              </w:tc>
            </w:tr>
            <w:tr w14:paraId="3E2D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2E31C17A">
                  <w:pPr>
                    <w:pStyle w:val="3"/>
                    <w:spacing w:line="240" w:lineRule="auto"/>
                    <w:ind w:firstLine="0" w:firstLineChars="0"/>
                    <w:jc w:val="center"/>
                    <w:rPr>
                      <w:color w:val="auto"/>
                      <w:sz w:val="18"/>
                      <w:szCs w:val="18"/>
                      <w:highlight w:val="none"/>
                    </w:rPr>
                  </w:pPr>
                  <w:r>
                    <w:rPr>
                      <w:rFonts w:hint="eastAsia"/>
                      <w:color w:val="auto"/>
                      <w:sz w:val="18"/>
                      <w:szCs w:val="18"/>
                      <w:highlight w:val="none"/>
                    </w:rPr>
                    <w:t>重晶石粉</w:t>
                  </w:r>
                </w:p>
              </w:tc>
              <w:tc>
                <w:tcPr>
                  <w:tcW w:w="1020" w:type="pct"/>
                  <w:tcMar>
                    <w:top w:w="57" w:type="dxa"/>
                    <w:left w:w="108" w:type="dxa"/>
                    <w:bottom w:w="57" w:type="dxa"/>
                    <w:right w:w="108" w:type="dxa"/>
                  </w:tcMar>
                  <w:vAlign w:val="center"/>
                </w:tcPr>
                <w:p w14:paraId="45D832B9">
                  <w:pPr>
                    <w:pStyle w:val="3"/>
                    <w:spacing w:line="240" w:lineRule="auto"/>
                    <w:ind w:firstLine="0" w:firstLineChars="0"/>
                    <w:jc w:val="center"/>
                    <w:rPr>
                      <w:color w:val="auto"/>
                      <w:sz w:val="18"/>
                      <w:szCs w:val="18"/>
                      <w:highlight w:val="none"/>
                    </w:rPr>
                  </w:pPr>
                  <w:r>
                    <w:rPr>
                      <w:rFonts w:hint="eastAsia"/>
                      <w:color w:val="auto"/>
                      <w:sz w:val="18"/>
                      <w:szCs w:val="18"/>
                      <w:highlight w:val="none"/>
                    </w:rPr>
                    <w:t>提高钻井液密度</w:t>
                  </w:r>
                </w:p>
              </w:tc>
              <w:tc>
                <w:tcPr>
                  <w:tcW w:w="3224" w:type="pct"/>
                  <w:tcMar>
                    <w:top w:w="57" w:type="dxa"/>
                    <w:left w:w="108" w:type="dxa"/>
                    <w:bottom w:w="57" w:type="dxa"/>
                    <w:right w:w="108" w:type="dxa"/>
                  </w:tcMar>
                  <w:vAlign w:val="center"/>
                </w:tcPr>
                <w:p w14:paraId="121EAF0A">
                  <w:pPr>
                    <w:pStyle w:val="3"/>
                    <w:spacing w:line="240" w:lineRule="auto"/>
                    <w:ind w:firstLine="0" w:firstLineChars="0"/>
                    <w:rPr>
                      <w:color w:val="auto"/>
                      <w:sz w:val="18"/>
                      <w:szCs w:val="18"/>
                      <w:highlight w:val="none"/>
                    </w:rPr>
                  </w:pPr>
                  <w:r>
                    <w:rPr>
                      <w:rFonts w:hint="eastAsia"/>
                      <w:color w:val="auto"/>
                      <w:sz w:val="18"/>
                      <w:szCs w:val="18"/>
                      <w:highlight w:val="none"/>
                    </w:rPr>
                    <w:t>化学组成为BaSO</w:t>
                  </w:r>
                  <w:r>
                    <w:rPr>
                      <w:rFonts w:hint="eastAsia"/>
                      <w:color w:val="auto"/>
                      <w:sz w:val="18"/>
                      <w:szCs w:val="18"/>
                      <w:highlight w:val="none"/>
                      <w:vertAlign w:val="subscript"/>
                    </w:rPr>
                    <w:t>4</w:t>
                  </w:r>
                  <w:r>
                    <w:rPr>
                      <w:rFonts w:hint="eastAsia"/>
                      <w:color w:val="auto"/>
                      <w:sz w:val="18"/>
                      <w:szCs w:val="18"/>
                      <w:highlight w:val="none"/>
                    </w:rPr>
                    <w:t>，常呈厚板状或柱状晶体，多为致密块状、板状或粒状集合体。质纯时无色透明，含杂质时被染成各种颜色，条痕白色，玻璃光泽，透明至半透明。</w:t>
                  </w:r>
                </w:p>
              </w:tc>
            </w:tr>
            <w:tr w14:paraId="72BB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37C74B6D">
                  <w:pPr>
                    <w:pStyle w:val="3"/>
                    <w:spacing w:line="240" w:lineRule="auto"/>
                    <w:ind w:firstLine="0" w:firstLineChars="0"/>
                    <w:jc w:val="center"/>
                    <w:rPr>
                      <w:color w:val="auto"/>
                      <w:sz w:val="18"/>
                      <w:szCs w:val="18"/>
                      <w:highlight w:val="none"/>
                    </w:rPr>
                  </w:pPr>
                  <w:r>
                    <w:rPr>
                      <w:rFonts w:hint="eastAsia"/>
                      <w:color w:val="auto"/>
                      <w:sz w:val="18"/>
                      <w:szCs w:val="18"/>
                      <w:highlight w:val="none"/>
                    </w:rPr>
                    <w:t>纳米封堵剂</w:t>
                  </w:r>
                </w:p>
              </w:tc>
              <w:tc>
                <w:tcPr>
                  <w:tcW w:w="1020" w:type="pct"/>
                  <w:tcMar>
                    <w:top w:w="57" w:type="dxa"/>
                    <w:left w:w="108" w:type="dxa"/>
                    <w:bottom w:w="57" w:type="dxa"/>
                    <w:right w:w="108" w:type="dxa"/>
                  </w:tcMar>
                  <w:vAlign w:val="center"/>
                </w:tcPr>
                <w:p w14:paraId="73A562F8">
                  <w:pPr>
                    <w:pStyle w:val="3"/>
                    <w:spacing w:line="240" w:lineRule="auto"/>
                    <w:ind w:firstLine="0" w:firstLineChars="0"/>
                    <w:jc w:val="center"/>
                    <w:rPr>
                      <w:color w:val="auto"/>
                      <w:sz w:val="18"/>
                      <w:szCs w:val="18"/>
                      <w:highlight w:val="none"/>
                    </w:rPr>
                  </w:pPr>
                  <w:r>
                    <w:rPr>
                      <w:rFonts w:hint="eastAsia"/>
                      <w:color w:val="auto"/>
                      <w:sz w:val="18"/>
                      <w:szCs w:val="18"/>
                      <w:highlight w:val="none"/>
                      <w:shd w:val="clear" w:color="auto" w:fill="FFFFFF"/>
                    </w:rPr>
                    <w:t>保持井壁稳定</w:t>
                  </w:r>
                </w:p>
              </w:tc>
              <w:tc>
                <w:tcPr>
                  <w:tcW w:w="3224" w:type="pct"/>
                  <w:tcMar>
                    <w:top w:w="57" w:type="dxa"/>
                    <w:left w:w="108" w:type="dxa"/>
                    <w:bottom w:w="57" w:type="dxa"/>
                    <w:right w:w="108" w:type="dxa"/>
                  </w:tcMar>
                  <w:vAlign w:val="center"/>
                </w:tcPr>
                <w:p w14:paraId="2AD2C426">
                  <w:pPr>
                    <w:pStyle w:val="3"/>
                    <w:spacing w:line="240" w:lineRule="auto"/>
                    <w:ind w:firstLine="0" w:firstLineChars="0"/>
                    <w:rPr>
                      <w:color w:val="auto"/>
                      <w:sz w:val="18"/>
                      <w:szCs w:val="18"/>
                      <w:highlight w:val="none"/>
                    </w:rPr>
                  </w:pPr>
                  <w:r>
                    <w:rPr>
                      <w:rFonts w:hint="eastAsia"/>
                      <w:color w:val="auto"/>
                      <w:sz w:val="18"/>
                      <w:szCs w:val="18"/>
                      <w:highlight w:val="none"/>
                      <w:shd w:val="clear" w:color="auto" w:fill="FFFFFF"/>
                    </w:rPr>
                    <w:t>白色粉末，对微小裂缝进行有效封堵，目的是避免井壁失稳</w:t>
                  </w:r>
                </w:p>
              </w:tc>
            </w:tr>
            <w:tr w14:paraId="781F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2466D4A3">
                  <w:pPr>
                    <w:pStyle w:val="3"/>
                    <w:spacing w:line="240" w:lineRule="auto"/>
                    <w:ind w:firstLine="0" w:firstLineChars="0"/>
                    <w:jc w:val="center"/>
                    <w:rPr>
                      <w:color w:val="auto"/>
                      <w:sz w:val="18"/>
                      <w:szCs w:val="18"/>
                      <w:highlight w:val="none"/>
                    </w:rPr>
                  </w:pPr>
                  <w:bookmarkStart w:id="33" w:name="OLE_LINK114"/>
                  <w:r>
                    <w:rPr>
                      <w:rFonts w:hint="eastAsia"/>
                      <w:color w:val="auto"/>
                      <w:sz w:val="18"/>
                      <w:szCs w:val="18"/>
                      <w:highlight w:val="none"/>
                    </w:rPr>
                    <w:t>硅氟类</w:t>
                  </w:r>
                  <w:bookmarkEnd w:id="33"/>
                  <w:r>
                    <w:rPr>
                      <w:rFonts w:hint="eastAsia"/>
                      <w:color w:val="auto"/>
                      <w:sz w:val="18"/>
                      <w:szCs w:val="18"/>
                      <w:highlight w:val="none"/>
                    </w:rPr>
                    <w:t>降黏剂</w:t>
                  </w:r>
                </w:p>
              </w:tc>
              <w:tc>
                <w:tcPr>
                  <w:tcW w:w="1020" w:type="pct"/>
                  <w:tcMar>
                    <w:top w:w="57" w:type="dxa"/>
                    <w:left w:w="108" w:type="dxa"/>
                    <w:bottom w:w="57" w:type="dxa"/>
                    <w:right w:w="108" w:type="dxa"/>
                  </w:tcMar>
                  <w:vAlign w:val="center"/>
                </w:tcPr>
                <w:p w14:paraId="17F83A93">
                  <w:pPr>
                    <w:pStyle w:val="3"/>
                    <w:spacing w:line="240" w:lineRule="auto"/>
                    <w:ind w:firstLine="0" w:firstLineChars="0"/>
                    <w:jc w:val="center"/>
                    <w:rPr>
                      <w:color w:val="auto"/>
                      <w:sz w:val="18"/>
                      <w:szCs w:val="18"/>
                      <w:highlight w:val="none"/>
                    </w:rPr>
                  </w:pPr>
                  <w:r>
                    <w:rPr>
                      <w:rFonts w:hint="eastAsia"/>
                      <w:color w:val="auto"/>
                      <w:sz w:val="18"/>
                      <w:szCs w:val="18"/>
                      <w:highlight w:val="none"/>
                    </w:rPr>
                    <w:t>降粘</w:t>
                  </w:r>
                </w:p>
              </w:tc>
              <w:tc>
                <w:tcPr>
                  <w:tcW w:w="3224" w:type="pct"/>
                  <w:tcMar>
                    <w:top w:w="57" w:type="dxa"/>
                    <w:left w:w="108" w:type="dxa"/>
                    <w:bottom w:w="57" w:type="dxa"/>
                    <w:right w:w="108" w:type="dxa"/>
                  </w:tcMar>
                  <w:vAlign w:val="center"/>
                </w:tcPr>
                <w:p w14:paraId="28EBC636">
                  <w:pPr>
                    <w:pStyle w:val="3"/>
                    <w:spacing w:line="240" w:lineRule="auto"/>
                    <w:ind w:firstLine="0" w:firstLineChars="0"/>
                    <w:rPr>
                      <w:color w:val="auto"/>
                      <w:sz w:val="18"/>
                      <w:szCs w:val="18"/>
                      <w:highlight w:val="none"/>
                    </w:rPr>
                  </w:pPr>
                  <w:r>
                    <w:rPr>
                      <w:rFonts w:hint="eastAsia"/>
                      <w:color w:val="auto"/>
                      <w:sz w:val="18"/>
                      <w:szCs w:val="18"/>
                      <w:highlight w:val="none"/>
                    </w:rPr>
                    <w:t>黑色黏稠液体，具有一定护壁防塌功能，用于降低体系黏度，提高泥饼质量，降低体系的滤失水量。</w:t>
                  </w:r>
                </w:p>
              </w:tc>
            </w:tr>
            <w:tr w14:paraId="2081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779EB643">
                  <w:pPr>
                    <w:pStyle w:val="3"/>
                    <w:spacing w:line="240" w:lineRule="auto"/>
                    <w:ind w:firstLine="0" w:firstLineChars="0"/>
                    <w:jc w:val="center"/>
                    <w:rPr>
                      <w:color w:val="auto"/>
                      <w:sz w:val="18"/>
                      <w:szCs w:val="18"/>
                      <w:highlight w:val="none"/>
                    </w:rPr>
                  </w:pPr>
                  <w:r>
                    <w:rPr>
                      <w:rFonts w:hint="eastAsia"/>
                      <w:color w:val="auto"/>
                      <w:sz w:val="18"/>
                      <w:szCs w:val="18"/>
                      <w:highlight w:val="none"/>
                    </w:rPr>
                    <w:t>有机硅稳定剂</w:t>
                  </w:r>
                </w:p>
              </w:tc>
              <w:tc>
                <w:tcPr>
                  <w:tcW w:w="1020" w:type="pct"/>
                  <w:tcMar>
                    <w:top w:w="57" w:type="dxa"/>
                    <w:left w:w="108" w:type="dxa"/>
                    <w:bottom w:w="57" w:type="dxa"/>
                    <w:right w:w="108" w:type="dxa"/>
                  </w:tcMar>
                  <w:vAlign w:val="center"/>
                </w:tcPr>
                <w:p w14:paraId="1EC321F3">
                  <w:pPr>
                    <w:pStyle w:val="3"/>
                    <w:spacing w:line="240" w:lineRule="auto"/>
                    <w:ind w:firstLine="0" w:firstLineChars="0"/>
                    <w:jc w:val="center"/>
                    <w:rPr>
                      <w:color w:val="auto"/>
                      <w:sz w:val="18"/>
                      <w:szCs w:val="18"/>
                      <w:highlight w:val="none"/>
                    </w:rPr>
                  </w:pPr>
                  <w:r>
                    <w:rPr>
                      <w:rFonts w:hint="eastAsia"/>
                      <w:color w:val="auto"/>
                      <w:sz w:val="18"/>
                      <w:szCs w:val="18"/>
                      <w:highlight w:val="none"/>
                    </w:rPr>
                    <w:t>护壁、防塌</w:t>
                  </w:r>
                </w:p>
              </w:tc>
              <w:tc>
                <w:tcPr>
                  <w:tcW w:w="3224" w:type="pct"/>
                  <w:tcMar>
                    <w:top w:w="57" w:type="dxa"/>
                    <w:left w:w="108" w:type="dxa"/>
                    <w:bottom w:w="57" w:type="dxa"/>
                    <w:right w:w="108" w:type="dxa"/>
                  </w:tcMar>
                  <w:vAlign w:val="center"/>
                </w:tcPr>
                <w:p w14:paraId="3EFA39A0">
                  <w:pPr>
                    <w:pStyle w:val="3"/>
                    <w:spacing w:line="240" w:lineRule="auto"/>
                    <w:ind w:firstLine="0" w:firstLineChars="0"/>
                    <w:rPr>
                      <w:color w:val="auto"/>
                      <w:sz w:val="18"/>
                      <w:szCs w:val="18"/>
                      <w:highlight w:val="none"/>
                    </w:rPr>
                  </w:pPr>
                  <w:r>
                    <w:rPr>
                      <w:rFonts w:hint="eastAsia"/>
                      <w:color w:val="auto"/>
                      <w:sz w:val="18"/>
                      <w:szCs w:val="18"/>
                      <w:highlight w:val="none"/>
                    </w:rPr>
                    <w:t>淡黄色或淡褐色液体，pH值≤12，具有较好的护壁和防塌功能，抗温能力强。</w:t>
                  </w:r>
                </w:p>
              </w:tc>
            </w:tr>
            <w:tr w14:paraId="0B4E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2245765D">
                  <w:pPr>
                    <w:pStyle w:val="3"/>
                    <w:spacing w:line="240" w:lineRule="auto"/>
                    <w:ind w:firstLine="0" w:firstLineChars="0"/>
                    <w:jc w:val="center"/>
                    <w:rPr>
                      <w:color w:val="auto"/>
                      <w:sz w:val="18"/>
                      <w:szCs w:val="18"/>
                      <w:highlight w:val="none"/>
                    </w:rPr>
                  </w:pPr>
                  <w:r>
                    <w:rPr>
                      <w:rFonts w:hint="eastAsia"/>
                      <w:color w:val="auto"/>
                      <w:sz w:val="18"/>
                      <w:szCs w:val="18"/>
                      <w:highlight w:val="none"/>
                    </w:rPr>
                    <w:t>胺基聚醇</w:t>
                  </w:r>
                </w:p>
              </w:tc>
              <w:tc>
                <w:tcPr>
                  <w:tcW w:w="1020" w:type="pct"/>
                  <w:tcMar>
                    <w:top w:w="57" w:type="dxa"/>
                    <w:left w:w="108" w:type="dxa"/>
                    <w:bottom w:w="57" w:type="dxa"/>
                    <w:right w:w="108" w:type="dxa"/>
                  </w:tcMar>
                  <w:vAlign w:val="center"/>
                </w:tcPr>
                <w:p w14:paraId="5DDA9CE8">
                  <w:pPr>
                    <w:pStyle w:val="3"/>
                    <w:spacing w:line="240" w:lineRule="auto"/>
                    <w:ind w:firstLine="0" w:firstLineChars="0"/>
                    <w:jc w:val="center"/>
                    <w:rPr>
                      <w:color w:val="auto"/>
                      <w:sz w:val="18"/>
                      <w:szCs w:val="18"/>
                      <w:highlight w:val="none"/>
                    </w:rPr>
                  </w:pPr>
                  <w:r>
                    <w:rPr>
                      <w:rFonts w:hint="eastAsia"/>
                      <w:color w:val="auto"/>
                      <w:sz w:val="18"/>
                      <w:szCs w:val="18"/>
                      <w:highlight w:val="none"/>
                    </w:rPr>
                    <w:t>强抑制性</w:t>
                  </w:r>
                </w:p>
              </w:tc>
              <w:tc>
                <w:tcPr>
                  <w:tcW w:w="3224" w:type="pct"/>
                  <w:tcMar>
                    <w:top w:w="57" w:type="dxa"/>
                    <w:left w:w="108" w:type="dxa"/>
                    <w:bottom w:w="57" w:type="dxa"/>
                    <w:right w:w="108" w:type="dxa"/>
                  </w:tcMar>
                  <w:vAlign w:val="center"/>
                </w:tcPr>
                <w:p w14:paraId="26C2694B">
                  <w:pPr>
                    <w:pStyle w:val="3"/>
                    <w:spacing w:line="240" w:lineRule="auto"/>
                    <w:ind w:firstLine="0" w:firstLineChars="0"/>
                    <w:rPr>
                      <w:color w:val="auto"/>
                      <w:sz w:val="18"/>
                      <w:szCs w:val="18"/>
                      <w:highlight w:val="none"/>
                    </w:rPr>
                  </w:pPr>
                  <w:r>
                    <w:rPr>
                      <w:rFonts w:hint="eastAsia"/>
                      <w:color w:val="auto"/>
                      <w:sz w:val="18"/>
                      <w:szCs w:val="18"/>
                      <w:highlight w:val="none"/>
                    </w:rPr>
                    <w:t>外观黏稠液体，由环氧乙烷、环氧丙烷、环氧丁烷和阳离子单体等在催化剂的作用下，经过起始剂活性基团单体引发、链增长、阳离子化缩聚、多步加聚等工艺反应制成。</w:t>
                  </w:r>
                </w:p>
              </w:tc>
            </w:tr>
            <w:tr w14:paraId="53E8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4FA6B4BB">
                  <w:pPr>
                    <w:pStyle w:val="3"/>
                    <w:spacing w:line="240" w:lineRule="auto"/>
                    <w:ind w:firstLine="0" w:firstLineChars="0"/>
                    <w:jc w:val="center"/>
                    <w:rPr>
                      <w:color w:val="auto"/>
                      <w:sz w:val="18"/>
                      <w:szCs w:val="18"/>
                      <w:highlight w:val="none"/>
                    </w:rPr>
                  </w:pPr>
                  <w:r>
                    <w:rPr>
                      <w:rFonts w:hint="eastAsia"/>
                      <w:color w:val="auto"/>
                      <w:kern w:val="0"/>
                      <w:sz w:val="18"/>
                      <w:szCs w:val="18"/>
                      <w:highlight w:val="none"/>
                    </w:rPr>
                    <w:t>堵漏剂</w:t>
                  </w:r>
                </w:p>
              </w:tc>
              <w:tc>
                <w:tcPr>
                  <w:tcW w:w="1020" w:type="pct"/>
                  <w:tcMar>
                    <w:top w:w="57" w:type="dxa"/>
                    <w:left w:w="108" w:type="dxa"/>
                    <w:bottom w:w="57" w:type="dxa"/>
                    <w:right w:w="108" w:type="dxa"/>
                  </w:tcMar>
                  <w:vAlign w:val="center"/>
                </w:tcPr>
                <w:p w14:paraId="49703A8E">
                  <w:pPr>
                    <w:pStyle w:val="3"/>
                    <w:spacing w:line="240" w:lineRule="auto"/>
                    <w:ind w:firstLine="0" w:firstLineChars="0"/>
                    <w:jc w:val="center"/>
                    <w:rPr>
                      <w:color w:val="auto"/>
                      <w:sz w:val="18"/>
                      <w:szCs w:val="18"/>
                      <w:highlight w:val="none"/>
                    </w:rPr>
                  </w:pPr>
                  <w:r>
                    <w:rPr>
                      <w:rFonts w:hint="eastAsia"/>
                      <w:color w:val="auto"/>
                      <w:kern w:val="0"/>
                      <w:sz w:val="18"/>
                      <w:szCs w:val="18"/>
                      <w:highlight w:val="none"/>
                    </w:rPr>
                    <w:t>堵漏剂</w:t>
                  </w:r>
                </w:p>
              </w:tc>
              <w:tc>
                <w:tcPr>
                  <w:tcW w:w="3224" w:type="pct"/>
                  <w:tcMar>
                    <w:top w:w="57" w:type="dxa"/>
                    <w:left w:w="108" w:type="dxa"/>
                    <w:bottom w:w="57" w:type="dxa"/>
                    <w:right w:w="108" w:type="dxa"/>
                  </w:tcMar>
                  <w:vAlign w:val="center"/>
                </w:tcPr>
                <w:p w14:paraId="71834482">
                  <w:pPr>
                    <w:pStyle w:val="3"/>
                    <w:spacing w:line="240" w:lineRule="auto"/>
                    <w:ind w:firstLine="0" w:firstLineChars="0"/>
                    <w:rPr>
                      <w:color w:val="auto"/>
                      <w:sz w:val="18"/>
                      <w:szCs w:val="18"/>
                      <w:highlight w:val="none"/>
                    </w:rPr>
                  </w:pPr>
                  <w:r>
                    <w:rPr>
                      <w:rFonts w:hint="eastAsia"/>
                      <w:color w:val="auto"/>
                      <w:kern w:val="0"/>
                      <w:sz w:val="18"/>
                      <w:szCs w:val="18"/>
                      <w:highlight w:val="none"/>
                    </w:rPr>
                    <w:t>白色颗粒，黄原胶和阳离子聚合物。适用于渗漏性砂岩的孔隙型漏失和页岩的裂隙型漏失。</w:t>
                  </w:r>
                </w:p>
              </w:tc>
            </w:tr>
            <w:tr w14:paraId="1051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4" w:type="pct"/>
                  <w:tcMar>
                    <w:top w:w="57" w:type="dxa"/>
                    <w:left w:w="108" w:type="dxa"/>
                    <w:bottom w:w="57" w:type="dxa"/>
                    <w:right w:w="108" w:type="dxa"/>
                  </w:tcMar>
                  <w:vAlign w:val="center"/>
                </w:tcPr>
                <w:p w14:paraId="27750F95">
                  <w:pPr>
                    <w:pStyle w:val="3"/>
                    <w:spacing w:line="240" w:lineRule="auto"/>
                    <w:ind w:firstLine="0" w:firstLineChars="0"/>
                    <w:jc w:val="center"/>
                    <w:rPr>
                      <w:rFonts w:hint="eastAsia"/>
                      <w:color w:val="auto"/>
                      <w:kern w:val="0"/>
                      <w:sz w:val="18"/>
                      <w:szCs w:val="18"/>
                      <w:highlight w:val="none"/>
                    </w:rPr>
                  </w:pPr>
                  <w:r>
                    <w:rPr>
                      <w:rFonts w:hint="eastAsia"/>
                      <w:color w:val="auto"/>
                      <w:kern w:val="0"/>
                      <w:sz w:val="18"/>
                      <w:szCs w:val="18"/>
                      <w:highlight w:val="none"/>
                    </w:rPr>
                    <w:t>合成基钻井液</w:t>
                  </w:r>
                </w:p>
              </w:tc>
              <w:tc>
                <w:tcPr>
                  <w:tcW w:w="1020" w:type="pct"/>
                  <w:tcMar>
                    <w:top w:w="57" w:type="dxa"/>
                    <w:left w:w="108" w:type="dxa"/>
                    <w:bottom w:w="57" w:type="dxa"/>
                    <w:right w:w="108" w:type="dxa"/>
                  </w:tcMar>
                  <w:vAlign w:val="center"/>
                </w:tcPr>
                <w:p w14:paraId="79C6646A">
                  <w:pPr>
                    <w:pStyle w:val="3"/>
                    <w:spacing w:line="240" w:lineRule="auto"/>
                    <w:ind w:firstLine="0" w:firstLineChars="0"/>
                    <w:jc w:val="center"/>
                    <w:rPr>
                      <w:rFonts w:hint="eastAsia"/>
                      <w:color w:val="auto"/>
                      <w:kern w:val="0"/>
                      <w:sz w:val="18"/>
                      <w:szCs w:val="18"/>
                      <w:highlight w:val="none"/>
                    </w:rPr>
                  </w:pPr>
                  <w:r>
                    <w:rPr>
                      <w:rFonts w:hint="eastAsia"/>
                      <w:color w:val="auto"/>
                      <w:kern w:val="0"/>
                      <w:sz w:val="18"/>
                      <w:szCs w:val="18"/>
                      <w:highlight w:val="none"/>
                    </w:rPr>
                    <w:t>钻井液</w:t>
                  </w:r>
                </w:p>
              </w:tc>
              <w:tc>
                <w:tcPr>
                  <w:tcW w:w="3224" w:type="pct"/>
                  <w:tcMar>
                    <w:top w:w="57" w:type="dxa"/>
                    <w:left w:w="108" w:type="dxa"/>
                    <w:bottom w:w="57" w:type="dxa"/>
                    <w:right w:w="108" w:type="dxa"/>
                  </w:tcMar>
                  <w:vAlign w:val="center"/>
                </w:tcPr>
                <w:p w14:paraId="42573C94">
                  <w:pPr>
                    <w:pStyle w:val="3"/>
                    <w:spacing w:line="240" w:lineRule="auto"/>
                    <w:ind w:firstLine="0" w:firstLineChars="0"/>
                    <w:rPr>
                      <w:rFonts w:hint="eastAsia"/>
                      <w:color w:val="auto"/>
                      <w:kern w:val="0"/>
                      <w:sz w:val="18"/>
                      <w:szCs w:val="18"/>
                      <w:highlight w:val="none"/>
                    </w:rPr>
                  </w:pPr>
                  <w:r>
                    <w:rPr>
                      <w:rFonts w:hint="eastAsia"/>
                      <w:color w:val="auto"/>
                      <w:kern w:val="0"/>
                      <w:sz w:val="18"/>
                      <w:szCs w:val="18"/>
                      <w:highlight w:val="none"/>
                      <w:lang w:val="en-US" w:eastAsia="zh-CN"/>
                    </w:rPr>
                    <w:t>主要成分为</w:t>
                  </w:r>
                  <w:r>
                    <w:rPr>
                      <w:rFonts w:hint="eastAsia"/>
                      <w:color w:val="auto"/>
                      <w:kern w:val="0"/>
                      <w:sz w:val="18"/>
                      <w:szCs w:val="18"/>
                      <w:highlight w:val="none"/>
                    </w:rPr>
                    <w:t>合成基液</w:t>
                  </w:r>
                  <w:r>
                    <w:rPr>
                      <w:rFonts w:hint="eastAsia"/>
                      <w:color w:val="auto"/>
                      <w:kern w:val="0"/>
                      <w:sz w:val="18"/>
                      <w:szCs w:val="18"/>
                      <w:highlight w:val="none"/>
                      <w:lang w:eastAsia="zh-CN"/>
                    </w:rPr>
                    <w:t>、</w:t>
                  </w:r>
                  <w:r>
                    <w:rPr>
                      <w:rFonts w:hint="eastAsia"/>
                      <w:color w:val="auto"/>
                      <w:kern w:val="0"/>
                      <w:sz w:val="18"/>
                      <w:szCs w:val="18"/>
                      <w:highlight w:val="none"/>
                    </w:rPr>
                    <w:t>（2.5～3.5）%有机土+2%乳化剂+1%辅乳化剂+（0～2）%润湿剂+（0.5～1）% 流型调节剂+（3～6）%降滤失剂+（10～20）%氯化钙水溶液+（1～3）%CaO+（3～5）%封堵材料</w:t>
                  </w:r>
                  <w:r>
                    <w:rPr>
                      <w:rFonts w:hint="eastAsia"/>
                      <w:color w:val="auto"/>
                      <w:kern w:val="0"/>
                      <w:sz w:val="18"/>
                      <w:szCs w:val="18"/>
                      <w:highlight w:val="none"/>
                      <w:lang w:val="en-US" w:eastAsia="zh-CN"/>
                    </w:rPr>
                    <w:t>及</w:t>
                  </w:r>
                  <w:r>
                    <w:rPr>
                      <w:rFonts w:hint="eastAsia"/>
                      <w:color w:val="auto"/>
                      <w:kern w:val="0"/>
                      <w:sz w:val="18"/>
                      <w:szCs w:val="18"/>
                      <w:highlight w:val="none"/>
                    </w:rPr>
                    <w:t>油基降黏剂、堵漏剂</w:t>
                  </w:r>
                  <w:r>
                    <w:rPr>
                      <w:rFonts w:hint="eastAsia"/>
                      <w:color w:val="auto"/>
                      <w:kern w:val="0"/>
                      <w:sz w:val="18"/>
                      <w:szCs w:val="18"/>
                      <w:highlight w:val="none"/>
                      <w:lang w:val="en-US" w:eastAsia="zh-CN"/>
                    </w:rPr>
                    <w:t>等</w:t>
                  </w:r>
                  <w:r>
                    <w:rPr>
                      <w:rFonts w:hint="eastAsia"/>
                      <w:color w:val="auto"/>
                      <w:kern w:val="0"/>
                      <w:sz w:val="18"/>
                      <w:szCs w:val="18"/>
                      <w:highlight w:val="none"/>
                    </w:rPr>
                    <w:t>。</w:t>
                  </w:r>
                </w:p>
              </w:tc>
            </w:tr>
          </w:tbl>
          <w:p w14:paraId="49E94B85">
            <w:pPr>
              <w:pStyle w:val="3"/>
              <w:ind w:firstLine="0" w:firstLineChars="0"/>
              <w:rPr>
                <w:color w:val="auto"/>
                <w:sz w:val="21"/>
                <w:highlight w:val="none"/>
              </w:rPr>
            </w:pPr>
          </w:p>
          <w:p w14:paraId="7CBE92B3">
            <w:pPr>
              <w:pStyle w:val="71"/>
              <w:numPr>
                <w:ilvl w:val="0"/>
                <w:numId w:val="16"/>
              </w:numPr>
              <w:spacing w:line="332" w:lineRule="auto"/>
              <w:ind w:firstLine="420" w:firstLineChars="200"/>
              <w:rPr>
                <w:color w:val="auto"/>
                <w:highlight w:val="none"/>
              </w:rPr>
            </w:pPr>
            <w:r>
              <w:rPr>
                <w:rFonts w:hint="eastAsia"/>
                <w:color w:val="auto"/>
                <w:highlight w:val="none"/>
              </w:rPr>
              <w:t>固井工程</w:t>
            </w:r>
          </w:p>
          <w:p w14:paraId="360EC999">
            <w:pPr>
              <w:pStyle w:val="3"/>
              <w:ind w:firstLine="420"/>
              <w:rPr>
                <w:color w:val="auto"/>
                <w:sz w:val="21"/>
                <w:highlight w:val="none"/>
              </w:rPr>
            </w:pPr>
            <w:r>
              <w:rPr>
                <w:rFonts w:hint="eastAsia"/>
                <w:color w:val="auto"/>
                <w:sz w:val="21"/>
                <w:highlight w:val="none"/>
              </w:rPr>
              <w:t>本项目固井作业所需水泥浆采用“现拌现注”的作业模式。固井专用水泥干粉由专业运输罐车配送至井场，外加剂采用原厂密封包装运输，现场通过自动混浆车按设计配比实时拌制。水泥干粉在密闭输送系统内直接进入混浆装置，拌制完成的水泥浆经质量检测合格后立即泵入井筒。未使用的水泥干粉及外加剂当日清退回生产厂商，作业区不设置水泥储仓或露天堆场，同时采用防渗托盘和专业密闭容器进行物料接卸，有效防控粉尘污染和物料流失风险。本项目固井方式、水泥用量等设计参数见</w:t>
            </w:r>
            <w:r>
              <w:rPr>
                <w:rFonts w:hint="eastAsia"/>
                <w:color w:val="auto"/>
                <w:sz w:val="21"/>
                <w:highlight w:val="none"/>
              </w:rPr>
              <w:fldChar w:fldCharType="begin"/>
            </w:r>
            <w:r>
              <w:rPr>
                <w:color w:val="auto"/>
                <w:highlight w:val="none"/>
              </w:rPr>
              <w:instrText xml:space="preserve"> REF _Ref1783421444 \h  \* MERGEFORMAT</w:instrText>
            </w:r>
            <w:r>
              <w:rPr>
                <w:rFonts w:hint="eastAsia"/>
                <w:color w:val="auto"/>
                <w:sz w:val="21"/>
                <w:highlight w:val="none"/>
              </w:rPr>
              <w:fldChar w:fldCharType="separate"/>
            </w:r>
            <w:r>
              <w:rPr>
                <w:rFonts w:hint="eastAsia"/>
                <w:color w:val="auto"/>
                <w:sz w:val="21"/>
                <w:highlight w:val="none"/>
              </w:rPr>
              <w:t>表20</w:t>
            </w:r>
            <w:r>
              <w:rPr>
                <w:rFonts w:hint="eastAsia"/>
                <w:color w:val="auto"/>
                <w:sz w:val="21"/>
                <w:highlight w:val="none"/>
              </w:rPr>
              <w:fldChar w:fldCharType="end"/>
            </w:r>
            <w:r>
              <w:rPr>
                <w:rFonts w:hint="eastAsia"/>
                <w:color w:val="auto"/>
                <w:sz w:val="21"/>
                <w:highlight w:val="none"/>
              </w:rPr>
              <w:t>。</w:t>
            </w:r>
          </w:p>
          <w:p w14:paraId="7058D410">
            <w:pPr>
              <w:pStyle w:val="13"/>
              <w:bidi w:val="0"/>
              <w:rPr>
                <w:color w:val="auto"/>
                <w:szCs w:val="18"/>
                <w:highlight w:val="none"/>
              </w:rPr>
            </w:pPr>
            <w:bookmarkStart w:id="34" w:name="_Ref1783421444"/>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20</w:t>
            </w:r>
            <w:r>
              <w:rPr>
                <w:rFonts w:hint="eastAsia"/>
                <w:color w:val="auto"/>
                <w:highlight w:val="none"/>
              </w:rPr>
              <w:fldChar w:fldCharType="end"/>
            </w:r>
            <w:bookmarkEnd w:id="34"/>
            <w:r>
              <w:rPr>
                <w:rFonts w:hint="eastAsia"/>
                <w:color w:val="auto"/>
                <w:highlight w:val="none"/>
              </w:rPr>
              <w:t xml:space="preserve">  固井方式、水泥用量等参数一览表</w:t>
            </w:r>
          </w:p>
          <w:tbl>
            <w:tblPr>
              <w:tblStyle w:val="26"/>
              <w:tblW w:w="4980"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919"/>
              <w:gridCol w:w="717"/>
              <w:gridCol w:w="900"/>
              <w:gridCol w:w="1298"/>
              <w:gridCol w:w="803"/>
              <w:gridCol w:w="625"/>
              <w:gridCol w:w="616"/>
              <w:gridCol w:w="543"/>
              <w:gridCol w:w="550"/>
            </w:tblGrid>
            <w:tr w14:paraId="3C9B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blHeader/>
              </w:trPr>
              <w:tc>
                <w:tcPr>
                  <w:tcW w:w="350" w:type="pct"/>
                  <w:vAlign w:val="center"/>
                </w:tcPr>
                <w:p w14:paraId="17A919D9">
                  <w:pPr>
                    <w:pStyle w:val="41"/>
                    <w:rPr>
                      <w:color w:val="auto"/>
                      <w:highlight w:val="none"/>
                    </w:rPr>
                  </w:pPr>
                  <w:r>
                    <w:rPr>
                      <w:color w:val="auto"/>
                      <w:highlight w:val="none"/>
                    </w:rPr>
                    <w:t>开钻</w:t>
                  </w:r>
                </w:p>
                <w:p w14:paraId="103F8EAC">
                  <w:pPr>
                    <w:pStyle w:val="41"/>
                    <w:rPr>
                      <w:color w:val="auto"/>
                      <w:highlight w:val="none"/>
                    </w:rPr>
                  </w:pPr>
                  <w:r>
                    <w:rPr>
                      <w:color w:val="auto"/>
                      <w:highlight w:val="none"/>
                    </w:rPr>
                    <w:t>序号</w:t>
                  </w:r>
                </w:p>
              </w:tc>
              <w:tc>
                <w:tcPr>
                  <w:tcW w:w="612" w:type="pct"/>
                  <w:vAlign w:val="center"/>
                </w:tcPr>
                <w:p w14:paraId="31A23454">
                  <w:pPr>
                    <w:pStyle w:val="41"/>
                    <w:rPr>
                      <w:color w:val="auto"/>
                      <w:highlight w:val="none"/>
                    </w:rPr>
                  </w:pPr>
                  <w:r>
                    <w:rPr>
                      <w:color w:val="auto"/>
                      <w:highlight w:val="none"/>
                    </w:rPr>
                    <w:t>套管</w:t>
                  </w:r>
                </w:p>
                <w:p w14:paraId="51481E3E">
                  <w:pPr>
                    <w:pStyle w:val="41"/>
                    <w:rPr>
                      <w:color w:val="auto"/>
                      <w:highlight w:val="none"/>
                    </w:rPr>
                  </w:pPr>
                  <w:r>
                    <w:rPr>
                      <w:color w:val="auto"/>
                      <w:highlight w:val="none"/>
                    </w:rPr>
                    <w:t>外径</w:t>
                  </w:r>
                </w:p>
                <w:p w14:paraId="79AB799B">
                  <w:pPr>
                    <w:pStyle w:val="41"/>
                    <w:rPr>
                      <w:color w:val="auto"/>
                      <w:highlight w:val="none"/>
                    </w:rPr>
                  </w:pPr>
                  <w:r>
                    <w:rPr>
                      <w:color w:val="auto"/>
                      <w:highlight w:val="none"/>
                    </w:rPr>
                    <w:t>（mm）</w:t>
                  </w:r>
                </w:p>
              </w:tc>
              <w:tc>
                <w:tcPr>
                  <w:tcW w:w="477" w:type="pct"/>
                  <w:vAlign w:val="center"/>
                </w:tcPr>
                <w:p w14:paraId="341232E6">
                  <w:pPr>
                    <w:pStyle w:val="41"/>
                    <w:rPr>
                      <w:color w:val="auto"/>
                      <w:highlight w:val="none"/>
                    </w:rPr>
                  </w:pPr>
                  <w:r>
                    <w:rPr>
                      <w:color w:val="auto"/>
                      <w:highlight w:val="none"/>
                    </w:rPr>
                    <w:t>套管</w:t>
                  </w:r>
                </w:p>
                <w:p w14:paraId="39C9F1B0">
                  <w:pPr>
                    <w:pStyle w:val="41"/>
                    <w:rPr>
                      <w:color w:val="auto"/>
                      <w:highlight w:val="none"/>
                    </w:rPr>
                  </w:pPr>
                  <w:r>
                    <w:rPr>
                      <w:color w:val="auto"/>
                      <w:highlight w:val="none"/>
                    </w:rPr>
                    <w:t>下深</w:t>
                  </w:r>
                </w:p>
                <w:p w14:paraId="748832FC">
                  <w:pPr>
                    <w:pStyle w:val="41"/>
                    <w:rPr>
                      <w:color w:val="auto"/>
                      <w:highlight w:val="none"/>
                    </w:rPr>
                  </w:pPr>
                  <w:r>
                    <w:rPr>
                      <w:color w:val="auto"/>
                      <w:highlight w:val="none"/>
                    </w:rPr>
                    <w:t>（m）</w:t>
                  </w:r>
                </w:p>
              </w:tc>
              <w:tc>
                <w:tcPr>
                  <w:tcW w:w="600" w:type="pct"/>
                  <w:vAlign w:val="center"/>
                </w:tcPr>
                <w:p w14:paraId="439DFEC4">
                  <w:pPr>
                    <w:pStyle w:val="41"/>
                    <w:rPr>
                      <w:color w:val="auto"/>
                      <w:highlight w:val="none"/>
                    </w:rPr>
                  </w:pPr>
                  <w:r>
                    <w:rPr>
                      <w:color w:val="auto"/>
                      <w:highlight w:val="none"/>
                    </w:rPr>
                    <w:t>钻井液</w:t>
                  </w:r>
                </w:p>
                <w:p w14:paraId="6417D093">
                  <w:pPr>
                    <w:pStyle w:val="41"/>
                    <w:rPr>
                      <w:color w:val="auto"/>
                      <w:highlight w:val="none"/>
                    </w:rPr>
                  </w:pPr>
                  <w:r>
                    <w:rPr>
                      <w:color w:val="auto"/>
                      <w:highlight w:val="none"/>
                    </w:rPr>
                    <w:t>密度（g/cm</w:t>
                  </w:r>
                  <w:r>
                    <w:rPr>
                      <w:color w:val="auto"/>
                      <w:highlight w:val="none"/>
                      <w:vertAlign w:val="superscript"/>
                    </w:rPr>
                    <w:t>3</w:t>
                  </w:r>
                  <w:r>
                    <w:rPr>
                      <w:color w:val="auto"/>
                      <w:highlight w:val="none"/>
                    </w:rPr>
                    <w:t>）</w:t>
                  </w:r>
                </w:p>
              </w:tc>
              <w:tc>
                <w:tcPr>
                  <w:tcW w:w="864" w:type="pct"/>
                  <w:vAlign w:val="center"/>
                </w:tcPr>
                <w:p w14:paraId="57002E2A">
                  <w:pPr>
                    <w:pStyle w:val="41"/>
                    <w:rPr>
                      <w:color w:val="auto"/>
                      <w:highlight w:val="none"/>
                    </w:rPr>
                  </w:pPr>
                  <w:r>
                    <w:rPr>
                      <w:color w:val="auto"/>
                      <w:highlight w:val="none"/>
                    </w:rPr>
                    <w:t>水泥封固段</w:t>
                  </w:r>
                </w:p>
                <w:p w14:paraId="7855AC7E">
                  <w:pPr>
                    <w:pStyle w:val="41"/>
                    <w:rPr>
                      <w:color w:val="auto"/>
                      <w:highlight w:val="none"/>
                    </w:rPr>
                  </w:pPr>
                  <w:r>
                    <w:rPr>
                      <w:color w:val="auto"/>
                      <w:highlight w:val="none"/>
                    </w:rPr>
                    <w:t>（m）</w:t>
                  </w:r>
                </w:p>
              </w:tc>
              <w:tc>
                <w:tcPr>
                  <w:tcW w:w="536" w:type="pct"/>
                  <w:vAlign w:val="center"/>
                </w:tcPr>
                <w:p w14:paraId="56B335C5">
                  <w:pPr>
                    <w:pStyle w:val="41"/>
                    <w:rPr>
                      <w:color w:val="auto"/>
                      <w:highlight w:val="none"/>
                    </w:rPr>
                  </w:pPr>
                  <w:r>
                    <w:rPr>
                      <w:color w:val="auto"/>
                      <w:highlight w:val="none"/>
                    </w:rPr>
                    <w:t>水泥浆</w:t>
                  </w:r>
                </w:p>
                <w:p w14:paraId="5FD38723">
                  <w:pPr>
                    <w:pStyle w:val="41"/>
                    <w:rPr>
                      <w:color w:val="auto"/>
                      <w:highlight w:val="none"/>
                    </w:rPr>
                  </w:pPr>
                  <w:r>
                    <w:rPr>
                      <w:color w:val="auto"/>
                      <w:highlight w:val="none"/>
                    </w:rPr>
                    <w:t>密度</w:t>
                  </w:r>
                </w:p>
                <w:p w14:paraId="4ECB7C97">
                  <w:pPr>
                    <w:pStyle w:val="41"/>
                    <w:rPr>
                      <w:color w:val="auto"/>
                      <w:highlight w:val="none"/>
                    </w:rPr>
                  </w:pPr>
                  <w:r>
                    <w:rPr>
                      <w:color w:val="auto"/>
                      <w:highlight w:val="none"/>
                    </w:rPr>
                    <w:t>（g/cm</w:t>
                  </w:r>
                  <w:r>
                    <w:rPr>
                      <w:color w:val="auto"/>
                      <w:highlight w:val="none"/>
                      <w:vertAlign w:val="superscript"/>
                    </w:rPr>
                    <w:t>3</w:t>
                  </w:r>
                  <w:r>
                    <w:rPr>
                      <w:color w:val="auto"/>
                      <w:highlight w:val="none"/>
                    </w:rPr>
                    <w:t>）</w:t>
                  </w:r>
                </w:p>
              </w:tc>
              <w:tc>
                <w:tcPr>
                  <w:tcW w:w="417" w:type="pct"/>
                  <w:vAlign w:val="center"/>
                </w:tcPr>
                <w:p w14:paraId="1CA7B0B3">
                  <w:pPr>
                    <w:pStyle w:val="41"/>
                    <w:rPr>
                      <w:color w:val="auto"/>
                      <w:highlight w:val="none"/>
                    </w:rPr>
                  </w:pPr>
                  <w:r>
                    <w:rPr>
                      <w:color w:val="auto"/>
                      <w:highlight w:val="none"/>
                    </w:rPr>
                    <w:t>水泥</w:t>
                  </w:r>
                </w:p>
                <w:p w14:paraId="66389CDC">
                  <w:pPr>
                    <w:pStyle w:val="41"/>
                    <w:rPr>
                      <w:color w:val="auto"/>
                      <w:highlight w:val="none"/>
                    </w:rPr>
                  </w:pPr>
                  <w:r>
                    <w:rPr>
                      <w:color w:val="auto"/>
                      <w:highlight w:val="none"/>
                    </w:rPr>
                    <w:t>型号</w:t>
                  </w:r>
                </w:p>
              </w:tc>
              <w:tc>
                <w:tcPr>
                  <w:tcW w:w="411" w:type="pct"/>
                  <w:vAlign w:val="center"/>
                </w:tcPr>
                <w:p w14:paraId="217188C5">
                  <w:pPr>
                    <w:pStyle w:val="41"/>
                    <w:rPr>
                      <w:color w:val="auto"/>
                      <w:highlight w:val="none"/>
                    </w:rPr>
                  </w:pPr>
                  <w:r>
                    <w:rPr>
                      <w:color w:val="auto"/>
                      <w:highlight w:val="none"/>
                    </w:rPr>
                    <w:t>注水</w:t>
                  </w:r>
                </w:p>
                <w:p w14:paraId="17F8C90C">
                  <w:pPr>
                    <w:pStyle w:val="41"/>
                    <w:rPr>
                      <w:color w:val="auto"/>
                      <w:highlight w:val="none"/>
                    </w:rPr>
                  </w:pPr>
                  <w:r>
                    <w:rPr>
                      <w:color w:val="auto"/>
                      <w:highlight w:val="none"/>
                    </w:rPr>
                    <w:t>泥量</w:t>
                  </w:r>
                </w:p>
                <w:p w14:paraId="351AA098">
                  <w:pPr>
                    <w:pStyle w:val="41"/>
                    <w:rPr>
                      <w:color w:val="auto"/>
                      <w:highlight w:val="none"/>
                    </w:rPr>
                  </w:pPr>
                  <w:r>
                    <w:rPr>
                      <w:color w:val="auto"/>
                      <w:highlight w:val="none"/>
                    </w:rPr>
                    <w:t>（t）</w:t>
                  </w:r>
                </w:p>
              </w:tc>
              <w:tc>
                <w:tcPr>
                  <w:tcW w:w="362" w:type="pct"/>
                  <w:vAlign w:val="center"/>
                </w:tcPr>
                <w:p w14:paraId="75287B68">
                  <w:pPr>
                    <w:pStyle w:val="41"/>
                    <w:rPr>
                      <w:color w:val="auto"/>
                      <w:highlight w:val="none"/>
                    </w:rPr>
                  </w:pPr>
                  <w:r>
                    <w:rPr>
                      <w:color w:val="auto"/>
                      <w:highlight w:val="none"/>
                    </w:rPr>
                    <w:t>固井方式</w:t>
                  </w:r>
                </w:p>
              </w:tc>
              <w:tc>
                <w:tcPr>
                  <w:tcW w:w="367" w:type="pct"/>
                  <w:vAlign w:val="center"/>
                </w:tcPr>
                <w:p w14:paraId="3537E9E2">
                  <w:pPr>
                    <w:pStyle w:val="41"/>
                    <w:rPr>
                      <w:color w:val="auto"/>
                      <w:highlight w:val="none"/>
                    </w:rPr>
                  </w:pPr>
                  <w:r>
                    <w:rPr>
                      <w:color w:val="auto"/>
                      <w:highlight w:val="none"/>
                    </w:rPr>
                    <w:t>备注</w:t>
                  </w:r>
                </w:p>
              </w:tc>
            </w:tr>
            <w:tr w14:paraId="078E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50" w:type="pct"/>
                  <w:vMerge w:val="restart"/>
                  <w:vAlign w:val="center"/>
                </w:tcPr>
                <w:p w14:paraId="02D4724F">
                  <w:pPr>
                    <w:pStyle w:val="41"/>
                    <w:rPr>
                      <w:color w:val="auto"/>
                      <w:highlight w:val="none"/>
                    </w:rPr>
                  </w:pPr>
                  <w:r>
                    <w:rPr>
                      <w:color w:val="auto"/>
                      <w:highlight w:val="none"/>
                    </w:rPr>
                    <w:t>一开</w:t>
                  </w:r>
                </w:p>
              </w:tc>
              <w:tc>
                <w:tcPr>
                  <w:tcW w:w="612" w:type="pct"/>
                  <w:vMerge w:val="restart"/>
                  <w:vAlign w:val="center"/>
                </w:tcPr>
                <w:p w14:paraId="544CBC4C">
                  <w:pPr>
                    <w:pStyle w:val="41"/>
                    <w:rPr>
                      <w:color w:val="auto"/>
                      <w:highlight w:val="none"/>
                    </w:rPr>
                  </w:pPr>
                  <w:r>
                    <w:rPr>
                      <w:color w:val="auto"/>
                      <w:highlight w:val="none"/>
                    </w:rPr>
                    <w:t>Φ339.7</w:t>
                  </w:r>
                </w:p>
              </w:tc>
              <w:tc>
                <w:tcPr>
                  <w:tcW w:w="477" w:type="pct"/>
                  <w:vMerge w:val="restart"/>
                  <w:vAlign w:val="center"/>
                </w:tcPr>
                <w:p w14:paraId="19380045">
                  <w:pPr>
                    <w:pStyle w:val="41"/>
                    <w:rPr>
                      <w:color w:val="auto"/>
                      <w:highlight w:val="none"/>
                    </w:rPr>
                  </w:pPr>
                  <w:r>
                    <w:rPr>
                      <w:color w:val="auto"/>
                      <w:highlight w:val="none"/>
                    </w:rPr>
                    <w:t>2000</w:t>
                  </w:r>
                </w:p>
              </w:tc>
              <w:tc>
                <w:tcPr>
                  <w:tcW w:w="600" w:type="pct"/>
                  <w:vMerge w:val="restart"/>
                  <w:vAlign w:val="center"/>
                </w:tcPr>
                <w:p w14:paraId="09B752E3">
                  <w:pPr>
                    <w:pStyle w:val="41"/>
                    <w:rPr>
                      <w:color w:val="auto"/>
                      <w:highlight w:val="none"/>
                    </w:rPr>
                  </w:pPr>
                  <w:r>
                    <w:rPr>
                      <w:color w:val="auto"/>
                      <w:highlight w:val="none"/>
                    </w:rPr>
                    <w:t>1.20</w:t>
                  </w:r>
                </w:p>
              </w:tc>
              <w:tc>
                <w:tcPr>
                  <w:tcW w:w="864" w:type="pct"/>
                  <w:vAlign w:val="center"/>
                </w:tcPr>
                <w:p w14:paraId="0B1E52A3">
                  <w:pPr>
                    <w:pStyle w:val="41"/>
                    <w:rPr>
                      <w:color w:val="auto"/>
                      <w:highlight w:val="none"/>
                    </w:rPr>
                  </w:pPr>
                  <w:r>
                    <w:rPr>
                      <w:color w:val="auto"/>
                      <w:highlight w:val="none"/>
                    </w:rPr>
                    <w:t>0</w:t>
                  </w:r>
                  <w:r>
                    <w:rPr>
                      <w:rFonts w:hint="eastAsia"/>
                      <w:color w:val="auto"/>
                      <w:highlight w:val="none"/>
                      <w:lang w:eastAsia="zh-CN"/>
                    </w:rPr>
                    <w:t>～</w:t>
                  </w:r>
                  <w:r>
                    <w:rPr>
                      <w:color w:val="auto"/>
                      <w:highlight w:val="none"/>
                    </w:rPr>
                    <w:t>1300</w:t>
                  </w:r>
                </w:p>
              </w:tc>
              <w:tc>
                <w:tcPr>
                  <w:tcW w:w="536" w:type="pct"/>
                  <w:vAlign w:val="center"/>
                </w:tcPr>
                <w:p w14:paraId="3C6FA2D6">
                  <w:pPr>
                    <w:pStyle w:val="41"/>
                    <w:rPr>
                      <w:color w:val="auto"/>
                      <w:highlight w:val="none"/>
                    </w:rPr>
                  </w:pPr>
                  <w:r>
                    <w:rPr>
                      <w:color w:val="auto"/>
                      <w:highlight w:val="none"/>
                    </w:rPr>
                    <w:t>1.65</w:t>
                  </w:r>
                </w:p>
              </w:tc>
              <w:tc>
                <w:tcPr>
                  <w:tcW w:w="417" w:type="pct"/>
                  <w:vAlign w:val="center"/>
                </w:tcPr>
                <w:p w14:paraId="6B964687">
                  <w:pPr>
                    <w:pStyle w:val="41"/>
                    <w:rPr>
                      <w:color w:val="auto"/>
                      <w:highlight w:val="none"/>
                    </w:rPr>
                  </w:pPr>
                  <w:r>
                    <w:rPr>
                      <w:color w:val="auto"/>
                      <w:highlight w:val="none"/>
                    </w:rPr>
                    <w:t>G</w:t>
                  </w:r>
                </w:p>
              </w:tc>
              <w:tc>
                <w:tcPr>
                  <w:tcW w:w="411" w:type="pct"/>
                  <w:vAlign w:val="center"/>
                </w:tcPr>
                <w:p w14:paraId="25AFBECE">
                  <w:pPr>
                    <w:pStyle w:val="41"/>
                    <w:rPr>
                      <w:color w:val="auto"/>
                      <w:highlight w:val="none"/>
                    </w:rPr>
                  </w:pPr>
                  <w:r>
                    <w:rPr>
                      <w:color w:val="auto"/>
                      <w:highlight w:val="none"/>
                    </w:rPr>
                    <w:t>95</w:t>
                  </w:r>
                </w:p>
              </w:tc>
              <w:tc>
                <w:tcPr>
                  <w:tcW w:w="362" w:type="pct"/>
                  <w:vMerge w:val="restart"/>
                  <w:vAlign w:val="center"/>
                </w:tcPr>
                <w:p w14:paraId="1D3D3BF8">
                  <w:pPr>
                    <w:pStyle w:val="41"/>
                    <w:rPr>
                      <w:color w:val="auto"/>
                      <w:highlight w:val="none"/>
                    </w:rPr>
                  </w:pPr>
                  <w:r>
                    <w:rPr>
                      <w:color w:val="auto"/>
                      <w:highlight w:val="none"/>
                    </w:rPr>
                    <w:t>常规</w:t>
                  </w:r>
                </w:p>
              </w:tc>
              <w:tc>
                <w:tcPr>
                  <w:tcW w:w="367" w:type="pct"/>
                  <w:vAlign w:val="center"/>
                </w:tcPr>
                <w:p w14:paraId="029D88D7">
                  <w:pPr>
                    <w:pStyle w:val="41"/>
                    <w:rPr>
                      <w:color w:val="auto"/>
                      <w:highlight w:val="none"/>
                    </w:rPr>
                  </w:pPr>
                </w:p>
              </w:tc>
            </w:tr>
            <w:tr w14:paraId="1C6C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50" w:type="pct"/>
                  <w:vMerge w:val="continue"/>
                  <w:vAlign w:val="center"/>
                </w:tcPr>
                <w:p w14:paraId="4BE38A7B">
                  <w:pPr>
                    <w:pStyle w:val="41"/>
                    <w:rPr>
                      <w:color w:val="auto"/>
                      <w:highlight w:val="none"/>
                    </w:rPr>
                  </w:pPr>
                </w:p>
              </w:tc>
              <w:tc>
                <w:tcPr>
                  <w:tcW w:w="612" w:type="pct"/>
                  <w:vMerge w:val="continue"/>
                  <w:vAlign w:val="center"/>
                </w:tcPr>
                <w:p w14:paraId="5DE0FDEF">
                  <w:pPr>
                    <w:pStyle w:val="41"/>
                    <w:rPr>
                      <w:color w:val="auto"/>
                      <w:highlight w:val="none"/>
                    </w:rPr>
                  </w:pPr>
                </w:p>
              </w:tc>
              <w:tc>
                <w:tcPr>
                  <w:tcW w:w="477" w:type="pct"/>
                  <w:vMerge w:val="continue"/>
                  <w:vAlign w:val="center"/>
                </w:tcPr>
                <w:p w14:paraId="592BB502">
                  <w:pPr>
                    <w:pStyle w:val="41"/>
                    <w:rPr>
                      <w:color w:val="auto"/>
                      <w:highlight w:val="none"/>
                    </w:rPr>
                  </w:pPr>
                </w:p>
              </w:tc>
              <w:tc>
                <w:tcPr>
                  <w:tcW w:w="600" w:type="pct"/>
                  <w:vMerge w:val="continue"/>
                  <w:vAlign w:val="center"/>
                </w:tcPr>
                <w:p w14:paraId="747CCE4C">
                  <w:pPr>
                    <w:pStyle w:val="41"/>
                    <w:rPr>
                      <w:color w:val="auto"/>
                      <w:highlight w:val="none"/>
                    </w:rPr>
                  </w:pPr>
                </w:p>
              </w:tc>
              <w:tc>
                <w:tcPr>
                  <w:tcW w:w="864" w:type="pct"/>
                  <w:vAlign w:val="center"/>
                </w:tcPr>
                <w:p w14:paraId="6404C721">
                  <w:pPr>
                    <w:pStyle w:val="41"/>
                    <w:rPr>
                      <w:color w:val="auto"/>
                      <w:highlight w:val="none"/>
                    </w:rPr>
                  </w:pPr>
                  <w:r>
                    <w:rPr>
                      <w:color w:val="auto"/>
                      <w:highlight w:val="none"/>
                    </w:rPr>
                    <w:t>1300</w:t>
                  </w:r>
                  <w:r>
                    <w:rPr>
                      <w:rFonts w:hint="eastAsia"/>
                      <w:color w:val="auto"/>
                      <w:highlight w:val="none"/>
                      <w:lang w:eastAsia="zh-CN"/>
                    </w:rPr>
                    <w:t>～</w:t>
                  </w:r>
                  <w:r>
                    <w:rPr>
                      <w:color w:val="auto"/>
                      <w:highlight w:val="none"/>
                    </w:rPr>
                    <w:t>2001</w:t>
                  </w:r>
                </w:p>
              </w:tc>
              <w:tc>
                <w:tcPr>
                  <w:tcW w:w="536" w:type="pct"/>
                  <w:vAlign w:val="center"/>
                </w:tcPr>
                <w:p w14:paraId="6DF7C92C">
                  <w:pPr>
                    <w:pStyle w:val="41"/>
                    <w:rPr>
                      <w:color w:val="auto"/>
                      <w:highlight w:val="none"/>
                    </w:rPr>
                  </w:pPr>
                  <w:r>
                    <w:rPr>
                      <w:color w:val="auto"/>
                      <w:highlight w:val="none"/>
                    </w:rPr>
                    <w:t>1.90</w:t>
                  </w:r>
                </w:p>
              </w:tc>
              <w:tc>
                <w:tcPr>
                  <w:tcW w:w="417" w:type="pct"/>
                  <w:vAlign w:val="center"/>
                </w:tcPr>
                <w:p w14:paraId="159FB471">
                  <w:pPr>
                    <w:pStyle w:val="41"/>
                    <w:rPr>
                      <w:color w:val="auto"/>
                      <w:highlight w:val="none"/>
                    </w:rPr>
                  </w:pPr>
                  <w:r>
                    <w:rPr>
                      <w:color w:val="auto"/>
                      <w:highlight w:val="none"/>
                    </w:rPr>
                    <w:t>G</w:t>
                  </w:r>
                </w:p>
              </w:tc>
              <w:tc>
                <w:tcPr>
                  <w:tcW w:w="411" w:type="pct"/>
                  <w:vAlign w:val="center"/>
                </w:tcPr>
                <w:p w14:paraId="1B05068E">
                  <w:pPr>
                    <w:pStyle w:val="41"/>
                    <w:rPr>
                      <w:color w:val="auto"/>
                      <w:highlight w:val="none"/>
                    </w:rPr>
                  </w:pPr>
                  <w:r>
                    <w:rPr>
                      <w:color w:val="auto"/>
                      <w:highlight w:val="none"/>
                    </w:rPr>
                    <w:t>100</w:t>
                  </w:r>
                </w:p>
              </w:tc>
              <w:tc>
                <w:tcPr>
                  <w:tcW w:w="362" w:type="pct"/>
                  <w:vMerge w:val="continue"/>
                  <w:vAlign w:val="center"/>
                </w:tcPr>
                <w:p w14:paraId="51B13B54">
                  <w:pPr>
                    <w:pStyle w:val="41"/>
                    <w:rPr>
                      <w:color w:val="auto"/>
                      <w:highlight w:val="none"/>
                    </w:rPr>
                  </w:pPr>
                </w:p>
              </w:tc>
              <w:tc>
                <w:tcPr>
                  <w:tcW w:w="367" w:type="pct"/>
                  <w:vAlign w:val="center"/>
                </w:tcPr>
                <w:p w14:paraId="175B0C4B">
                  <w:pPr>
                    <w:pStyle w:val="41"/>
                    <w:rPr>
                      <w:color w:val="auto"/>
                      <w:highlight w:val="none"/>
                    </w:rPr>
                  </w:pPr>
                </w:p>
              </w:tc>
            </w:tr>
            <w:tr w14:paraId="763E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50" w:type="pct"/>
                  <w:vMerge w:val="restart"/>
                  <w:vAlign w:val="center"/>
                </w:tcPr>
                <w:p w14:paraId="6AFDD97B">
                  <w:pPr>
                    <w:pStyle w:val="41"/>
                    <w:rPr>
                      <w:color w:val="auto"/>
                      <w:highlight w:val="none"/>
                    </w:rPr>
                  </w:pPr>
                  <w:r>
                    <w:rPr>
                      <w:color w:val="auto"/>
                      <w:highlight w:val="none"/>
                    </w:rPr>
                    <w:t>二开</w:t>
                  </w:r>
                </w:p>
              </w:tc>
              <w:tc>
                <w:tcPr>
                  <w:tcW w:w="612" w:type="pct"/>
                  <w:vMerge w:val="restart"/>
                  <w:vAlign w:val="center"/>
                </w:tcPr>
                <w:p w14:paraId="22EF2946">
                  <w:pPr>
                    <w:pStyle w:val="41"/>
                    <w:rPr>
                      <w:color w:val="auto"/>
                      <w:highlight w:val="none"/>
                    </w:rPr>
                  </w:pPr>
                  <w:r>
                    <w:rPr>
                      <w:color w:val="auto"/>
                      <w:highlight w:val="none"/>
                    </w:rPr>
                    <w:t>Φ244.5</w:t>
                  </w:r>
                </w:p>
              </w:tc>
              <w:tc>
                <w:tcPr>
                  <w:tcW w:w="477" w:type="pct"/>
                  <w:vMerge w:val="restart"/>
                  <w:vAlign w:val="center"/>
                </w:tcPr>
                <w:p w14:paraId="4593168B">
                  <w:pPr>
                    <w:pStyle w:val="41"/>
                    <w:rPr>
                      <w:color w:val="auto"/>
                      <w:highlight w:val="none"/>
                    </w:rPr>
                  </w:pPr>
                  <w:r>
                    <w:rPr>
                      <w:rFonts w:hint="eastAsia"/>
                      <w:color w:val="auto"/>
                      <w:highlight w:val="none"/>
                    </w:rPr>
                    <w:t>4730</w:t>
                  </w:r>
                </w:p>
              </w:tc>
              <w:tc>
                <w:tcPr>
                  <w:tcW w:w="600" w:type="pct"/>
                  <w:vMerge w:val="restart"/>
                  <w:vAlign w:val="center"/>
                </w:tcPr>
                <w:p w14:paraId="360B3C83">
                  <w:pPr>
                    <w:pStyle w:val="41"/>
                    <w:rPr>
                      <w:color w:val="auto"/>
                      <w:highlight w:val="none"/>
                    </w:rPr>
                  </w:pPr>
                  <w:r>
                    <w:rPr>
                      <w:color w:val="auto"/>
                      <w:highlight w:val="none"/>
                    </w:rPr>
                    <w:t>1.85</w:t>
                  </w:r>
                </w:p>
              </w:tc>
              <w:tc>
                <w:tcPr>
                  <w:tcW w:w="864" w:type="pct"/>
                  <w:vAlign w:val="center"/>
                </w:tcPr>
                <w:p w14:paraId="1E85CAD1">
                  <w:pPr>
                    <w:pStyle w:val="41"/>
                    <w:rPr>
                      <w:color w:val="auto"/>
                      <w:highlight w:val="none"/>
                    </w:rPr>
                  </w:pPr>
                  <w:r>
                    <w:rPr>
                      <w:color w:val="auto"/>
                      <w:highlight w:val="none"/>
                    </w:rPr>
                    <w:t>1800</w:t>
                  </w:r>
                  <w:r>
                    <w:rPr>
                      <w:rFonts w:hint="eastAsia"/>
                      <w:color w:val="auto"/>
                      <w:highlight w:val="none"/>
                      <w:lang w:eastAsia="zh-CN"/>
                    </w:rPr>
                    <w:t>～</w:t>
                  </w:r>
                  <w:r>
                    <w:rPr>
                      <w:color w:val="auto"/>
                      <w:highlight w:val="none"/>
                    </w:rPr>
                    <w:t>4000</w:t>
                  </w:r>
                </w:p>
              </w:tc>
              <w:tc>
                <w:tcPr>
                  <w:tcW w:w="536" w:type="pct"/>
                  <w:vAlign w:val="center"/>
                </w:tcPr>
                <w:p w14:paraId="649C76C1">
                  <w:pPr>
                    <w:pStyle w:val="41"/>
                    <w:rPr>
                      <w:color w:val="auto"/>
                      <w:highlight w:val="none"/>
                    </w:rPr>
                  </w:pPr>
                  <w:r>
                    <w:rPr>
                      <w:color w:val="auto"/>
                      <w:highlight w:val="none"/>
                    </w:rPr>
                    <w:t>1.90</w:t>
                  </w:r>
                </w:p>
              </w:tc>
              <w:tc>
                <w:tcPr>
                  <w:tcW w:w="417" w:type="pct"/>
                  <w:vAlign w:val="center"/>
                </w:tcPr>
                <w:p w14:paraId="269042DE">
                  <w:pPr>
                    <w:pStyle w:val="41"/>
                    <w:rPr>
                      <w:color w:val="auto"/>
                      <w:highlight w:val="none"/>
                    </w:rPr>
                  </w:pPr>
                  <w:r>
                    <w:rPr>
                      <w:color w:val="auto"/>
                      <w:highlight w:val="none"/>
                    </w:rPr>
                    <w:t>G</w:t>
                  </w:r>
                </w:p>
              </w:tc>
              <w:tc>
                <w:tcPr>
                  <w:tcW w:w="411" w:type="pct"/>
                  <w:vAlign w:val="center"/>
                </w:tcPr>
                <w:p w14:paraId="1D2CD4AE">
                  <w:pPr>
                    <w:pStyle w:val="41"/>
                    <w:rPr>
                      <w:color w:val="auto"/>
                      <w:highlight w:val="none"/>
                    </w:rPr>
                  </w:pPr>
                  <w:r>
                    <w:rPr>
                      <w:color w:val="auto"/>
                      <w:highlight w:val="none"/>
                    </w:rPr>
                    <w:t>170</w:t>
                  </w:r>
                </w:p>
              </w:tc>
              <w:tc>
                <w:tcPr>
                  <w:tcW w:w="362" w:type="pct"/>
                  <w:vMerge w:val="restart"/>
                  <w:vAlign w:val="center"/>
                </w:tcPr>
                <w:p w14:paraId="667396BD">
                  <w:pPr>
                    <w:pStyle w:val="41"/>
                    <w:rPr>
                      <w:color w:val="auto"/>
                      <w:highlight w:val="none"/>
                    </w:rPr>
                  </w:pPr>
                  <w:r>
                    <w:rPr>
                      <w:color w:val="auto"/>
                      <w:highlight w:val="none"/>
                    </w:rPr>
                    <w:t>常规</w:t>
                  </w:r>
                </w:p>
              </w:tc>
              <w:tc>
                <w:tcPr>
                  <w:tcW w:w="367" w:type="pct"/>
                  <w:vAlign w:val="center"/>
                </w:tcPr>
                <w:p w14:paraId="7DBC7F50">
                  <w:pPr>
                    <w:pStyle w:val="41"/>
                    <w:rPr>
                      <w:color w:val="auto"/>
                      <w:highlight w:val="none"/>
                    </w:rPr>
                  </w:pPr>
                </w:p>
              </w:tc>
            </w:tr>
            <w:tr w14:paraId="1233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50" w:type="pct"/>
                  <w:vMerge w:val="continue"/>
                  <w:vAlign w:val="center"/>
                </w:tcPr>
                <w:p w14:paraId="7C016CB7">
                  <w:pPr>
                    <w:pStyle w:val="41"/>
                    <w:rPr>
                      <w:color w:val="auto"/>
                      <w:highlight w:val="none"/>
                    </w:rPr>
                  </w:pPr>
                </w:p>
              </w:tc>
              <w:tc>
                <w:tcPr>
                  <w:tcW w:w="612" w:type="pct"/>
                  <w:vMerge w:val="continue"/>
                  <w:vAlign w:val="center"/>
                </w:tcPr>
                <w:p w14:paraId="214ABBBC">
                  <w:pPr>
                    <w:pStyle w:val="41"/>
                    <w:rPr>
                      <w:color w:val="auto"/>
                      <w:highlight w:val="none"/>
                    </w:rPr>
                  </w:pPr>
                </w:p>
              </w:tc>
              <w:tc>
                <w:tcPr>
                  <w:tcW w:w="477" w:type="pct"/>
                  <w:vMerge w:val="continue"/>
                  <w:vAlign w:val="center"/>
                </w:tcPr>
                <w:p w14:paraId="5C351397">
                  <w:pPr>
                    <w:pStyle w:val="41"/>
                    <w:rPr>
                      <w:color w:val="auto"/>
                      <w:highlight w:val="none"/>
                    </w:rPr>
                  </w:pPr>
                </w:p>
              </w:tc>
              <w:tc>
                <w:tcPr>
                  <w:tcW w:w="600" w:type="pct"/>
                  <w:vMerge w:val="continue"/>
                  <w:vAlign w:val="center"/>
                </w:tcPr>
                <w:p w14:paraId="675267CC">
                  <w:pPr>
                    <w:pStyle w:val="41"/>
                    <w:rPr>
                      <w:color w:val="auto"/>
                      <w:highlight w:val="none"/>
                    </w:rPr>
                  </w:pPr>
                </w:p>
              </w:tc>
              <w:tc>
                <w:tcPr>
                  <w:tcW w:w="864" w:type="pct"/>
                  <w:vAlign w:val="center"/>
                </w:tcPr>
                <w:p w14:paraId="13D10552">
                  <w:pPr>
                    <w:pStyle w:val="41"/>
                    <w:rPr>
                      <w:color w:val="auto"/>
                      <w:highlight w:val="none"/>
                    </w:rPr>
                  </w:pPr>
                  <w:r>
                    <w:rPr>
                      <w:color w:val="auto"/>
                      <w:highlight w:val="none"/>
                    </w:rPr>
                    <w:t>4000</w:t>
                  </w:r>
                  <w:r>
                    <w:rPr>
                      <w:rFonts w:hint="eastAsia"/>
                      <w:color w:val="auto"/>
                      <w:highlight w:val="none"/>
                      <w:lang w:eastAsia="zh-CN"/>
                    </w:rPr>
                    <w:t>～</w:t>
                  </w:r>
                  <w:r>
                    <w:rPr>
                      <w:rFonts w:hint="eastAsia"/>
                      <w:color w:val="auto"/>
                      <w:highlight w:val="none"/>
                    </w:rPr>
                    <w:t>4732</w:t>
                  </w:r>
                </w:p>
              </w:tc>
              <w:tc>
                <w:tcPr>
                  <w:tcW w:w="536" w:type="pct"/>
                  <w:vAlign w:val="center"/>
                </w:tcPr>
                <w:p w14:paraId="73CAE3FE">
                  <w:pPr>
                    <w:pStyle w:val="41"/>
                    <w:rPr>
                      <w:color w:val="auto"/>
                      <w:highlight w:val="none"/>
                    </w:rPr>
                  </w:pPr>
                  <w:r>
                    <w:rPr>
                      <w:color w:val="auto"/>
                      <w:highlight w:val="none"/>
                    </w:rPr>
                    <w:t>1.95</w:t>
                  </w:r>
                </w:p>
              </w:tc>
              <w:tc>
                <w:tcPr>
                  <w:tcW w:w="417" w:type="pct"/>
                  <w:vAlign w:val="center"/>
                </w:tcPr>
                <w:p w14:paraId="6CAD3193">
                  <w:pPr>
                    <w:pStyle w:val="41"/>
                    <w:rPr>
                      <w:color w:val="auto"/>
                      <w:highlight w:val="none"/>
                    </w:rPr>
                  </w:pPr>
                  <w:r>
                    <w:rPr>
                      <w:color w:val="auto"/>
                      <w:highlight w:val="none"/>
                    </w:rPr>
                    <w:t>G</w:t>
                  </w:r>
                </w:p>
              </w:tc>
              <w:tc>
                <w:tcPr>
                  <w:tcW w:w="411" w:type="pct"/>
                  <w:vAlign w:val="center"/>
                </w:tcPr>
                <w:p w14:paraId="7248B667">
                  <w:pPr>
                    <w:pStyle w:val="41"/>
                    <w:rPr>
                      <w:color w:val="auto"/>
                      <w:highlight w:val="none"/>
                    </w:rPr>
                  </w:pPr>
                  <w:r>
                    <w:rPr>
                      <w:color w:val="auto"/>
                      <w:highlight w:val="none"/>
                    </w:rPr>
                    <w:t>50</w:t>
                  </w:r>
                </w:p>
              </w:tc>
              <w:tc>
                <w:tcPr>
                  <w:tcW w:w="362" w:type="pct"/>
                  <w:vMerge w:val="continue"/>
                  <w:vAlign w:val="center"/>
                </w:tcPr>
                <w:p w14:paraId="1253158F">
                  <w:pPr>
                    <w:pStyle w:val="41"/>
                    <w:rPr>
                      <w:color w:val="auto"/>
                      <w:highlight w:val="none"/>
                    </w:rPr>
                  </w:pPr>
                </w:p>
              </w:tc>
              <w:tc>
                <w:tcPr>
                  <w:tcW w:w="367" w:type="pct"/>
                  <w:vAlign w:val="center"/>
                </w:tcPr>
                <w:p w14:paraId="09EFBBE8">
                  <w:pPr>
                    <w:pStyle w:val="41"/>
                    <w:rPr>
                      <w:color w:val="auto"/>
                      <w:highlight w:val="none"/>
                    </w:rPr>
                  </w:pPr>
                </w:p>
              </w:tc>
            </w:tr>
            <w:tr w14:paraId="23B2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50" w:type="pct"/>
                  <w:vMerge w:val="restart"/>
                  <w:vAlign w:val="center"/>
                </w:tcPr>
                <w:p w14:paraId="41A8F4BA">
                  <w:pPr>
                    <w:pStyle w:val="41"/>
                    <w:rPr>
                      <w:color w:val="auto"/>
                      <w:highlight w:val="none"/>
                    </w:rPr>
                  </w:pPr>
                  <w:r>
                    <w:rPr>
                      <w:color w:val="auto"/>
                      <w:highlight w:val="none"/>
                    </w:rPr>
                    <w:t>三开</w:t>
                  </w:r>
                </w:p>
              </w:tc>
              <w:tc>
                <w:tcPr>
                  <w:tcW w:w="612" w:type="pct"/>
                  <w:vMerge w:val="restart"/>
                  <w:vAlign w:val="center"/>
                </w:tcPr>
                <w:p w14:paraId="0B39F0D3">
                  <w:pPr>
                    <w:pStyle w:val="41"/>
                    <w:rPr>
                      <w:color w:val="auto"/>
                      <w:highlight w:val="none"/>
                    </w:rPr>
                  </w:pPr>
                  <w:r>
                    <w:rPr>
                      <w:color w:val="auto"/>
                      <w:highlight w:val="none"/>
                    </w:rPr>
                    <w:t>Φ139.7</w:t>
                  </w:r>
                </w:p>
              </w:tc>
              <w:tc>
                <w:tcPr>
                  <w:tcW w:w="477" w:type="pct"/>
                  <w:vMerge w:val="restart"/>
                  <w:vAlign w:val="center"/>
                </w:tcPr>
                <w:p w14:paraId="0B18A81C">
                  <w:pPr>
                    <w:pStyle w:val="41"/>
                    <w:rPr>
                      <w:color w:val="auto"/>
                      <w:highlight w:val="none"/>
                    </w:rPr>
                  </w:pPr>
                  <w:r>
                    <w:rPr>
                      <w:rFonts w:hint="eastAsia"/>
                      <w:color w:val="auto"/>
                      <w:highlight w:val="none"/>
                    </w:rPr>
                    <w:t>8475</w:t>
                  </w:r>
                </w:p>
              </w:tc>
              <w:tc>
                <w:tcPr>
                  <w:tcW w:w="600" w:type="pct"/>
                  <w:vMerge w:val="restart"/>
                  <w:vAlign w:val="center"/>
                </w:tcPr>
                <w:p w14:paraId="78406775">
                  <w:pPr>
                    <w:pStyle w:val="41"/>
                    <w:rPr>
                      <w:color w:val="auto"/>
                      <w:highlight w:val="none"/>
                    </w:rPr>
                  </w:pPr>
                  <w:r>
                    <w:rPr>
                      <w:color w:val="auto"/>
                      <w:highlight w:val="none"/>
                    </w:rPr>
                    <w:t>2.15</w:t>
                  </w:r>
                </w:p>
              </w:tc>
              <w:tc>
                <w:tcPr>
                  <w:tcW w:w="864" w:type="pct"/>
                  <w:vAlign w:val="center"/>
                </w:tcPr>
                <w:p w14:paraId="6578D410">
                  <w:pPr>
                    <w:pStyle w:val="41"/>
                    <w:rPr>
                      <w:color w:val="auto"/>
                      <w:highlight w:val="none"/>
                    </w:rPr>
                  </w:pPr>
                  <w:r>
                    <w:rPr>
                      <w:color w:val="auto"/>
                      <w:highlight w:val="none"/>
                    </w:rPr>
                    <w:t>2000</w:t>
                  </w:r>
                  <w:r>
                    <w:rPr>
                      <w:rFonts w:hint="eastAsia"/>
                      <w:color w:val="auto"/>
                      <w:highlight w:val="none"/>
                      <w:lang w:eastAsia="zh-CN"/>
                    </w:rPr>
                    <w:t>～</w:t>
                  </w:r>
                  <w:r>
                    <w:rPr>
                      <w:color w:val="auto"/>
                      <w:highlight w:val="none"/>
                    </w:rPr>
                    <w:t>6000</w:t>
                  </w:r>
                </w:p>
              </w:tc>
              <w:tc>
                <w:tcPr>
                  <w:tcW w:w="536" w:type="pct"/>
                  <w:vAlign w:val="center"/>
                </w:tcPr>
                <w:p w14:paraId="1FCAC043">
                  <w:pPr>
                    <w:pStyle w:val="41"/>
                    <w:rPr>
                      <w:color w:val="auto"/>
                      <w:highlight w:val="none"/>
                    </w:rPr>
                  </w:pPr>
                  <w:r>
                    <w:rPr>
                      <w:color w:val="auto"/>
                      <w:highlight w:val="none"/>
                    </w:rPr>
                    <w:t>2.35</w:t>
                  </w:r>
                </w:p>
              </w:tc>
              <w:tc>
                <w:tcPr>
                  <w:tcW w:w="417" w:type="pct"/>
                  <w:vAlign w:val="center"/>
                </w:tcPr>
                <w:p w14:paraId="6F4F113B">
                  <w:pPr>
                    <w:pStyle w:val="41"/>
                    <w:rPr>
                      <w:color w:val="auto"/>
                      <w:highlight w:val="none"/>
                    </w:rPr>
                  </w:pPr>
                  <w:r>
                    <w:rPr>
                      <w:color w:val="auto"/>
                      <w:highlight w:val="none"/>
                    </w:rPr>
                    <w:t>G</w:t>
                  </w:r>
                </w:p>
              </w:tc>
              <w:tc>
                <w:tcPr>
                  <w:tcW w:w="411" w:type="pct"/>
                  <w:vAlign w:val="center"/>
                </w:tcPr>
                <w:p w14:paraId="6AD3FC99">
                  <w:pPr>
                    <w:pStyle w:val="41"/>
                    <w:rPr>
                      <w:color w:val="auto"/>
                      <w:highlight w:val="none"/>
                    </w:rPr>
                  </w:pPr>
                  <w:r>
                    <w:rPr>
                      <w:color w:val="auto"/>
                      <w:highlight w:val="none"/>
                    </w:rPr>
                    <w:t>235</w:t>
                  </w:r>
                </w:p>
              </w:tc>
              <w:tc>
                <w:tcPr>
                  <w:tcW w:w="362" w:type="pct"/>
                  <w:vMerge w:val="restart"/>
                  <w:vAlign w:val="center"/>
                </w:tcPr>
                <w:p w14:paraId="6366DD23">
                  <w:pPr>
                    <w:pStyle w:val="41"/>
                    <w:rPr>
                      <w:color w:val="auto"/>
                      <w:highlight w:val="none"/>
                    </w:rPr>
                  </w:pPr>
                  <w:r>
                    <w:rPr>
                      <w:color w:val="auto"/>
                      <w:highlight w:val="none"/>
                    </w:rPr>
                    <w:t>常规</w:t>
                  </w:r>
                </w:p>
              </w:tc>
              <w:tc>
                <w:tcPr>
                  <w:tcW w:w="367" w:type="pct"/>
                  <w:vAlign w:val="center"/>
                </w:tcPr>
                <w:p w14:paraId="4733C0BA">
                  <w:pPr>
                    <w:pStyle w:val="41"/>
                    <w:rPr>
                      <w:color w:val="auto"/>
                      <w:highlight w:val="none"/>
                    </w:rPr>
                  </w:pPr>
                </w:p>
              </w:tc>
            </w:tr>
            <w:tr w14:paraId="05FB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50" w:type="pct"/>
                  <w:vMerge w:val="continue"/>
                  <w:vAlign w:val="center"/>
                </w:tcPr>
                <w:p w14:paraId="3EC20BAA">
                  <w:pPr>
                    <w:pStyle w:val="41"/>
                    <w:rPr>
                      <w:color w:val="auto"/>
                      <w:highlight w:val="none"/>
                    </w:rPr>
                  </w:pPr>
                </w:p>
              </w:tc>
              <w:tc>
                <w:tcPr>
                  <w:tcW w:w="612" w:type="pct"/>
                  <w:vMerge w:val="continue"/>
                  <w:vAlign w:val="center"/>
                </w:tcPr>
                <w:p w14:paraId="4469D9DA">
                  <w:pPr>
                    <w:pStyle w:val="41"/>
                    <w:rPr>
                      <w:color w:val="auto"/>
                      <w:highlight w:val="none"/>
                    </w:rPr>
                  </w:pPr>
                </w:p>
              </w:tc>
              <w:tc>
                <w:tcPr>
                  <w:tcW w:w="477" w:type="pct"/>
                  <w:vMerge w:val="continue"/>
                  <w:vAlign w:val="center"/>
                </w:tcPr>
                <w:p w14:paraId="28938C86">
                  <w:pPr>
                    <w:pStyle w:val="41"/>
                    <w:rPr>
                      <w:color w:val="auto"/>
                      <w:highlight w:val="none"/>
                    </w:rPr>
                  </w:pPr>
                </w:p>
              </w:tc>
              <w:tc>
                <w:tcPr>
                  <w:tcW w:w="600" w:type="pct"/>
                  <w:vMerge w:val="continue"/>
                  <w:vAlign w:val="center"/>
                </w:tcPr>
                <w:p w14:paraId="5D7311FC">
                  <w:pPr>
                    <w:pStyle w:val="41"/>
                    <w:rPr>
                      <w:color w:val="auto"/>
                      <w:highlight w:val="none"/>
                    </w:rPr>
                  </w:pPr>
                </w:p>
              </w:tc>
              <w:tc>
                <w:tcPr>
                  <w:tcW w:w="864" w:type="pct"/>
                  <w:vAlign w:val="center"/>
                </w:tcPr>
                <w:p w14:paraId="5B05D5D1">
                  <w:pPr>
                    <w:pStyle w:val="41"/>
                    <w:rPr>
                      <w:color w:val="auto"/>
                      <w:highlight w:val="none"/>
                    </w:rPr>
                  </w:pPr>
                  <w:r>
                    <w:rPr>
                      <w:color w:val="auto"/>
                      <w:highlight w:val="none"/>
                    </w:rPr>
                    <w:t>6000</w:t>
                  </w:r>
                  <w:r>
                    <w:rPr>
                      <w:rFonts w:hint="eastAsia"/>
                      <w:color w:val="auto"/>
                      <w:highlight w:val="none"/>
                      <w:lang w:eastAsia="zh-CN"/>
                    </w:rPr>
                    <w:t>～</w:t>
                  </w:r>
                  <w:r>
                    <w:rPr>
                      <w:rFonts w:hint="eastAsia"/>
                      <w:color w:val="auto"/>
                      <w:highlight w:val="none"/>
                    </w:rPr>
                    <w:t>8478.84</w:t>
                  </w:r>
                </w:p>
              </w:tc>
              <w:tc>
                <w:tcPr>
                  <w:tcW w:w="536" w:type="pct"/>
                  <w:vAlign w:val="center"/>
                </w:tcPr>
                <w:p w14:paraId="15703007">
                  <w:pPr>
                    <w:pStyle w:val="41"/>
                    <w:rPr>
                      <w:color w:val="auto"/>
                      <w:highlight w:val="none"/>
                    </w:rPr>
                  </w:pPr>
                  <w:r>
                    <w:rPr>
                      <w:color w:val="auto"/>
                      <w:highlight w:val="none"/>
                    </w:rPr>
                    <w:t>1.95</w:t>
                  </w:r>
                </w:p>
              </w:tc>
              <w:tc>
                <w:tcPr>
                  <w:tcW w:w="417" w:type="pct"/>
                  <w:vAlign w:val="center"/>
                </w:tcPr>
                <w:p w14:paraId="4EECFCA2">
                  <w:pPr>
                    <w:pStyle w:val="41"/>
                    <w:rPr>
                      <w:color w:val="auto"/>
                      <w:highlight w:val="none"/>
                    </w:rPr>
                  </w:pPr>
                  <w:r>
                    <w:rPr>
                      <w:color w:val="auto"/>
                      <w:highlight w:val="none"/>
                    </w:rPr>
                    <w:t>G</w:t>
                  </w:r>
                </w:p>
              </w:tc>
              <w:tc>
                <w:tcPr>
                  <w:tcW w:w="411" w:type="pct"/>
                  <w:vAlign w:val="center"/>
                </w:tcPr>
                <w:p w14:paraId="1127CE31">
                  <w:pPr>
                    <w:pStyle w:val="41"/>
                    <w:rPr>
                      <w:color w:val="auto"/>
                      <w:highlight w:val="none"/>
                    </w:rPr>
                  </w:pPr>
                  <w:r>
                    <w:rPr>
                      <w:color w:val="auto"/>
                      <w:highlight w:val="none"/>
                    </w:rPr>
                    <w:t>65</w:t>
                  </w:r>
                </w:p>
              </w:tc>
              <w:tc>
                <w:tcPr>
                  <w:tcW w:w="362" w:type="pct"/>
                  <w:vMerge w:val="continue"/>
                  <w:vAlign w:val="center"/>
                </w:tcPr>
                <w:p w14:paraId="4265D55F">
                  <w:pPr>
                    <w:pStyle w:val="41"/>
                    <w:rPr>
                      <w:color w:val="auto"/>
                      <w:highlight w:val="none"/>
                    </w:rPr>
                  </w:pPr>
                </w:p>
              </w:tc>
              <w:tc>
                <w:tcPr>
                  <w:tcW w:w="367" w:type="pct"/>
                  <w:vAlign w:val="center"/>
                </w:tcPr>
                <w:p w14:paraId="07E19D44">
                  <w:pPr>
                    <w:pStyle w:val="41"/>
                    <w:rPr>
                      <w:color w:val="auto"/>
                      <w:highlight w:val="none"/>
                    </w:rPr>
                  </w:pPr>
                </w:p>
              </w:tc>
            </w:tr>
          </w:tbl>
          <w:p w14:paraId="75D63EAF">
            <w:pPr>
              <w:pStyle w:val="71"/>
              <w:numPr>
                <w:ilvl w:val="0"/>
                <w:numId w:val="0"/>
              </w:numPr>
              <w:spacing w:line="332" w:lineRule="auto"/>
              <w:ind w:leftChars="200"/>
              <w:rPr>
                <w:color w:val="auto"/>
                <w:highlight w:val="none"/>
              </w:rPr>
            </w:pPr>
          </w:p>
          <w:p w14:paraId="18BAF3D6">
            <w:pPr>
              <w:pStyle w:val="71"/>
              <w:numPr>
                <w:ilvl w:val="0"/>
                <w:numId w:val="16"/>
              </w:numPr>
              <w:spacing w:line="332" w:lineRule="auto"/>
              <w:ind w:firstLine="420" w:firstLineChars="200"/>
              <w:rPr>
                <w:color w:val="auto"/>
                <w:highlight w:val="none"/>
              </w:rPr>
            </w:pPr>
            <w:r>
              <w:rPr>
                <w:rFonts w:hint="eastAsia"/>
                <w:color w:val="auto"/>
                <w:highlight w:val="none"/>
              </w:rPr>
              <w:t>储层改造工艺</w:t>
            </w:r>
          </w:p>
          <w:p w14:paraId="28E87836">
            <w:pPr>
              <w:pStyle w:val="3"/>
              <w:ind w:firstLine="420"/>
              <w:rPr>
                <w:color w:val="auto"/>
                <w:sz w:val="21"/>
                <w:highlight w:val="none"/>
              </w:rPr>
            </w:pPr>
            <w:r>
              <w:rPr>
                <w:rFonts w:hint="eastAsia"/>
                <w:color w:val="auto"/>
                <w:sz w:val="21"/>
                <w:highlight w:val="none"/>
              </w:rPr>
              <w:t>本项目新钻井采用射孔和压裂工艺进行储层改造，采用速溶型低浓度瓜胶压裂液体系。</w:t>
            </w:r>
          </w:p>
          <w:p w14:paraId="377144D6">
            <w:pPr>
              <w:pStyle w:val="3"/>
              <w:ind w:firstLine="420"/>
              <w:rPr>
                <w:color w:val="auto"/>
                <w:sz w:val="21"/>
                <w:highlight w:val="none"/>
              </w:rPr>
            </w:pPr>
            <w:r>
              <w:rPr>
                <w:rFonts w:hint="eastAsia"/>
                <w:color w:val="auto"/>
                <w:sz w:val="21"/>
                <w:highlight w:val="none"/>
              </w:rPr>
              <w:t>射孔是采用特殊聚能器材进入井眼预定层位进行爆炸开孔让井下地层内流体进入孔眼的作业活动。当钻至目的层后，如钻孔在目的层未遇裂隙，则需进行射孔，用射孔枪打开产层；射孔工艺需结合岩相、储层力学性质、裂缝扩展模拟结果，开展分段分簇及射孔方案，射孔长度约为0.3m～1.0m，单簇孔数4～12个。</w:t>
            </w:r>
          </w:p>
          <w:p w14:paraId="292D2E8D">
            <w:pPr>
              <w:pStyle w:val="3"/>
              <w:ind w:firstLine="420"/>
              <w:rPr>
                <w:color w:val="auto"/>
                <w:sz w:val="21"/>
                <w:highlight w:val="none"/>
              </w:rPr>
            </w:pPr>
            <w:r>
              <w:rPr>
                <w:rFonts w:hint="eastAsia"/>
                <w:color w:val="auto"/>
                <w:sz w:val="21"/>
                <w:highlight w:val="none"/>
              </w:rPr>
              <w:t>压裂是指利用地面压裂车组，将高压大排量具有一定黏度的液体挤入油层，当把油层压出许多裂缝后，加入支撑剂充填进裂缝，提高油气层的渗透能力，以增加油井产油量的一种增产措施。</w:t>
            </w:r>
          </w:p>
          <w:p w14:paraId="5DAF678A">
            <w:pPr>
              <w:pStyle w:val="3"/>
              <w:ind w:firstLine="420"/>
              <w:rPr>
                <w:rFonts w:hint="eastAsia"/>
                <w:color w:val="auto"/>
                <w:sz w:val="21"/>
                <w:highlight w:val="none"/>
              </w:rPr>
            </w:pPr>
            <w:r>
              <w:rPr>
                <w:rFonts w:hint="eastAsia"/>
                <w:color w:val="auto"/>
                <w:sz w:val="21"/>
                <w:highlight w:val="none"/>
              </w:rPr>
              <w:t>本项目压裂施工过程中，压裂液采取“即配即用”方式实施现场调配。压裂液主要组分（基液、支撑剂、化学添加剂等）由具备资质的供应商按技术配方预配后，采用密闭罐车或标准包装运输至井场，现场通过连续混配车进行实时混合配制。调配过程全程密闭操作，调配完成的压裂液立即泵入井筒，无中间储存环节。施工结束后，剩余物料当日即返厂回收处置，井场不设固定储罐或物料堆场。</w:t>
            </w:r>
          </w:p>
          <w:p w14:paraId="2D23FDFD">
            <w:pPr>
              <w:pStyle w:val="3"/>
              <w:ind w:firstLine="420"/>
              <w:rPr>
                <w:rFonts w:hint="eastAsia"/>
                <w:color w:val="auto"/>
                <w:sz w:val="21"/>
                <w:highlight w:val="none"/>
              </w:rPr>
            </w:pPr>
            <w:r>
              <w:rPr>
                <w:rFonts w:hint="eastAsia"/>
                <w:color w:val="auto"/>
                <w:sz w:val="21"/>
                <w:highlight w:val="none"/>
              </w:rPr>
              <w:t>项目压裂作业施工采用1套压裂车组，压裂液体系见</w:t>
            </w:r>
            <w:r>
              <w:rPr>
                <w:rFonts w:hint="eastAsia"/>
                <w:color w:val="auto"/>
                <w:sz w:val="21"/>
                <w:highlight w:val="none"/>
              </w:rPr>
              <w:fldChar w:fldCharType="begin"/>
            </w:r>
            <w:r>
              <w:rPr>
                <w:color w:val="auto"/>
                <w:highlight w:val="none"/>
              </w:rPr>
              <w:instrText xml:space="preserve"> REF _Ref114540199 \h  \* MERGEFORMAT</w:instrText>
            </w:r>
            <w:r>
              <w:rPr>
                <w:rFonts w:hint="eastAsia"/>
                <w:color w:val="auto"/>
                <w:sz w:val="21"/>
                <w:highlight w:val="none"/>
              </w:rPr>
              <w:fldChar w:fldCharType="separate"/>
            </w:r>
            <w:r>
              <w:rPr>
                <w:rFonts w:hint="eastAsia"/>
                <w:color w:val="auto"/>
                <w:sz w:val="21"/>
                <w:highlight w:val="none"/>
              </w:rPr>
              <w:t>表21</w:t>
            </w:r>
            <w:r>
              <w:rPr>
                <w:rFonts w:hint="eastAsia"/>
                <w:color w:val="auto"/>
                <w:sz w:val="21"/>
                <w:highlight w:val="none"/>
              </w:rPr>
              <w:fldChar w:fldCharType="end"/>
            </w:r>
            <w:r>
              <w:rPr>
                <w:rFonts w:hint="eastAsia"/>
                <w:color w:val="auto"/>
                <w:sz w:val="21"/>
                <w:highlight w:val="none"/>
              </w:rPr>
              <w:t>，压裂液主要成分理化性质见</w:t>
            </w:r>
            <w:r>
              <w:rPr>
                <w:rFonts w:hint="eastAsia"/>
                <w:color w:val="auto"/>
                <w:sz w:val="21"/>
                <w:highlight w:val="none"/>
              </w:rPr>
              <w:fldChar w:fldCharType="begin"/>
            </w:r>
            <w:r>
              <w:rPr>
                <w:color w:val="auto"/>
                <w:highlight w:val="none"/>
              </w:rPr>
              <w:instrText xml:space="preserve"> REF _Ref1038952543 \h  \* MERGEFORMAT</w:instrText>
            </w:r>
            <w:r>
              <w:rPr>
                <w:rFonts w:hint="eastAsia"/>
                <w:color w:val="auto"/>
                <w:sz w:val="21"/>
                <w:highlight w:val="none"/>
              </w:rPr>
              <w:fldChar w:fldCharType="separate"/>
            </w:r>
            <w:r>
              <w:rPr>
                <w:rFonts w:hint="eastAsia"/>
                <w:color w:val="auto"/>
                <w:sz w:val="21"/>
                <w:highlight w:val="none"/>
              </w:rPr>
              <w:t>表22</w:t>
            </w:r>
            <w:r>
              <w:rPr>
                <w:rFonts w:hint="eastAsia"/>
                <w:color w:val="auto"/>
                <w:sz w:val="21"/>
                <w:highlight w:val="none"/>
              </w:rPr>
              <w:fldChar w:fldCharType="end"/>
            </w:r>
            <w:r>
              <w:rPr>
                <w:rFonts w:hint="eastAsia"/>
                <w:color w:val="auto"/>
                <w:sz w:val="21"/>
                <w:highlight w:val="none"/>
              </w:rPr>
              <w:t>。</w:t>
            </w:r>
          </w:p>
          <w:p w14:paraId="58D3991E">
            <w:pPr>
              <w:pStyle w:val="13"/>
              <w:bidi w:val="0"/>
              <w:rPr>
                <w:color w:val="auto"/>
                <w:highlight w:val="none"/>
              </w:rPr>
            </w:pPr>
            <w:bookmarkStart w:id="35" w:name="_Ref114540199"/>
            <w:bookmarkStart w:id="36" w:name="_Ref201670643"/>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21</w:t>
            </w:r>
            <w:r>
              <w:rPr>
                <w:rFonts w:hint="eastAsia"/>
                <w:color w:val="auto"/>
                <w:highlight w:val="none"/>
              </w:rPr>
              <w:fldChar w:fldCharType="end"/>
            </w:r>
            <w:bookmarkEnd w:id="35"/>
            <w:r>
              <w:rPr>
                <w:rFonts w:hint="eastAsia"/>
                <w:color w:val="auto"/>
                <w:highlight w:val="none"/>
              </w:rPr>
              <w:t xml:space="preserve">  压裂液体系一览表</w:t>
            </w:r>
          </w:p>
          <w:bookmarkEnd w:id="36"/>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2647"/>
              <w:gridCol w:w="1678"/>
              <w:gridCol w:w="2167"/>
            </w:tblGrid>
            <w:tr w14:paraId="1E07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8A5F54E">
                  <w:pPr>
                    <w:pStyle w:val="3"/>
                    <w:spacing w:line="240" w:lineRule="auto"/>
                    <w:ind w:firstLine="0" w:firstLineChars="0"/>
                    <w:jc w:val="center"/>
                    <w:rPr>
                      <w:color w:val="auto"/>
                      <w:sz w:val="18"/>
                      <w:szCs w:val="18"/>
                      <w:highlight w:val="none"/>
                    </w:rPr>
                  </w:pPr>
                  <w:r>
                    <w:rPr>
                      <w:rFonts w:hint="eastAsia"/>
                      <w:color w:val="auto"/>
                      <w:sz w:val="18"/>
                      <w:szCs w:val="18"/>
                      <w:highlight w:val="none"/>
                    </w:rPr>
                    <w:t>序号</w:t>
                  </w:r>
                </w:p>
              </w:tc>
              <w:tc>
                <w:tcPr>
                  <w:tcW w:w="175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1C09046">
                  <w:pPr>
                    <w:pStyle w:val="3"/>
                    <w:spacing w:line="240" w:lineRule="auto"/>
                    <w:ind w:firstLine="0" w:firstLineChars="0"/>
                    <w:jc w:val="center"/>
                    <w:rPr>
                      <w:color w:val="auto"/>
                      <w:sz w:val="18"/>
                      <w:szCs w:val="18"/>
                      <w:highlight w:val="none"/>
                    </w:rPr>
                  </w:pPr>
                  <w:r>
                    <w:rPr>
                      <w:rFonts w:hint="eastAsia"/>
                      <w:color w:val="auto"/>
                      <w:sz w:val="18"/>
                      <w:szCs w:val="18"/>
                      <w:highlight w:val="none"/>
                    </w:rPr>
                    <w:t>药品名称</w:t>
                  </w:r>
                </w:p>
              </w:tc>
              <w:tc>
                <w:tcPr>
                  <w:tcW w:w="111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36B8639">
                  <w:pPr>
                    <w:pStyle w:val="3"/>
                    <w:spacing w:line="240" w:lineRule="auto"/>
                    <w:ind w:firstLine="0" w:firstLineChars="0"/>
                    <w:jc w:val="center"/>
                    <w:rPr>
                      <w:color w:val="auto"/>
                      <w:sz w:val="18"/>
                      <w:szCs w:val="18"/>
                      <w:highlight w:val="none"/>
                    </w:rPr>
                  </w:pPr>
                  <w:r>
                    <w:rPr>
                      <w:rFonts w:hint="eastAsia"/>
                      <w:color w:val="auto"/>
                      <w:sz w:val="18"/>
                      <w:szCs w:val="18"/>
                      <w:highlight w:val="none"/>
                    </w:rPr>
                    <w:t>药品代号</w:t>
                  </w:r>
                </w:p>
              </w:tc>
              <w:tc>
                <w:tcPr>
                  <w:tcW w:w="143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F092CC4">
                  <w:pPr>
                    <w:pStyle w:val="3"/>
                    <w:spacing w:line="240" w:lineRule="auto"/>
                    <w:ind w:firstLine="0" w:firstLineChars="0"/>
                    <w:jc w:val="center"/>
                    <w:rPr>
                      <w:color w:val="auto"/>
                      <w:sz w:val="18"/>
                      <w:szCs w:val="18"/>
                      <w:highlight w:val="none"/>
                    </w:rPr>
                  </w:pPr>
                  <w:r>
                    <w:rPr>
                      <w:rFonts w:hint="eastAsia"/>
                      <w:color w:val="auto"/>
                      <w:sz w:val="18"/>
                      <w:szCs w:val="18"/>
                      <w:highlight w:val="none"/>
                    </w:rPr>
                    <w:t>百分比</w:t>
                  </w:r>
                </w:p>
              </w:tc>
            </w:tr>
            <w:tr w14:paraId="31DA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D611E7A">
                  <w:pPr>
                    <w:pStyle w:val="3"/>
                    <w:spacing w:line="240" w:lineRule="auto"/>
                    <w:ind w:firstLine="0" w:firstLineChars="0"/>
                    <w:jc w:val="center"/>
                    <w:rPr>
                      <w:color w:val="auto"/>
                      <w:sz w:val="18"/>
                      <w:szCs w:val="18"/>
                      <w:highlight w:val="none"/>
                    </w:rPr>
                  </w:pPr>
                  <w:r>
                    <w:rPr>
                      <w:rFonts w:hint="eastAsia"/>
                      <w:color w:val="auto"/>
                      <w:sz w:val="18"/>
                      <w:szCs w:val="18"/>
                      <w:highlight w:val="none"/>
                    </w:rPr>
                    <w:t>配液添加</w:t>
                  </w:r>
                </w:p>
              </w:tc>
            </w:tr>
            <w:tr w14:paraId="7638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62BF43D">
                  <w:pPr>
                    <w:pStyle w:val="3"/>
                    <w:spacing w:line="240" w:lineRule="auto"/>
                    <w:ind w:firstLine="0" w:firstLineChars="0"/>
                    <w:jc w:val="center"/>
                    <w:rPr>
                      <w:color w:val="auto"/>
                      <w:sz w:val="18"/>
                      <w:szCs w:val="18"/>
                      <w:highlight w:val="none"/>
                    </w:rPr>
                  </w:pPr>
                  <w:r>
                    <w:rPr>
                      <w:rFonts w:hint="eastAsia"/>
                      <w:color w:val="auto"/>
                      <w:sz w:val="18"/>
                      <w:szCs w:val="18"/>
                      <w:highlight w:val="none"/>
                    </w:rPr>
                    <w:t>1</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F459170">
                  <w:pPr>
                    <w:pStyle w:val="3"/>
                    <w:spacing w:line="240" w:lineRule="auto"/>
                    <w:ind w:firstLine="0" w:firstLineChars="0"/>
                    <w:jc w:val="center"/>
                    <w:rPr>
                      <w:color w:val="auto"/>
                      <w:sz w:val="18"/>
                      <w:szCs w:val="18"/>
                      <w:highlight w:val="none"/>
                    </w:rPr>
                  </w:pPr>
                  <w:r>
                    <w:rPr>
                      <w:rFonts w:hint="eastAsia"/>
                      <w:color w:val="auto"/>
                      <w:sz w:val="18"/>
                      <w:szCs w:val="18"/>
                      <w:highlight w:val="none"/>
                    </w:rPr>
                    <w:t>低浓度速溶瓜胶</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AE96841">
                  <w:pPr>
                    <w:pStyle w:val="3"/>
                    <w:spacing w:line="240" w:lineRule="auto"/>
                    <w:ind w:firstLine="0" w:firstLineChars="0"/>
                    <w:jc w:val="center"/>
                    <w:rPr>
                      <w:color w:val="auto"/>
                      <w:sz w:val="18"/>
                      <w:szCs w:val="18"/>
                      <w:highlight w:val="none"/>
                    </w:rPr>
                  </w:pPr>
                  <w:r>
                    <w:rPr>
                      <w:rFonts w:hint="eastAsia"/>
                      <w:color w:val="auto"/>
                      <w:sz w:val="18"/>
                      <w:szCs w:val="18"/>
                      <w:highlight w:val="none"/>
                    </w:rPr>
                    <w:t>SRG-2</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2751550A">
                  <w:pPr>
                    <w:pStyle w:val="3"/>
                    <w:spacing w:line="240" w:lineRule="auto"/>
                    <w:ind w:firstLine="0" w:firstLineChars="0"/>
                    <w:jc w:val="center"/>
                    <w:rPr>
                      <w:color w:val="auto"/>
                      <w:sz w:val="18"/>
                      <w:szCs w:val="18"/>
                      <w:highlight w:val="none"/>
                    </w:rPr>
                  </w:pPr>
                  <w:r>
                    <w:rPr>
                      <w:rFonts w:hint="eastAsia"/>
                      <w:color w:val="auto"/>
                      <w:sz w:val="18"/>
                      <w:szCs w:val="18"/>
                      <w:highlight w:val="none"/>
                    </w:rPr>
                    <w:t>0.45</w:t>
                  </w:r>
                  <w:r>
                    <w:rPr>
                      <w:color w:val="auto"/>
                      <w:sz w:val="18"/>
                      <w:szCs w:val="18"/>
                      <w:highlight w:val="none"/>
                    </w:rPr>
                    <w:t>%</w:t>
                  </w:r>
                </w:p>
              </w:tc>
            </w:tr>
            <w:tr w14:paraId="59F1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381A426">
                  <w:pPr>
                    <w:pStyle w:val="3"/>
                    <w:spacing w:line="240" w:lineRule="auto"/>
                    <w:ind w:firstLine="0" w:firstLineChars="0"/>
                    <w:jc w:val="center"/>
                    <w:rPr>
                      <w:color w:val="auto"/>
                      <w:sz w:val="18"/>
                      <w:szCs w:val="18"/>
                      <w:highlight w:val="none"/>
                    </w:rPr>
                  </w:pPr>
                  <w:r>
                    <w:rPr>
                      <w:rFonts w:hint="eastAsia"/>
                      <w:color w:val="auto"/>
                      <w:sz w:val="18"/>
                      <w:szCs w:val="18"/>
                      <w:highlight w:val="none"/>
                    </w:rPr>
                    <w:t>2</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F832CD4">
                  <w:pPr>
                    <w:pStyle w:val="3"/>
                    <w:spacing w:line="240" w:lineRule="auto"/>
                    <w:ind w:firstLine="0" w:firstLineChars="0"/>
                    <w:jc w:val="center"/>
                    <w:rPr>
                      <w:color w:val="auto"/>
                      <w:sz w:val="18"/>
                      <w:szCs w:val="18"/>
                      <w:highlight w:val="none"/>
                    </w:rPr>
                  </w:pPr>
                  <w:r>
                    <w:rPr>
                      <w:rFonts w:hint="eastAsia"/>
                      <w:color w:val="auto"/>
                      <w:sz w:val="18"/>
                      <w:szCs w:val="18"/>
                      <w:highlight w:val="none"/>
                    </w:rPr>
                    <w:t>清水</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65BB7DA">
                  <w:pPr>
                    <w:pStyle w:val="3"/>
                    <w:spacing w:line="240" w:lineRule="auto"/>
                    <w:ind w:firstLine="0" w:firstLineChars="0"/>
                    <w:jc w:val="center"/>
                    <w:rPr>
                      <w:color w:val="auto"/>
                      <w:sz w:val="18"/>
                      <w:szCs w:val="18"/>
                      <w:highlight w:val="none"/>
                    </w:rPr>
                  </w:pPr>
                  <w:r>
                    <w:rPr>
                      <w:rFonts w:hint="eastAsia"/>
                      <w:color w:val="auto"/>
                      <w:sz w:val="18"/>
                      <w:szCs w:val="18"/>
                      <w:highlight w:val="none"/>
                    </w:rPr>
                    <w:t>/</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7A90354">
                  <w:pPr>
                    <w:pStyle w:val="3"/>
                    <w:spacing w:line="240" w:lineRule="auto"/>
                    <w:ind w:firstLine="0" w:firstLineChars="0"/>
                    <w:jc w:val="center"/>
                    <w:rPr>
                      <w:color w:val="auto"/>
                      <w:sz w:val="18"/>
                      <w:szCs w:val="18"/>
                      <w:highlight w:val="none"/>
                    </w:rPr>
                  </w:pPr>
                  <w:r>
                    <w:rPr>
                      <w:rFonts w:hint="eastAsia"/>
                      <w:color w:val="auto"/>
                      <w:sz w:val="18"/>
                      <w:szCs w:val="18"/>
                      <w:highlight w:val="none"/>
                    </w:rPr>
                    <w:t>97.33</w:t>
                  </w:r>
                  <w:r>
                    <w:rPr>
                      <w:color w:val="auto"/>
                      <w:sz w:val="18"/>
                      <w:szCs w:val="18"/>
                      <w:highlight w:val="none"/>
                    </w:rPr>
                    <w:t>%</w:t>
                  </w:r>
                </w:p>
              </w:tc>
            </w:tr>
            <w:tr w14:paraId="7399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265D6C22">
                  <w:pPr>
                    <w:pStyle w:val="3"/>
                    <w:spacing w:line="240" w:lineRule="auto"/>
                    <w:ind w:firstLine="0" w:firstLineChars="0"/>
                    <w:jc w:val="center"/>
                    <w:rPr>
                      <w:color w:val="auto"/>
                      <w:sz w:val="18"/>
                      <w:szCs w:val="18"/>
                      <w:highlight w:val="none"/>
                    </w:rPr>
                  </w:pPr>
                  <w:r>
                    <w:rPr>
                      <w:rFonts w:hint="eastAsia"/>
                      <w:color w:val="auto"/>
                      <w:sz w:val="18"/>
                      <w:szCs w:val="18"/>
                      <w:highlight w:val="none"/>
                    </w:rPr>
                    <w:t>3</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90A0CB2">
                  <w:pPr>
                    <w:pStyle w:val="3"/>
                    <w:spacing w:line="240" w:lineRule="auto"/>
                    <w:ind w:firstLine="0" w:firstLineChars="0"/>
                    <w:jc w:val="center"/>
                    <w:rPr>
                      <w:color w:val="auto"/>
                      <w:sz w:val="18"/>
                      <w:szCs w:val="18"/>
                      <w:highlight w:val="none"/>
                    </w:rPr>
                  </w:pPr>
                  <w:r>
                    <w:rPr>
                      <w:rFonts w:hint="eastAsia"/>
                      <w:color w:val="auto"/>
                      <w:sz w:val="18"/>
                      <w:szCs w:val="18"/>
                      <w:highlight w:val="none"/>
                    </w:rPr>
                    <w:t>pH调节剂</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4195F948">
                  <w:pPr>
                    <w:pStyle w:val="3"/>
                    <w:spacing w:line="240" w:lineRule="auto"/>
                    <w:ind w:firstLine="0" w:firstLineChars="0"/>
                    <w:jc w:val="center"/>
                    <w:rPr>
                      <w:color w:val="auto"/>
                      <w:sz w:val="18"/>
                      <w:szCs w:val="18"/>
                      <w:highlight w:val="none"/>
                    </w:rPr>
                  </w:pPr>
                  <w:r>
                    <w:rPr>
                      <w:rFonts w:hint="eastAsia"/>
                      <w:color w:val="auto"/>
                      <w:sz w:val="18"/>
                      <w:szCs w:val="18"/>
                      <w:highlight w:val="none"/>
                    </w:rPr>
                    <w:t>NaOH</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1891939">
                  <w:pPr>
                    <w:pStyle w:val="3"/>
                    <w:spacing w:line="240" w:lineRule="auto"/>
                    <w:ind w:firstLine="0" w:firstLineChars="0"/>
                    <w:jc w:val="center"/>
                    <w:rPr>
                      <w:color w:val="auto"/>
                      <w:sz w:val="18"/>
                      <w:szCs w:val="18"/>
                      <w:highlight w:val="none"/>
                    </w:rPr>
                  </w:pPr>
                  <w:r>
                    <w:rPr>
                      <w:rFonts w:hint="eastAsia"/>
                      <w:color w:val="auto"/>
                      <w:sz w:val="18"/>
                      <w:szCs w:val="18"/>
                      <w:highlight w:val="none"/>
                    </w:rPr>
                    <w:t>0.01</w:t>
                  </w:r>
                  <w:r>
                    <w:rPr>
                      <w:color w:val="auto"/>
                      <w:sz w:val="18"/>
                      <w:szCs w:val="18"/>
                      <w:highlight w:val="none"/>
                    </w:rPr>
                    <w:t>%</w:t>
                  </w:r>
                </w:p>
              </w:tc>
            </w:tr>
            <w:tr w14:paraId="083E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E01ADC2">
                  <w:pPr>
                    <w:pStyle w:val="3"/>
                    <w:spacing w:line="240" w:lineRule="auto"/>
                    <w:ind w:firstLine="0" w:firstLineChars="0"/>
                    <w:jc w:val="center"/>
                    <w:rPr>
                      <w:color w:val="auto"/>
                      <w:sz w:val="18"/>
                      <w:szCs w:val="18"/>
                      <w:highlight w:val="none"/>
                    </w:rPr>
                  </w:pPr>
                  <w:r>
                    <w:rPr>
                      <w:rFonts w:hint="eastAsia"/>
                      <w:color w:val="auto"/>
                      <w:sz w:val="18"/>
                      <w:szCs w:val="18"/>
                      <w:highlight w:val="none"/>
                    </w:rPr>
                    <w:t>4</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173E131">
                  <w:pPr>
                    <w:pStyle w:val="3"/>
                    <w:spacing w:line="240" w:lineRule="auto"/>
                    <w:ind w:firstLine="0" w:firstLineChars="0"/>
                    <w:jc w:val="center"/>
                    <w:rPr>
                      <w:color w:val="auto"/>
                      <w:sz w:val="18"/>
                      <w:szCs w:val="18"/>
                      <w:highlight w:val="none"/>
                    </w:rPr>
                  </w:pPr>
                  <w:r>
                    <w:rPr>
                      <w:rFonts w:hint="eastAsia"/>
                      <w:color w:val="auto"/>
                      <w:sz w:val="18"/>
                      <w:szCs w:val="18"/>
                      <w:highlight w:val="none"/>
                    </w:rPr>
                    <w:t>消泡剂</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592D5FD">
                  <w:pPr>
                    <w:pStyle w:val="3"/>
                    <w:spacing w:line="240" w:lineRule="auto"/>
                    <w:ind w:firstLine="0" w:firstLineChars="0"/>
                    <w:jc w:val="center"/>
                    <w:rPr>
                      <w:color w:val="auto"/>
                      <w:sz w:val="18"/>
                      <w:szCs w:val="18"/>
                      <w:highlight w:val="none"/>
                    </w:rPr>
                  </w:pPr>
                  <w:r>
                    <w:rPr>
                      <w:rFonts w:hint="eastAsia"/>
                      <w:color w:val="auto"/>
                      <w:sz w:val="18"/>
                      <w:szCs w:val="18"/>
                      <w:highlight w:val="none"/>
                    </w:rPr>
                    <w:t>SJ-10</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D2825CC">
                  <w:pPr>
                    <w:pStyle w:val="3"/>
                    <w:spacing w:line="240" w:lineRule="auto"/>
                    <w:ind w:firstLine="0" w:firstLineChars="0"/>
                    <w:jc w:val="center"/>
                    <w:rPr>
                      <w:color w:val="auto"/>
                      <w:sz w:val="18"/>
                      <w:szCs w:val="18"/>
                      <w:highlight w:val="none"/>
                    </w:rPr>
                  </w:pPr>
                  <w:r>
                    <w:rPr>
                      <w:rFonts w:hint="eastAsia"/>
                      <w:color w:val="auto"/>
                      <w:sz w:val="18"/>
                      <w:szCs w:val="18"/>
                      <w:highlight w:val="none"/>
                    </w:rPr>
                    <w:t>0.03</w:t>
                  </w:r>
                  <w:r>
                    <w:rPr>
                      <w:color w:val="auto"/>
                      <w:sz w:val="18"/>
                      <w:szCs w:val="18"/>
                      <w:highlight w:val="none"/>
                    </w:rPr>
                    <w:t>%</w:t>
                  </w:r>
                </w:p>
              </w:tc>
            </w:tr>
            <w:tr w14:paraId="213B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24CBE61">
                  <w:pPr>
                    <w:pStyle w:val="3"/>
                    <w:spacing w:line="240" w:lineRule="auto"/>
                    <w:ind w:firstLine="0" w:firstLineChars="0"/>
                    <w:jc w:val="center"/>
                    <w:rPr>
                      <w:color w:val="auto"/>
                      <w:sz w:val="18"/>
                      <w:szCs w:val="18"/>
                      <w:highlight w:val="none"/>
                    </w:rPr>
                  </w:pPr>
                  <w:r>
                    <w:rPr>
                      <w:rFonts w:hint="eastAsia"/>
                      <w:color w:val="auto"/>
                      <w:sz w:val="18"/>
                      <w:szCs w:val="18"/>
                      <w:highlight w:val="none"/>
                    </w:rPr>
                    <w:t>5</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5307F56">
                  <w:pPr>
                    <w:pStyle w:val="3"/>
                    <w:spacing w:line="240" w:lineRule="auto"/>
                    <w:ind w:firstLine="0" w:firstLineChars="0"/>
                    <w:jc w:val="center"/>
                    <w:rPr>
                      <w:color w:val="auto"/>
                      <w:sz w:val="18"/>
                      <w:szCs w:val="18"/>
                      <w:highlight w:val="none"/>
                    </w:rPr>
                  </w:pPr>
                  <w:r>
                    <w:rPr>
                      <w:rFonts w:hint="eastAsia"/>
                      <w:color w:val="auto"/>
                      <w:sz w:val="18"/>
                      <w:szCs w:val="18"/>
                      <w:highlight w:val="none"/>
                    </w:rPr>
                    <w:t>助排剂</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091AF87">
                  <w:pPr>
                    <w:pStyle w:val="3"/>
                    <w:spacing w:line="240" w:lineRule="auto"/>
                    <w:ind w:firstLine="0" w:firstLineChars="0"/>
                    <w:jc w:val="center"/>
                    <w:rPr>
                      <w:color w:val="auto"/>
                      <w:sz w:val="18"/>
                      <w:szCs w:val="18"/>
                      <w:highlight w:val="none"/>
                    </w:rPr>
                  </w:pPr>
                  <w:r>
                    <w:rPr>
                      <w:rFonts w:hint="eastAsia"/>
                      <w:color w:val="auto"/>
                      <w:sz w:val="18"/>
                      <w:szCs w:val="18"/>
                      <w:highlight w:val="none"/>
                    </w:rPr>
                    <w:t>ME-2</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007AB1A">
                  <w:pPr>
                    <w:pStyle w:val="3"/>
                    <w:spacing w:line="240" w:lineRule="auto"/>
                    <w:ind w:firstLine="0" w:firstLineChars="0"/>
                    <w:jc w:val="center"/>
                    <w:rPr>
                      <w:color w:val="auto"/>
                      <w:sz w:val="18"/>
                      <w:szCs w:val="18"/>
                      <w:highlight w:val="none"/>
                    </w:rPr>
                  </w:pPr>
                  <w:r>
                    <w:rPr>
                      <w:rFonts w:hint="eastAsia"/>
                      <w:color w:val="auto"/>
                      <w:sz w:val="18"/>
                      <w:szCs w:val="18"/>
                      <w:highlight w:val="none"/>
                    </w:rPr>
                    <w:t>0.1</w:t>
                  </w:r>
                  <w:r>
                    <w:rPr>
                      <w:color w:val="auto"/>
                      <w:sz w:val="18"/>
                      <w:szCs w:val="18"/>
                      <w:highlight w:val="none"/>
                    </w:rPr>
                    <w:t>%</w:t>
                  </w:r>
                </w:p>
              </w:tc>
            </w:tr>
            <w:tr w14:paraId="41E0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43B009F">
                  <w:pPr>
                    <w:pStyle w:val="3"/>
                    <w:spacing w:line="240" w:lineRule="auto"/>
                    <w:ind w:firstLine="0" w:firstLineChars="0"/>
                    <w:jc w:val="center"/>
                    <w:rPr>
                      <w:color w:val="auto"/>
                      <w:sz w:val="18"/>
                      <w:szCs w:val="18"/>
                      <w:highlight w:val="none"/>
                    </w:rPr>
                  </w:pPr>
                  <w:r>
                    <w:rPr>
                      <w:rFonts w:hint="eastAsia"/>
                      <w:color w:val="auto"/>
                      <w:sz w:val="18"/>
                      <w:szCs w:val="18"/>
                      <w:highlight w:val="none"/>
                    </w:rPr>
                    <w:t>6</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6938BBC">
                  <w:pPr>
                    <w:pStyle w:val="3"/>
                    <w:spacing w:line="240" w:lineRule="auto"/>
                    <w:ind w:firstLine="0" w:firstLineChars="0"/>
                    <w:jc w:val="center"/>
                    <w:rPr>
                      <w:color w:val="auto"/>
                      <w:sz w:val="18"/>
                      <w:szCs w:val="18"/>
                      <w:highlight w:val="none"/>
                    </w:rPr>
                  </w:pPr>
                  <w:r>
                    <w:rPr>
                      <w:rFonts w:hint="eastAsia"/>
                      <w:color w:val="auto"/>
                      <w:sz w:val="18"/>
                      <w:szCs w:val="18"/>
                      <w:highlight w:val="none"/>
                    </w:rPr>
                    <w:t>有机防膨剂</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5647912">
                  <w:pPr>
                    <w:pStyle w:val="3"/>
                    <w:spacing w:line="240" w:lineRule="auto"/>
                    <w:ind w:firstLine="0" w:firstLineChars="0"/>
                    <w:jc w:val="center"/>
                    <w:rPr>
                      <w:color w:val="auto"/>
                      <w:sz w:val="18"/>
                      <w:szCs w:val="18"/>
                      <w:highlight w:val="none"/>
                    </w:rPr>
                  </w:pPr>
                  <w:r>
                    <w:rPr>
                      <w:rFonts w:hint="eastAsia"/>
                      <w:color w:val="auto"/>
                      <w:sz w:val="18"/>
                      <w:szCs w:val="18"/>
                      <w:highlight w:val="none"/>
                    </w:rPr>
                    <w:t>/</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A859636">
                  <w:pPr>
                    <w:pStyle w:val="3"/>
                    <w:spacing w:line="240" w:lineRule="auto"/>
                    <w:ind w:firstLine="0" w:firstLineChars="0"/>
                    <w:jc w:val="center"/>
                    <w:rPr>
                      <w:color w:val="auto"/>
                      <w:sz w:val="18"/>
                      <w:szCs w:val="18"/>
                      <w:highlight w:val="none"/>
                    </w:rPr>
                  </w:pPr>
                  <w:r>
                    <w:rPr>
                      <w:rFonts w:hint="eastAsia"/>
                      <w:color w:val="auto"/>
                      <w:sz w:val="18"/>
                      <w:szCs w:val="18"/>
                      <w:highlight w:val="none"/>
                    </w:rPr>
                    <w:t>0.5</w:t>
                  </w:r>
                  <w:r>
                    <w:rPr>
                      <w:color w:val="auto"/>
                      <w:sz w:val="18"/>
                      <w:szCs w:val="18"/>
                      <w:highlight w:val="none"/>
                    </w:rPr>
                    <w:t>%</w:t>
                  </w:r>
                </w:p>
              </w:tc>
            </w:tr>
            <w:tr w14:paraId="57E9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601BCA3">
                  <w:pPr>
                    <w:pStyle w:val="3"/>
                    <w:spacing w:line="240" w:lineRule="auto"/>
                    <w:ind w:firstLine="0" w:firstLineChars="0"/>
                    <w:jc w:val="center"/>
                    <w:rPr>
                      <w:color w:val="auto"/>
                      <w:sz w:val="18"/>
                      <w:szCs w:val="18"/>
                      <w:highlight w:val="none"/>
                    </w:rPr>
                  </w:pPr>
                  <w:r>
                    <w:rPr>
                      <w:rFonts w:hint="eastAsia"/>
                      <w:color w:val="auto"/>
                      <w:sz w:val="18"/>
                      <w:szCs w:val="18"/>
                      <w:highlight w:val="none"/>
                    </w:rPr>
                    <w:t>7</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BAEA2DE">
                  <w:pPr>
                    <w:pStyle w:val="3"/>
                    <w:spacing w:line="240" w:lineRule="auto"/>
                    <w:ind w:firstLine="0" w:firstLineChars="0"/>
                    <w:jc w:val="center"/>
                    <w:rPr>
                      <w:color w:val="auto"/>
                      <w:sz w:val="18"/>
                      <w:szCs w:val="18"/>
                      <w:highlight w:val="none"/>
                    </w:rPr>
                  </w:pPr>
                  <w:r>
                    <w:rPr>
                      <w:rFonts w:hint="eastAsia"/>
                      <w:color w:val="auto"/>
                      <w:sz w:val="18"/>
                      <w:szCs w:val="18"/>
                      <w:highlight w:val="none"/>
                    </w:rPr>
                    <w:t>氯化钾</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15AAD679">
                  <w:pPr>
                    <w:pStyle w:val="3"/>
                    <w:spacing w:line="240" w:lineRule="auto"/>
                    <w:ind w:firstLine="0" w:firstLineChars="0"/>
                    <w:jc w:val="center"/>
                    <w:rPr>
                      <w:color w:val="auto"/>
                      <w:sz w:val="18"/>
                      <w:szCs w:val="18"/>
                      <w:highlight w:val="none"/>
                    </w:rPr>
                  </w:pPr>
                  <w:r>
                    <w:rPr>
                      <w:rFonts w:hint="eastAsia"/>
                      <w:color w:val="auto"/>
                      <w:sz w:val="18"/>
                      <w:szCs w:val="18"/>
                      <w:highlight w:val="none"/>
                    </w:rPr>
                    <w:t>KCl</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5F29FCC">
                  <w:pPr>
                    <w:pStyle w:val="3"/>
                    <w:spacing w:line="240" w:lineRule="auto"/>
                    <w:ind w:firstLine="0" w:firstLineChars="0"/>
                    <w:jc w:val="center"/>
                    <w:rPr>
                      <w:color w:val="auto"/>
                      <w:sz w:val="18"/>
                      <w:szCs w:val="18"/>
                      <w:highlight w:val="none"/>
                    </w:rPr>
                  </w:pPr>
                  <w:r>
                    <w:rPr>
                      <w:rFonts w:hint="eastAsia"/>
                      <w:color w:val="auto"/>
                      <w:sz w:val="18"/>
                      <w:szCs w:val="18"/>
                      <w:highlight w:val="none"/>
                    </w:rPr>
                    <w:t>1</w:t>
                  </w:r>
                  <w:r>
                    <w:rPr>
                      <w:rStyle w:val="33"/>
                      <w:rFonts w:ascii="Times New Roman" w:hAnsi="Times New Roman" w:cs="Times New Roman"/>
                      <w:color w:val="auto"/>
                      <w:sz w:val="18"/>
                      <w:szCs w:val="18"/>
                      <w:highlight w:val="none"/>
                    </w:rPr>
                    <w:t>%</w:t>
                  </w:r>
                </w:p>
              </w:tc>
            </w:tr>
            <w:tr w14:paraId="0958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265681FD">
                  <w:pPr>
                    <w:pStyle w:val="3"/>
                    <w:spacing w:line="240" w:lineRule="auto"/>
                    <w:ind w:firstLine="0" w:firstLineChars="0"/>
                    <w:jc w:val="center"/>
                    <w:rPr>
                      <w:color w:val="auto"/>
                      <w:sz w:val="18"/>
                      <w:szCs w:val="18"/>
                      <w:highlight w:val="none"/>
                    </w:rPr>
                  </w:pPr>
                  <w:r>
                    <w:rPr>
                      <w:rFonts w:hint="eastAsia"/>
                      <w:color w:val="auto"/>
                      <w:sz w:val="18"/>
                      <w:szCs w:val="18"/>
                      <w:highlight w:val="none"/>
                    </w:rPr>
                    <w:t>8</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FC58639">
                  <w:pPr>
                    <w:pStyle w:val="3"/>
                    <w:spacing w:line="240" w:lineRule="auto"/>
                    <w:ind w:firstLine="0" w:firstLineChars="0"/>
                    <w:jc w:val="center"/>
                    <w:rPr>
                      <w:color w:val="auto"/>
                      <w:sz w:val="18"/>
                      <w:szCs w:val="18"/>
                      <w:highlight w:val="none"/>
                    </w:rPr>
                  </w:pPr>
                  <w:r>
                    <w:rPr>
                      <w:rFonts w:hint="eastAsia"/>
                      <w:color w:val="auto"/>
                      <w:sz w:val="18"/>
                      <w:szCs w:val="18"/>
                      <w:highlight w:val="none"/>
                    </w:rPr>
                    <w:t>杀菌剂</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7BB2534">
                  <w:pPr>
                    <w:pStyle w:val="3"/>
                    <w:spacing w:line="240" w:lineRule="auto"/>
                    <w:ind w:firstLine="0" w:firstLineChars="0"/>
                    <w:jc w:val="center"/>
                    <w:rPr>
                      <w:color w:val="auto"/>
                      <w:sz w:val="18"/>
                      <w:szCs w:val="18"/>
                      <w:highlight w:val="none"/>
                    </w:rPr>
                  </w:pPr>
                  <w:r>
                    <w:rPr>
                      <w:rFonts w:hint="eastAsia"/>
                      <w:color w:val="auto"/>
                      <w:sz w:val="18"/>
                      <w:szCs w:val="18"/>
                      <w:highlight w:val="none"/>
                    </w:rPr>
                    <w:t>甲醛</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218F1655">
                  <w:pPr>
                    <w:pStyle w:val="3"/>
                    <w:spacing w:line="240" w:lineRule="auto"/>
                    <w:ind w:firstLine="0" w:firstLineChars="0"/>
                    <w:jc w:val="center"/>
                    <w:rPr>
                      <w:color w:val="auto"/>
                      <w:sz w:val="18"/>
                      <w:szCs w:val="18"/>
                      <w:highlight w:val="none"/>
                    </w:rPr>
                  </w:pPr>
                  <w:r>
                    <w:rPr>
                      <w:rFonts w:hint="eastAsia"/>
                      <w:color w:val="auto"/>
                      <w:sz w:val="18"/>
                      <w:szCs w:val="18"/>
                      <w:highlight w:val="none"/>
                    </w:rPr>
                    <w:t>0.05</w:t>
                  </w:r>
                  <w:r>
                    <w:rPr>
                      <w:color w:val="auto"/>
                      <w:sz w:val="18"/>
                      <w:szCs w:val="18"/>
                      <w:highlight w:val="none"/>
                    </w:rPr>
                    <w:t>%</w:t>
                  </w:r>
                </w:p>
              </w:tc>
            </w:tr>
            <w:tr w14:paraId="0E76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1EFFAD3">
                  <w:pPr>
                    <w:pStyle w:val="3"/>
                    <w:spacing w:line="240" w:lineRule="auto"/>
                    <w:ind w:firstLine="0" w:firstLineChars="0"/>
                    <w:jc w:val="center"/>
                    <w:rPr>
                      <w:color w:val="auto"/>
                      <w:sz w:val="18"/>
                      <w:szCs w:val="18"/>
                      <w:highlight w:val="none"/>
                    </w:rPr>
                  </w:pPr>
                  <w:r>
                    <w:rPr>
                      <w:rFonts w:hint="eastAsia"/>
                      <w:color w:val="auto"/>
                      <w:sz w:val="18"/>
                      <w:szCs w:val="18"/>
                      <w:highlight w:val="none"/>
                    </w:rPr>
                    <w:t>现场添加</w:t>
                  </w:r>
                </w:p>
              </w:tc>
            </w:tr>
            <w:tr w14:paraId="3947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9CA0451">
                  <w:pPr>
                    <w:pStyle w:val="3"/>
                    <w:spacing w:line="240" w:lineRule="auto"/>
                    <w:ind w:firstLine="0" w:firstLineChars="0"/>
                    <w:jc w:val="center"/>
                    <w:rPr>
                      <w:color w:val="auto"/>
                      <w:sz w:val="18"/>
                      <w:szCs w:val="18"/>
                      <w:highlight w:val="none"/>
                    </w:rPr>
                  </w:pPr>
                  <w:r>
                    <w:rPr>
                      <w:rFonts w:hint="eastAsia"/>
                      <w:color w:val="auto"/>
                      <w:sz w:val="18"/>
                      <w:szCs w:val="18"/>
                      <w:highlight w:val="none"/>
                    </w:rPr>
                    <w:t>9</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6147E62">
                  <w:pPr>
                    <w:pStyle w:val="3"/>
                    <w:spacing w:line="240" w:lineRule="auto"/>
                    <w:ind w:firstLine="0" w:firstLineChars="0"/>
                    <w:jc w:val="center"/>
                    <w:rPr>
                      <w:color w:val="auto"/>
                      <w:sz w:val="18"/>
                      <w:szCs w:val="18"/>
                      <w:highlight w:val="none"/>
                    </w:rPr>
                  </w:pPr>
                  <w:r>
                    <w:rPr>
                      <w:rFonts w:hint="eastAsia"/>
                      <w:color w:val="auto"/>
                      <w:sz w:val="18"/>
                      <w:szCs w:val="18"/>
                      <w:highlight w:val="none"/>
                    </w:rPr>
                    <w:t>有机锆交联剂</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5B4118BE">
                  <w:pPr>
                    <w:pStyle w:val="3"/>
                    <w:spacing w:line="240" w:lineRule="auto"/>
                    <w:ind w:firstLine="0" w:firstLineChars="0"/>
                    <w:jc w:val="center"/>
                    <w:rPr>
                      <w:color w:val="auto"/>
                      <w:sz w:val="18"/>
                      <w:szCs w:val="18"/>
                      <w:highlight w:val="none"/>
                    </w:rPr>
                  </w:pPr>
                  <w:r>
                    <w:rPr>
                      <w:rFonts w:hint="eastAsia"/>
                      <w:color w:val="auto"/>
                      <w:sz w:val="18"/>
                      <w:szCs w:val="18"/>
                      <w:highlight w:val="none"/>
                    </w:rPr>
                    <w:t>MAZ-1</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6B5F1221">
                  <w:pPr>
                    <w:pStyle w:val="3"/>
                    <w:spacing w:line="240" w:lineRule="auto"/>
                    <w:ind w:firstLine="0" w:firstLineChars="0"/>
                    <w:jc w:val="center"/>
                    <w:rPr>
                      <w:color w:val="auto"/>
                      <w:sz w:val="18"/>
                      <w:szCs w:val="18"/>
                      <w:highlight w:val="none"/>
                    </w:rPr>
                  </w:pPr>
                  <w:r>
                    <w:rPr>
                      <w:rFonts w:hint="eastAsia"/>
                      <w:color w:val="auto"/>
                      <w:sz w:val="18"/>
                      <w:szCs w:val="18"/>
                      <w:highlight w:val="none"/>
                    </w:rPr>
                    <w:t>0.5</w:t>
                  </w:r>
                  <w:r>
                    <w:rPr>
                      <w:color w:val="auto"/>
                      <w:sz w:val="18"/>
                      <w:szCs w:val="18"/>
                      <w:highlight w:val="none"/>
                    </w:rPr>
                    <w:t>%</w:t>
                  </w:r>
                </w:p>
              </w:tc>
            </w:tr>
            <w:tr w14:paraId="4EAF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30A5CDE">
                  <w:pPr>
                    <w:pStyle w:val="3"/>
                    <w:spacing w:line="240" w:lineRule="auto"/>
                    <w:ind w:firstLine="0" w:firstLineChars="0"/>
                    <w:jc w:val="center"/>
                    <w:rPr>
                      <w:color w:val="auto"/>
                      <w:sz w:val="18"/>
                      <w:szCs w:val="18"/>
                      <w:highlight w:val="none"/>
                    </w:rPr>
                  </w:pPr>
                  <w:r>
                    <w:rPr>
                      <w:rFonts w:hint="eastAsia"/>
                      <w:color w:val="auto"/>
                      <w:sz w:val="18"/>
                      <w:szCs w:val="18"/>
                      <w:highlight w:val="none"/>
                    </w:rPr>
                    <w:t>10</w:t>
                  </w:r>
                </w:p>
              </w:tc>
              <w:tc>
                <w:tcPr>
                  <w:tcW w:w="1759"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3F995D75">
                  <w:pPr>
                    <w:pStyle w:val="3"/>
                    <w:spacing w:line="240" w:lineRule="auto"/>
                    <w:ind w:firstLine="0" w:firstLineChars="0"/>
                    <w:jc w:val="center"/>
                    <w:rPr>
                      <w:color w:val="auto"/>
                      <w:sz w:val="18"/>
                      <w:szCs w:val="18"/>
                      <w:highlight w:val="none"/>
                    </w:rPr>
                  </w:pPr>
                  <w:r>
                    <w:rPr>
                      <w:rFonts w:hint="eastAsia"/>
                      <w:color w:val="auto"/>
                      <w:sz w:val="18"/>
                      <w:szCs w:val="18"/>
                      <w:highlight w:val="none"/>
                    </w:rPr>
                    <w:t>破胶剂</w:t>
                  </w:r>
                </w:p>
              </w:tc>
              <w:tc>
                <w:tcPr>
                  <w:tcW w:w="1115"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79A31CCE">
                  <w:pPr>
                    <w:pStyle w:val="3"/>
                    <w:spacing w:line="240" w:lineRule="auto"/>
                    <w:ind w:firstLine="0" w:firstLineChars="0"/>
                    <w:jc w:val="center"/>
                    <w:rPr>
                      <w:color w:val="auto"/>
                      <w:sz w:val="18"/>
                      <w:szCs w:val="18"/>
                      <w:highlight w:val="none"/>
                    </w:rPr>
                  </w:pPr>
                  <w:r>
                    <w:rPr>
                      <w:rFonts w:hint="eastAsia"/>
                      <w:color w:val="auto"/>
                      <w:sz w:val="18"/>
                      <w:szCs w:val="18"/>
                      <w:highlight w:val="none"/>
                    </w:rPr>
                    <w:t>EB-1</w:t>
                  </w:r>
                </w:p>
              </w:tc>
              <w:tc>
                <w:tcPr>
                  <w:tcW w:w="1437" w:type="pct"/>
                  <w:tcBorders>
                    <w:top w:val="single" w:color="auto" w:sz="4" w:space="0"/>
                    <w:left w:val="single" w:color="auto" w:sz="4" w:space="0"/>
                    <w:bottom w:val="single" w:color="auto" w:sz="4" w:space="0"/>
                    <w:right w:val="single" w:color="auto" w:sz="4" w:space="0"/>
                  </w:tcBorders>
                  <w:shd w:val="clear" w:color="auto" w:fill="auto"/>
                  <w:tcMar>
                    <w:top w:w="57" w:type="dxa"/>
                    <w:left w:w="108" w:type="dxa"/>
                    <w:bottom w:w="57" w:type="dxa"/>
                    <w:right w:w="108" w:type="dxa"/>
                  </w:tcMar>
                  <w:vAlign w:val="center"/>
                </w:tcPr>
                <w:p w14:paraId="019510BD">
                  <w:pPr>
                    <w:pStyle w:val="3"/>
                    <w:spacing w:line="240" w:lineRule="auto"/>
                    <w:ind w:firstLine="0" w:firstLineChars="0"/>
                    <w:jc w:val="center"/>
                    <w:rPr>
                      <w:color w:val="auto"/>
                      <w:sz w:val="18"/>
                      <w:szCs w:val="18"/>
                      <w:highlight w:val="none"/>
                    </w:rPr>
                  </w:pPr>
                  <w:r>
                    <w:rPr>
                      <w:rFonts w:hint="eastAsia"/>
                      <w:color w:val="auto"/>
                      <w:sz w:val="18"/>
                      <w:szCs w:val="18"/>
                      <w:highlight w:val="none"/>
                    </w:rPr>
                    <w:t>0.03</w:t>
                  </w:r>
                  <w:r>
                    <w:rPr>
                      <w:color w:val="auto"/>
                      <w:sz w:val="18"/>
                      <w:szCs w:val="18"/>
                      <w:highlight w:val="none"/>
                    </w:rPr>
                    <w:t>%</w:t>
                  </w:r>
                </w:p>
              </w:tc>
            </w:tr>
          </w:tbl>
          <w:p w14:paraId="4860E94A">
            <w:pPr>
              <w:pStyle w:val="92"/>
              <w:ind w:firstLine="0" w:firstLineChars="0"/>
              <w:rPr>
                <w:snapToGrid w:val="0"/>
                <w:color w:val="auto"/>
                <w:highlight w:val="none"/>
              </w:rPr>
            </w:pPr>
          </w:p>
          <w:p w14:paraId="48E2878F">
            <w:pPr>
              <w:pStyle w:val="13"/>
              <w:bidi w:val="0"/>
              <w:rPr>
                <w:color w:val="auto"/>
                <w:szCs w:val="18"/>
                <w:highlight w:val="none"/>
              </w:rPr>
            </w:pPr>
            <w:bookmarkStart w:id="37" w:name="_Ref1038952543"/>
            <w:bookmarkStart w:id="38" w:name="_Ref201670648"/>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22</w:t>
            </w:r>
            <w:r>
              <w:rPr>
                <w:rFonts w:hint="eastAsia"/>
                <w:color w:val="auto"/>
                <w:highlight w:val="none"/>
              </w:rPr>
              <w:fldChar w:fldCharType="end"/>
            </w:r>
            <w:bookmarkEnd w:id="37"/>
            <w:r>
              <w:rPr>
                <w:rFonts w:hint="eastAsia"/>
                <w:color w:val="auto"/>
                <w:highlight w:val="none"/>
              </w:rPr>
              <w:t xml:space="preserve">  压裂液主要成分理化性质一览表</w:t>
            </w:r>
          </w:p>
          <w:bookmarkEnd w:id="38"/>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6431"/>
            </w:tblGrid>
            <w:tr w14:paraId="6BB6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8" w:type="pct"/>
                  <w:shd w:val="clear" w:color="auto" w:fill="auto"/>
                  <w:tcMar>
                    <w:top w:w="57" w:type="dxa"/>
                    <w:left w:w="108" w:type="dxa"/>
                    <w:bottom w:w="57" w:type="dxa"/>
                    <w:right w:w="108" w:type="dxa"/>
                  </w:tcMar>
                  <w:vAlign w:val="center"/>
                </w:tcPr>
                <w:p w14:paraId="35776453">
                  <w:pPr>
                    <w:pStyle w:val="3"/>
                    <w:spacing w:line="240" w:lineRule="auto"/>
                    <w:ind w:firstLine="0" w:firstLineChars="0"/>
                    <w:jc w:val="center"/>
                    <w:rPr>
                      <w:color w:val="auto"/>
                      <w:sz w:val="18"/>
                      <w:szCs w:val="18"/>
                      <w:highlight w:val="none"/>
                    </w:rPr>
                  </w:pPr>
                  <w:r>
                    <w:rPr>
                      <w:rFonts w:hint="eastAsia"/>
                      <w:color w:val="auto"/>
                      <w:sz w:val="18"/>
                      <w:szCs w:val="18"/>
                      <w:highlight w:val="none"/>
                    </w:rPr>
                    <w:t>成分</w:t>
                  </w:r>
                </w:p>
              </w:tc>
              <w:tc>
                <w:tcPr>
                  <w:tcW w:w="4271" w:type="pct"/>
                  <w:shd w:val="clear" w:color="auto" w:fill="auto"/>
                  <w:tcMar>
                    <w:top w:w="57" w:type="dxa"/>
                    <w:left w:w="108" w:type="dxa"/>
                    <w:bottom w:w="57" w:type="dxa"/>
                    <w:right w:w="108" w:type="dxa"/>
                  </w:tcMar>
                  <w:vAlign w:val="center"/>
                </w:tcPr>
                <w:p w14:paraId="405082CB">
                  <w:pPr>
                    <w:pStyle w:val="3"/>
                    <w:spacing w:line="240" w:lineRule="auto"/>
                    <w:ind w:firstLine="0" w:firstLineChars="0"/>
                    <w:jc w:val="center"/>
                    <w:rPr>
                      <w:color w:val="auto"/>
                      <w:sz w:val="18"/>
                      <w:szCs w:val="18"/>
                      <w:highlight w:val="none"/>
                    </w:rPr>
                  </w:pPr>
                  <w:r>
                    <w:rPr>
                      <w:rFonts w:hint="eastAsia"/>
                      <w:color w:val="auto"/>
                      <w:sz w:val="18"/>
                      <w:szCs w:val="18"/>
                      <w:highlight w:val="none"/>
                    </w:rPr>
                    <w:t>理化性质</w:t>
                  </w:r>
                </w:p>
              </w:tc>
            </w:tr>
            <w:tr w14:paraId="3A6A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shd w:val="clear" w:color="auto" w:fill="auto"/>
                  <w:tcMar>
                    <w:top w:w="57" w:type="dxa"/>
                    <w:left w:w="108" w:type="dxa"/>
                    <w:bottom w:w="57" w:type="dxa"/>
                    <w:right w:w="108" w:type="dxa"/>
                  </w:tcMar>
                  <w:vAlign w:val="center"/>
                </w:tcPr>
                <w:p w14:paraId="526EF8FE">
                  <w:pPr>
                    <w:pStyle w:val="3"/>
                    <w:spacing w:line="240" w:lineRule="auto"/>
                    <w:ind w:firstLine="0" w:firstLineChars="0"/>
                    <w:jc w:val="center"/>
                    <w:rPr>
                      <w:color w:val="auto"/>
                      <w:sz w:val="18"/>
                      <w:szCs w:val="18"/>
                      <w:highlight w:val="none"/>
                    </w:rPr>
                  </w:pPr>
                  <w:r>
                    <w:rPr>
                      <w:rFonts w:hint="eastAsia"/>
                      <w:color w:val="auto"/>
                      <w:sz w:val="18"/>
                      <w:szCs w:val="18"/>
                      <w:highlight w:val="none"/>
                    </w:rPr>
                    <w:t>瓜胶</w:t>
                  </w:r>
                </w:p>
              </w:tc>
              <w:tc>
                <w:tcPr>
                  <w:tcW w:w="4271" w:type="pct"/>
                  <w:shd w:val="clear" w:color="auto" w:fill="auto"/>
                  <w:tcMar>
                    <w:top w:w="57" w:type="dxa"/>
                    <w:left w:w="108" w:type="dxa"/>
                    <w:bottom w:w="57" w:type="dxa"/>
                    <w:right w:w="108" w:type="dxa"/>
                  </w:tcMar>
                  <w:vAlign w:val="center"/>
                </w:tcPr>
                <w:p w14:paraId="0653081C">
                  <w:pPr>
                    <w:pStyle w:val="3"/>
                    <w:spacing w:line="240" w:lineRule="auto"/>
                    <w:ind w:firstLine="0" w:firstLineChars="0"/>
                    <w:rPr>
                      <w:color w:val="auto"/>
                      <w:sz w:val="18"/>
                      <w:szCs w:val="18"/>
                      <w:highlight w:val="none"/>
                    </w:rPr>
                  </w:pPr>
                  <w:r>
                    <w:rPr>
                      <w:rFonts w:hint="eastAsia"/>
                      <w:color w:val="auto"/>
                      <w:sz w:val="18"/>
                      <w:szCs w:val="18"/>
                      <w:highlight w:val="none"/>
                    </w:rPr>
                    <w:t>瓜尔胶，是豆科植物瓜尔豆的提取物，是一种半乳甘露聚糖，在冷水和热水中有出众的分散能力，不会产生结团现象，提高了制造和生产操作的便利性，广泛应用于储层压裂的工作液，具有优良的黏弹性能和携砂性能，降低施工摩阻，使压裂液体系残渣含量大幅度降低，减少其对储层的伤害程度，降低了储层压裂改造成本，提高储层压裂改造效果。</w:t>
                  </w:r>
                </w:p>
              </w:tc>
            </w:tr>
            <w:tr w14:paraId="4C56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shd w:val="clear" w:color="auto" w:fill="auto"/>
                  <w:tcMar>
                    <w:top w:w="57" w:type="dxa"/>
                    <w:left w:w="108" w:type="dxa"/>
                    <w:bottom w:w="57" w:type="dxa"/>
                    <w:right w:w="108" w:type="dxa"/>
                  </w:tcMar>
                  <w:vAlign w:val="center"/>
                </w:tcPr>
                <w:p w14:paraId="3034B5E6">
                  <w:pPr>
                    <w:pStyle w:val="3"/>
                    <w:spacing w:line="240" w:lineRule="auto"/>
                    <w:ind w:firstLine="0" w:firstLineChars="0"/>
                    <w:jc w:val="center"/>
                    <w:rPr>
                      <w:color w:val="auto"/>
                      <w:sz w:val="18"/>
                      <w:szCs w:val="18"/>
                      <w:highlight w:val="none"/>
                    </w:rPr>
                  </w:pPr>
                  <w:r>
                    <w:rPr>
                      <w:rFonts w:hint="eastAsia"/>
                      <w:color w:val="auto"/>
                      <w:sz w:val="18"/>
                      <w:szCs w:val="18"/>
                      <w:highlight w:val="none"/>
                    </w:rPr>
                    <w:t>pH调节剂</w:t>
                  </w:r>
                </w:p>
              </w:tc>
              <w:tc>
                <w:tcPr>
                  <w:tcW w:w="4271" w:type="pct"/>
                  <w:shd w:val="clear" w:color="auto" w:fill="auto"/>
                  <w:tcMar>
                    <w:top w:w="57" w:type="dxa"/>
                    <w:left w:w="108" w:type="dxa"/>
                    <w:bottom w:w="57" w:type="dxa"/>
                    <w:right w:w="108" w:type="dxa"/>
                  </w:tcMar>
                  <w:vAlign w:val="center"/>
                </w:tcPr>
                <w:p w14:paraId="7132FE63">
                  <w:pPr>
                    <w:pStyle w:val="3"/>
                    <w:spacing w:line="240" w:lineRule="auto"/>
                    <w:ind w:firstLine="0" w:firstLineChars="0"/>
                    <w:rPr>
                      <w:color w:val="auto"/>
                      <w:sz w:val="18"/>
                      <w:szCs w:val="18"/>
                      <w:highlight w:val="none"/>
                    </w:rPr>
                  </w:pPr>
                  <w:r>
                    <w:rPr>
                      <w:rFonts w:hint="eastAsia"/>
                      <w:color w:val="auto"/>
                      <w:sz w:val="18"/>
                      <w:szCs w:val="18"/>
                      <w:highlight w:val="none"/>
                    </w:rPr>
                    <w:t>氢氧化钠又称烧碱、火碱或苛性钠。白色结晶，有液体、固体片状三种产品，纯度从50%至99%不等，密度2g/cm</w:t>
                  </w:r>
                  <w:r>
                    <w:rPr>
                      <w:rFonts w:hint="eastAsia"/>
                      <w:color w:val="auto"/>
                      <w:sz w:val="18"/>
                      <w:szCs w:val="18"/>
                      <w:highlight w:val="none"/>
                      <w:vertAlign w:val="superscript"/>
                    </w:rPr>
                    <w:t>3</w:t>
                  </w:r>
                  <w:r>
                    <w:rPr>
                      <w:rFonts w:hint="eastAsia"/>
                      <w:color w:val="auto"/>
                      <w:sz w:val="18"/>
                      <w:szCs w:val="18"/>
                      <w:highlight w:val="none"/>
                    </w:rPr>
                    <w:t>～2.2g/cm</w:t>
                  </w:r>
                  <w:r>
                    <w:rPr>
                      <w:rFonts w:hint="eastAsia"/>
                      <w:color w:val="auto"/>
                      <w:sz w:val="18"/>
                      <w:szCs w:val="18"/>
                      <w:highlight w:val="none"/>
                      <w:vertAlign w:val="superscript"/>
                    </w:rPr>
                    <w:t>3</w:t>
                  </w:r>
                  <w:r>
                    <w:rPr>
                      <w:rFonts w:hint="eastAsia"/>
                      <w:color w:val="auto"/>
                      <w:sz w:val="18"/>
                      <w:szCs w:val="18"/>
                      <w:highlight w:val="none"/>
                    </w:rPr>
                    <w:t>，易吸潮，有强烈的腐蚀性。</w:t>
                  </w:r>
                </w:p>
              </w:tc>
            </w:tr>
            <w:tr w14:paraId="1312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shd w:val="clear" w:color="auto" w:fill="auto"/>
                  <w:tcMar>
                    <w:top w:w="57" w:type="dxa"/>
                    <w:left w:w="108" w:type="dxa"/>
                    <w:bottom w:w="57" w:type="dxa"/>
                    <w:right w:w="108" w:type="dxa"/>
                  </w:tcMar>
                  <w:vAlign w:val="center"/>
                </w:tcPr>
                <w:p w14:paraId="1A6D1E72">
                  <w:pPr>
                    <w:pStyle w:val="3"/>
                    <w:spacing w:line="240" w:lineRule="auto"/>
                    <w:ind w:firstLine="0" w:firstLineChars="0"/>
                    <w:jc w:val="center"/>
                    <w:rPr>
                      <w:color w:val="auto"/>
                      <w:sz w:val="18"/>
                      <w:szCs w:val="18"/>
                      <w:highlight w:val="none"/>
                    </w:rPr>
                  </w:pPr>
                  <w:r>
                    <w:rPr>
                      <w:rFonts w:hint="eastAsia"/>
                      <w:color w:val="auto"/>
                      <w:sz w:val="18"/>
                      <w:szCs w:val="18"/>
                      <w:highlight w:val="none"/>
                    </w:rPr>
                    <w:t>消泡剂</w:t>
                  </w:r>
                </w:p>
              </w:tc>
              <w:tc>
                <w:tcPr>
                  <w:tcW w:w="4271" w:type="pct"/>
                  <w:shd w:val="clear" w:color="auto" w:fill="auto"/>
                  <w:tcMar>
                    <w:top w:w="57" w:type="dxa"/>
                    <w:left w:w="108" w:type="dxa"/>
                    <w:bottom w:w="57" w:type="dxa"/>
                    <w:right w:w="108" w:type="dxa"/>
                  </w:tcMar>
                  <w:vAlign w:val="center"/>
                </w:tcPr>
                <w:p w14:paraId="6735B94E">
                  <w:pPr>
                    <w:pStyle w:val="3"/>
                    <w:spacing w:line="240" w:lineRule="auto"/>
                    <w:ind w:firstLine="0" w:firstLineChars="0"/>
                    <w:rPr>
                      <w:color w:val="auto"/>
                      <w:sz w:val="18"/>
                      <w:szCs w:val="18"/>
                      <w:highlight w:val="none"/>
                    </w:rPr>
                  </w:pPr>
                  <w:r>
                    <w:rPr>
                      <w:rFonts w:hint="eastAsia"/>
                      <w:color w:val="auto"/>
                      <w:sz w:val="18"/>
                      <w:szCs w:val="18"/>
                      <w:highlight w:val="none"/>
                    </w:rPr>
                    <w:t>能很好地分散在浆液中，抑制浆液中的因其他助剂等原因产生的顽固性泡沫。</w:t>
                  </w:r>
                </w:p>
              </w:tc>
            </w:tr>
            <w:tr w14:paraId="445A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shd w:val="clear" w:color="auto" w:fill="auto"/>
                  <w:tcMar>
                    <w:top w:w="57" w:type="dxa"/>
                    <w:left w:w="108" w:type="dxa"/>
                    <w:bottom w:w="57" w:type="dxa"/>
                    <w:right w:w="108" w:type="dxa"/>
                  </w:tcMar>
                  <w:vAlign w:val="center"/>
                </w:tcPr>
                <w:p w14:paraId="5170B0B1">
                  <w:pPr>
                    <w:pStyle w:val="3"/>
                    <w:spacing w:line="240" w:lineRule="auto"/>
                    <w:ind w:firstLine="0" w:firstLineChars="0"/>
                    <w:jc w:val="center"/>
                    <w:rPr>
                      <w:color w:val="auto"/>
                      <w:sz w:val="18"/>
                      <w:szCs w:val="18"/>
                      <w:highlight w:val="none"/>
                    </w:rPr>
                  </w:pPr>
                  <w:r>
                    <w:rPr>
                      <w:rFonts w:hint="eastAsia"/>
                      <w:color w:val="auto"/>
                      <w:sz w:val="18"/>
                      <w:szCs w:val="18"/>
                      <w:highlight w:val="none"/>
                    </w:rPr>
                    <w:t>助排剂</w:t>
                  </w:r>
                </w:p>
              </w:tc>
              <w:tc>
                <w:tcPr>
                  <w:tcW w:w="4271" w:type="pct"/>
                  <w:shd w:val="clear" w:color="auto" w:fill="auto"/>
                  <w:tcMar>
                    <w:top w:w="57" w:type="dxa"/>
                    <w:left w:w="108" w:type="dxa"/>
                    <w:bottom w:w="57" w:type="dxa"/>
                    <w:right w:w="108" w:type="dxa"/>
                  </w:tcMar>
                  <w:vAlign w:val="center"/>
                </w:tcPr>
                <w:p w14:paraId="6B37523C">
                  <w:pPr>
                    <w:pStyle w:val="3"/>
                    <w:spacing w:line="240" w:lineRule="auto"/>
                    <w:ind w:firstLine="0" w:firstLineChars="0"/>
                    <w:rPr>
                      <w:color w:val="auto"/>
                      <w:sz w:val="18"/>
                      <w:szCs w:val="18"/>
                      <w:highlight w:val="none"/>
                    </w:rPr>
                  </w:pPr>
                  <w:r>
                    <w:rPr>
                      <w:rFonts w:hint="eastAsia"/>
                      <w:color w:val="auto"/>
                      <w:sz w:val="18"/>
                      <w:szCs w:val="18"/>
                      <w:highlight w:val="none"/>
                    </w:rPr>
                    <w:t>在压裂液中加入助排剂的主要目的是降低表面张力，降低返排压裂液需要克服的地层喉道毛管力，从而促进压裂液返排。在致密油、气和页岩油、气的开采过程中，压裂液的滞留会对储层造成严重的水相圈闭损害，因此助排剂在这些开采过程中不可或缺。</w:t>
                  </w:r>
                </w:p>
              </w:tc>
            </w:tr>
            <w:tr w14:paraId="765F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shd w:val="clear" w:color="auto" w:fill="auto"/>
                  <w:tcMar>
                    <w:top w:w="57" w:type="dxa"/>
                    <w:left w:w="108" w:type="dxa"/>
                    <w:bottom w:w="57" w:type="dxa"/>
                    <w:right w:w="108" w:type="dxa"/>
                  </w:tcMar>
                  <w:vAlign w:val="center"/>
                </w:tcPr>
                <w:p w14:paraId="68FCA23A">
                  <w:pPr>
                    <w:pStyle w:val="3"/>
                    <w:spacing w:line="240" w:lineRule="auto"/>
                    <w:ind w:firstLine="0" w:firstLineChars="0"/>
                    <w:jc w:val="center"/>
                    <w:rPr>
                      <w:color w:val="auto"/>
                      <w:sz w:val="18"/>
                      <w:szCs w:val="18"/>
                      <w:highlight w:val="none"/>
                    </w:rPr>
                  </w:pPr>
                  <w:r>
                    <w:rPr>
                      <w:rFonts w:hint="eastAsia"/>
                      <w:color w:val="auto"/>
                      <w:sz w:val="18"/>
                      <w:szCs w:val="18"/>
                      <w:highlight w:val="none"/>
                    </w:rPr>
                    <w:t>有机防膨剂</w:t>
                  </w:r>
                </w:p>
              </w:tc>
              <w:tc>
                <w:tcPr>
                  <w:tcW w:w="4271" w:type="pct"/>
                  <w:shd w:val="clear" w:color="auto" w:fill="auto"/>
                  <w:tcMar>
                    <w:top w:w="57" w:type="dxa"/>
                    <w:left w:w="108" w:type="dxa"/>
                    <w:bottom w:w="57" w:type="dxa"/>
                    <w:right w:w="108" w:type="dxa"/>
                  </w:tcMar>
                  <w:vAlign w:val="center"/>
                </w:tcPr>
                <w:p w14:paraId="3EE871B9">
                  <w:pPr>
                    <w:pStyle w:val="3"/>
                    <w:spacing w:line="240" w:lineRule="auto"/>
                    <w:ind w:firstLine="0" w:firstLineChars="0"/>
                    <w:rPr>
                      <w:color w:val="auto"/>
                      <w:sz w:val="18"/>
                      <w:szCs w:val="18"/>
                      <w:highlight w:val="none"/>
                    </w:rPr>
                  </w:pPr>
                  <w:r>
                    <w:rPr>
                      <w:rFonts w:hint="eastAsia"/>
                      <w:color w:val="auto"/>
                      <w:sz w:val="18"/>
                      <w:szCs w:val="18"/>
                      <w:highlight w:val="none"/>
                    </w:rPr>
                    <w:t>增吸附在黏土颗粒表面，防止水敏性矿物水化膨胀及分散运移对油气层造成的伤害，增强油层的胶结强度，防止地层出砂。</w:t>
                  </w:r>
                </w:p>
              </w:tc>
            </w:tr>
            <w:tr w14:paraId="53B8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shd w:val="clear" w:color="auto" w:fill="auto"/>
                  <w:tcMar>
                    <w:top w:w="57" w:type="dxa"/>
                    <w:left w:w="108" w:type="dxa"/>
                    <w:bottom w:w="57" w:type="dxa"/>
                    <w:right w:w="108" w:type="dxa"/>
                  </w:tcMar>
                  <w:vAlign w:val="center"/>
                </w:tcPr>
                <w:p w14:paraId="4CAB881E">
                  <w:pPr>
                    <w:pStyle w:val="3"/>
                    <w:spacing w:line="240" w:lineRule="auto"/>
                    <w:ind w:firstLine="0" w:firstLineChars="0"/>
                    <w:jc w:val="center"/>
                    <w:rPr>
                      <w:color w:val="auto"/>
                      <w:sz w:val="18"/>
                      <w:szCs w:val="18"/>
                      <w:highlight w:val="none"/>
                    </w:rPr>
                  </w:pPr>
                  <w:r>
                    <w:rPr>
                      <w:rFonts w:hint="eastAsia"/>
                      <w:color w:val="auto"/>
                      <w:sz w:val="18"/>
                      <w:szCs w:val="18"/>
                      <w:highlight w:val="none"/>
                    </w:rPr>
                    <w:t>氯化钾</w:t>
                  </w:r>
                </w:p>
              </w:tc>
              <w:tc>
                <w:tcPr>
                  <w:tcW w:w="4271" w:type="pct"/>
                  <w:shd w:val="clear" w:color="auto" w:fill="auto"/>
                  <w:tcMar>
                    <w:top w:w="57" w:type="dxa"/>
                    <w:left w:w="108" w:type="dxa"/>
                    <w:bottom w:w="57" w:type="dxa"/>
                    <w:right w:w="108" w:type="dxa"/>
                  </w:tcMar>
                  <w:vAlign w:val="center"/>
                </w:tcPr>
                <w:p w14:paraId="6B91CED2">
                  <w:pPr>
                    <w:pStyle w:val="3"/>
                    <w:spacing w:line="240" w:lineRule="auto"/>
                    <w:ind w:firstLine="0" w:firstLineChars="0"/>
                    <w:rPr>
                      <w:color w:val="auto"/>
                      <w:sz w:val="18"/>
                      <w:szCs w:val="18"/>
                      <w:highlight w:val="none"/>
                    </w:rPr>
                  </w:pPr>
                  <w:r>
                    <w:rPr>
                      <w:rFonts w:hint="eastAsia"/>
                      <w:color w:val="auto"/>
                      <w:sz w:val="18"/>
                      <w:szCs w:val="18"/>
                      <w:highlight w:val="none"/>
                    </w:rPr>
                    <w:t>调节流型，抗无机离子污染，降低滤失，稳定井壁。</w:t>
                  </w:r>
                </w:p>
              </w:tc>
            </w:tr>
            <w:tr w14:paraId="7FA9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shd w:val="clear" w:color="auto" w:fill="auto"/>
                  <w:tcMar>
                    <w:top w:w="57" w:type="dxa"/>
                    <w:left w:w="108" w:type="dxa"/>
                    <w:bottom w:w="57" w:type="dxa"/>
                    <w:right w:w="108" w:type="dxa"/>
                  </w:tcMar>
                  <w:vAlign w:val="center"/>
                </w:tcPr>
                <w:p w14:paraId="60492DDC">
                  <w:pPr>
                    <w:pStyle w:val="3"/>
                    <w:spacing w:line="240" w:lineRule="auto"/>
                    <w:ind w:firstLine="0" w:firstLineChars="0"/>
                    <w:jc w:val="center"/>
                    <w:rPr>
                      <w:color w:val="auto"/>
                      <w:sz w:val="18"/>
                      <w:szCs w:val="18"/>
                      <w:highlight w:val="none"/>
                    </w:rPr>
                  </w:pPr>
                  <w:r>
                    <w:rPr>
                      <w:rFonts w:hint="eastAsia"/>
                      <w:color w:val="auto"/>
                      <w:sz w:val="18"/>
                      <w:szCs w:val="18"/>
                      <w:highlight w:val="none"/>
                    </w:rPr>
                    <w:t>杀菌剂</w:t>
                  </w:r>
                </w:p>
              </w:tc>
              <w:tc>
                <w:tcPr>
                  <w:tcW w:w="4271" w:type="pct"/>
                  <w:shd w:val="clear" w:color="auto" w:fill="auto"/>
                  <w:tcMar>
                    <w:top w:w="57" w:type="dxa"/>
                    <w:left w:w="108" w:type="dxa"/>
                    <w:bottom w:w="57" w:type="dxa"/>
                    <w:right w:w="108" w:type="dxa"/>
                  </w:tcMar>
                  <w:vAlign w:val="center"/>
                </w:tcPr>
                <w:p w14:paraId="72714D26">
                  <w:pPr>
                    <w:pStyle w:val="3"/>
                    <w:spacing w:line="240" w:lineRule="auto"/>
                    <w:ind w:firstLine="0" w:firstLineChars="0"/>
                    <w:rPr>
                      <w:color w:val="auto"/>
                      <w:sz w:val="18"/>
                      <w:szCs w:val="18"/>
                      <w:highlight w:val="none"/>
                    </w:rPr>
                  </w:pPr>
                  <w:r>
                    <w:rPr>
                      <w:rFonts w:hint="eastAsia"/>
                      <w:color w:val="auto"/>
                      <w:sz w:val="18"/>
                      <w:szCs w:val="18"/>
                      <w:highlight w:val="none"/>
                    </w:rPr>
                    <w:t>杀灭和减少压裂液中各种有害微生物群落（真菌、细菌、酵母）及藻类，使其降低到安全的含量范围内，从而维护压裂液中各种助剂的正常使用性能。</w:t>
                  </w:r>
                </w:p>
              </w:tc>
            </w:tr>
            <w:tr w14:paraId="6978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shd w:val="clear" w:color="auto" w:fill="auto"/>
                  <w:tcMar>
                    <w:top w:w="57" w:type="dxa"/>
                    <w:left w:w="108" w:type="dxa"/>
                    <w:bottom w:w="57" w:type="dxa"/>
                    <w:right w:w="108" w:type="dxa"/>
                  </w:tcMar>
                  <w:vAlign w:val="center"/>
                </w:tcPr>
                <w:p w14:paraId="2BFDF2DF">
                  <w:pPr>
                    <w:pStyle w:val="3"/>
                    <w:spacing w:line="240" w:lineRule="auto"/>
                    <w:ind w:firstLine="0" w:firstLineChars="0"/>
                    <w:jc w:val="center"/>
                    <w:rPr>
                      <w:color w:val="auto"/>
                      <w:sz w:val="18"/>
                      <w:szCs w:val="18"/>
                      <w:highlight w:val="none"/>
                    </w:rPr>
                  </w:pPr>
                  <w:r>
                    <w:rPr>
                      <w:rFonts w:hint="eastAsia"/>
                      <w:color w:val="auto"/>
                      <w:sz w:val="18"/>
                      <w:szCs w:val="18"/>
                      <w:highlight w:val="none"/>
                    </w:rPr>
                    <w:t>有机锆交联剂</w:t>
                  </w:r>
                </w:p>
              </w:tc>
              <w:tc>
                <w:tcPr>
                  <w:tcW w:w="4271" w:type="pct"/>
                  <w:shd w:val="clear" w:color="auto" w:fill="auto"/>
                  <w:tcMar>
                    <w:top w:w="57" w:type="dxa"/>
                    <w:left w:w="108" w:type="dxa"/>
                    <w:bottom w:w="57" w:type="dxa"/>
                    <w:right w:w="108" w:type="dxa"/>
                  </w:tcMar>
                  <w:vAlign w:val="center"/>
                </w:tcPr>
                <w:p w14:paraId="485B166D">
                  <w:pPr>
                    <w:pStyle w:val="3"/>
                    <w:spacing w:line="240" w:lineRule="auto"/>
                    <w:ind w:firstLine="0" w:firstLineChars="0"/>
                    <w:rPr>
                      <w:color w:val="auto"/>
                      <w:sz w:val="18"/>
                      <w:szCs w:val="18"/>
                      <w:highlight w:val="none"/>
                    </w:rPr>
                  </w:pPr>
                  <w:r>
                    <w:rPr>
                      <w:rFonts w:hint="eastAsia"/>
                      <w:color w:val="auto"/>
                      <w:sz w:val="18"/>
                      <w:szCs w:val="18"/>
                      <w:highlight w:val="none"/>
                    </w:rPr>
                    <w:t>保持压裂液的悬砂、造缝能力，降低滤失。</w:t>
                  </w:r>
                </w:p>
              </w:tc>
            </w:tr>
            <w:tr w14:paraId="2A0D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8" w:type="pct"/>
                  <w:shd w:val="clear" w:color="auto" w:fill="auto"/>
                  <w:tcMar>
                    <w:top w:w="57" w:type="dxa"/>
                    <w:left w:w="108" w:type="dxa"/>
                    <w:bottom w:w="57" w:type="dxa"/>
                    <w:right w:w="108" w:type="dxa"/>
                  </w:tcMar>
                  <w:vAlign w:val="center"/>
                </w:tcPr>
                <w:p w14:paraId="3FFE6FAF">
                  <w:pPr>
                    <w:pStyle w:val="3"/>
                    <w:spacing w:line="240" w:lineRule="auto"/>
                    <w:ind w:firstLine="0" w:firstLineChars="0"/>
                    <w:jc w:val="center"/>
                    <w:rPr>
                      <w:color w:val="auto"/>
                      <w:sz w:val="18"/>
                      <w:szCs w:val="18"/>
                      <w:highlight w:val="none"/>
                    </w:rPr>
                  </w:pPr>
                  <w:r>
                    <w:rPr>
                      <w:rFonts w:hint="eastAsia"/>
                      <w:color w:val="auto"/>
                      <w:sz w:val="18"/>
                      <w:szCs w:val="18"/>
                      <w:highlight w:val="none"/>
                    </w:rPr>
                    <w:t>破胶剂</w:t>
                  </w:r>
                </w:p>
              </w:tc>
              <w:tc>
                <w:tcPr>
                  <w:tcW w:w="4271" w:type="pct"/>
                  <w:shd w:val="clear" w:color="auto" w:fill="auto"/>
                  <w:tcMar>
                    <w:top w:w="57" w:type="dxa"/>
                    <w:left w:w="108" w:type="dxa"/>
                    <w:bottom w:w="57" w:type="dxa"/>
                    <w:right w:w="108" w:type="dxa"/>
                  </w:tcMar>
                  <w:vAlign w:val="center"/>
                </w:tcPr>
                <w:p w14:paraId="1F0F53C2">
                  <w:pPr>
                    <w:pStyle w:val="3"/>
                    <w:spacing w:line="240" w:lineRule="auto"/>
                    <w:ind w:firstLine="0" w:firstLineChars="0"/>
                    <w:rPr>
                      <w:color w:val="auto"/>
                      <w:sz w:val="18"/>
                      <w:szCs w:val="18"/>
                      <w:highlight w:val="none"/>
                    </w:rPr>
                  </w:pPr>
                  <w:r>
                    <w:rPr>
                      <w:rFonts w:hint="eastAsia"/>
                      <w:color w:val="auto"/>
                      <w:sz w:val="18"/>
                      <w:szCs w:val="18"/>
                      <w:highlight w:val="none"/>
                    </w:rPr>
                    <w:t>延缓中、高温储层压裂液冻胶破胶，在压裂施工中使冻胶保持较高的黏度，有利于造缝和携砂，施工后可使压裂液彻底破胶水化，利于返排，降低施工风险，减少压裂液对支撑裂缝导流能力的伤害。</w:t>
                  </w:r>
                </w:p>
              </w:tc>
            </w:tr>
          </w:tbl>
          <w:p w14:paraId="50213953">
            <w:pPr>
              <w:pStyle w:val="92"/>
              <w:ind w:firstLine="0" w:firstLineChars="0"/>
              <w:rPr>
                <w:snapToGrid w:val="0"/>
                <w:color w:val="auto"/>
                <w:highlight w:val="none"/>
              </w:rPr>
            </w:pPr>
          </w:p>
          <w:p w14:paraId="25A1092F">
            <w:pPr>
              <w:pStyle w:val="71"/>
              <w:numPr>
                <w:ilvl w:val="0"/>
                <w:numId w:val="16"/>
              </w:numPr>
              <w:spacing w:line="332" w:lineRule="auto"/>
              <w:ind w:firstLine="420" w:firstLineChars="200"/>
              <w:rPr>
                <w:color w:val="auto"/>
                <w:highlight w:val="none"/>
              </w:rPr>
            </w:pPr>
            <w:r>
              <w:rPr>
                <w:rFonts w:hint="eastAsia"/>
                <w:color w:val="auto"/>
                <w:highlight w:val="none"/>
              </w:rPr>
              <w:t>试油工程</w:t>
            </w:r>
          </w:p>
          <w:p w14:paraId="2DEA165C">
            <w:pPr>
              <w:pStyle w:val="3"/>
              <w:ind w:firstLine="420"/>
              <w:rPr>
                <w:color w:val="auto"/>
                <w:sz w:val="21"/>
                <w:highlight w:val="none"/>
              </w:rPr>
            </w:pPr>
            <w:r>
              <w:rPr>
                <w:rFonts w:hint="eastAsia"/>
                <w:color w:val="auto"/>
                <w:sz w:val="21"/>
                <w:highlight w:val="none"/>
              </w:rPr>
              <w:t>试油就是利用专用的设备和方法，对通过超声勘察、钻井录井、测井等间接手段初步确定的可能含油（气）层位进行直接的测试，并取得目的层的产能、压力、温度、油气水性质以及地质资料的工艺过程。</w:t>
            </w:r>
          </w:p>
          <w:p w14:paraId="08688970">
            <w:pPr>
              <w:pStyle w:val="3"/>
              <w:ind w:firstLine="420"/>
              <w:rPr>
                <w:color w:val="auto"/>
                <w:sz w:val="21"/>
                <w:highlight w:val="none"/>
              </w:rPr>
            </w:pPr>
            <w:r>
              <w:rPr>
                <w:rFonts w:hint="eastAsia"/>
                <w:color w:val="auto"/>
                <w:sz w:val="21"/>
                <w:highlight w:val="none"/>
              </w:rPr>
              <w:t>试油采用主要设备包括：通井机、柴油发电机、采油设备（抽油机、</w:t>
            </w:r>
            <w:r>
              <w:rPr>
                <w:rFonts w:hint="eastAsia"/>
                <w:color w:val="auto"/>
                <w:sz w:val="21"/>
                <w:highlight w:val="none"/>
                <w:lang w:val="en-US" w:eastAsia="zh-CN"/>
              </w:rPr>
              <w:t>试油废液</w:t>
            </w:r>
            <w:r>
              <w:rPr>
                <w:rFonts w:hint="eastAsia"/>
                <w:color w:val="auto"/>
                <w:sz w:val="21"/>
                <w:highlight w:val="none"/>
              </w:rPr>
              <w:t>储罐）以及放喷池（用于伴生气放空）等，另外还有先进的井下工具：MFE 系列测试工具、APR 系列测试工具、膨胀封隔器系列测试工具、各种井下修井工具、各型支柱和卡瓦封隔器、各种电缆桥塞、液压桥塞、桥塞钻取工具、移动试油设施及附属设备流程等。</w:t>
            </w:r>
          </w:p>
          <w:p w14:paraId="2D6D4224">
            <w:pPr>
              <w:pStyle w:val="71"/>
              <w:numPr>
                <w:ilvl w:val="0"/>
                <w:numId w:val="16"/>
              </w:numPr>
              <w:spacing w:line="332" w:lineRule="auto"/>
              <w:ind w:firstLine="420" w:firstLineChars="200"/>
              <w:rPr>
                <w:color w:val="auto"/>
                <w:highlight w:val="none"/>
              </w:rPr>
            </w:pPr>
            <w:r>
              <w:rPr>
                <w:rFonts w:hint="eastAsia"/>
                <w:color w:val="auto"/>
                <w:highlight w:val="none"/>
              </w:rPr>
              <w:t>钻井辅助作业</w:t>
            </w:r>
          </w:p>
          <w:p w14:paraId="538F183F">
            <w:pPr>
              <w:pStyle w:val="3"/>
              <w:ind w:firstLine="420"/>
              <w:rPr>
                <w:color w:val="auto"/>
                <w:sz w:val="21"/>
                <w:highlight w:val="none"/>
              </w:rPr>
            </w:pPr>
            <w:r>
              <w:rPr>
                <w:rFonts w:hint="eastAsia"/>
                <w:color w:val="auto"/>
                <w:sz w:val="21"/>
                <w:highlight w:val="none"/>
                <w:lang w:val="en-US" w:eastAsia="zh-CN"/>
              </w:rPr>
              <w:t>本项目</w:t>
            </w:r>
            <w:r>
              <w:rPr>
                <w:rFonts w:hint="eastAsia"/>
                <w:color w:val="auto"/>
                <w:sz w:val="21"/>
                <w:highlight w:val="none"/>
              </w:rPr>
              <w:t>测井是通过超声勘察，由测井电缆下入井内，使地面电测仪可沿着井筒连续记录随深度变化的各种参数。通过表示这类参数的曲线，来识别地下的岩层，如油、气、水层、煤层、金属矿床等。</w:t>
            </w:r>
          </w:p>
          <w:p w14:paraId="33A2196E">
            <w:pPr>
              <w:pStyle w:val="3"/>
              <w:ind w:firstLine="420"/>
              <w:rPr>
                <w:color w:val="auto"/>
                <w:sz w:val="21"/>
                <w:highlight w:val="none"/>
              </w:rPr>
            </w:pPr>
            <w:r>
              <w:rPr>
                <w:rFonts w:hint="eastAsia"/>
                <w:color w:val="auto"/>
                <w:sz w:val="21"/>
                <w:highlight w:val="none"/>
              </w:rPr>
              <w:t>取心是在钻井过程中使用特殊的取心工具把地下岩石成块地取到地面上来，这种成块的岩石叫作岩心，通过它可以测定岩石的各种性质，直观地研究地下构造和岩石沉积环境，了解其中的流体性质等。</w:t>
            </w:r>
          </w:p>
          <w:p w14:paraId="6CB6640E">
            <w:pPr>
              <w:pStyle w:val="3"/>
              <w:ind w:firstLine="420"/>
              <w:rPr>
                <w:color w:val="auto"/>
                <w:sz w:val="21"/>
                <w:highlight w:val="none"/>
              </w:rPr>
            </w:pPr>
            <w:r>
              <w:rPr>
                <w:rFonts w:hint="eastAsia"/>
                <w:color w:val="auto"/>
                <w:sz w:val="21"/>
                <w:highlight w:val="none"/>
              </w:rPr>
              <w:t>录井是根据测井数据、现场录井数据及综合分析化验数据进行岩性解释、归位，确定含油、气、水产状。</w:t>
            </w:r>
          </w:p>
          <w:p w14:paraId="2C2957C9">
            <w:pPr>
              <w:pStyle w:val="3"/>
              <w:ind w:firstLine="420"/>
              <w:rPr>
                <w:color w:val="auto"/>
                <w:sz w:val="21"/>
                <w:highlight w:val="none"/>
              </w:rPr>
            </w:pPr>
            <w:r>
              <w:rPr>
                <w:rFonts w:hint="eastAsia"/>
                <w:color w:val="auto"/>
                <w:sz w:val="21"/>
                <w:highlight w:val="none"/>
              </w:rPr>
              <w:t>测井、取心、录井主要是取样分析地质等情况，该过程基本不涉及污染物产生。</w:t>
            </w:r>
          </w:p>
          <w:p w14:paraId="491986AC">
            <w:pPr>
              <w:pStyle w:val="3"/>
              <w:numPr>
                <w:ilvl w:val="0"/>
                <w:numId w:val="13"/>
              </w:numPr>
              <w:ind w:firstLine="420"/>
              <w:rPr>
                <w:color w:val="auto"/>
                <w:sz w:val="21"/>
                <w:highlight w:val="none"/>
              </w:rPr>
            </w:pPr>
            <w:r>
              <w:rPr>
                <w:rFonts w:hint="eastAsia"/>
                <w:color w:val="auto"/>
                <w:sz w:val="21"/>
                <w:highlight w:val="none"/>
              </w:rPr>
              <w:t>公用工程</w:t>
            </w:r>
          </w:p>
          <w:p w14:paraId="7350475A">
            <w:pPr>
              <w:pStyle w:val="71"/>
              <w:numPr>
                <w:ilvl w:val="0"/>
                <w:numId w:val="18"/>
              </w:numPr>
              <w:spacing w:line="332" w:lineRule="auto"/>
              <w:ind w:firstLine="420" w:firstLineChars="200"/>
              <w:rPr>
                <w:color w:val="auto"/>
                <w:highlight w:val="none"/>
              </w:rPr>
            </w:pPr>
            <w:r>
              <w:rPr>
                <w:rFonts w:hint="eastAsia"/>
                <w:color w:val="auto"/>
                <w:highlight w:val="none"/>
              </w:rPr>
              <w:t>给排水</w:t>
            </w:r>
          </w:p>
          <w:p w14:paraId="69CE43D9">
            <w:pPr>
              <w:pStyle w:val="71"/>
              <w:numPr>
                <w:ilvl w:val="0"/>
                <w:numId w:val="0"/>
              </w:numPr>
              <w:ind w:firstLine="476"/>
              <w:rPr>
                <w:color w:val="auto"/>
                <w:highlight w:val="none"/>
              </w:rPr>
            </w:pPr>
            <w:r>
              <w:rPr>
                <w:rFonts w:hint="eastAsia"/>
                <w:color w:val="auto"/>
                <w:highlight w:val="none"/>
              </w:rPr>
              <w:t>施工期的生产用水包括钻井用水、试油用水、压裂液配置用水以及施工人员生活用水。生产用水部分由罐车从附近乡镇拉运至施工现场，施工人员生活用水采用桶装水，由汽车运输。</w:t>
            </w:r>
          </w:p>
          <w:p w14:paraId="290DDB49">
            <w:pPr>
              <w:pStyle w:val="73"/>
              <w:numPr>
                <w:ilvl w:val="0"/>
                <w:numId w:val="19"/>
              </w:numPr>
              <w:spacing w:line="332" w:lineRule="auto"/>
              <w:ind w:firstLine="420" w:firstLineChars="200"/>
              <w:rPr>
                <w:color w:val="auto"/>
                <w:highlight w:val="none"/>
              </w:rPr>
            </w:pPr>
            <w:r>
              <w:rPr>
                <w:rFonts w:hint="eastAsia"/>
                <w:color w:val="auto"/>
                <w:highlight w:val="none"/>
              </w:rPr>
              <w:t>给水</w:t>
            </w:r>
          </w:p>
          <w:p w14:paraId="13A2583D">
            <w:pPr>
              <w:pStyle w:val="73"/>
              <w:numPr>
                <w:ilvl w:val="1"/>
                <w:numId w:val="0"/>
              </w:numPr>
              <w:spacing w:line="332" w:lineRule="auto"/>
              <w:ind w:firstLine="420" w:firstLineChars="200"/>
              <w:rPr>
                <w:color w:val="auto"/>
                <w:highlight w:val="none"/>
              </w:rPr>
            </w:pPr>
            <w:r>
              <w:rPr>
                <w:rFonts w:hint="eastAsia"/>
                <w:color w:val="auto"/>
                <w:highlight w:val="none"/>
              </w:rPr>
              <w:t>①钻井用水</w:t>
            </w:r>
          </w:p>
          <w:p w14:paraId="561FD208">
            <w:pPr>
              <w:pStyle w:val="71"/>
              <w:numPr>
                <w:ilvl w:val="0"/>
                <w:numId w:val="0"/>
              </w:numPr>
              <w:spacing w:line="332" w:lineRule="auto"/>
              <w:ind w:firstLine="420" w:firstLineChars="200"/>
              <w:rPr>
                <w:color w:val="auto"/>
                <w:highlight w:val="none"/>
              </w:rPr>
            </w:pPr>
            <w:r>
              <w:rPr>
                <w:rFonts w:hint="eastAsia"/>
                <w:color w:val="auto"/>
                <w:highlight w:val="none"/>
              </w:rPr>
              <w:t>钻井期生产用水主要为泥浆配比用水，根据建设单位长期开发运行经验，本项目钻井期每百米井生产用水量约为50m</w:t>
            </w:r>
            <w:r>
              <w:rPr>
                <w:rFonts w:hint="eastAsia"/>
                <w:color w:val="auto"/>
                <w:highlight w:val="none"/>
                <w:vertAlign w:val="superscript"/>
              </w:rPr>
              <w:t>3</w:t>
            </w:r>
            <w:r>
              <w:rPr>
                <w:rFonts w:hint="eastAsia"/>
                <w:color w:val="auto"/>
                <w:highlight w:val="none"/>
              </w:rPr>
              <w:t>，董深斜2井井深8478.84m，整个钻井期生产用水量约4239.4m</w:t>
            </w:r>
            <w:r>
              <w:rPr>
                <w:rFonts w:hint="eastAsia"/>
                <w:color w:val="auto"/>
                <w:highlight w:val="none"/>
                <w:vertAlign w:val="superscript"/>
              </w:rPr>
              <w:t>3</w:t>
            </w:r>
            <w:r>
              <w:rPr>
                <w:rFonts w:hint="eastAsia"/>
                <w:color w:val="auto"/>
                <w:highlight w:val="none"/>
              </w:rPr>
              <w:t>，由罐车拉运。</w:t>
            </w:r>
          </w:p>
          <w:p w14:paraId="1DC96DC0">
            <w:pPr>
              <w:pStyle w:val="73"/>
              <w:numPr>
                <w:ilvl w:val="1"/>
                <w:numId w:val="0"/>
              </w:numPr>
              <w:spacing w:line="332" w:lineRule="auto"/>
              <w:ind w:firstLine="420" w:firstLineChars="200"/>
              <w:rPr>
                <w:color w:val="auto"/>
                <w:highlight w:val="none"/>
              </w:rPr>
            </w:pPr>
            <w:r>
              <w:rPr>
                <w:rFonts w:hint="eastAsia"/>
                <w:color w:val="auto"/>
                <w:highlight w:val="none"/>
              </w:rPr>
              <w:t>②井下作业用水</w:t>
            </w:r>
          </w:p>
          <w:p w14:paraId="5384275B">
            <w:pPr>
              <w:pStyle w:val="92"/>
              <w:spacing w:line="332" w:lineRule="auto"/>
              <w:rPr>
                <w:color w:val="auto"/>
                <w:sz w:val="21"/>
                <w:highlight w:val="none"/>
              </w:rPr>
            </w:pPr>
            <w:r>
              <w:rPr>
                <w:rFonts w:hint="eastAsia"/>
                <w:color w:val="auto"/>
                <w:sz w:val="21"/>
                <w:highlight w:val="none"/>
              </w:rPr>
              <w:t>拟建项目试油前，需要通刮洗井，目的是去除井筒内壁上的毛刺、残余固井水泥，根据建设单位长期开发运行经验</w:t>
            </w:r>
            <w:r>
              <w:rPr>
                <w:rFonts w:hint="eastAsia"/>
                <w:color w:val="auto"/>
                <w:sz w:val="21"/>
                <w:highlight w:val="none"/>
                <w:lang w:eastAsia="zh-CN"/>
              </w:rPr>
              <w:t>，本项目钻井期每</w:t>
            </w:r>
            <w:r>
              <w:rPr>
                <w:rFonts w:hint="eastAsia"/>
                <w:color w:val="auto"/>
                <w:sz w:val="21"/>
                <w:highlight w:val="none"/>
                <w:lang w:val="en-US" w:eastAsia="zh-CN"/>
              </w:rPr>
              <w:t>千米井深</w:t>
            </w:r>
            <w:r>
              <w:rPr>
                <w:rFonts w:hint="eastAsia"/>
                <w:color w:val="auto"/>
                <w:sz w:val="21"/>
                <w:highlight w:val="none"/>
                <w:lang w:eastAsia="zh-CN"/>
              </w:rPr>
              <w:t>生产用水量约为</w:t>
            </w:r>
            <w:r>
              <w:rPr>
                <w:rFonts w:hint="eastAsia"/>
                <w:color w:val="auto"/>
                <w:sz w:val="21"/>
                <w:highlight w:val="none"/>
                <w:lang w:val="en-US" w:eastAsia="zh-CN"/>
              </w:rPr>
              <w:t>20</w:t>
            </w:r>
            <w:r>
              <w:rPr>
                <w:rFonts w:hint="eastAsia"/>
                <w:color w:val="auto"/>
                <w:sz w:val="21"/>
                <w:highlight w:val="none"/>
                <w:lang w:eastAsia="zh-CN"/>
              </w:rPr>
              <w:t>m</w:t>
            </w:r>
            <w:r>
              <w:rPr>
                <w:rFonts w:hint="eastAsia"/>
                <w:color w:val="auto"/>
                <w:sz w:val="21"/>
                <w:highlight w:val="none"/>
                <w:vertAlign w:val="superscript"/>
                <w:lang w:eastAsia="zh-CN"/>
              </w:rPr>
              <w:t>3</w:t>
            </w:r>
            <w:r>
              <w:rPr>
                <w:rFonts w:hint="eastAsia"/>
                <w:color w:val="auto"/>
                <w:sz w:val="21"/>
                <w:highlight w:val="none"/>
              </w:rPr>
              <w:t>，根据井身结构，拟建项目董深斜2井井深8478.84m，整个试油周期井下作业用水约</w:t>
            </w:r>
            <w:r>
              <w:rPr>
                <w:rFonts w:hint="eastAsia"/>
                <w:color w:val="auto"/>
                <w:sz w:val="21"/>
                <w:highlight w:val="none"/>
                <w:lang w:val="en-US" w:eastAsia="zh-CN"/>
              </w:rPr>
              <w:t>169.58</w:t>
            </w:r>
            <w:r>
              <w:rPr>
                <w:rFonts w:hint="eastAsia"/>
                <w:color w:val="auto"/>
                <w:sz w:val="21"/>
                <w:highlight w:val="none"/>
              </w:rPr>
              <w:t>m</w:t>
            </w:r>
            <w:r>
              <w:rPr>
                <w:rFonts w:hint="eastAsia"/>
                <w:color w:val="auto"/>
                <w:sz w:val="21"/>
                <w:highlight w:val="none"/>
                <w:vertAlign w:val="superscript"/>
              </w:rPr>
              <w:t>3</w:t>
            </w:r>
            <w:r>
              <w:rPr>
                <w:rFonts w:hint="eastAsia"/>
                <w:color w:val="auto"/>
                <w:sz w:val="21"/>
                <w:highlight w:val="none"/>
              </w:rPr>
              <w:t>，由罐车拉运。</w:t>
            </w:r>
          </w:p>
          <w:p w14:paraId="0FE6A847">
            <w:pPr>
              <w:pStyle w:val="73"/>
              <w:numPr>
                <w:ilvl w:val="1"/>
                <w:numId w:val="0"/>
              </w:numPr>
              <w:spacing w:line="332" w:lineRule="auto"/>
              <w:ind w:firstLine="420" w:firstLineChars="200"/>
              <w:rPr>
                <w:rFonts w:cs="宋体"/>
                <w:color w:val="auto"/>
                <w:szCs w:val="21"/>
                <w:highlight w:val="none"/>
              </w:rPr>
            </w:pPr>
            <w:r>
              <w:rPr>
                <w:rFonts w:hint="eastAsia" w:cs="宋体"/>
                <w:color w:val="auto"/>
                <w:szCs w:val="21"/>
                <w:highlight w:val="none"/>
              </w:rPr>
              <w:t>③压裂配置用水</w:t>
            </w:r>
          </w:p>
          <w:p w14:paraId="1ED25395">
            <w:pPr>
              <w:pStyle w:val="92"/>
              <w:spacing w:line="332" w:lineRule="auto"/>
              <w:rPr>
                <w:color w:val="auto"/>
                <w:sz w:val="21"/>
                <w:highlight w:val="none"/>
              </w:rPr>
            </w:pPr>
            <w:r>
              <w:rPr>
                <w:rFonts w:hint="eastAsia"/>
                <w:color w:val="auto"/>
                <w:sz w:val="21"/>
                <w:highlight w:val="none"/>
              </w:rPr>
              <w:t>根据压裂工程设计资料，每段压裂消耗压裂液量为1800m</w:t>
            </w:r>
            <w:r>
              <w:rPr>
                <w:rFonts w:hint="eastAsia"/>
                <w:color w:val="auto"/>
                <w:sz w:val="21"/>
                <w:highlight w:val="none"/>
                <w:vertAlign w:val="superscript"/>
              </w:rPr>
              <w:t>3</w:t>
            </w:r>
            <w:r>
              <w:rPr>
                <w:rFonts w:hint="eastAsia"/>
                <w:color w:val="auto"/>
                <w:sz w:val="21"/>
                <w:highlight w:val="none"/>
              </w:rPr>
              <w:t>，本项目需进行3段压裂，则压裂液消耗量为5400m</w:t>
            </w:r>
            <w:r>
              <w:rPr>
                <w:rFonts w:hint="eastAsia"/>
                <w:color w:val="auto"/>
                <w:sz w:val="21"/>
                <w:highlight w:val="none"/>
                <w:vertAlign w:val="superscript"/>
              </w:rPr>
              <w:t>3</w:t>
            </w:r>
            <w:r>
              <w:rPr>
                <w:rFonts w:hint="eastAsia"/>
                <w:color w:val="auto"/>
                <w:sz w:val="21"/>
                <w:highlight w:val="none"/>
              </w:rPr>
              <w:t>。压裂液中清水约占97.33%，因此压裂液配制用水量约5255.82m</w:t>
            </w:r>
            <w:r>
              <w:rPr>
                <w:rFonts w:hint="eastAsia"/>
                <w:color w:val="auto"/>
                <w:sz w:val="21"/>
                <w:highlight w:val="none"/>
                <w:vertAlign w:val="superscript"/>
              </w:rPr>
              <w:t>3</w:t>
            </w:r>
            <w:r>
              <w:rPr>
                <w:rFonts w:hint="eastAsia"/>
                <w:color w:val="auto"/>
                <w:sz w:val="21"/>
                <w:highlight w:val="none"/>
              </w:rPr>
              <w:t>，由罐车拉运。</w:t>
            </w:r>
          </w:p>
          <w:p w14:paraId="05DD3FEB">
            <w:pPr>
              <w:pStyle w:val="92"/>
              <w:spacing w:line="332" w:lineRule="auto"/>
              <w:rPr>
                <w:color w:val="auto"/>
                <w:sz w:val="21"/>
                <w:highlight w:val="none"/>
              </w:rPr>
            </w:pPr>
            <w:r>
              <w:rPr>
                <w:rFonts w:hint="eastAsia"/>
                <w:color w:val="auto"/>
                <w:sz w:val="21"/>
                <w:highlight w:val="none"/>
              </w:rPr>
              <w:t>④生活用水</w:t>
            </w:r>
          </w:p>
          <w:p w14:paraId="13E9C41C">
            <w:pPr>
              <w:pStyle w:val="92"/>
              <w:spacing w:line="332" w:lineRule="auto"/>
              <w:rPr>
                <w:color w:val="auto"/>
                <w:sz w:val="21"/>
                <w:highlight w:val="none"/>
              </w:rPr>
            </w:pPr>
            <w:r>
              <w:rPr>
                <w:rFonts w:hint="eastAsia"/>
                <w:color w:val="auto"/>
                <w:sz w:val="21"/>
                <w:highlight w:val="none"/>
              </w:rPr>
              <w:t>本项目钻井周期</w:t>
            </w:r>
            <w:r>
              <w:rPr>
                <w:rFonts w:hint="eastAsia"/>
                <w:color w:val="auto"/>
                <w:sz w:val="21"/>
                <w:highlight w:val="none"/>
                <w:lang w:eastAsia="zh-CN"/>
              </w:rPr>
              <w:t>180d</w:t>
            </w:r>
            <w:r>
              <w:rPr>
                <w:rFonts w:hint="eastAsia"/>
                <w:color w:val="auto"/>
                <w:sz w:val="21"/>
                <w:highlight w:val="none"/>
              </w:rPr>
              <w:t>，钻井队实际每天在岗人数为24人，每人每天用水量为50L，用水量为1.2m</w:t>
            </w:r>
            <w:r>
              <w:rPr>
                <w:rFonts w:hint="eastAsia"/>
                <w:color w:val="auto"/>
                <w:sz w:val="21"/>
                <w:highlight w:val="none"/>
                <w:vertAlign w:val="superscript"/>
              </w:rPr>
              <w:t>3</w:t>
            </w:r>
            <w:r>
              <w:rPr>
                <w:rFonts w:hint="eastAsia"/>
                <w:color w:val="auto"/>
                <w:sz w:val="21"/>
                <w:highlight w:val="none"/>
              </w:rPr>
              <w:t>/d，整个钻井期生活用水量约</w:t>
            </w:r>
            <w:r>
              <w:rPr>
                <w:rFonts w:hint="eastAsia"/>
                <w:color w:val="auto"/>
                <w:sz w:val="21"/>
                <w:highlight w:val="none"/>
                <w:lang w:eastAsia="zh-CN"/>
              </w:rPr>
              <w:t>216</w:t>
            </w:r>
            <w:r>
              <w:rPr>
                <w:rFonts w:hint="eastAsia"/>
                <w:color w:val="auto"/>
                <w:sz w:val="21"/>
                <w:highlight w:val="none"/>
              </w:rPr>
              <w:t>m</w:t>
            </w:r>
            <w:r>
              <w:rPr>
                <w:rFonts w:hint="eastAsia"/>
                <w:color w:val="auto"/>
                <w:sz w:val="21"/>
                <w:highlight w:val="none"/>
                <w:vertAlign w:val="superscript"/>
              </w:rPr>
              <w:t>3</w:t>
            </w:r>
            <w:r>
              <w:rPr>
                <w:rFonts w:hint="eastAsia"/>
                <w:color w:val="auto"/>
                <w:sz w:val="21"/>
                <w:highlight w:val="none"/>
              </w:rPr>
              <w:t>，用水由车辆拉运。本项目单井试油周期</w:t>
            </w:r>
            <w:r>
              <w:rPr>
                <w:rFonts w:hint="eastAsia"/>
                <w:color w:val="auto"/>
                <w:sz w:val="21"/>
                <w:highlight w:val="none"/>
                <w:lang w:eastAsia="zh-CN"/>
              </w:rPr>
              <w:t>180d</w:t>
            </w:r>
            <w:r>
              <w:rPr>
                <w:rFonts w:hint="eastAsia"/>
                <w:color w:val="auto"/>
                <w:sz w:val="21"/>
                <w:highlight w:val="none"/>
              </w:rPr>
              <w:t>，试油队每天在岗人员20人，每人每天用水量为50L，用水量为1m</w:t>
            </w:r>
            <w:r>
              <w:rPr>
                <w:rFonts w:hint="eastAsia"/>
                <w:color w:val="auto"/>
                <w:sz w:val="21"/>
                <w:highlight w:val="none"/>
                <w:vertAlign w:val="superscript"/>
              </w:rPr>
              <w:t>3</w:t>
            </w:r>
            <w:r>
              <w:rPr>
                <w:rFonts w:hint="eastAsia"/>
                <w:color w:val="auto"/>
                <w:sz w:val="21"/>
                <w:highlight w:val="none"/>
              </w:rPr>
              <w:t>/d，整个试油期生活用水量为</w:t>
            </w:r>
            <w:r>
              <w:rPr>
                <w:rFonts w:hint="eastAsia"/>
                <w:color w:val="auto"/>
                <w:sz w:val="21"/>
                <w:highlight w:val="none"/>
                <w:lang w:val="en-US" w:eastAsia="zh-CN"/>
              </w:rPr>
              <w:t>1</w:t>
            </w:r>
            <w:r>
              <w:rPr>
                <w:rFonts w:hint="eastAsia"/>
                <w:color w:val="auto"/>
                <w:sz w:val="21"/>
                <w:highlight w:val="none"/>
              </w:rPr>
              <w:t>80m</w:t>
            </w:r>
            <w:r>
              <w:rPr>
                <w:rFonts w:hint="eastAsia"/>
                <w:color w:val="auto"/>
                <w:sz w:val="21"/>
                <w:highlight w:val="none"/>
                <w:vertAlign w:val="superscript"/>
              </w:rPr>
              <w:t>3</w:t>
            </w:r>
            <w:r>
              <w:rPr>
                <w:rFonts w:hint="eastAsia"/>
                <w:color w:val="auto"/>
                <w:sz w:val="21"/>
                <w:highlight w:val="none"/>
              </w:rPr>
              <w:t>，用水由车辆拉运。本项目施工期生活用水量合计为</w:t>
            </w:r>
            <w:r>
              <w:rPr>
                <w:rFonts w:hint="eastAsia"/>
                <w:color w:val="auto"/>
                <w:sz w:val="21"/>
                <w:highlight w:val="none"/>
                <w:lang w:eastAsia="zh-CN"/>
              </w:rPr>
              <w:t>396</w:t>
            </w:r>
            <w:r>
              <w:rPr>
                <w:rFonts w:hint="eastAsia"/>
                <w:color w:val="auto"/>
                <w:sz w:val="21"/>
                <w:highlight w:val="none"/>
              </w:rPr>
              <w:t>m</w:t>
            </w:r>
            <w:r>
              <w:rPr>
                <w:rFonts w:hint="eastAsia"/>
                <w:color w:val="auto"/>
                <w:sz w:val="21"/>
                <w:highlight w:val="none"/>
                <w:vertAlign w:val="superscript"/>
              </w:rPr>
              <w:t>3</w:t>
            </w:r>
            <w:r>
              <w:rPr>
                <w:rFonts w:hint="eastAsia"/>
                <w:color w:val="auto"/>
                <w:sz w:val="21"/>
                <w:highlight w:val="none"/>
              </w:rPr>
              <w:t>。</w:t>
            </w:r>
          </w:p>
          <w:p w14:paraId="776C47F5">
            <w:pPr>
              <w:pStyle w:val="92"/>
              <w:spacing w:line="332" w:lineRule="auto"/>
              <w:rPr>
                <w:color w:val="auto"/>
                <w:sz w:val="21"/>
                <w:highlight w:val="none"/>
              </w:rPr>
            </w:pPr>
            <w:r>
              <w:rPr>
                <w:rFonts w:hint="eastAsia"/>
                <w:color w:val="auto"/>
                <w:sz w:val="21"/>
                <w:highlight w:val="none"/>
              </w:rPr>
              <w:t>综上，本项目新鲜水用量为</w:t>
            </w:r>
            <w:r>
              <w:rPr>
                <w:rFonts w:hint="eastAsia"/>
                <w:color w:val="auto"/>
                <w:sz w:val="21"/>
                <w:highlight w:val="none"/>
                <w:lang w:val="en-US" w:eastAsia="zh-CN"/>
              </w:rPr>
              <w:t>10060.8</w:t>
            </w:r>
            <w:r>
              <w:rPr>
                <w:rFonts w:hint="eastAsia"/>
                <w:color w:val="auto"/>
                <w:sz w:val="21"/>
                <w:highlight w:val="none"/>
              </w:rPr>
              <w:t>m</w:t>
            </w:r>
            <w:r>
              <w:rPr>
                <w:rFonts w:hint="eastAsia"/>
                <w:color w:val="auto"/>
                <w:sz w:val="21"/>
                <w:highlight w:val="none"/>
                <w:vertAlign w:val="superscript"/>
              </w:rPr>
              <w:t>3</w:t>
            </w:r>
            <w:r>
              <w:rPr>
                <w:rFonts w:hint="eastAsia"/>
                <w:color w:val="auto"/>
                <w:sz w:val="21"/>
                <w:highlight w:val="none"/>
              </w:rPr>
              <w:t>。</w:t>
            </w:r>
          </w:p>
          <w:p w14:paraId="0A152052">
            <w:pPr>
              <w:pStyle w:val="73"/>
              <w:numPr>
                <w:ilvl w:val="0"/>
                <w:numId w:val="19"/>
              </w:numPr>
              <w:spacing w:line="332" w:lineRule="auto"/>
              <w:ind w:firstLine="420" w:firstLineChars="200"/>
              <w:rPr>
                <w:color w:val="auto"/>
                <w:highlight w:val="none"/>
              </w:rPr>
            </w:pPr>
            <w:r>
              <w:rPr>
                <w:rFonts w:hint="eastAsia"/>
                <w:color w:val="auto"/>
                <w:highlight w:val="none"/>
              </w:rPr>
              <w:t>排水</w:t>
            </w:r>
          </w:p>
          <w:p w14:paraId="67859B77">
            <w:pPr>
              <w:pStyle w:val="73"/>
              <w:numPr>
                <w:ilvl w:val="1"/>
                <w:numId w:val="0"/>
              </w:numPr>
              <w:spacing w:line="332" w:lineRule="auto"/>
              <w:ind w:firstLine="420" w:firstLineChars="200"/>
              <w:rPr>
                <w:color w:val="auto"/>
                <w:highlight w:val="none"/>
              </w:rPr>
            </w:pPr>
            <w:r>
              <w:rPr>
                <w:rFonts w:hint="eastAsia"/>
                <w:color w:val="auto"/>
                <w:highlight w:val="none"/>
              </w:rPr>
              <w:t>①钻井废水</w:t>
            </w:r>
          </w:p>
          <w:p w14:paraId="0BAA0E7B">
            <w:pPr>
              <w:pStyle w:val="73"/>
              <w:numPr>
                <w:ilvl w:val="1"/>
                <w:numId w:val="0"/>
              </w:numPr>
              <w:spacing w:line="332" w:lineRule="auto"/>
              <w:ind w:firstLine="420" w:firstLineChars="200"/>
              <w:rPr>
                <w:color w:val="auto"/>
                <w:highlight w:val="none"/>
              </w:rPr>
            </w:pPr>
            <w:r>
              <w:rPr>
                <w:rFonts w:hint="eastAsia"/>
                <w:color w:val="auto"/>
                <w:highlight w:val="none"/>
              </w:rPr>
              <w:t>本项目采用环保型钻井液，配备完善的固控设备；钻井液循环率达到95%以上；钻井结束后，钻井固废不在现场进行固液分离，现场无钻井废水产生。</w:t>
            </w:r>
          </w:p>
          <w:p w14:paraId="15FA4DE4">
            <w:pPr>
              <w:pStyle w:val="73"/>
              <w:numPr>
                <w:ilvl w:val="1"/>
                <w:numId w:val="0"/>
              </w:numPr>
              <w:spacing w:line="332" w:lineRule="auto"/>
              <w:ind w:firstLine="420" w:firstLineChars="200"/>
              <w:rPr>
                <w:color w:val="auto"/>
                <w:highlight w:val="none"/>
              </w:rPr>
            </w:pPr>
            <w:r>
              <w:rPr>
                <w:rFonts w:hint="eastAsia"/>
                <w:color w:val="auto"/>
                <w:highlight w:val="none"/>
              </w:rPr>
              <w:t>②井下作业废液</w:t>
            </w:r>
          </w:p>
          <w:p w14:paraId="3E8AE910">
            <w:pPr>
              <w:pStyle w:val="92"/>
              <w:spacing w:line="332" w:lineRule="auto"/>
              <w:rPr>
                <w:color w:val="auto"/>
                <w:sz w:val="21"/>
                <w:highlight w:val="none"/>
              </w:rPr>
            </w:pPr>
            <w:r>
              <w:rPr>
                <w:rFonts w:hint="eastAsia"/>
                <w:color w:val="auto"/>
                <w:sz w:val="21"/>
                <w:highlight w:val="none"/>
              </w:rPr>
              <w:t>根据</w:t>
            </w:r>
            <w:r>
              <w:rPr>
                <w:rFonts w:hint="eastAsia" w:ascii="宋体" w:hAnsi="宋体" w:eastAsia="宋体" w:cs="宋体"/>
                <w:color w:val="auto"/>
                <w:sz w:val="21"/>
                <w:szCs w:val="21"/>
                <w:highlight w:val="none"/>
              </w:rPr>
              <w:t>油田经验</w:t>
            </w:r>
            <w:r>
              <w:rPr>
                <w:rFonts w:hint="eastAsia" w:ascii="宋体" w:hAnsi="宋体" w:eastAsia="宋体" w:cs="宋体"/>
                <w:color w:val="auto"/>
                <w:sz w:val="21"/>
                <w:szCs w:val="21"/>
                <w:highlight w:val="none"/>
                <w:lang w:val="en-US" w:eastAsia="zh-CN"/>
              </w:rPr>
              <w:t>统计数据</w:t>
            </w:r>
            <w:r>
              <w:rPr>
                <w:rFonts w:hint="eastAsia"/>
                <w:color w:val="auto"/>
                <w:sz w:val="21"/>
                <w:highlight w:val="none"/>
              </w:rPr>
              <w:t>，通刮洗井废水为通刮洗井用水的80%，因此井下作业废液量为</w:t>
            </w:r>
            <w:r>
              <w:rPr>
                <w:rFonts w:hint="eastAsia"/>
                <w:color w:val="auto"/>
                <w:sz w:val="21"/>
                <w:highlight w:val="none"/>
                <w:lang w:val="en-US" w:eastAsia="zh-CN"/>
              </w:rPr>
              <w:t>135.7</w:t>
            </w:r>
            <w:r>
              <w:rPr>
                <w:rFonts w:hint="eastAsia"/>
                <w:color w:val="auto"/>
                <w:sz w:val="21"/>
                <w:highlight w:val="none"/>
              </w:rPr>
              <w:t>m</w:t>
            </w:r>
            <w:r>
              <w:rPr>
                <w:rFonts w:hint="eastAsia"/>
                <w:color w:val="auto"/>
                <w:sz w:val="21"/>
                <w:highlight w:val="none"/>
                <w:vertAlign w:val="superscript"/>
              </w:rPr>
              <w:t>3</w:t>
            </w:r>
            <w:bookmarkStart w:id="39" w:name="OLE_LINK153"/>
            <w:bookmarkStart w:id="40" w:name="OLE_LINK152"/>
            <w:r>
              <w:rPr>
                <w:rFonts w:hint="eastAsia"/>
                <w:color w:val="auto"/>
                <w:sz w:val="21"/>
                <w:highlight w:val="none"/>
              </w:rPr>
              <w:t>。</w:t>
            </w:r>
            <w:r>
              <w:rPr>
                <w:rFonts w:hint="eastAsia"/>
                <w:snapToGrid w:val="0"/>
                <w:color w:val="auto"/>
                <w:sz w:val="21"/>
                <w:highlight w:val="none"/>
              </w:rPr>
              <w:t>井下作业废液</w:t>
            </w:r>
            <w:bookmarkEnd w:id="39"/>
            <w:bookmarkEnd w:id="40"/>
            <w:bookmarkStart w:id="41" w:name="OLE_LINK101"/>
            <w:bookmarkStart w:id="42" w:name="OLE_LINK100"/>
            <w:r>
              <w:rPr>
                <w:rFonts w:hint="eastAsia"/>
                <w:snapToGrid w:val="0"/>
                <w:color w:val="auto"/>
                <w:sz w:val="21"/>
                <w:highlight w:val="none"/>
              </w:rPr>
              <w:t>拉运至</w:t>
            </w:r>
            <w:r>
              <w:rPr>
                <w:rFonts w:hint="eastAsia"/>
                <w:snapToGrid w:val="0"/>
                <w:color w:val="auto"/>
                <w:sz w:val="21"/>
                <w:highlight w:val="none"/>
                <w:lang w:eastAsia="zh-CN"/>
              </w:rPr>
              <w:t>春风联合站</w:t>
            </w:r>
            <w:r>
              <w:rPr>
                <w:rFonts w:hint="eastAsia"/>
                <w:snapToGrid w:val="0"/>
                <w:color w:val="auto"/>
                <w:sz w:val="21"/>
                <w:highlight w:val="none"/>
              </w:rPr>
              <w:t>采出水处理系统处理</w:t>
            </w:r>
            <w:bookmarkEnd w:id="41"/>
            <w:bookmarkEnd w:id="42"/>
            <w:r>
              <w:rPr>
                <w:rFonts w:hint="eastAsia"/>
                <w:snapToGrid w:val="0"/>
                <w:color w:val="auto"/>
                <w:sz w:val="21"/>
                <w:highlight w:val="none"/>
              </w:rPr>
              <w:t>，经处理达到</w:t>
            </w:r>
            <w:r>
              <w:rPr>
                <w:rFonts w:hint="eastAsia"/>
                <w:color w:val="auto"/>
                <w:sz w:val="21"/>
                <w:highlight w:val="none"/>
              </w:rPr>
              <w:t>《碎屑岩油藏注水水质指标技术要求及分析方法》（SY/T 5329-20</w:t>
            </w:r>
            <w:r>
              <w:rPr>
                <w:color w:val="auto"/>
                <w:sz w:val="21"/>
                <w:highlight w:val="none"/>
              </w:rPr>
              <w:t>2</w:t>
            </w:r>
            <w:r>
              <w:rPr>
                <w:rFonts w:hint="eastAsia"/>
                <w:color w:val="auto"/>
                <w:sz w:val="21"/>
                <w:highlight w:val="none"/>
              </w:rPr>
              <w:t>2）</w:t>
            </w:r>
            <w:r>
              <w:rPr>
                <w:rFonts w:hint="eastAsia"/>
                <w:snapToGrid w:val="0"/>
                <w:color w:val="auto"/>
                <w:sz w:val="21"/>
                <w:highlight w:val="none"/>
              </w:rPr>
              <w:t>对应储层空气渗透率下的水质主要控制指标后回注含油层用于产能开发，不外排。</w:t>
            </w:r>
          </w:p>
          <w:p w14:paraId="721BDE5B">
            <w:pPr>
              <w:pStyle w:val="73"/>
              <w:numPr>
                <w:ilvl w:val="1"/>
                <w:numId w:val="0"/>
              </w:numPr>
              <w:spacing w:line="332" w:lineRule="auto"/>
              <w:ind w:firstLine="420" w:firstLineChars="200"/>
              <w:rPr>
                <w:color w:val="auto"/>
                <w:highlight w:val="none"/>
              </w:rPr>
            </w:pPr>
            <w:r>
              <w:rPr>
                <w:rFonts w:hint="eastAsia"/>
                <w:color w:val="auto"/>
                <w:highlight w:val="none"/>
              </w:rPr>
              <w:t>③压裂返排液</w:t>
            </w:r>
          </w:p>
          <w:p w14:paraId="322E3734">
            <w:pPr>
              <w:pStyle w:val="92"/>
              <w:spacing w:line="332" w:lineRule="auto"/>
              <w:rPr>
                <w:color w:val="auto"/>
                <w:sz w:val="21"/>
                <w:highlight w:val="none"/>
              </w:rPr>
            </w:pPr>
            <w:r>
              <w:rPr>
                <w:rFonts w:hint="eastAsia"/>
                <w:color w:val="auto"/>
                <w:sz w:val="21"/>
                <w:highlight w:val="none"/>
              </w:rPr>
              <w:t>根据钻井施工单位经验数据，本项目压裂阶段注入压裂液量约为</w:t>
            </w:r>
            <w:r>
              <w:rPr>
                <w:color w:val="auto"/>
                <w:sz w:val="21"/>
                <w:highlight w:val="none"/>
              </w:rPr>
              <w:t>5400</w:t>
            </w:r>
            <w:r>
              <w:rPr>
                <w:rFonts w:hint="eastAsia"/>
                <w:color w:val="auto"/>
                <w:sz w:val="21"/>
                <w:highlight w:val="none"/>
              </w:rPr>
              <w:t>m</w:t>
            </w:r>
            <w:r>
              <w:rPr>
                <w:rFonts w:hint="eastAsia"/>
                <w:color w:val="auto"/>
                <w:sz w:val="21"/>
                <w:highlight w:val="none"/>
                <w:vertAlign w:val="superscript"/>
              </w:rPr>
              <w:t>3</w:t>
            </w:r>
            <w:r>
              <w:rPr>
                <w:rFonts w:hint="eastAsia"/>
                <w:color w:val="auto"/>
                <w:sz w:val="21"/>
                <w:highlight w:val="none"/>
              </w:rPr>
              <w:t>，返排率约</w:t>
            </w:r>
            <w:r>
              <w:rPr>
                <w:color w:val="auto"/>
                <w:sz w:val="21"/>
                <w:highlight w:val="none"/>
              </w:rPr>
              <w:t>20</w:t>
            </w:r>
            <w:r>
              <w:rPr>
                <w:rFonts w:hint="eastAsia"/>
                <w:color w:val="auto"/>
                <w:sz w:val="21"/>
                <w:highlight w:val="none"/>
              </w:rPr>
              <w:t>%，压裂液返排量约为</w:t>
            </w:r>
            <w:r>
              <w:rPr>
                <w:color w:val="auto"/>
                <w:sz w:val="21"/>
                <w:highlight w:val="none"/>
              </w:rPr>
              <w:t>1080</w:t>
            </w:r>
            <w:r>
              <w:rPr>
                <w:rFonts w:hint="eastAsia"/>
                <w:color w:val="auto"/>
                <w:sz w:val="21"/>
                <w:highlight w:val="none"/>
              </w:rPr>
              <w:t>m</w:t>
            </w:r>
            <w:r>
              <w:rPr>
                <w:rFonts w:hint="eastAsia"/>
                <w:color w:val="auto"/>
                <w:sz w:val="21"/>
                <w:highlight w:val="none"/>
                <w:vertAlign w:val="superscript"/>
              </w:rPr>
              <w:t>3</w:t>
            </w:r>
            <w:r>
              <w:rPr>
                <w:rFonts w:hint="eastAsia"/>
                <w:color w:val="auto"/>
                <w:sz w:val="21"/>
                <w:highlight w:val="none"/>
              </w:rPr>
              <w:t>。</w:t>
            </w:r>
          </w:p>
          <w:p w14:paraId="3208A055">
            <w:pPr>
              <w:pStyle w:val="92"/>
              <w:spacing w:line="332" w:lineRule="auto"/>
              <w:rPr>
                <w:color w:val="auto"/>
                <w:sz w:val="21"/>
                <w:highlight w:val="none"/>
              </w:rPr>
            </w:pPr>
            <w:r>
              <w:rPr>
                <w:rFonts w:hint="eastAsia"/>
                <w:color w:val="auto"/>
                <w:sz w:val="21"/>
                <w:highlight w:val="none"/>
              </w:rPr>
              <w:t>压裂施工后返排的废液成分较为简单，压裂阶段结束后拉运至</w:t>
            </w:r>
            <w:r>
              <w:rPr>
                <w:rFonts w:hint="eastAsia"/>
                <w:snapToGrid w:val="0"/>
                <w:color w:val="auto"/>
                <w:sz w:val="21"/>
                <w:highlight w:val="none"/>
                <w:lang w:eastAsia="zh-CN"/>
              </w:rPr>
              <w:t>春风联合站</w:t>
            </w:r>
            <w:r>
              <w:rPr>
                <w:rFonts w:hint="eastAsia"/>
                <w:snapToGrid w:val="0"/>
                <w:color w:val="auto"/>
                <w:sz w:val="21"/>
                <w:highlight w:val="none"/>
              </w:rPr>
              <w:t>采出水处理系统处理，经处理达到</w:t>
            </w:r>
            <w:r>
              <w:rPr>
                <w:rFonts w:hint="eastAsia"/>
                <w:color w:val="auto"/>
                <w:sz w:val="21"/>
                <w:highlight w:val="none"/>
              </w:rPr>
              <w:t>《碎屑岩油藏注水水质指标技术要求及分析方法》（SY/T 5329-20</w:t>
            </w:r>
            <w:r>
              <w:rPr>
                <w:color w:val="auto"/>
                <w:sz w:val="21"/>
                <w:highlight w:val="none"/>
              </w:rPr>
              <w:t>2</w:t>
            </w:r>
            <w:r>
              <w:rPr>
                <w:rFonts w:hint="eastAsia"/>
                <w:color w:val="auto"/>
                <w:sz w:val="21"/>
                <w:highlight w:val="none"/>
              </w:rPr>
              <w:t>2）</w:t>
            </w:r>
            <w:r>
              <w:rPr>
                <w:rFonts w:hint="eastAsia"/>
                <w:snapToGrid w:val="0"/>
                <w:color w:val="auto"/>
                <w:sz w:val="21"/>
                <w:highlight w:val="none"/>
              </w:rPr>
              <w:t>对应储层空气渗透率下的水质主要控制指标后回注含油层用于产能开发，不外排。</w:t>
            </w:r>
          </w:p>
          <w:p w14:paraId="0FFB9993">
            <w:pPr>
              <w:pStyle w:val="73"/>
              <w:numPr>
                <w:ilvl w:val="1"/>
                <w:numId w:val="0"/>
              </w:numPr>
              <w:spacing w:line="332" w:lineRule="auto"/>
              <w:ind w:firstLine="420" w:firstLineChars="200"/>
              <w:rPr>
                <w:color w:val="auto"/>
                <w:highlight w:val="none"/>
              </w:rPr>
            </w:pPr>
            <w:r>
              <w:rPr>
                <w:rFonts w:hint="eastAsia"/>
                <w:color w:val="auto"/>
                <w:highlight w:val="none"/>
              </w:rPr>
              <w:t>④生活污水</w:t>
            </w:r>
          </w:p>
          <w:p w14:paraId="423F54D3">
            <w:pPr>
              <w:pStyle w:val="71"/>
              <w:numPr>
                <w:ilvl w:val="0"/>
                <w:numId w:val="0"/>
              </w:numPr>
              <w:spacing w:line="332" w:lineRule="auto"/>
              <w:ind w:firstLine="420" w:firstLineChars="200"/>
              <w:rPr>
                <w:color w:val="auto"/>
                <w:highlight w:val="none"/>
              </w:rPr>
            </w:pPr>
            <w:r>
              <w:rPr>
                <w:rFonts w:hint="eastAsia"/>
                <w:color w:val="auto"/>
                <w:highlight w:val="none"/>
              </w:rPr>
              <w:t>生活污水产生量按用水量的80%计算，钻井期内生活污水总产生量</w:t>
            </w:r>
            <w:r>
              <w:rPr>
                <w:rFonts w:hint="eastAsia"/>
                <w:color w:val="auto"/>
                <w:highlight w:val="none"/>
                <w:lang w:eastAsia="zh-CN"/>
              </w:rPr>
              <w:t>172.8</w:t>
            </w:r>
            <w:r>
              <w:rPr>
                <w:rFonts w:hint="eastAsia"/>
                <w:color w:val="auto"/>
                <w:highlight w:val="none"/>
              </w:rPr>
              <w:t>m</w:t>
            </w:r>
            <w:r>
              <w:rPr>
                <w:rFonts w:hint="eastAsia"/>
                <w:color w:val="auto"/>
                <w:highlight w:val="none"/>
                <w:vertAlign w:val="superscript"/>
              </w:rPr>
              <w:t>3</w:t>
            </w:r>
            <w:r>
              <w:rPr>
                <w:rFonts w:hint="eastAsia"/>
                <w:color w:val="auto"/>
                <w:highlight w:val="none"/>
              </w:rPr>
              <w:t>，试油期内生活污水产生量为</w:t>
            </w:r>
            <w:r>
              <w:rPr>
                <w:rFonts w:hint="eastAsia"/>
                <w:color w:val="auto"/>
                <w:highlight w:val="none"/>
                <w:lang w:val="en-US" w:eastAsia="zh-CN"/>
              </w:rPr>
              <w:t>144</w:t>
            </w:r>
            <w:r>
              <w:rPr>
                <w:rFonts w:hint="eastAsia"/>
                <w:color w:val="auto"/>
                <w:highlight w:val="none"/>
              </w:rPr>
              <w:t>m</w:t>
            </w:r>
            <w:r>
              <w:rPr>
                <w:rFonts w:hint="eastAsia"/>
                <w:color w:val="auto"/>
                <w:highlight w:val="none"/>
                <w:vertAlign w:val="superscript"/>
              </w:rPr>
              <w:t>3</w:t>
            </w:r>
            <w:r>
              <w:rPr>
                <w:rFonts w:hint="eastAsia"/>
                <w:color w:val="auto"/>
                <w:highlight w:val="none"/>
              </w:rPr>
              <w:t>，合计产生</w:t>
            </w:r>
            <w:r>
              <w:rPr>
                <w:rFonts w:hint="eastAsia"/>
                <w:color w:val="auto"/>
                <w:highlight w:val="none"/>
                <w:lang w:val="en-US" w:eastAsia="zh-CN"/>
              </w:rPr>
              <w:t>316.8</w:t>
            </w:r>
            <w:r>
              <w:rPr>
                <w:rFonts w:hint="eastAsia"/>
                <w:color w:val="auto"/>
                <w:highlight w:val="none"/>
              </w:rPr>
              <w:t>m</w:t>
            </w:r>
            <w:r>
              <w:rPr>
                <w:rFonts w:hint="eastAsia"/>
                <w:color w:val="auto"/>
                <w:highlight w:val="none"/>
                <w:vertAlign w:val="superscript"/>
              </w:rPr>
              <w:t>3</w:t>
            </w:r>
            <w:r>
              <w:rPr>
                <w:rFonts w:hint="eastAsia"/>
                <w:color w:val="auto"/>
                <w:highlight w:val="none"/>
              </w:rPr>
              <w:t>生活污水。生活区设置环保厕所和1座50m</w:t>
            </w:r>
            <w:r>
              <w:rPr>
                <w:rFonts w:hint="eastAsia"/>
                <w:color w:val="auto"/>
                <w:highlight w:val="none"/>
                <w:vertAlign w:val="superscript"/>
              </w:rPr>
              <w:t>3</w:t>
            </w:r>
            <w:r>
              <w:rPr>
                <w:rFonts w:hint="eastAsia"/>
                <w:color w:val="auto"/>
                <w:highlight w:val="none"/>
              </w:rPr>
              <w:t>生活污水收集罐，生活污水排入环保厕所</w:t>
            </w:r>
            <w:r>
              <w:rPr>
                <w:rFonts w:hint="eastAsia"/>
                <w:color w:val="auto"/>
                <w:highlight w:val="none"/>
                <w:lang w:val="en-US" w:eastAsia="zh-CN"/>
              </w:rPr>
              <w:t>和</w:t>
            </w:r>
            <w:r>
              <w:rPr>
                <w:rFonts w:hint="eastAsia"/>
                <w:color w:val="auto"/>
                <w:highlight w:val="none"/>
              </w:rPr>
              <w:t>生活污水收集罐</w:t>
            </w:r>
            <w:r>
              <w:rPr>
                <w:rFonts w:hint="eastAsia"/>
                <w:color w:val="auto"/>
                <w:highlight w:val="none"/>
                <w:lang w:val="en-US" w:eastAsia="zh-CN"/>
              </w:rPr>
              <w:t>，</w:t>
            </w:r>
            <w:r>
              <w:rPr>
                <w:rFonts w:hint="eastAsia"/>
                <w:color w:val="auto"/>
                <w:highlight w:val="none"/>
              </w:rPr>
              <w:t>定期由新疆熙祥运输公司拉运至五家渠城华市政六运湖分公司</w:t>
            </w:r>
            <w:r>
              <w:rPr>
                <w:rFonts w:hint="eastAsia"/>
                <w:color w:val="auto"/>
                <w:highlight w:val="none"/>
                <w:lang w:val="en-US" w:eastAsia="zh-CN"/>
              </w:rPr>
              <w:t>污水处理厂</w:t>
            </w:r>
            <w:r>
              <w:rPr>
                <w:rFonts w:hint="eastAsia"/>
                <w:color w:val="auto"/>
                <w:highlight w:val="none"/>
              </w:rPr>
              <w:t>处理。</w:t>
            </w:r>
          </w:p>
          <w:p w14:paraId="12A5F3E1">
            <w:pPr>
              <w:pStyle w:val="71"/>
              <w:rPr>
                <w:color w:val="auto"/>
                <w:highlight w:val="none"/>
              </w:rPr>
            </w:pPr>
            <w:r>
              <w:rPr>
                <w:rFonts w:hint="eastAsia"/>
                <w:color w:val="auto"/>
                <w:highlight w:val="none"/>
              </w:rPr>
              <w:t>供电工程</w:t>
            </w:r>
          </w:p>
          <w:p w14:paraId="0389AE52">
            <w:pPr>
              <w:pStyle w:val="71"/>
              <w:numPr>
                <w:ilvl w:val="0"/>
                <w:numId w:val="0"/>
              </w:numPr>
              <w:spacing w:line="332" w:lineRule="auto"/>
              <w:ind w:firstLine="420" w:firstLineChars="200"/>
              <w:rPr>
                <w:color w:val="auto"/>
                <w:highlight w:val="none"/>
              </w:rPr>
            </w:pPr>
            <w:r>
              <w:rPr>
                <w:rFonts w:hint="eastAsia"/>
                <w:color w:val="auto"/>
                <w:highlight w:val="none"/>
              </w:rPr>
              <w:t>本项目钻井和试油过程中采用柴油机发电。</w:t>
            </w:r>
          </w:p>
          <w:p w14:paraId="53F14060">
            <w:pPr>
              <w:pStyle w:val="71"/>
              <w:rPr>
                <w:color w:val="auto"/>
                <w:highlight w:val="none"/>
              </w:rPr>
            </w:pPr>
            <w:r>
              <w:rPr>
                <w:rFonts w:hint="eastAsia"/>
                <w:color w:val="auto"/>
                <w:highlight w:val="none"/>
              </w:rPr>
              <w:t>消防工程</w:t>
            </w:r>
          </w:p>
          <w:p w14:paraId="693F92BE">
            <w:pPr>
              <w:pStyle w:val="71"/>
              <w:numPr>
                <w:ilvl w:val="0"/>
                <w:numId w:val="0"/>
              </w:numPr>
              <w:spacing w:line="332" w:lineRule="auto"/>
              <w:ind w:firstLine="420" w:firstLineChars="200"/>
              <w:rPr>
                <w:color w:val="auto"/>
                <w:highlight w:val="none"/>
              </w:rPr>
            </w:pPr>
            <w:r>
              <w:rPr>
                <w:rFonts w:hint="eastAsia"/>
                <w:color w:val="auto"/>
                <w:highlight w:val="none"/>
              </w:rPr>
              <w:t>井场内配备灭火器等消防设施。</w:t>
            </w:r>
          </w:p>
          <w:p w14:paraId="46ED6421">
            <w:pPr>
              <w:pStyle w:val="3"/>
              <w:numPr>
                <w:ilvl w:val="0"/>
                <w:numId w:val="13"/>
              </w:numPr>
              <w:ind w:firstLine="420"/>
              <w:rPr>
                <w:color w:val="auto"/>
                <w:sz w:val="21"/>
                <w:highlight w:val="none"/>
              </w:rPr>
            </w:pPr>
            <w:r>
              <w:rPr>
                <w:rFonts w:hint="eastAsia"/>
                <w:color w:val="auto"/>
                <w:sz w:val="21"/>
                <w:highlight w:val="none"/>
              </w:rPr>
              <w:t>辅助工程</w:t>
            </w:r>
          </w:p>
          <w:p w14:paraId="1C272F6A">
            <w:pPr>
              <w:pStyle w:val="71"/>
              <w:numPr>
                <w:ilvl w:val="0"/>
                <w:numId w:val="20"/>
              </w:numPr>
              <w:spacing w:line="332" w:lineRule="auto"/>
              <w:ind w:firstLine="420" w:firstLineChars="200"/>
              <w:rPr>
                <w:color w:val="auto"/>
                <w:highlight w:val="none"/>
              </w:rPr>
            </w:pPr>
            <w:r>
              <w:rPr>
                <w:rFonts w:hint="eastAsia"/>
                <w:color w:val="auto"/>
                <w:highlight w:val="none"/>
              </w:rPr>
              <w:t>生活区</w:t>
            </w:r>
          </w:p>
          <w:p w14:paraId="2652BECA">
            <w:pPr>
              <w:pStyle w:val="71"/>
              <w:numPr>
                <w:ilvl w:val="0"/>
                <w:numId w:val="0"/>
              </w:numPr>
              <w:spacing w:line="332" w:lineRule="auto"/>
              <w:ind w:firstLine="420" w:firstLineChars="200"/>
              <w:rPr>
                <w:color w:val="auto"/>
                <w:highlight w:val="none"/>
              </w:rPr>
            </w:pPr>
            <w:r>
              <w:rPr>
                <w:rFonts w:hint="eastAsia"/>
                <w:color w:val="auto"/>
                <w:highlight w:val="none"/>
              </w:rPr>
              <w:t>新建1处生活区，占地面积为3000m</w:t>
            </w:r>
            <w:r>
              <w:rPr>
                <w:rFonts w:hint="eastAsia"/>
                <w:color w:val="auto"/>
                <w:highlight w:val="none"/>
                <w:vertAlign w:val="superscript"/>
              </w:rPr>
              <w:t>2</w:t>
            </w:r>
            <w:r>
              <w:rPr>
                <w:rFonts w:hint="eastAsia"/>
                <w:color w:val="auto"/>
                <w:highlight w:val="none"/>
              </w:rPr>
              <w:t>（60m×50m），内设值班室、办公室等生活设施。</w:t>
            </w:r>
          </w:p>
          <w:p w14:paraId="4F6E1796">
            <w:pPr>
              <w:pStyle w:val="71"/>
              <w:spacing w:line="332" w:lineRule="auto"/>
              <w:ind w:firstLine="420" w:firstLineChars="200"/>
              <w:rPr>
                <w:color w:val="auto"/>
                <w:highlight w:val="none"/>
              </w:rPr>
            </w:pPr>
            <w:r>
              <w:rPr>
                <w:rFonts w:hint="eastAsia"/>
                <w:color w:val="auto"/>
                <w:highlight w:val="none"/>
              </w:rPr>
              <w:t>简易道路</w:t>
            </w:r>
          </w:p>
          <w:p w14:paraId="4D8BA4EA">
            <w:pPr>
              <w:pStyle w:val="71"/>
              <w:numPr>
                <w:ilvl w:val="0"/>
                <w:numId w:val="0"/>
              </w:numPr>
              <w:spacing w:line="332" w:lineRule="auto"/>
              <w:ind w:firstLine="420" w:firstLineChars="200"/>
              <w:rPr>
                <w:color w:val="auto"/>
                <w:highlight w:val="none"/>
              </w:rPr>
            </w:pPr>
            <w:r>
              <w:rPr>
                <w:rFonts w:hint="eastAsia"/>
                <w:color w:val="auto"/>
                <w:highlight w:val="none"/>
              </w:rPr>
              <w:t>新建1条长度为305m通井道路，占地面积约2232m</w:t>
            </w:r>
            <w:r>
              <w:rPr>
                <w:rFonts w:hint="eastAsia"/>
                <w:color w:val="auto"/>
                <w:highlight w:val="none"/>
                <w:vertAlign w:val="superscript"/>
              </w:rPr>
              <w:t>2</w:t>
            </w:r>
            <w:r>
              <w:rPr>
                <w:rFonts w:hint="eastAsia"/>
                <w:color w:val="auto"/>
                <w:highlight w:val="none"/>
              </w:rPr>
              <w:t>。</w:t>
            </w:r>
          </w:p>
          <w:p w14:paraId="01429388">
            <w:pPr>
              <w:pStyle w:val="3"/>
              <w:numPr>
                <w:ilvl w:val="0"/>
                <w:numId w:val="13"/>
              </w:numPr>
              <w:spacing w:line="332" w:lineRule="auto"/>
              <w:ind w:firstLine="420"/>
              <w:rPr>
                <w:color w:val="auto"/>
                <w:sz w:val="21"/>
                <w:highlight w:val="none"/>
              </w:rPr>
            </w:pPr>
            <w:r>
              <w:rPr>
                <w:rFonts w:hint="eastAsia"/>
                <w:color w:val="auto"/>
                <w:sz w:val="21"/>
                <w:highlight w:val="none"/>
              </w:rPr>
              <w:t>依托工程</w:t>
            </w:r>
          </w:p>
          <w:p w14:paraId="722278CF">
            <w:pPr>
              <w:pStyle w:val="71"/>
              <w:numPr>
                <w:ilvl w:val="0"/>
                <w:numId w:val="21"/>
              </w:numPr>
              <w:spacing w:line="332" w:lineRule="auto"/>
              <w:ind w:firstLine="420" w:firstLineChars="200"/>
              <w:rPr>
                <w:color w:val="auto"/>
                <w:highlight w:val="none"/>
              </w:rPr>
            </w:pPr>
            <w:r>
              <w:rPr>
                <w:rFonts w:hint="eastAsia"/>
                <w:color w:val="auto"/>
                <w:highlight w:val="none"/>
              </w:rPr>
              <w:t>春风联合站</w:t>
            </w:r>
          </w:p>
          <w:p w14:paraId="2F818414">
            <w:pPr>
              <w:pStyle w:val="71"/>
              <w:numPr>
                <w:ilvl w:val="0"/>
                <w:numId w:val="0"/>
              </w:numPr>
              <w:spacing w:line="332" w:lineRule="auto"/>
              <w:ind w:firstLine="420" w:firstLineChars="200"/>
              <w:rPr>
                <w:color w:val="auto"/>
                <w:highlight w:val="none"/>
              </w:rPr>
            </w:pPr>
            <w:r>
              <w:rPr>
                <w:rFonts w:hint="eastAsia"/>
                <w:color w:val="auto"/>
                <w:highlight w:val="none"/>
                <w:lang w:eastAsia="zh-CN"/>
              </w:rPr>
              <w:t>春风联合站</w:t>
            </w:r>
            <w:r>
              <w:rPr>
                <w:rFonts w:hint="eastAsia"/>
                <w:color w:val="auto"/>
                <w:highlight w:val="none"/>
              </w:rPr>
              <w:t>地理坐标为东经84°41′3.00″，北纬45°06′36.00″，主要担负着排601北区、排601中区、排601南区、排6南区、排601南区四个区块的原油处理任务。</w:t>
            </w:r>
          </w:p>
          <w:p w14:paraId="16B4C16B">
            <w:pPr>
              <w:pStyle w:val="71"/>
              <w:numPr>
                <w:ilvl w:val="0"/>
                <w:numId w:val="0"/>
              </w:numPr>
              <w:spacing w:line="332" w:lineRule="auto"/>
              <w:ind w:firstLine="420" w:firstLineChars="200"/>
              <w:rPr>
                <w:color w:val="auto"/>
                <w:highlight w:val="none"/>
              </w:rPr>
            </w:pPr>
            <w:r>
              <w:rPr>
                <w:rFonts w:hint="eastAsia"/>
                <w:color w:val="auto"/>
                <w:highlight w:val="none"/>
                <w:lang w:eastAsia="zh-CN"/>
              </w:rPr>
              <w:t>春风联合站</w:t>
            </w:r>
            <w:r>
              <w:rPr>
                <w:rFonts w:hint="eastAsia"/>
                <w:color w:val="auto"/>
                <w:highlight w:val="none"/>
              </w:rPr>
              <w:t>采出水处理系统采用“混凝沉降+过滤”的处理工艺，即“采油系统来水+一次除油罐+调节+加药+二次沉降罐+缓冲罐+污水提升泵+多介质过滤器+回注系统”。混凝沉降+过滤工艺是通过向废水中投加混凝剂，使废水中的胶体粒子和微小悬浮物聚集成较大的絮凝体，然后通过重力沉降的方式将这些絮凝体从废水中分离出来的过程，废水处理过程混凝剂的投加以及过滤可以有效去除压裂返排液中的胍胶类物质，因此压裂返排液依托</w:t>
            </w:r>
            <w:r>
              <w:rPr>
                <w:rFonts w:hint="eastAsia"/>
                <w:color w:val="auto"/>
                <w:highlight w:val="none"/>
                <w:lang w:eastAsia="zh-CN"/>
              </w:rPr>
              <w:t>春风联合站</w:t>
            </w:r>
            <w:r>
              <w:rPr>
                <w:rFonts w:hint="eastAsia"/>
                <w:color w:val="auto"/>
                <w:highlight w:val="none"/>
              </w:rPr>
              <w:t>采出水处理系统处理可行。</w:t>
            </w:r>
          </w:p>
          <w:p w14:paraId="2F6CEAA8">
            <w:pPr>
              <w:pStyle w:val="71"/>
              <w:numPr>
                <w:ilvl w:val="0"/>
                <w:numId w:val="0"/>
              </w:numPr>
              <w:spacing w:line="332" w:lineRule="auto"/>
              <w:ind w:firstLine="420" w:firstLineChars="200"/>
              <w:rPr>
                <w:color w:val="auto"/>
                <w:highlight w:val="none"/>
              </w:rPr>
            </w:pPr>
            <w:r>
              <w:rPr>
                <w:rFonts w:hint="eastAsia"/>
                <w:color w:val="auto"/>
                <w:highlight w:val="none"/>
                <w:lang w:eastAsia="zh-CN"/>
              </w:rPr>
              <w:t>春风联合站</w:t>
            </w:r>
            <w:r>
              <w:rPr>
                <w:rFonts w:hint="eastAsia"/>
                <w:color w:val="auto"/>
                <w:highlight w:val="none"/>
              </w:rPr>
              <w:t>于2010年取得环评批复，批复文号为“新环评价函[2010]863号”。于2012年取得竣工验收批复，批复文号为“新环评价函[2012]939号”。环评及验收批复详见</w:t>
            </w:r>
            <w:r>
              <w:rPr>
                <w:color w:val="auto"/>
                <w:highlight w:val="none"/>
              </w:rPr>
              <w:fldChar w:fldCharType="begin"/>
            </w:r>
            <w:r>
              <w:rPr>
                <w:color w:val="auto"/>
                <w:highlight w:val="none"/>
              </w:rPr>
              <w:instrText xml:space="preserve"> REF _Ref205914316 \r  \* MERGEFORMAT</w:instrText>
            </w:r>
            <w:r>
              <w:rPr>
                <w:color w:val="auto"/>
                <w:highlight w:val="none"/>
              </w:rPr>
              <w:fldChar w:fldCharType="separate"/>
            </w:r>
            <w:r>
              <w:rPr>
                <w:color w:val="auto"/>
                <w:highlight w:val="none"/>
              </w:rPr>
              <w:t>附件2</w:t>
            </w:r>
            <w:r>
              <w:rPr>
                <w:color w:val="auto"/>
                <w:highlight w:val="none"/>
              </w:rPr>
              <w:fldChar w:fldCharType="end"/>
            </w:r>
            <w:r>
              <w:rPr>
                <w:rFonts w:hint="eastAsia"/>
                <w:color w:val="auto"/>
                <w:highlight w:val="none"/>
              </w:rPr>
              <w:t>。</w:t>
            </w:r>
          </w:p>
          <w:p w14:paraId="026490C1">
            <w:pPr>
              <w:pStyle w:val="71"/>
              <w:numPr>
                <w:ilvl w:val="0"/>
                <w:numId w:val="0"/>
              </w:numPr>
              <w:spacing w:line="332" w:lineRule="auto"/>
              <w:ind w:firstLine="420" w:firstLineChars="200"/>
              <w:rPr>
                <w:color w:val="auto"/>
                <w:highlight w:val="none"/>
              </w:rPr>
            </w:pPr>
            <w:r>
              <w:rPr>
                <w:rFonts w:hint="eastAsia"/>
                <w:color w:val="auto"/>
                <w:highlight w:val="none"/>
                <w:lang w:eastAsia="zh-CN"/>
              </w:rPr>
              <w:t>春风联合站</w:t>
            </w:r>
            <w:r>
              <w:rPr>
                <w:rFonts w:hint="eastAsia"/>
                <w:color w:val="auto"/>
                <w:highlight w:val="none"/>
              </w:rPr>
              <w:t>采出水处理系统出水中的石油类可达到《碎屑岩油藏注水水质指标技术要求及分析方法》（SY/T 5329-2022）中的控制指标。</w:t>
            </w:r>
            <w:r>
              <w:rPr>
                <w:color w:val="auto"/>
                <w:highlight w:val="none"/>
              </w:rPr>
              <w:t>本项目施工期预计产生</w:t>
            </w:r>
            <w:r>
              <w:rPr>
                <w:rFonts w:hint="eastAsia"/>
                <w:color w:val="auto"/>
                <w:highlight w:val="none"/>
                <w:lang w:val="en-US" w:eastAsia="zh-CN"/>
              </w:rPr>
              <w:t>1215.7</w:t>
            </w:r>
            <w:r>
              <w:rPr>
                <w:color w:val="auto"/>
                <w:highlight w:val="none"/>
              </w:rPr>
              <w:t>m</w:t>
            </w:r>
            <w:r>
              <w:rPr>
                <w:color w:val="auto"/>
                <w:highlight w:val="none"/>
                <w:vertAlign w:val="superscript"/>
              </w:rPr>
              <w:t>3</w:t>
            </w:r>
            <w:r>
              <w:rPr>
                <w:color w:val="auto"/>
                <w:highlight w:val="none"/>
              </w:rPr>
              <w:t>的废水，其中井下作业废液</w:t>
            </w:r>
            <w:r>
              <w:rPr>
                <w:rFonts w:hint="eastAsia"/>
                <w:color w:val="auto"/>
                <w:highlight w:val="none"/>
                <w:lang w:val="en-US" w:eastAsia="zh-CN"/>
              </w:rPr>
              <w:t>135.7</w:t>
            </w:r>
            <w:r>
              <w:rPr>
                <w:rFonts w:hint="eastAsia"/>
                <w:color w:val="auto"/>
                <w:highlight w:val="none"/>
              </w:rPr>
              <w:t>m</w:t>
            </w:r>
            <w:r>
              <w:rPr>
                <w:rFonts w:hint="eastAsia"/>
                <w:color w:val="auto"/>
                <w:highlight w:val="none"/>
                <w:vertAlign w:val="superscript"/>
              </w:rPr>
              <w:t>3</w:t>
            </w:r>
            <w:r>
              <w:rPr>
                <w:color w:val="auto"/>
                <w:highlight w:val="none"/>
              </w:rPr>
              <w:t>、压裂返排液</w:t>
            </w:r>
            <w:r>
              <w:rPr>
                <w:rFonts w:hint="eastAsia"/>
                <w:color w:val="auto"/>
                <w:highlight w:val="none"/>
              </w:rPr>
              <w:t>1080</w:t>
            </w:r>
            <w:r>
              <w:rPr>
                <w:color w:val="auto"/>
                <w:highlight w:val="none"/>
              </w:rPr>
              <w:t>m</w:t>
            </w:r>
            <w:r>
              <w:rPr>
                <w:color w:val="auto"/>
                <w:highlight w:val="none"/>
                <w:vertAlign w:val="superscript"/>
              </w:rPr>
              <w:t>3</w:t>
            </w:r>
            <w:r>
              <w:rPr>
                <w:color w:val="auto"/>
                <w:highlight w:val="none"/>
              </w:rPr>
              <w:t>。</w:t>
            </w:r>
            <w:r>
              <w:rPr>
                <w:rFonts w:hint="eastAsia"/>
                <w:color w:val="auto"/>
                <w:highlight w:val="none"/>
                <w:lang w:eastAsia="zh-CN"/>
              </w:rPr>
              <w:t>春风联合站</w:t>
            </w:r>
            <w:r>
              <w:rPr>
                <w:rFonts w:hint="eastAsia"/>
                <w:color w:val="auto"/>
                <w:highlight w:val="none"/>
              </w:rPr>
              <w:t>采出水处理系统设计处理规模为5400m</w:t>
            </w:r>
            <w:r>
              <w:rPr>
                <w:rFonts w:hint="eastAsia"/>
                <w:color w:val="auto"/>
                <w:highlight w:val="none"/>
                <w:vertAlign w:val="superscript"/>
              </w:rPr>
              <w:t>3</w:t>
            </w:r>
            <w:r>
              <w:rPr>
                <w:rFonts w:hint="eastAsia"/>
                <w:color w:val="auto"/>
                <w:highlight w:val="none"/>
              </w:rPr>
              <w:t>/d，目前实际处理量为3800m</w:t>
            </w:r>
            <w:r>
              <w:rPr>
                <w:rFonts w:hint="eastAsia"/>
                <w:color w:val="auto"/>
                <w:highlight w:val="none"/>
                <w:vertAlign w:val="superscript"/>
              </w:rPr>
              <w:t>3</w:t>
            </w:r>
            <w:r>
              <w:rPr>
                <w:rFonts w:hint="eastAsia"/>
                <w:color w:val="auto"/>
                <w:highlight w:val="none"/>
              </w:rPr>
              <w:t>/d，可满足本项目井下作业废液、压裂返排液处理要求。</w:t>
            </w:r>
          </w:p>
          <w:p w14:paraId="6515AE8B">
            <w:pPr>
              <w:pStyle w:val="71"/>
              <w:numPr>
                <w:ilvl w:val="0"/>
                <w:numId w:val="21"/>
              </w:numPr>
              <w:spacing w:line="332" w:lineRule="auto"/>
              <w:ind w:left="0" w:leftChars="0" w:firstLine="420" w:firstLineChars="200"/>
              <w:rPr>
                <w:rFonts w:hint="eastAsia"/>
                <w:color w:val="auto"/>
                <w:highlight w:val="none"/>
                <w:lang w:eastAsia="zh-CN"/>
              </w:rPr>
            </w:pPr>
            <w:r>
              <w:rPr>
                <w:rFonts w:hint="eastAsia"/>
                <w:color w:val="auto"/>
                <w:highlight w:val="none"/>
                <w:lang w:eastAsia="zh-CN"/>
              </w:rPr>
              <w:t>山东奥友环保工程有限责任公司乌苏分公司</w:t>
            </w:r>
          </w:p>
          <w:p w14:paraId="31055326">
            <w:pPr>
              <w:pStyle w:val="71"/>
              <w:numPr>
                <w:ilvl w:val="0"/>
                <w:numId w:val="0"/>
              </w:numPr>
              <w:spacing w:line="332" w:lineRule="auto"/>
              <w:ind w:firstLine="420" w:firstLineChars="200"/>
              <w:rPr>
                <w:rFonts w:hint="eastAsia"/>
                <w:color w:val="auto"/>
                <w:highlight w:val="none"/>
                <w:lang w:val="en-US" w:eastAsia="zh-CN"/>
              </w:rPr>
            </w:pPr>
            <w:r>
              <w:rPr>
                <w:rFonts w:hint="eastAsia"/>
                <w:color w:val="auto"/>
                <w:highlight w:val="none"/>
                <w:lang w:eastAsia="zh-CN"/>
              </w:rPr>
              <w:t>山东奥友环保工程有限责任公司乌苏分公司钻井泥浆废弃液不落地处理项目</w:t>
            </w:r>
            <w:r>
              <w:rPr>
                <w:rFonts w:hint="eastAsia"/>
                <w:color w:val="auto"/>
                <w:highlight w:val="none"/>
              </w:rPr>
              <w:t>位于于第七师123团职工多元化增收创业园，地理坐标为东经84°31</w:t>
            </w:r>
            <w:r>
              <w:rPr>
                <w:rFonts w:hint="eastAsia"/>
                <w:color w:val="auto"/>
                <w:highlight w:val="none"/>
                <w:lang w:val="en-US" w:eastAsia="zh-CN"/>
              </w:rPr>
              <w:t>′</w:t>
            </w:r>
            <w:r>
              <w:rPr>
                <w:rFonts w:hint="eastAsia"/>
                <w:color w:val="auto"/>
                <w:highlight w:val="none"/>
              </w:rPr>
              <w:t>19.96</w:t>
            </w:r>
            <w:r>
              <w:rPr>
                <w:rFonts w:hint="eastAsia"/>
                <w:color w:val="auto"/>
                <w:highlight w:val="none"/>
                <w:lang w:val="en-US" w:eastAsia="zh-CN"/>
              </w:rPr>
              <w:t>″</w:t>
            </w:r>
            <w:r>
              <w:rPr>
                <w:rFonts w:hint="eastAsia"/>
                <w:color w:val="auto"/>
                <w:highlight w:val="none"/>
              </w:rPr>
              <w:t>，北纬</w:t>
            </w:r>
            <w:r>
              <w:rPr>
                <w:rFonts w:hint="eastAsia"/>
                <w:color w:val="auto"/>
                <w:highlight w:val="none"/>
                <w:lang w:val="en-US" w:eastAsia="zh-CN"/>
              </w:rPr>
              <w:t>44°56′43.38″</w:t>
            </w:r>
            <w:r>
              <w:rPr>
                <w:rFonts w:hint="eastAsia"/>
                <w:color w:val="auto"/>
                <w:highlight w:val="none"/>
              </w:rPr>
              <w:t>。项目建设</w:t>
            </w:r>
            <w:r>
              <w:rPr>
                <w:rFonts w:hint="eastAsia"/>
                <w:color w:val="auto"/>
                <w:highlight w:val="none"/>
                <w:lang w:val="en-US" w:eastAsia="zh-CN"/>
              </w:rPr>
              <w:t>泥浆池、泥浆处理设备等</w:t>
            </w:r>
            <w:r>
              <w:rPr>
                <w:rFonts w:hint="eastAsia"/>
                <w:color w:val="auto"/>
                <w:highlight w:val="none"/>
              </w:rPr>
              <w:t>，</w:t>
            </w:r>
            <w:r>
              <w:rPr>
                <w:rFonts w:hint="eastAsia"/>
                <w:color w:val="auto"/>
                <w:highlight w:val="none"/>
                <w:lang w:val="en-US" w:eastAsia="zh-CN"/>
              </w:rPr>
              <w:t>设计处理规模为10</w:t>
            </w:r>
            <w:r>
              <w:rPr>
                <w:rFonts w:hint="eastAsia"/>
                <w:color w:val="auto"/>
                <w:highlight w:val="none"/>
              </w:rPr>
              <w:t>万</w:t>
            </w:r>
            <w:r>
              <w:rPr>
                <w:rFonts w:hint="eastAsia"/>
                <w:color w:val="auto"/>
                <w:highlight w:val="none"/>
                <w:lang w:val="en-US" w:eastAsia="zh-CN"/>
              </w:rPr>
              <w:t>m³/年，</w:t>
            </w:r>
            <w:r>
              <w:rPr>
                <w:rFonts w:hint="eastAsia"/>
                <w:color w:val="auto"/>
                <w:highlight w:val="none"/>
              </w:rPr>
              <w:t>水基钻井废弃物</w:t>
            </w:r>
            <w:r>
              <w:rPr>
                <w:rFonts w:hint="eastAsia"/>
                <w:color w:val="auto"/>
                <w:highlight w:val="none"/>
                <w:lang w:val="en-US" w:eastAsia="zh-CN"/>
              </w:rPr>
              <w:t>经“化学脱稳+压滤离心+混凝沉降”处理后，经临时储存后，作为铺垫井场、垫路基的材料。</w:t>
            </w:r>
          </w:p>
          <w:p w14:paraId="693D6CA8">
            <w:pPr>
              <w:pStyle w:val="71"/>
              <w:numPr>
                <w:ilvl w:val="0"/>
                <w:numId w:val="0"/>
              </w:numPr>
              <w:spacing w:line="332" w:lineRule="auto"/>
              <w:ind w:firstLine="420" w:firstLineChars="200"/>
              <w:rPr>
                <w:rFonts w:hint="eastAsia"/>
                <w:color w:val="auto"/>
                <w:highlight w:val="none"/>
                <w:lang w:eastAsia="zh-CN"/>
              </w:rPr>
            </w:pPr>
            <w:r>
              <w:rPr>
                <w:rFonts w:hint="eastAsia"/>
                <w:color w:val="auto"/>
                <w:highlight w:val="none"/>
              </w:rPr>
              <w:t>山东奥友环保工程有限责任公司乌苏分公司钻井泥浆废弃液不落地处理项目，于201</w:t>
            </w:r>
            <w:r>
              <w:rPr>
                <w:rFonts w:hint="eastAsia"/>
                <w:color w:val="auto"/>
                <w:highlight w:val="none"/>
                <w:lang w:val="en-US" w:eastAsia="zh-CN"/>
              </w:rPr>
              <w:t>7</w:t>
            </w:r>
            <w:r>
              <w:rPr>
                <w:rFonts w:hint="eastAsia"/>
                <w:color w:val="auto"/>
                <w:highlight w:val="none"/>
              </w:rPr>
              <w:t>年取得环评批复，批复文号为“师环审[201</w:t>
            </w:r>
            <w:r>
              <w:rPr>
                <w:rFonts w:hint="eastAsia"/>
                <w:color w:val="auto"/>
                <w:highlight w:val="none"/>
                <w:lang w:val="en-US" w:eastAsia="zh-CN"/>
              </w:rPr>
              <w:t>7</w:t>
            </w:r>
            <w:r>
              <w:rPr>
                <w:rFonts w:hint="eastAsia"/>
                <w:color w:val="auto"/>
                <w:highlight w:val="none"/>
              </w:rPr>
              <w:t>]</w:t>
            </w:r>
            <w:r>
              <w:rPr>
                <w:rFonts w:hint="eastAsia"/>
                <w:color w:val="auto"/>
                <w:highlight w:val="none"/>
                <w:lang w:val="en-US" w:eastAsia="zh-CN"/>
              </w:rPr>
              <w:t>192</w:t>
            </w:r>
            <w:r>
              <w:rPr>
                <w:rFonts w:hint="eastAsia"/>
                <w:color w:val="auto"/>
                <w:highlight w:val="none"/>
              </w:rPr>
              <w:t>号”；于2019年取得竣工验收批复，批复文号为“师环验[2019]</w:t>
            </w:r>
            <w:r>
              <w:rPr>
                <w:rFonts w:hint="eastAsia"/>
                <w:color w:val="auto"/>
                <w:highlight w:val="none"/>
                <w:lang w:val="en-US" w:eastAsia="zh-CN"/>
              </w:rPr>
              <w:t>150</w:t>
            </w:r>
            <w:r>
              <w:rPr>
                <w:rFonts w:hint="eastAsia"/>
                <w:color w:val="auto"/>
                <w:highlight w:val="none"/>
              </w:rPr>
              <w:t>号”。环评批复</w:t>
            </w:r>
            <w:r>
              <w:rPr>
                <w:rFonts w:hint="eastAsia"/>
                <w:color w:val="auto"/>
                <w:highlight w:val="none"/>
                <w:lang w:val="en-US" w:eastAsia="zh-CN"/>
              </w:rPr>
              <w:t>文件</w:t>
            </w:r>
            <w:r>
              <w:rPr>
                <w:rFonts w:hint="eastAsia"/>
                <w:color w:val="auto"/>
                <w:highlight w:val="none"/>
              </w:rPr>
              <w:t>详见</w:t>
            </w:r>
            <w:r>
              <w:rPr>
                <w:color w:val="auto"/>
                <w:highlight w:val="none"/>
              </w:rPr>
              <w:fldChar w:fldCharType="begin"/>
            </w:r>
            <w:r>
              <w:rPr>
                <w:color w:val="auto"/>
                <w:highlight w:val="none"/>
              </w:rPr>
              <w:instrText xml:space="preserve"> REF _Ref205914946 \r  \* MERGEFORMAT </w:instrText>
            </w:r>
            <w:r>
              <w:rPr>
                <w:color w:val="auto"/>
                <w:highlight w:val="none"/>
              </w:rPr>
              <w:fldChar w:fldCharType="separate"/>
            </w:r>
            <w:r>
              <w:rPr>
                <w:color w:val="auto"/>
                <w:highlight w:val="none"/>
              </w:rPr>
              <w:t>附件</w:t>
            </w:r>
            <w:r>
              <w:rPr>
                <w:rFonts w:hint="eastAsia"/>
                <w:color w:val="auto"/>
                <w:highlight w:val="none"/>
                <w:lang w:val="en-US" w:eastAsia="zh-CN"/>
              </w:rPr>
              <w:t>3</w:t>
            </w:r>
            <w:r>
              <w:rPr>
                <w:color w:val="auto"/>
                <w:highlight w:val="none"/>
              </w:rPr>
              <w:fldChar w:fldCharType="end"/>
            </w:r>
            <w:r>
              <w:rPr>
                <w:rFonts w:hint="eastAsia"/>
                <w:color w:val="auto"/>
                <w:highlight w:val="none"/>
              </w:rPr>
              <w:t>。</w:t>
            </w:r>
          </w:p>
          <w:p w14:paraId="4257CBB7">
            <w:pPr>
              <w:pStyle w:val="3"/>
              <w:numPr>
                <w:ilvl w:val="0"/>
                <w:numId w:val="13"/>
              </w:numPr>
              <w:spacing w:line="332" w:lineRule="auto"/>
              <w:ind w:firstLine="420"/>
              <w:rPr>
                <w:color w:val="auto"/>
                <w:sz w:val="21"/>
                <w:highlight w:val="none"/>
              </w:rPr>
            </w:pPr>
            <w:r>
              <w:rPr>
                <w:rFonts w:hint="eastAsia"/>
                <w:color w:val="auto"/>
                <w:sz w:val="21"/>
                <w:highlight w:val="none"/>
              </w:rPr>
              <w:t>劳动定员和工作制度</w:t>
            </w:r>
          </w:p>
          <w:p w14:paraId="3D2EF343">
            <w:pPr>
              <w:pStyle w:val="71"/>
              <w:numPr>
                <w:ilvl w:val="0"/>
                <w:numId w:val="0"/>
              </w:numPr>
              <w:spacing w:line="332" w:lineRule="auto"/>
              <w:ind w:firstLine="420" w:firstLineChars="200"/>
              <w:rPr>
                <w:color w:val="auto"/>
                <w:highlight w:val="none"/>
              </w:rPr>
            </w:pPr>
            <w:r>
              <w:rPr>
                <w:rFonts w:hint="eastAsia"/>
                <w:color w:val="auto"/>
                <w:highlight w:val="none"/>
              </w:rPr>
              <w:t>本项目钻井周期</w:t>
            </w:r>
            <w:r>
              <w:rPr>
                <w:rFonts w:hint="eastAsia"/>
                <w:color w:val="auto"/>
                <w:highlight w:val="none"/>
                <w:lang w:eastAsia="zh-CN"/>
              </w:rPr>
              <w:t>180d</w:t>
            </w:r>
            <w:r>
              <w:rPr>
                <w:rFonts w:hint="eastAsia"/>
                <w:color w:val="auto"/>
                <w:highlight w:val="none"/>
              </w:rPr>
              <w:t>，钻井队每天在岗人数为24人；试油周期</w:t>
            </w:r>
            <w:r>
              <w:rPr>
                <w:rFonts w:hint="eastAsia"/>
                <w:color w:val="auto"/>
                <w:highlight w:val="none"/>
                <w:lang w:eastAsia="zh-CN"/>
              </w:rPr>
              <w:t>180d</w:t>
            </w:r>
            <w:r>
              <w:rPr>
                <w:rFonts w:hint="eastAsia"/>
                <w:color w:val="auto"/>
                <w:highlight w:val="none"/>
              </w:rPr>
              <w:t>，试油队</w:t>
            </w:r>
            <w:r>
              <w:rPr>
                <w:rFonts w:hint="eastAsia"/>
                <w:color w:val="auto"/>
                <w:highlight w:val="none"/>
                <w:lang w:val="en-US" w:eastAsia="zh-CN"/>
              </w:rPr>
              <w:t>每天在岗人数为</w:t>
            </w:r>
            <w:r>
              <w:rPr>
                <w:rFonts w:hint="eastAsia"/>
                <w:color w:val="auto"/>
                <w:highlight w:val="none"/>
              </w:rPr>
              <w:t>20人。因此本项目总施工周期为</w:t>
            </w:r>
            <w:r>
              <w:rPr>
                <w:rFonts w:hint="eastAsia"/>
                <w:color w:val="auto"/>
                <w:highlight w:val="none"/>
                <w:lang w:eastAsia="zh-CN"/>
              </w:rPr>
              <w:t>360d</w:t>
            </w:r>
            <w:r>
              <w:rPr>
                <w:rFonts w:hint="eastAsia"/>
                <w:color w:val="auto"/>
                <w:highlight w:val="none"/>
              </w:rPr>
              <w:t>。</w:t>
            </w:r>
          </w:p>
        </w:tc>
      </w:tr>
      <w:tr w14:paraId="72FA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521" w:type="dxa"/>
            <w:vAlign w:val="center"/>
          </w:tcPr>
          <w:p w14:paraId="5891949B">
            <w:pPr>
              <w:pStyle w:val="3"/>
              <w:spacing w:line="240" w:lineRule="auto"/>
              <w:ind w:firstLine="0" w:firstLineChars="0"/>
              <w:jc w:val="center"/>
              <w:rPr>
                <w:color w:val="auto"/>
                <w:sz w:val="21"/>
                <w:highlight w:val="none"/>
              </w:rPr>
            </w:pPr>
            <w:r>
              <w:rPr>
                <w:rFonts w:hint="eastAsia"/>
                <w:color w:val="auto"/>
                <w:sz w:val="21"/>
                <w:highlight w:val="none"/>
              </w:rPr>
              <w:t>总</w:t>
            </w:r>
          </w:p>
          <w:p w14:paraId="63FEE555">
            <w:pPr>
              <w:pStyle w:val="3"/>
              <w:spacing w:line="240" w:lineRule="auto"/>
              <w:ind w:firstLine="0" w:firstLineChars="0"/>
              <w:jc w:val="center"/>
              <w:rPr>
                <w:color w:val="auto"/>
                <w:sz w:val="21"/>
                <w:highlight w:val="none"/>
              </w:rPr>
            </w:pPr>
            <w:r>
              <w:rPr>
                <w:rFonts w:hint="eastAsia"/>
                <w:color w:val="auto"/>
                <w:sz w:val="21"/>
                <w:highlight w:val="none"/>
              </w:rPr>
              <w:t>平</w:t>
            </w:r>
          </w:p>
          <w:p w14:paraId="44B0E4B7">
            <w:pPr>
              <w:pStyle w:val="3"/>
              <w:spacing w:line="240" w:lineRule="auto"/>
              <w:ind w:firstLine="0" w:firstLineChars="0"/>
              <w:jc w:val="center"/>
              <w:rPr>
                <w:color w:val="auto"/>
                <w:sz w:val="21"/>
                <w:highlight w:val="none"/>
              </w:rPr>
            </w:pPr>
            <w:r>
              <w:rPr>
                <w:rFonts w:hint="eastAsia"/>
                <w:color w:val="auto"/>
                <w:sz w:val="21"/>
                <w:highlight w:val="none"/>
              </w:rPr>
              <w:t>面</w:t>
            </w:r>
          </w:p>
          <w:p w14:paraId="51431D77">
            <w:pPr>
              <w:pStyle w:val="3"/>
              <w:spacing w:line="240" w:lineRule="auto"/>
              <w:ind w:firstLine="0" w:firstLineChars="0"/>
              <w:jc w:val="center"/>
              <w:rPr>
                <w:color w:val="auto"/>
                <w:sz w:val="21"/>
                <w:highlight w:val="none"/>
              </w:rPr>
            </w:pPr>
            <w:r>
              <w:rPr>
                <w:rFonts w:hint="eastAsia"/>
                <w:color w:val="auto"/>
                <w:sz w:val="21"/>
                <w:highlight w:val="none"/>
              </w:rPr>
              <w:t>及</w:t>
            </w:r>
          </w:p>
          <w:p w14:paraId="16CE4808">
            <w:pPr>
              <w:pStyle w:val="3"/>
              <w:spacing w:line="240" w:lineRule="auto"/>
              <w:ind w:firstLine="0" w:firstLineChars="0"/>
              <w:jc w:val="center"/>
              <w:rPr>
                <w:color w:val="auto"/>
                <w:sz w:val="21"/>
                <w:highlight w:val="none"/>
              </w:rPr>
            </w:pPr>
            <w:r>
              <w:rPr>
                <w:rFonts w:hint="eastAsia"/>
                <w:color w:val="auto"/>
                <w:sz w:val="21"/>
                <w:highlight w:val="none"/>
              </w:rPr>
              <w:t>现</w:t>
            </w:r>
          </w:p>
          <w:p w14:paraId="02AE20AB">
            <w:pPr>
              <w:pStyle w:val="3"/>
              <w:spacing w:line="240" w:lineRule="auto"/>
              <w:ind w:firstLine="0" w:firstLineChars="0"/>
              <w:jc w:val="center"/>
              <w:rPr>
                <w:color w:val="auto"/>
                <w:sz w:val="21"/>
                <w:highlight w:val="none"/>
              </w:rPr>
            </w:pPr>
            <w:r>
              <w:rPr>
                <w:rFonts w:hint="eastAsia"/>
                <w:color w:val="auto"/>
                <w:sz w:val="21"/>
                <w:highlight w:val="none"/>
              </w:rPr>
              <w:t>场</w:t>
            </w:r>
          </w:p>
          <w:p w14:paraId="6D27F7B7">
            <w:pPr>
              <w:pStyle w:val="3"/>
              <w:spacing w:line="240" w:lineRule="auto"/>
              <w:ind w:firstLine="0" w:firstLineChars="0"/>
              <w:jc w:val="center"/>
              <w:rPr>
                <w:color w:val="auto"/>
                <w:sz w:val="21"/>
                <w:highlight w:val="none"/>
              </w:rPr>
            </w:pPr>
            <w:r>
              <w:rPr>
                <w:rFonts w:hint="eastAsia"/>
                <w:color w:val="auto"/>
                <w:sz w:val="21"/>
                <w:highlight w:val="none"/>
              </w:rPr>
              <w:t>布</w:t>
            </w:r>
          </w:p>
          <w:p w14:paraId="31571F25">
            <w:pPr>
              <w:pStyle w:val="3"/>
              <w:spacing w:line="240" w:lineRule="auto"/>
              <w:ind w:firstLine="0" w:firstLineChars="0"/>
              <w:jc w:val="center"/>
              <w:rPr>
                <w:color w:val="auto"/>
                <w:sz w:val="21"/>
                <w:highlight w:val="none"/>
              </w:rPr>
            </w:pPr>
            <w:r>
              <w:rPr>
                <w:rFonts w:hint="eastAsia"/>
                <w:color w:val="auto"/>
                <w:sz w:val="21"/>
                <w:highlight w:val="none"/>
              </w:rPr>
              <w:t>置</w:t>
            </w:r>
          </w:p>
        </w:tc>
        <w:tc>
          <w:tcPr>
            <w:tcW w:w="7752" w:type="dxa"/>
            <w:tcMar>
              <w:top w:w="113" w:type="dxa"/>
              <w:bottom w:w="113" w:type="dxa"/>
            </w:tcMar>
            <w:vAlign w:val="center"/>
          </w:tcPr>
          <w:p w14:paraId="76529BFD">
            <w:pPr>
              <w:pStyle w:val="3"/>
              <w:ind w:firstLine="420"/>
              <w:rPr>
                <w:color w:val="auto"/>
                <w:sz w:val="21"/>
                <w:highlight w:val="none"/>
              </w:rPr>
            </w:pPr>
            <w:r>
              <w:rPr>
                <w:rFonts w:hint="eastAsia"/>
                <w:color w:val="auto"/>
                <w:sz w:val="21"/>
                <w:highlight w:val="none"/>
              </w:rPr>
              <w:t>1、项目占地</w:t>
            </w:r>
          </w:p>
          <w:p w14:paraId="5A373909">
            <w:pPr>
              <w:pStyle w:val="3"/>
              <w:ind w:firstLine="420"/>
              <w:rPr>
                <w:color w:val="auto"/>
                <w:sz w:val="21"/>
                <w:szCs w:val="21"/>
                <w:highlight w:val="none"/>
              </w:rPr>
            </w:pPr>
            <w:r>
              <w:rPr>
                <w:rFonts w:hint="eastAsia"/>
                <w:color w:val="auto"/>
                <w:sz w:val="21"/>
                <w:szCs w:val="21"/>
                <w:highlight w:val="none"/>
              </w:rPr>
              <w:t>本项目总占地面积为</w:t>
            </w:r>
            <w:r>
              <w:rPr>
                <w:rFonts w:hint="eastAsia"/>
                <w:color w:val="auto"/>
                <w:sz w:val="21"/>
                <w:szCs w:val="21"/>
                <w:highlight w:val="none"/>
                <w:lang w:eastAsia="zh-CN"/>
              </w:rPr>
              <w:t>25284</w:t>
            </w:r>
            <w:r>
              <w:rPr>
                <w:rFonts w:hint="eastAsia"/>
                <w:color w:val="auto"/>
                <w:sz w:val="21"/>
                <w:szCs w:val="21"/>
                <w:highlight w:val="none"/>
              </w:rPr>
              <w:t>m</w:t>
            </w:r>
            <w:r>
              <w:rPr>
                <w:rFonts w:hint="eastAsia"/>
                <w:color w:val="auto"/>
                <w:sz w:val="21"/>
                <w:szCs w:val="21"/>
                <w:highlight w:val="none"/>
                <w:vertAlign w:val="superscript"/>
              </w:rPr>
              <w:t>2</w:t>
            </w:r>
            <w:r>
              <w:rPr>
                <w:rFonts w:hint="eastAsia"/>
                <w:color w:val="auto"/>
                <w:sz w:val="21"/>
                <w:szCs w:val="21"/>
                <w:highlight w:val="none"/>
              </w:rPr>
              <w:t>，均为临时占地，占地类型主要为灌木林地。本项目占地情况见</w:t>
            </w:r>
            <w:r>
              <w:rPr>
                <w:rFonts w:hint="eastAsia"/>
                <w:color w:val="auto"/>
                <w:sz w:val="21"/>
                <w:szCs w:val="21"/>
                <w:highlight w:val="none"/>
              </w:rPr>
              <w:fldChar w:fldCharType="begin"/>
            </w:r>
            <w:r>
              <w:rPr>
                <w:color w:val="auto"/>
                <w:highlight w:val="none"/>
              </w:rPr>
              <w:instrText xml:space="preserve"> REF _Ref205825258 \h  \* MERGEFORMAT</w:instrText>
            </w:r>
            <w:r>
              <w:rPr>
                <w:rFonts w:hint="eastAsia"/>
                <w:color w:val="auto"/>
                <w:sz w:val="21"/>
                <w:szCs w:val="21"/>
                <w:highlight w:val="none"/>
              </w:rPr>
              <w:fldChar w:fldCharType="separate"/>
            </w:r>
            <w:r>
              <w:rPr>
                <w:rFonts w:hint="eastAsia"/>
                <w:color w:val="auto"/>
                <w:sz w:val="21"/>
                <w:szCs w:val="21"/>
                <w:highlight w:val="none"/>
              </w:rPr>
              <w:t>表23</w:t>
            </w:r>
            <w:r>
              <w:rPr>
                <w:rFonts w:hint="eastAsia"/>
                <w:color w:val="auto"/>
                <w:sz w:val="21"/>
                <w:szCs w:val="21"/>
                <w:highlight w:val="none"/>
              </w:rPr>
              <w:fldChar w:fldCharType="end"/>
            </w:r>
            <w:r>
              <w:rPr>
                <w:rFonts w:hint="eastAsia"/>
                <w:color w:val="auto"/>
                <w:sz w:val="21"/>
                <w:szCs w:val="21"/>
                <w:highlight w:val="none"/>
              </w:rPr>
              <w:t>。</w:t>
            </w:r>
          </w:p>
          <w:p w14:paraId="0DF892A0">
            <w:pPr>
              <w:pStyle w:val="13"/>
              <w:bidi w:val="0"/>
              <w:rPr>
                <w:color w:val="auto"/>
                <w:szCs w:val="18"/>
                <w:highlight w:val="none"/>
              </w:rPr>
            </w:pPr>
            <w:bookmarkStart w:id="43" w:name="_Ref205825258"/>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23</w:t>
            </w:r>
            <w:r>
              <w:rPr>
                <w:rFonts w:hint="eastAsia"/>
                <w:color w:val="auto"/>
                <w:highlight w:val="none"/>
              </w:rPr>
              <w:fldChar w:fldCharType="end"/>
            </w:r>
            <w:bookmarkEnd w:id="43"/>
            <w:r>
              <w:rPr>
                <w:rFonts w:hint="eastAsia"/>
                <w:color w:val="auto"/>
                <w:highlight w:val="none"/>
              </w:rPr>
              <w:t xml:space="preserve">  本项目占地情况一览表</w:t>
            </w:r>
          </w:p>
          <w:tbl>
            <w:tblPr>
              <w:tblStyle w:val="6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5"/>
              <w:gridCol w:w="3355"/>
            </w:tblGrid>
            <w:tr w14:paraId="63FE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9" w:type="pct"/>
                  <w:shd w:val="clear" w:color="auto" w:fill="auto"/>
                  <w:vAlign w:val="center"/>
                </w:tcPr>
                <w:p w14:paraId="7CF6E966">
                  <w:pPr>
                    <w:pStyle w:val="41"/>
                    <w:rPr>
                      <w:color w:val="auto"/>
                      <w:highlight w:val="none"/>
                    </w:rPr>
                  </w:pPr>
                  <w:r>
                    <w:rPr>
                      <w:rFonts w:hint="eastAsia"/>
                      <w:color w:val="auto"/>
                      <w:highlight w:val="none"/>
                    </w:rPr>
                    <w:t>建设项目</w:t>
                  </w:r>
                </w:p>
              </w:tc>
              <w:tc>
                <w:tcPr>
                  <w:tcW w:w="2230" w:type="pct"/>
                  <w:shd w:val="clear" w:color="auto" w:fill="auto"/>
                  <w:vAlign w:val="center"/>
                </w:tcPr>
                <w:p w14:paraId="1B4BF3D0">
                  <w:pPr>
                    <w:pStyle w:val="41"/>
                    <w:rPr>
                      <w:color w:val="auto"/>
                      <w:highlight w:val="none"/>
                    </w:rPr>
                  </w:pPr>
                  <w:r>
                    <w:rPr>
                      <w:rFonts w:hint="eastAsia"/>
                      <w:color w:val="auto"/>
                      <w:highlight w:val="none"/>
                    </w:rPr>
                    <w:t>临时占地（m</w:t>
                  </w:r>
                  <w:r>
                    <w:rPr>
                      <w:rFonts w:hint="eastAsia"/>
                      <w:color w:val="auto"/>
                      <w:highlight w:val="none"/>
                      <w:vertAlign w:val="superscript"/>
                    </w:rPr>
                    <w:t>2</w:t>
                  </w:r>
                  <w:r>
                    <w:rPr>
                      <w:rFonts w:hint="eastAsia"/>
                      <w:color w:val="auto"/>
                      <w:highlight w:val="none"/>
                    </w:rPr>
                    <w:t>）</w:t>
                  </w:r>
                </w:p>
              </w:tc>
            </w:tr>
            <w:tr w14:paraId="50DB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9" w:type="pct"/>
                  <w:shd w:val="clear" w:color="auto" w:fill="auto"/>
                  <w:vAlign w:val="center"/>
                </w:tcPr>
                <w:p w14:paraId="5198DBD9">
                  <w:pPr>
                    <w:pStyle w:val="41"/>
                    <w:rPr>
                      <w:color w:val="auto"/>
                      <w:highlight w:val="none"/>
                    </w:rPr>
                  </w:pPr>
                  <w:r>
                    <w:rPr>
                      <w:rFonts w:hint="eastAsia"/>
                      <w:color w:val="auto"/>
                      <w:highlight w:val="none"/>
                    </w:rPr>
                    <w:t>进井道路</w:t>
                  </w:r>
                </w:p>
              </w:tc>
              <w:tc>
                <w:tcPr>
                  <w:tcW w:w="2230" w:type="pct"/>
                  <w:shd w:val="clear" w:color="auto" w:fill="auto"/>
                  <w:vAlign w:val="center"/>
                </w:tcPr>
                <w:p w14:paraId="573D5962">
                  <w:pPr>
                    <w:pStyle w:val="41"/>
                    <w:rPr>
                      <w:color w:val="auto"/>
                      <w:highlight w:val="none"/>
                    </w:rPr>
                  </w:pPr>
                  <w:r>
                    <w:rPr>
                      <w:rFonts w:hint="eastAsia"/>
                      <w:color w:val="auto"/>
                      <w:highlight w:val="none"/>
                    </w:rPr>
                    <w:t>2232</w:t>
                  </w:r>
                </w:p>
              </w:tc>
            </w:tr>
            <w:tr w14:paraId="3E3E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9" w:type="pct"/>
                  <w:shd w:val="clear" w:color="auto" w:fill="auto"/>
                  <w:vAlign w:val="center"/>
                </w:tcPr>
                <w:p w14:paraId="007773F6">
                  <w:pPr>
                    <w:pStyle w:val="41"/>
                    <w:rPr>
                      <w:color w:val="auto"/>
                      <w:highlight w:val="none"/>
                    </w:rPr>
                  </w:pPr>
                  <w:r>
                    <w:rPr>
                      <w:rFonts w:hint="eastAsia"/>
                      <w:color w:val="auto"/>
                      <w:highlight w:val="none"/>
                    </w:rPr>
                    <w:t>井场</w:t>
                  </w:r>
                </w:p>
              </w:tc>
              <w:tc>
                <w:tcPr>
                  <w:tcW w:w="2230" w:type="pct"/>
                  <w:shd w:val="clear" w:color="auto" w:fill="auto"/>
                  <w:vAlign w:val="center"/>
                </w:tcPr>
                <w:p w14:paraId="44459BFD">
                  <w:pPr>
                    <w:pStyle w:val="41"/>
                    <w:rPr>
                      <w:color w:val="auto"/>
                      <w:highlight w:val="none"/>
                    </w:rPr>
                  </w:pPr>
                  <w:r>
                    <w:rPr>
                      <w:rFonts w:hint="eastAsia"/>
                      <w:color w:val="auto"/>
                      <w:highlight w:val="none"/>
                    </w:rPr>
                    <w:t>19500</w:t>
                  </w:r>
                </w:p>
              </w:tc>
            </w:tr>
            <w:tr w14:paraId="2BDA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9" w:type="pct"/>
                  <w:shd w:val="clear" w:color="auto" w:fill="auto"/>
                  <w:vAlign w:val="center"/>
                </w:tcPr>
                <w:p w14:paraId="43003C4B">
                  <w:pPr>
                    <w:pStyle w:val="41"/>
                    <w:rPr>
                      <w:color w:val="auto"/>
                      <w:highlight w:val="none"/>
                    </w:rPr>
                  </w:pPr>
                  <w:r>
                    <w:rPr>
                      <w:rFonts w:hint="eastAsia"/>
                      <w:color w:val="auto"/>
                      <w:highlight w:val="none"/>
                    </w:rPr>
                    <w:t>放喷池</w:t>
                  </w:r>
                </w:p>
              </w:tc>
              <w:tc>
                <w:tcPr>
                  <w:tcW w:w="2230" w:type="pct"/>
                  <w:shd w:val="clear" w:color="auto" w:fill="auto"/>
                  <w:vAlign w:val="center"/>
                </w:tcPr>
                <w:p w14:paraId="5A52F6B8">
                  <w:pPr>
                    <w:pStyle w:val="41"/>
                    <w:rPr>
                      <w:color w:val="auto"/>
                      <w:highlight w:val="none"/>
                    </w:rPr>
                  </w:pPr>
                  <w:r>
                    <w:rPr>
                      <w:rFonts w:hint="eastAsia"/>
                      <w:color w:val="auto"/>
                      <w:highlight w:val="none"/>
                    </w:rPr>
                    <w:t>192</w:t>
                  </w:r>
                </w:p>
              </w:tc>
            </w:tr>
            <w:tr w14:paraId="2F0E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9" w:type="pct"/>
                  <w:shd w:val="clear" w:color="auto" w:fill="auto"/>
                  <w:vAlign w:val="center"/>
                </w:tcPr>
                <w:p w14:paraId="317DAAF0">
                  <w:pPr>
                    <w:pStyle w:val="41"/>
                    <w:rPr>
                      <w:color w:val="auto"/>
                      <w:highlight w:val="none"/>
                    </w:rPr>
                  </w:pPr>
                  <w:r>
                    <w:rPr>
                      <w:rFonts w:hint="eastAsia"/>
                      <w:color w:val="auto"/>
                      <w:highlight w:val="none"/>
                    </w:rPr>
                    <w:t>放喷通道</w:t>
                  </w:r>
                </w:p>
              </w:tc>
              <w:tc>
                <w:tcPr>
                  <w:tcW w:w="2230" w:type="pct"/>
                  <w:shd w:val="clear" w:color="auto" w:fill="auto"/>
                  <w:vAlign w:val="center"/>
                </w:tcPr>
                <w:p w14:paraId="45A8AAD7">
                  <w:pPr>
                    <w:pStyle w:val="41"/>
                    <w:rPr>
                      <w:color w:val="auto"/>
                      <w:highlight w:val="none"/>
                    </w:rPr>
                  </w:pPr>
                  <w:r>
                    <w:rPr>
                      <w:rFonts w:hint="eastAsia"/>
                      <w:color w:val="auto"/>
                      <w:highlight w:val="none"/>
                    </w:rPr>
                    <w:t>360</w:t>
                  </w:r>
                </w:p>
              </w:tc>
            </w:tr>
            <w:tr w14:paraId="07E4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9" w:type="pct"/>
                  <w:shd w:val="clear" w:color="auto" w:fill="auto"/>
                  <w:vAlign w:val="center"/>
                </w:tcPr>
                <w:p w14:paraId="3845E0ED">
                  <w:pPr>
                    <w:pStyle w:val="41"/>
                    <w:rPr>
                      <w:color w:val="auto"/>
                      <w:highlight w:val="none"/>
                    </w:rPr>
                  </w:pPr>
                  <w:r>
                    <w:rPr>
                      <w:rFonts w:hint="eastAsia"/>
                      <w:color w:val="auto"/>
                      <w:highlight w:val="none"/>
                    </w:rPr>
                    <w:t>生活区</w:t>
                  </w:r>
                </w:p>
              </w:tc>
              <w:tc>
                <w:tcPr>
                  <w:tcW w:w="2230" w:type="pct"/>
                  <w:shd w:val="clear" w:color="auto" w:fill="auto"/>
                  <w:vAlign w:val="center"/>
                </w:tcPr>
                <w:p w14:paraId="3FCA7E10">
                  <w:pPr>
                    <w:pStyle w:val="41"/>
                    <w:rPr>
                      <w:color w:val="auto"/>
                      <w:highlight w:val="none"/>
                    </w:rPr>
                  </w:pPr>
                  <w:r>
                    <w:rPr>
                      <w:rFonts w:hint="eastAsia"/>
                      <w:color w:val="auto"/>
                      <w:highlight w:val="none"/>
                    </w:rPr>
                    <w:t>3000</w:t>
                  </w:r>
                </w:p>
              </w:tc>
            </w:tr>
            <w:tr w14:paraId="631B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9" w:type="pct"/>
                  <w:shd w:val="clear" w:color="auto" w:fill="auto"/>
                  <w:vAlign w:val="center"/>
                </w:tcPr>
                <w:p w14:paraId="49CF52A0">
                  <w:pPr>
                    <w:pStyle w:val="41"/>
                    <w:rPr>
                      <w:color w:val="auto"/>
                      <w:highlight w:val="none"/>
                    </w:rPr>
                  </w:pPr>
                  <w:r>
                    <w:rPr>
                      <w:rFonts w:hint="eastAsia"/>
                      <w:color w:val="auto"/>
                      <w:highlight w:val="none"/>
                    </w:rPr>
                    <w:t>合计</w:t>
                  </w:r>
                </w:p>
              </w:tc>
              <w:tc>
                <w:tcPr>
                  <w:tcW w:w="2230" w:type="pct"/>
                  <w:shd w:val="clear" w:color="auto" w:fill="auto"/>
                  <w:vAlign w:val="center"/>
                </w:tcPr>
                <w:p w14:paraId="0E283A37">
                  <w:pPr>
                    <w:pStyle w:val="41"/>
                    <w:rPr>
                      <w:color w:val="auto"/>
                      <w:highlight w:val="none"/>
                    </w:rPr>
                  </w:pPr>
                  <w:r>
                    <w:rPr>
                      <w:rFonts w:hint="eastAsia"/>
                      <w:color w:val="auto"/>
                      <w:highlight w:val="none"/>
                      <w:lang w:eastAsia="zh-CN"/>
                    </w:rPr>
                    <w:t>25284</w:t>
                  </w:r>
                </w:p>
              </w:tc>
            </w:tr>
          </w:tbl>
          <w:p w14:paraId="1A0D3D51">
            <w:pPr>
              <w:pStyle w:val="3"/>
              <w:ind w:firstLine="420" w:firstLineChars="0"/>
              <w:rPr>
                <w:color w:val="auto"/>
                <w:sz w:val="21"/>
                <w:highlight w:val="none"/>
              </w:rPr>
            </w:pPr>
          </w:p>
          <w:p w14:paraId="634141A1">
            <w:pPr>
              <w:pStyle w:val="3"/>
              <w:ind w:firstLine="420"/>
              <w:rPr>
                <w:color w:val="auto"/>
                <w:sz w:val="21"/>
                <w:highlight w:val="none"/>
              </w:rPr>
            </w:pPr>
            <w:r>
              <w:rPr>
                <w:rFonts w:hint="eastAsia"/>
                <w:color w:val="auto"/>
                <w:sz w:val="21"/>
                <w:highlight w:val="none"/>
              </w:rPr>
              <w:t>2、总平面布置</w:t>
            </w:r>
          </w:p>
          <w:p w14:paraId="597FAF74">
            <w:pPr>
              <w:pStyle w:val="3"/>
              <w:ind w:firstLine="420"/>
              <w:rPr>
                <w:color w:val="auto"/>
                <w:sz w:val="21"/>
                <w:szCs w:val="21"/>
                <w:highlight w:val="none"/>
              </w:rPr>
            </w:pPr>
            <w:r>
              <w:rPr>
                <w:rFonts w:hint="eastAsia"/>
                <w:color w:val="auto"/>
                <w:sz w:val="21"/>
                <w:szCs w:val="21"/>
                <w:highlight w:val="none"/>
              </w:rPr>
              <w:t>本项目</w:t>
            </w:r>
            <w:r>
              <w:rPr>
                <w:color w:val="auto"/>
                <w:sz w:val="21"/>
                <w:szCs w:val="21"/>
                <w:highlight w:val="none"/>
              </w:rPr>
              <w:fldChar w:fldCharType="begin"/>
            </w:r>
            <w:r>
              <w:rPr>
                <w:color w:val="auto"/>
                <w:sz w:val="21"/>
                <w:szCs w:val="21"/>
                <w:highlight w:val="none"/>
              </w:rPr>
              <w:instrText xml:space="preserve"> </w:instrText>
            </w:r>
            <w:r>
              <w:rPr>
                <w:rFonts w:hint="eastAsia"/>
                <w:color w:val="auto"/>
                <w:sz w:val="21"/>
                <w:szCs w:val="21"/>
                <w:highlight w:val="none"/>
              </w:rPr>
              <w:instrText xml:space="preserve">LINK </w:instrText>
            </w:r>
            <w:r>
              <w:rPr>
                <w:color w:val="auto"/>
                <w:sz w:val="21"/>
                <w:szCs w:val="21"/>
                <w:highlight w:val="none"/>
              </w:rPr>
              <w:instrText xml:space="preserve">Word.Document.12 "F:\\008 西部探井\\西勘探井\\初稿.docx" OLE_LINK26 </w:instrText>
            </w:r>
            <w:r>
              <w:rPr>
                <w:rFonts w:hint="eastAsia"/>
                <w:color w:val="auto"/>
                <w:sz w:val="21"/>
                <w:szCs w:val="21"/>
                <w:highlight w:val="none"/>
              </w:rPr>
              <w:instrText xml:space="preserve">\t</w:instrText>
            </w:r>
            <w:r>
              <w:rPr>
                <w:color w:val="auto"/>
                <w:sz w:val="21"/>
                <w:szCs w:val="21"/>
                <w:highlight w:val="none"/>
              </w:rPr>
              <w:instrText xml:space="preserve">  \* MERGEFORMAT </w:instrText>
            </w:r>
            <w:r>
              <w:rPr>
                <w:color w:val="auto"/>
                <w:sz w:val="21"/>
                <w:szCs w:val="21"/>
                <w:highlight w:val="none"/>
              </w:rPr>
              <w:fldChar w:fldCharType="separate"/>
            </w:r>
            <w:r>
              <w:rPr>
                <w:rFonts w:hint="eastAsia"/>
                <w:color w:val="auto"/>
                <w:sz w:val="21"/>
                <w:szCs w:val="21"/>
                <w:highlight w:val="none"/>
              </w:rPr>
              <w:t>使用80型加强型钻机，选用150m×130m规格井场</w:t>
            </w:r>
            <w:r>
              <w:rPr>
                <w:color w:val="auto"/>
                <w:sz w:val="21"/>
                <w:szCs w:val="21"/>
                <w:highlight w:val="none"/>
              </w:rPr>
              <w:fldChar w:fldCharType="end"/>
            </w:r>
            <w:r>
              <w:rPr>
                <w:rFonts w:hint="eastAsia"/>
                <w:color w:val="auto"/>
                <w:sz w:val="21"/>
                <w:szCs w:val="21"/>
                <w:highlight w:val="none"/>
              </w:rPr>
              <w:t>，井场是钻井工程的主要场地，本项目的平面布置本着布局简单、流程合理的原则进行，钻井期围绕井口设有住井房、工具房、值班房、工程师房、配电房、消防房、发电机、清水罐、泥浆不落地设备、仪器房、地质房、泥浆房、监督房、生活水罐、油罐、危废贮存点</w:t>
            </w:r>
            <w:r>
              <w:rPr>
                <w:rFonts w:hint="eastAsia"/>
                <w:color w:val="auto"/>
                <w:sz w:val="21"/>
                <w:szCs w:val="21"/>
                <w:highlight w:val="none"/>
                <w:lang w:eastAsia="zh-CN"/>
              </w:rPr>
              <w:t>、</w:t>
            </w:r>
            <w:r>
              <w:rPr>
                <w:rFonts w:hint="eastAsia"/>
                <w:color w:val="auto"/>
                <w:sz w:val="21"/>
                <w:szCs w:val="21"/>
                <w:highlight w:val="none"/>
                <w:lang w:val="en-US" w:eastAsia="zh-CN"/>
              </w:rPr>
              <w:t>一</w:t>
            </w:r>
            <w:r>
              <w:rPr>
                <w:rFonts w:hint="eastAsia"/>
                <w:color w:val="auto"/>
                <w:sz w:val="21"/>
                <w:szCs w:val="21"/>
                <w:highlight w:val="none"/>
              </w:rPr>
              <w:t>般固废暂存间等。各设施位置能够满足《钻井井场设备作业安全技术规程》（SY/T 5974-2020）中的安全距离要求。钻井期施工总布置图见</w:t>
            </w:r>
            <w:r>
              <w:rPr>
                <w:color w:val="auto"/>
                <w:sz w:val="21"/>
                <w:szCs w:val="21"/>
                <w:highlight w:val="none"/>
              </w:rPr>
              <w:fldChar w:fldCharType="begin"/>
            </w:r>
            <w:r>
              <w:rPr>
                <w:color w:val="auto"/>
                <w:sz w:val="21"/>
                <w:szCs w:val="21"/>
                <w:highlight w:val="none"/>
              </w:rPr>
              <w:instrText xml:space="preserve"> </w:instrText>
            </w:r>
            <w:r>
              <w:rPr>
                <w:rFonts w:hint="eastAsia"/>
                <w:color w:val="auto"/>
                <w:sz w:val="21"/>
                <w:szCs w:val="21"/>
                <w:highlight w:val="none"/>
              </w:rPr>
              <w:instrText xml:space="preserve">REF _Ref206064875 \r</w:instrText>
            </w:r>
            <w:r>
              <w:rPr>
                <w:color w:val="auto"/>
                <w:sz w:val="21"/>
                <w:szCs w:val="21"/>
                <w:highlight w:val="none"/>
              </w:rPr>
              <w:instrText xml:space="preserve">  \* MERGEFORMAT </w:instrText>
            </w:r>
            <w:r>
              <w:rPr>
                <w:color w:val="auto"/>
                <w:sz w:val="21"/>
                <w:szCs w:val="21"/>
                <w:highlight w:val="none"/>
              </w:rPr>
              <w:fldChar w:fldCharType="separate"/>
            </w:r>
            <w:r>
              <w:rPr>
                <w:rFonts w:hint="eastAsia"/>
                <w:color w:val="auto"/>
                <w:sz w:val="21"/>
                <w:szCs w:val="21"/>
                <w:highlight w:val="none"/>
              </w:rPr>
              <w:t>附图3</w:t>
            </w:r>
            <w:r>
              <w:rPr>
                <w:color w:val="auto"/>
                <w:sz w:val="21"/>
                <w:szCs w:val="21"/>
                <w:highlight w:val="none"/>
              </w:rPr>
              <w:fldChar w:fldCharType="end"/>
            </w:r>
            <w:r>
              <w:rPr>
                <w:rFonts w:hint="eastAsia"/>
                <w:color w:val="auto"/>
                <w:sz w:val="21"/>
                <w:szCs w:val="21"/>
                <w:highlight w:val="none"/>
              </w:rPr>
              <w:t>。</w:t>
            </w:r>
          </w:p>
          <w:p w14:paraId="127AD98C">
            <w:pPr>
              <w:pStyle w:val="3"/>
              <w:ind w:firstLine="420"/>
              <w:rPr>
                <w:color w:val="auto"/>
                <w:sz w:val="21"/>
                <w:highlight w:val="none"/>
              </w:rPr>
            </w:pPr>
            <w:r>
              <w:rPr>
                <w:rFonts w:hint="eastAsia"/>
                <w:color w:val="auto"/>
                <w:sz w:val="21"/>
                <w:highlight w:val="none"/>
              </w:rPr>
              <w:t>试油期井场布置围绕井口设置发电机房、仪器房、设备房、工具房、环保厕所、</w:t>
            </w:r>
            <w:r>
              <w:rPr>
                <w:rFonts w:hint="eastAsia"/>
                <w:color w:val="auto"/>
                <w:sz w:val="21"/>
                <w:highlight w:val="none"/>
                <w:lang w:val="en-US" w:eastAsia="zh-CN"/>
              </w:rPr>
              <w:t>生活污水收集罐、</w:t>
            </w:r>
            <w:r>
              <w:rPr>
                <w:rFonts w:hint="eastAsia"/>
                <w:color w:val="auto"/>
                <w:sz w:val="21"/>
                <w:highlight w:val="none"/>
              </w:rPr>
              <w:t>值班房、工程师房、新鲜水罐、危险废物贮存点、</w:t>
            </w:r>
            <w:r>
              <w:rPr>
                <w:rFonts w:hint="eastAsia"/>
                <w:color w:val="auto"/>
                <w:sz w:val="21"/>
                <w:highlight w:val="none"/>
                <w:lang w:val="en-US" w:eastAsia="zh-CN"/>
              </w:rPr>
              <w:t>一般固废暂存间、</w:t>
            </w:r>
            <w:r>
              <w:rPr>
                <w:rFonts w:hint="eastAsia"/>
                <w:color w:val="auto"/>
                <w:sz w:val="21"/>
                <w:highlight w:val="none"/>
              </w:rPr>
              <w:t>储液罐（</w:t>
            </w:r>
            <w:r>
              <w:rPr>
                <w:rFonts w:hint="eastAsia"/>
                <w:color w:val="auto"/>
                <w:sz w:val="21"/>
                <w:highlight w:val="none"/>
                <w:lang w:val="en-US" w:eastAsia="zh-CN"/>
              </w:rPr>
              <w:t>试油废液</w:t>
            </w:r>
            <w:r>
              <w:rPr>
                <w:rFonts w:hint="eastAsia"/>
                <w:color w:val="auto"/>
                <w:sz w:val="21"/>
                <w:highlight w:val="none"/>
              </w:rPr>
              <w:t>储罐）和柴油储罐等。试油期施工总布置图见</w:t>
            </w:r>
            <w:r>
              <w:rPr>
                <w:color w:val="auto"/>
                <w:highlight w:val="none"/>
              </w:rPr>
              <w:fldChar w:fldCharType="begin"/>
            </w:r>
            <w:r>
              <w:rPr>
                <w:color w:val="auto"/>
                <w:highlight w:val="none"/>
              </w:rPr>
              <w:instrText xml:space="preserve"> REF _Ref19610 \r  \* MERGEFORMAT</w:instrText>
            </w:r>
            <w:r>
              <w:rPr>
                <w:color w:val="auto"/>
                <w:highlight w:val="none"/>
              </w:rPr>
              <w:fldChar w:fldCharType="separate"/>
            </w:r>
            <w:r>
              <w:rPr>
                <w:rFonts w:hint="eastAsia"/>
                <w:color w:val="auto"/>
                <w:sz w:val="21"/>
                <w:highlight w:val="none"/>
              </w:rPr>
              <w:t>附图4</w:t>
            </w:r>
            <w:r>
              <w:rPr>
                <w:rFonts w:hint="eastAsia"/>
                <w:color w:val="auto"/>
                <w:sz w:val="21"/>
                <w:highlight w:val="none"/>
              </w:rPr>
              <w:fldChar w:fldCharType="end"/>
            </w:r>
            <w:r>
              <w:rPr>
                <w:rFonts w:hint="eastAsia"/>
                <w:color w:val="auto"/>
                <w:sz w:val="21"/>
                <w:highlight w:val="none"/>
              </w:rPr>
              <w:t>。</w:t>
            </w:r>
          </w:p>
          <w:p w14:paraId="5E23F29A">
            <w:pPr>
              <w:pStyle w:val="3"/>
              <w:ind w:firstLine="420"/>
              <w:rPr>
                <w:rFonts w:hint="eastAsia" w:eastAsia="宋体"/>
                <w:color w:val="auto"/>
                <w:sz w:val="21"/>
                <w:highlight w:val="none"/>
                <w:lang w:val="en-US" w:eastAsia="zh-CN"/>
              </w:rPr>
            </w:pPr>
            <w:r>
              <w:rPr>
                <w:rFonts w:hint="eastAsia"/>
                <w:color w:val="auto"/>
                <w:sz w:val="21"/>
                <w:highlight w:val="none"/>
              </w:rPr>
              <w:t>从环保角度分析，项目施工期井场平面布置充分利用地形、节约了土地，方便施工作业，生活区和生产区独立布置，从平面合理布置角度最大限度地保护了项目周边环境敏感点。因此，本项目井场平面布置合理。</w:t>
            </w:r>
          </w:p>
        </w:tc>
      </w:tr>
      <w:tr w14:paraId="31A5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1" w:type="dxa"/>
            <w:vAlign w:val="center"/>
          </w:tcPr>
          <w:p w14:paraId="18D2048A">
            <w:pPr>
              <w:pStyle w:val="3"/>
              <w:spacing w:line="240" w:lineRule="auto"/>
              <w:ind w:firstLine="0" w:firstLineChars="0"/>
              <w:jc w:val="center"/>
              <w:rPr>
                <w:color w:val="auto"/>
                <w:sz w:val="21"/>
                <w:highlight w:val="none"/>
              </w:rPr>
            </w:pPr>
            <w:r>
              <w:rPr>
                <w:rFonts w:hint="eastAsia"/>
                <w:color w:val="auto"/>
                <w:sz w:val="21"/>
                <w:highlight w:val="none"/>
              </w:rPr>
              <w:t>施</w:t>
            </w:r>
          </w:p>
          <w:p w14:paraId="4C04DB4D">
            <w:pPr>
              <w:pStyle w:val="3"/>
              <w:spacing w:line="240" w:lineRule="auto"/>
              <w:ind w:firstLine="0" w:firstLineChars="0"/>
              <w:jc w:val="center"/>
              <w:rPr>
                <w:color w:val="auto"/>
                <w:sz w:val="21"/>
                <w:highlight w:val="none"/>
              </w:rPr>
            </w:pPr>
            <w:r>
              <w:rPr>
                <w:rFonts w:hint="eastAsia"/>
                <w:color w:val="auto"/>
                <w:sz w:val="21"/>
                <w:highlight w:val="none"/>
              </w:rPr>
              <w:t>工</w:t>
            </w:r>
          </w:p>
          <w:p w14:paraId="715E0983">
            <w:pPr>
              <w:pStyle w:val="3"/>
              <w:spacing w:line="240" w:lineRule="auto"/>
              <w:ind w:firstLine="0" w:firstLineChars="0"/>
              <w:jc w:val="center"/>
              <w:rPr>
                <w:color w:val="auto"/>
                <w:sz w:val="21"/>
                <w:highlight w:val="none"/>
              </w:rPr>
            </w:pPr>
            <w:r>
              <w:rPr>
                <w:rFonts w:hint="eastAsia"/>
                <w:color w:val="auto"/>
                <w:sz w:val="21"/>
                <w:highlight w:val="none"/>
              </w:rPr>
              <w:t>方</w:t>
            </w:r>
          </w:p>
          <w:p w14:paraId="3F9FE00D">
            <w:pPr>
              <w:pStyle w:val="3"/>
              <w:spacing w:line="240" w:lineRule="auto"/>
              <w:ind w:firstLine="0" w:firstLineChars="0"/>
              <w:jc w:val="center"/>
              <w:rPr>
                <w:color w:val="auto"/>
                <w:sz w:val="21"/>
                <w:highlight w:val="none"/>
              </w:rPr>
            </w:pPr>
            <w:r>
              <w:rPr>
                <w:rFonts w:hint="eastAsia"/>
                <w:color w:val="auto"/>
                <w:sz w:val="21"/>
                <w:highlight w:val="none"/>
              </w:rPr>
              <w:t>案</w:t>
            </w:r>
          </w:p>
        </w:tc>
        <w:tc>
          <w:tcPr>
            <w:tcW w:w="7752" w:type="dxa"/>
            <w:tcMar>
              <w:top w:w="113" w:type="dxa"/>
              <w:bottom w:w="113" w:type="dxa"/>
            </w:tcMar>
            <w:vAlign w:val="center"/>
          </w:tcPr>
          <w:p w14:paraId="73631721">
            <w:pPr>
              <w:pStyle w:val="3"/>
              <w:ind w:firstLine="420"/>
              <w:rPr>
                <w:color w:val="auto"/>
                <w:sz w:val="21"/>
                <w:highlight w:val="none"/>
              </w:rPr>
            </w:pPr>
            <w:r>
              <w:rPr>
                <w:rFonts w:hint="eastAsia"/>
                <w:color w:val="auto"/>
                <w:sz w:val="21"/>
                <w:highlight w:val="none"/>
              </w:rPr>
              <w:t>1、施工期作业流程</w:t>
            </w:r>
          </w:p>
          <w:p w14:paraId="3B7B46F9">
            <w:pPr>
              <w:pStyle w:val="73"/>
              <w:rPr>
                <w:color w:val="auto"/>
                <w:highlight w:val="none"/>
              </w:rPr>
            </w:pPr>
            <w:r>
              <w:rPr>
                <w:rFonts w:hint="eastAsia"/>
                <w:color w:val="auto"/>
                <w:highlight w:val="none"/>
              </w:rPr>
              <w:t>钻前工程</w:t>
            </w:r>
          </w:p>
          <w:p w14:paraId="035E8D36">
            <w:pPr>
              <w:pStyle w:val="71"/>
              <w:numPr>
                <w:ilvl w:val="0"/>
                <w:numId w:val="0"/>
              </w:numPr>
              <w:ind w:firstLine="476"/>
              <w:rPr>
                <w:color w:val="auto"/>
                <w:highlight w:val="none"/>
              </w:rPr>
            </w:pPr>
            <w:r>
              <w:rPr>
                <w:rFonts w:hint="eastAsia"/>
                <w:color w:val="auto"/>
                <w:highlight w:val="none"/>
              </w:rPr>
              <w:t>本项目钻前工程主要为进场道路建设、井场以及辅助设施建设和设备安装等。</w:t>
            </w:r>
          </w:p>
          <w:p w14:paraId="5D5C006C">
            <w:pPr>
              <w:pStyle w:val="73"/>
              <w:numPr>
                <w:ilvl w:val="0"/>
                <w:numId w:val="22"/>
              </w:numPr>
              <w:spacing w:line="332" w:lineRule="auto"/>
              <w:ind w:firstLine="420" w:firstLineChars="200"/>
              <w:rPr>
                <w:color w:val="auto"/>
                <w:highlight w:val="none"/>
              </w:rPr>
            </w:pPr>
            <w:r>
              <w:rPr>
                <w:rFonts w:hint="eastAsia"/>
                <w:color w:val="auto"/>
                <w:highlight w:val="none"/>
              </w:rPr>
              <w:t>进场道路建设</w:t>
            </w:r>
          </w:p>
          <w:p w14:paraId="2D8904BB">
            <w:pPr>
              <w:pStyle w:val="71"/>
              <w:numPr>
                <w:ilvl w:val="0"/>
                <w:numId w:val="0"/>
              </w:numPr>
              <w:ind w:firstLine="476"/>
              <w:rPr>
                <w:color w:val="auto"/>
                <w:highlight w:val="none"/>
              </w:rPr>
            </w:pPr>
            <w:r>
              <w:rPr>
                <w:rFonts w:hint="eastAsia"/>
                <w:color w:val="auto"/>
                <w:highlight w:val="none"/>
              </w:rPr>
              <w:t>本项目新建</w:t>
            </w:r>
            <w:r>
              <w:rPr>
                <w:rFonts w:hint="eastAsia"/>
                <w:color w:val="auto"/>
                <w:highlight w:val="none"/>
                <w:lang w:val="en-US" w:eastAsia="zh-CN"/>
              </w:rPr>
              <w:t>进井简易道</w:t>
            </w:r>
            <w:r>
              <w:rPr>
                <w:rFonts w:hint="eastAsia"/>
                <w:color w:val="auto"/>
                <w:highlight w:val="none"/>
              </w:rPr>
              <w:t>路约305m，</w:t>
            </w:r>
            <w:r>
              <w:rPr>
                <w:rFonts w:hint="eastAsia"/>
                <w:color w:val="auto"/>
                <w:highlight w:val="none"/>
                <w:lang w:val="en-US" w:eastAsia="zh-CN"/>
              </w:rPr>
              <w:t>道路玻璃表土后，</w:t>
            </w:r>
            <w:r>
              <w:rPr>
                <w:rFonts w:hint="eastAsia"/>
                <w:color w:val="auto"/>
                <w:highlight w:val="none"/>
              </w:rPr>
              <w:t>洒水平整压实。</w:t>
            </w:r>
          </w:p>
          <w:p w14:paraId="7C873712">
            <w:pPr>
              <w:pStyle w:val="73"/>
              <w:numPr>
                <w:ilvl w:val="0"/>
                <w:numId w:val="22"/>
              </w:numPr>
              <w:spacing w:line="332" w:lineRule="auto"/>
              <w:ind w:firstLine="420" w:firstLineChars="200"/>
              <w:rPr>
                <w:color w:val="auto"/>
                <w:highlight w:val="none"/>
              </w:rPr>
            </w:pPr>
            <w:r>
              <w:rPr>
                <w:rFonts w:hint="eastAsia"/>
                <w:color w:val="auto"/>
                <w:highlight w:val="none"/>
              </w:rPr>
              <w:t>井场、辅助设施建设</w:t>
            </w:r>
          </w:p>
          <w:p w14:paraId="6A58B622">
            <w:pPr>
              <w:pStyle w:val="71"/>
              <w:numPr>
                <w:ilvl w:val="0"/>
                <w:numId w:val="0"/>
              </w:numPr>
              <w:ind w:firstLine="476"/>
              <w:rPr>
                <w:color w:val="auto"/>
                <w:highlight w:val="none"/>
              </w:rPr>
            </w:pPr>
            <w:r>
              <w:rPr>
                <w:rFonts w:hint="eastAsia"/>
                <w:color w:val="auto"/>
                <w:highlight w:val="none"/>
              </w:rPr>
              <w:t>根据井场平面布置图，首先对井场进行初步平整，然后采用挖掘机进行池体开挖作业，并利用挖方对场地进行平整。场地平整作业结束后，进行设备基础（包括钻机、井架、钻井泵等基础设备）及池体防渗工程的建设。</w:t>
            </w:r>
          </w:p>
          <w:p w14:paraId="68501549">
            <w:pPr>
              <w:pStyle w:val="73"/>
              <w:numPr>
                <w:ilvl w:val="0"/>
                <w:numId w:val="22"/>
              </w:numPr>
              <w:spacing w:line="332" w:lineRule="auto"/>
              <w:ind w:firstLine="420" w:firstLineChars="200"/>
              <w:rPr>
                <w:color w:val="auto"/>
                <w:highlight w:val="none"/>
              </w:rPr>
            </w:pPr>
            <w:r>
              <w:rPr>
                <w:rFonts w:hint="eastAsia"/>
                <w:color w:val="auto"/>
                <w:highlight w:val="none"/>
              </w:rPr>
              <w:t>设备安装</w:t>
            </w:r>
          </w:p>
          <w:p w14:paraId="634D70AD">
            <w:pPr>
              <w:pStyle w:val="71"/>
              <w:numPr>
                <w:ilvl w:val="0"/>
                <w:numId w:val="0"/>
              </w:numPr>
              <w:ind w:firstLine="476"/>
              <w:rPr>
                <w:color w:val="auto"/>
                <w:highlight w:val="none"/>
              </w:rPr>
            </w:pPr>
            <w:r>
              <w:rPr>
                <w:rFonts w:hint="eastAsia"/>
                <w:color w:val="auto"/>
                <w:highlight w:val="none"/>
              </w:rPr>
              <w:t>进场道路及井场修建完成后，由运输车辆将各类设备、橇装房逐步运至井场，并按井场平面布置所示位置进行安装，通过检查满足钻井要求时开始进行钻井工程。</w:t>
            </w:r>
          </w:p>
          <w:p w14:paraId="2CE890EA">
            <w:pPr>
              <w:pStyle w:val="73"/>
              <w:rPr>
                <w:color w:val="auto"/>
                <w:highlight w:val="none"/>
              </w:rPr>
            </w:pPr>
            <w:r>
              <w:rPr>
                <w:rFonts w:hint="eastAsia"/>
                <w:color w:val="auto"/>
                <w:highlight w:val="none"/>
              </w:rPr>
              <w:t>钻井工程</w:t>
            </w:r>
          </w:p>
          <w:p w14:paraId="710C2258">
            <w:pPr>
              <w:pStyle w:val="73"/>
              <w:numPr>
                <w:ilvl w:val="0"/>
                <w:numId w:val="23"/>
              </w:numPr>
              <w:spacing w:line="332" w:lineRule="auto"/>
              <w:ind w:firstLine="420" w:firstLineChars="200"/>
              <w:rPr>
                <w:color w:val="auto"/>
                <w:highlight w:val="none"/>
              </w:rPr>
            </w:pPr>
            <w:r>
              <w:rPr>
                <w:rFonts w:hint="eastAsia"/>
                <w:color w:val="auto"/>
                <w:highlight w:val="none"/>
              </w:rPr>
              <w:t>钻进</w:t>
            </w:r>
          </w:p>
          <w:p w14:paraId="798E72CA">
            <w:pPr>
              <w:pStyle w:val="71"/>
              <w:numPr>
                <w:ilvl w:val="0"/>
                <w:numId w:val="0"/>
              </w:numPr>
              <w:ind w:firstLine="476"/>
              <w:rPr>
                <w:color w:val="auto"/>
                <w:highlight w:val="none"/>
              </w:rPr>
            </w:pPr>
            <w:r>
              <w:rPr>
                <w:rFonts w:hint="eastAsia"/>
                <w:color w:val="auto"/>
                <w:highlight w:val="none"/>
              </w:rPr>
              <w:t>钻井阶段使用的钻机为电钻机，正常钻井作业时动力由柴油发电机提供。通过钻机、转盘，带动钻杆切削地层，同时由泥浆泵经钻杆将冲洗液注入井筒冲刷井底，将切削下的岩心不断带至地面，整个过程循环进行，使井不断加深，直至目的井深。钻井中途需要停钻，以便起下钻具更换钻头、下套管、固井、替换洗井液和检修设备。</w:t>
            </w:r>
          </w:p>
          <w:p w14:paraId="68D6B414">
            <w:pPr>
              <w:pStyle w:val="73"/>
              <w:numPr>
                <w:ilvl w:val="0"/>
                <w:numId w:val="23"/>
              </w:numPr>
              <w:spacing w:line="332" w:lineRule="auto"/>
              <w:ind w:firstLine="420" w:firstLineChars="200"/>
              <w:rPr>
                <w:color w:val="auto"/>
                <w:highlight w:val="none"/>
              </w:rPr>
            </w:pPr>
            <w:r>
              <w:rPr>
                <w:rFonts w:hint="eastAsia"/>
                <w:color w:val="auto"/>
                <w:highlight w:val="none"/>
              </w:rPr>
              <w:t>固井</w:t>
            </w:r>
          </w:p>
          <w:p w14:paraId="0FC7577C">
            <w:pPr>
              <w:pStyle w:val="71"/>
              <w:numPr>
                <w:ilvl w:val="0"/>
                <w:numId w:val="0"/>
              </w:numPr>
              <w:ind w:firstLine="476"/>
              <w:rPr>
                <w:color w:val="auto"/>
                <w:highlight w:val="none"/>
              </w:rPr>
            </w:pPr>
            <w:r>
              <w:rPr>
                <w:rFonts w:hint="eastAsia"/>
                <w:color w:val="auto"/>
                <w:highlight w:val="none"/>
              </w:rPr>
              <w:t>固井是在已钻成的井筒内下入套管，然后在套管与井壁之间环孔内注入水泥浆，将套管和地层固结在一起的工艺过程，可防止复杂情况，以保证安全继续钻进下一段井筒。</w:t>
            </w:r>
          </w:p>
          <w:p w14:paraId="6D73D8F5">
            <w:pPr>
              <w:pStyle w:val="73"/>
              <w:numPr>
                <w:ilvl w:val="0"/>
                <w:numId w:val="23"/>
              </w:numPr>
              <w:spacing w:line="332" w:lineRule="auto"/>
              <w:ind w:firstLine="420" w:firstLineChars="200"/>
              <w:rPr>
                <w:color w:val="auto"/>
                <w:highlight w:val="none"/>
              </w:rPr>
            </w:pPr>
            <w:r>
              <w:rPr>
                <w:rFonts w:hint="eastAsia"/>
                <w:color w:val="auto"/>
                <w:highlight w:val="none"/>
              </w:rPr>
              <w:t>泥浆体系</w:t>
            </w:r>
          </w:p>
          <w:p w14:paraId="10570F97">
            <w:pPr>
              <w:pStyle w:val="71"/>
              <w:numPr>
                <w:ilvl w:val="0"/>
                <w:numId w:val="0"/>
              </w:numPr>
              <w:ind w:firstLine="476"/>
              <w:rPr>
                <w:color w:val="auto"/>
                <w:highlight w:val="none"/>
              </w:rPr>
            </w:pPr>
            <w:r>
              <w:rPr>
                <w:rFonts w:hint="eastAsia"/>
                <w:color w:val="auto"/>
                <w:highlight w:val="none"/>
              </w:rPr>
              <w:t>钻井过程中需要使用钻井液，结合井身结构，不同井段采用的钻井液体系有所不同，</w:t>
            </w:r>
            <w:r>
              <w:rPr>
                <w:color w:val="auto"/>
                <w:highlight w:val="none"/>
              </w:rPr>
              <w:fldChar w:fldCharType="begin"/>
            </w:r>
            <w:r>
              <w:rPr>
                <w:color w:val="auto"/>
                <w:highlight w:val="none"/>
              </w:rPr>
              <w:instrText xml:space="preserve"> LINK Word.Document.12 "F:\\008 西部探井\\西勘探井\\初稿.docx" OLE_LINK22 \t  \* MERGEFORMAT</w:instrText>
            </w:r>
            <w:r>
              <w:rPr>
                <w:color w:val="auto"/>
                <w:highlight w:val="none"/>
              </w:rPr>
              <w:fldChar w:fldCharType="separate"/>
            </w:r>
            <w:r>
              <w:rPr>
                <w:rFonts w:hint="eastAsia"/>
                <w:color w:val="auto"/>
                <w:highlight w:val="none"/>
              </w:rPr>
              <w:t>本项目一开、二开采用水基钻井液（不涉及聚磺体系泥浆），三开使用合成基钻井液。</w:t>
            </w:r>
            <w:r>
              <w:rPr>
                <w:color w:val="auto"/>
                <w:highlight w:val="none"/>
              </w:rPr>
              <w:fldChar w:fldCharType="end"/>
            </w:r>
          </w:p>
          <w:p w14:paraId="76FDCC93">
            <w:pPr>
              <w:pStyle w:val="73"/>
              <w:numPr>
                <w:ilvl w:val="0"/>
                <w:numId w:val="23"/>
              </w:numPr>
              <w:spacing w:line="332" w:lineRule="auto"/>
              <w:ind w:firstLine="420" w:firstLineChars="200"/>
              <w:rPr>
                <w:color w:val="auto"/>
                <w:highlight w:val="none"/>
              </w:rPr>
            </w:pPr>
            <w:r>
              <w:rPr>
                <w:rFonts w:hint="eastAsia"/>
                <w:color w:val="auto"/>
                <w:highlight w:val="none"/>
              </w:rPr>
              <w:t>钻完井</w:t>
            </w:r>
          </w:p>
          <w:p w14:paraId="019E1081">
            <w:pPr>
              <w:pStyle w:val="71"/>
              <w:numPr>
                <w:ilvl w:val="0"/>
                <w:numId w:val="0"/>
              </w:numPr>
              <w:ind w:firstLine="476"/>
              <w:rPr>
                <w:color w:val="auto"/>
                <w:highlight w:val="none"/>
              </w:rPr>
            </w:pPr>
            <w:r>
              <w:rPr>
                <w:rFonts w:hint="eastAsia"/>
                <w:color w:val="auto"/>
                <w:highlight w:val="none"/>
              </w:rPr>
              <w:t>钻完井是钻井工程的最后环节。钻井完成后，对钻井设备进行搬家，准备下一口井的钻井工作。</w:t>
            </w:r>
          </w:p>
          <w:p w14:paraId="27EBC3F6">
            <w:pPr>
              <w:pStyle w:val="73"/>
              <w:rPr>
                <w:color w:val="auto"/>
                <w:highlight w:val="none"/>
              </w:rPr>
            </w:pPr>
            <w:r>
              <w:rPr>
                <w:rFonts w:hint="eastAsia"/>
                <w:color w:val="auto"/>
                <w:highlight w:val="none"/>
              </w:rPr>
              <w:t>试油工程</w:t>
            </w:r>
          </w:p>
          <w:p w14:paraId="1AC97675">
            <w:pPr>
              <w:pStyle w:val="71"/>
              <w:numPr>
                <w:ilvl w:val="0"/>
                <w:numId w:val="0"/>
              </w:numPr>
              <w:ind w:firstLine="476"/>
              <w:rPr>
                <w:color w:val="auto"/>
                <w:highlight w:val="none"/>
              </w:rPr>
            </w:pPr>
            <w:r>
              <w:rPr>
                <w:rFonts w:hint="eastAsia"/>
                <w:color w:val="auto"/>
                <w:highlight w:val="none"/>
              </w:rPr>
              <w:t>试油主要是将钻井、综合录井、电测所认识和评价的含油气层，通过射孔、压裂、替喷、诱喷等多种方式，使地层中的流体（包括油、气和水）进入井筒，流出地面。从而取得地层流体的性质、各种流体的产量、地层压力以及流体流动过程中的压力变化等资料，并通过对这些资料的分析和处理获得地层的各种物性参数，对地层进行评价的工艺过程。</w:t>
            </w:r>
          </w:p>
          <w:p w14:paraId="3DD22D6D">
            <w:pPr>
              <w:pStyle w:val="73"/>
              <w:numPr>
                <w:ilvl w:val="0"/>
                <w:numId w:val="24"/>
              </w:numPr>
              <w:spacing w:line="332" w:lineRule="auto"/>
              <w:ind w:firstLine="420" w:firstLineChars="200"/>
              <w:rPr>
                <w:color w:val="auto"/>
                <w:highlight w:val="none"/>
              </w:rPr>
            </w:pPr>
            <w:r>
              <w:rPr>
                <w:rFonts w:hint="eastAsia"/>
                <w:color w:val="auto"/>
                <w:highlight w:val="none"/>
              </w:rPr>
              <w:t>射孔工艺</w:t>
            </w:r>
          </w:p>
          <w:p w14:paraId="4325724C">
            <w:pPr>
              <w:adjustRightInd w:val="0"/>
              <w:snapToGrid w:val="0"/>
              <w:ind w:firstLine="420"/>
              <w:rPr>
                <w:color w:val="auto"/>
                <w:highlight w:val="none"/>
              </w:rPr>
            </w:pPr>
            <w:r>
              <w:rPr>
                <w:rFonts w:hint="eastAsia"/>
                <w:color w:val="auto"/>
                <w:highlight w:val="none"/>
              </w:rPr>
              <w:t>当钻至目的层后，如钻孔在目的层未遇裂隙，则需进行射孔，用射孔枪打开产层；射孔工艺需结合岩相、储层力学性质、裂缝扩展模拟结果，开展分段分簇及射孔方案，射孔长度约为0.3m～1.0m，单簇孔数4～12个。</w:t>
            </w:r>
          </w:p>
          <w:p w14:paraId="0E9E988A">
            <w:pPr>
              <w:pStyle w:val="73"/>
              <w:numPr>
                <w:ilvl w:val="0"/>
                <w:numId w:val="24"/>
              </w:numPr>
              <w:spacing w:line="332" w:lineRule="auto"/>
              <w:ind w:firstLine="420" w:firstLineChars="200"/>
              <w:rPr>
                <w:color w:val="auto"/>
                <w:highlight w:val="none"/>
              </w:rPr>
            </w:pPr>
            <w:r>
              <w:rPr>
                <w:rFonts w:hint="eastAsia"/>
                <w:color w:val="auto"/>
                <w:highlight w:val="none"/>
              </w:rPr>
              <w:t>压裂作业</w:t>
            </w:r>
          </w:p>
          <w:p w14:paraId="754EB22F">
            <w:pPr>
              <w:adjustRightInd w:val="0"/>
              <w:snapToGrid w:val="0"/>
              <w:ind w:firstLine="420"/>
              <w:rPr>
                <w:color w:val="auto"/>
                <w:highlight w:val="none"/>
              </w:rPr>
            </w:pPr>
            <w:r>
              <w:rPr>
                <w:rFonts w:hint="eastAsia"/>
                <w:color w:val="auto"/>
                <w:highlight w:val="none"/>
              </w:rPr>
              <w:t>压裂主要是通过改善地层渗流条件，扩大储层渗流波及范围，从而达到油井增产的目的。一般采用套管压裂的方式，按设计要求准备压井液。</w:t>
            </w:r>
          </w:p>
          <w:p w14:paraId="67169CEC">
            <w:pPr>
              <w:pStyle w:val="73"/>
              <w:numPr>
                <w:ilvl w:val="0"/>
                <w:numId w:val="24"/>
              </w:numPr>
              <w:spacing w:line="332" w:lineRule="auto"/>
              <w:ind w:firstLine="420" w:firstLineChars="200"/>
              <w:rPr>
                <w:color w:val="auto"/>
                <w:highlight w:val="none"/>
              </w:rPr>
            </w:pPr>
            <w:r>
              <w:rPr>
                <w:rFonts w:hint="eastAsia"/>
                <w:color w:val="auto"/>
                <w:highlight w:val="none"/>
              </w:rPr>
              <w:t>抽汲诱喷</w:t>
            </w:r>
          </w:p>
          <w:p w14:paraId="698F00A5">
            <w:pPr>
              <w:adjustRightInd w:val="0"/>
              <w:snapToGrid w:val="0"/>
              <w:ind w:firstLine="420"/>
              <w:rPr>
                <w:color w:val="auto"/>
                <w:highlight w:val="none"/>
              </w:rPr>
            </w:pPr>
            <w:r>
              <w:rPr>
                <w:rFonts w:hint="eastAsia"/>
                <w:color w:val="auto"/>
                <w:highlight w:val="none"/>
              </w:rPr>
              <w:t>抽汲诱喷是用抽汲工具抽汲井内的液体，降低液面的高度，使井筒液柱压力低于地层压力，诱导地层流体进入井筒或喷出地面的作业，通常称为排液。</w:t>
            </w:r>
            <w:r>
              <w:rPr>
                <w:rFonts w:hint="eastAsia"/>
                <w:color w:val="auto"/>
                <w:highlight w:val="none"/>
                <w:lang w:val="en-US" w:eastAsia="zh-CN"/>
              </w:rPr>
              <w:t>排液通过密闭管道排入储存设施，</w:t>
            </w:r>
            <w:r>
              <w:rPr>
                <w:rFonts w:hint="eastAsia"/>
                <w:color w:val="auto"/>
                <w:highlight w:val="none"/>
              </w:rPr>
              <w:t>若排液显示工业油气流，则将产生的采出液通过罐车拉运至</w:t>
            </w:r>
            <w:r>
              <w:rPr>
                <w:rFonts w:hint="eastAsia"/>
                <w:color w:val="auto"/>
                <w:highlight w:val="none"/>
                <w:lang w:eastAsia="zh-CN"/>
              </w:rPr>
              <w:t>春风联合站</w:t>
            </w:r>
            <w:r>
              <w:rPr>
                <w:rFonts w:hint="eastAsia"/>
                <w:color w:val="auto"/>
                <w:highlight w:val="none"/>
              </w:rPr>
              <w:t>原油处理系统处理，若排液不显示工业油气流或原油含量很低，则统一按井下作业废液通过罐车拉运至</w:t>
            </w:r>
            <w:r>
              <w:rPr>
                <w:rFonts w:hint="eastAsia"/>
                <w:color w:val="auto"/>
                <w:highlight w:val="none"/>
                <w:lang w:eastAsia="zh-CN"/>
              </w:rPr>
              <w:t>春风联合站</w:t>
            </w:r>
            <w:r>
              <w:rPr>
                <w:rFonts w:hint="eastAsia"/>
                <w:color w:val="auto"/>
                <w:highlight w:val="none"/>
              </w:rPr>
              <w:t>采出水处理系统处理，不外排。</w:t>
            </w:r>
          </w:p>
          <w:p w14:paraId="2E189DE6">
            <w:pPr>
              <w:pStyle w:val="73"/>
              <w:numPr>
                <w:ilvl w:val="0"/>
                <w:numId w:val="24"/>
              </w:numPr>
              <w:spacing w:line="332" w:lineRule="auto"/>
              <w:ind w:firstLine="420" w:firstLineChars="200"/>
              <w:rPr>
                <w:color w:val="auto"/>
                <w:highlight w:val="none"/>
              </w:rPr>
            </w:pPr>
            <w:r>
              <w:rPr>
                <w:rFonts w:hint="eastAsia"/>
                <w:color w:val="auto"/>
                <w:highlight w:val="none"/>
              </w:rPr>
              <w:t>完井搬迁</w:t>
            </w:r>
          </w:p>
          <w:p w14:paraId="016E3FE0">
            <w:pPr>
              <w:pStyle w:val="73"/>
              <w:numPr>
                <w:ilvl w:val="0"/>
                <w:numId w:val="0"/>
              </w:numPr>
              <w:ind w:firstLine="420" w:firstLineChars="200"/>
              <w:rPr>
                <w:color w:val="auto"/>
                <w:kern w:val="0"/>
                <w:highlight w:val="none"/>
              </w:rPr>
            </w:pPr>
            <w:r>
              <w:rPr>
                <w:rFonts w:hint="eastAsia"/>
                <w:color w:val="auto"/>
                <w:kern w:val="0"/>
                <w:highlight w:val="none"/>
              </w:rPr>
              <w:t>在试油结束后，对达不到工业开采要求的探井进行永久封井（向井管内全程灌注高密度水泥），按照封井规范进行封井处置，并将临时占地恢复原貌。对于获得工业油气流的探井作为储备待今后开发。</w:t>
            </w:r>
          </w:p>
          <w:p w14:paraId="7D951424">
            <w:pPr>
              <w:pStyle w:val="73"/>
              <w:numPr>
                <w:ilvl w:val="0"/>
                <w:numId w:val="0"/>
              </w:numPr>
              <w:ind w:firstLine="420" w:firstLineChars="200"/>
              <w:rPr>
                <w:rFonts w:hint="eastAsia"/>
                <w:color w:val="auto"/>
                <w:highlight w:val="none"/>
              </w:rPr>
            </w:pPr>
            <w:r>
              <w:rPr>
                <w:rFonts w:hint="eastAsia"/>
                <w:color w:val="auto"/>
                <w:highlight w:val="none"/>
              </w:rPr>
              <w:t>施工作业流程及产污节点情况详见</w:t>
            </w:r>
            <w:r>
              <w:rPr>
                <w:color w:val="auto"/>
                <w:highlight w:val="none"/>
              </w:rPr>
              <w:fldChar w:fldCharType="begin"/>
            </w:r>
            <w:r>
              <w:rPr>
                <w:color w:val="auto"/>
                <w:highlight w:val="none"/>
              </w:rPr>
              <w:instrText xml:space="preserve"> REF _Ref206064121 \r  \* MERGEFORMAT</w:instrText>
            </w:r>
            <w:r>
              <w:rPr>
                <w:color w:val="auto"/>
                <w:highlight w:val="none"/>
              </w:rPr>
              <w:fldChar w:fldCharType="separate"/>
            </w:r>
            <w:r>
              <w:rPr>
                <w:rFonts w:hint="eastAsia"/>
                <w:color w:val="auto"/>
                <w:highlight w:val="none"/>
              </w:rPr>
              <w:t>图2</w:t>
            </w:r>
            <w:r>
              <w:rPr>
                <w:rFonts w:hint="eastAsia"/>
                <w:color w:val="auto"/>
                <w:highlight w:val="none"/>
              </w:rPr>
              <w:fldChar w:fldCharType="end"/>
            </w:r>
            <w:r>
              <w:rPr>
                <w:rFonts w:hint="eastAsia"/>
                <w:color w:val="auto"/>
                <w:highlight w:val="none"/>
              </w:rPr>
              <w:t>。</w:t>
            </w:r>
          </w:p>
          <w:p w14:paraId="0B9026C9">
            <w:pPr>
              <w:pStyle w:val="73"/>
              <w:numPr>
                <w:ilvl w:val="0"/>
                <w:numId w:val="0"/>
              </w:numPr>
              <w:rPr>
                <w:color w:val="auto"/>
                <w:highlight w:val="none"/>
              </w:rPr>
            </w:pPr>
            <w:r>
              <w:rPr>
                <w:rFonts w:hint="eastAsia"/>
                <w:color w:val="auto"/>
                <w:highlight w:val="none"/>
              </w:rPr>
              <w:object>
                <v:shape id="_x0000_i1025" o:spt="75" type="#_x0000_t75" style="height:333.6pt;width:372.65pt;" o:ole="t" filled="f" o:preferrelative="t" stroked="f" coordsize="21600,21600">
                  <v:path/>
                  <v:fill on="f" focussize="0,0"/>
                  <v:stroke on="f"/>
                  <v:imagedata r:id="rId13" o:title=""/>
                  <o:lock v:ext="edit" aspectratio="f"/>
                  <w10:wrap type="none"/>
                  <w10:anchorlock/>
                </v:shape>
                <o:OLEObject Type="Embed" ProgID="Visio.Drawing.15" ShapeID="_x0000_i1025" DrawAspect="Content" ObjectID="_1468075725" r:id="rId12">
                  <o:LockedField>false</o:LockedField>
                </o:OLEObject>
              </w:object>
            </w:r>
          </w:p>
          <w:p w14:paraId="342CB194">
            <w:pPr>
              <w:pStyle w:val="13"/>
              <w:bidi w:val="0"/>
              <w:rPr>
                <w:color w:val="auto"/>
                <w:highlight w:val="none"/>
              </w:rPr>
            </w:pPr>
            <w:r>
              <w:rPr>
                <w:rFonts w:hint="eastAsia"/>
                <w:color w:val="auto"/>
                <w:highlight w:val="none"/>
              </w:rPr>
              <w:t>图2</w:t>
            </w:r>
            <w:r>
              <w:rPr>
                <w:color w:val="auto"/>
                <w:highlight w:val="none"/>
              </w:rPr>
              <w:t xml:space="preserve"> </w:t>
            </w:r>
            <w:bookmarkStart w:id="44" w:name="_Ref206064121"/>
            <w:r>
              <w:rPr>
                <w:rFonts w:hint="eastAsia"/>
                <w:color w:val="auto"/>
                <w:highlight w:val="none"/>
              </w:rPr>
              <w:t>施工作业流程及产污节点示意图</w:t>
            </w:r>
            <w:bookmarkEnd w:id="44"/>
          </w:p>
          <w:p w14:paraId="4669902F">
            <w:pPr>
              <w:pStyle w:val="41"/>
              <w:jc w:val="both"/>
              <w:rPr>
                <w:color w:val="auto"/>
                <w:sz w:val="21"/>
                <w:highlight w:val="none"/>
              </w:rPr>
            </w:pPr>
          </w:p>
          <w:p w14:paraId="2055F136">
            <w:pPr>
              <w:adjustRightInd w:val="0"/>
              <w:snapToGrid w:val="0"/>
              <w:ind w:firstLine="420"/>
              <w:rPr>
                <w:color w:val="auto"/>
                <w:highlight w:val="none"/>
              </w:rPr>
            </w:pPr>
            <w:r>
              <w:rPr>
                <w:rFonts w:hint="eastAsia"/>
                <w:color w:val="auto"/>
                <w:highlight w:val="none"/>
              </w:rPr>
              <w:t>2、封井期工艺流程</w:t>
            </w:r>
          </w:p>
          <w:p w14:paraId="1C1378D7">
            <w:pPr>
              <w:adjustRightInd w:val="0"/>
              <w:snapToGrid w:val="0"/>
              <w:ind w:firstLine="420"/>
              <w:rPr>
                <w:color w:val="auto"/>
                <w:highlight w:val="none"/>
              </w:rPr>
            </w:pPr>
            <w:r>
              <w:rPr>
                <w:rFonts w:hint="eastAsia"/>
                <w:color w:val="auto"/>
                <w:highlight w:val="none"/>
              </w:rPr>
              <w:t>试油结束后，对达不到工业开采要求的探井进行永久封井（向井筒内全程灌注高密度水泥，灌注水泥</w:t>
            </w:r>
            <w:r>
              <w:rPr>
                <w:rFonts w:hint="eastAsia"/>
                <w:color w:val="auto"/>
                <w:sz w:val="21"/>
                <w:highlight w:val="none"/>
              </w:rPr>
              <w:t>干粉</w:t>
            </w:r>
            <w:r>
              <w:rPr>
                <w:rFonts w:hint="eastAsia"/>
                <w:color w:val="auto"/>
                <w:highlight w:val="none"/>
              </w:rPr>
              <w:t>为外购成品），按照封井规范进行退役封井处置，并将临时占地恢复原貌。</w:t>
            </w:r>
          </w:p>
          <w:p w14:paraId="320F89E0">
            <w:pPr>
              <w:adjustRightInd w:val="0"/>
              <w:snapToGrid w:val="0"/>
              <w:ind w:firstLine="420"/>
              <w:rPr>
                <w:color w:val="auto"/>
                <w:highlight w:val="none"/>
              </w:rPr>
            </w:pPr>
            <w:r>
              <w:rPr>
                <w:rFonts w:hint="eastAsia"/>
                <w:color w:val="auto"/>
                <w:highlight w:val="none"/>
              </w:rPr>
              <w:t>封井期主要是把井场设备拆除，井口封存，清理井场等过程。封井期工艺过程及产污环节见</w:t>
            </w:r>
            <w:r>
              <w:rPr>
                <w:color w:val="auto"/>
                <w:highlight w:val="none"/>
              </w:rPr>
              <w:fldChar w:fldCharType="begin"/>
            </w:r>
            <w:r>
              <w:rPr>
                <w:color w:val="auto"/>
                <w:highlight w:val="none"/>
              </w:rPr>
              <w:instrText xml:space="preserve"> REF _Ref67817313 \r  \* MERGEFORMAT</w:instrText>
            </w:r>
            <w:r>
              <w:rPr>
                <w:color w:val="auto"/>
                <w:highlight w:val="none"/>
              </w:rPr>
              <w:fldChar w:fldCharType="separate"/>
            </w:r>
            <w:r>
              <w:rPr>
                <w:rFonts w:hint="eastAsia"/>
                <w:color w:val="auto"/>
                <w:highlight w:val="none"/>
              </w:rPr>
              <w:t>图3</w:t>
            </w:r>
            <w:r>
              <w:rPr>
                <w:rFonts w:hint="eastAsia"/>
                <w:color w:val="auto"/>
                <w:highlight w:val="none"/>
              </w:rPr>
              <w:fldChar w:fldCharType="end"/>
            </w:r>
            <w:r>
              <w:rPr>
                <w:rFonts w:hint="eastAsia"/>
                <w:color w:val="auto"/>
                <w:highlight w:val="none"/>
              </w:rPr>
              <w:t>。</w:t>
            </w:r>
          </w:p>
          <w:p w14:paraId="192931F1">
            <w:pPr>
              <w:adjustRightInd w:val="0"/>
              <w:snapToGrid w:val="0"/>
              <w:ind w:firstLine="420"/>
              <w:rPr>
                <w:color w:val="auto"/>
                <w:highlight w:val="none"/>
              </w:rPr>
            </w:pPr>
            <w:r>
              <w:rPr>
                <w:rFonts w:hint="eastAsia"/>
                <w:color w:val="auto"/>
                <w:highlight w:val="none"/>
              </w:rPr>
              <w:t>按照《油气田开采废弃井永久性封井处置作业规程》（GB/T 43672-2024）</w:t>
            </w:r>
            <w:r>
              <w:rPr>
                <w:rFonts w:hint="eastAsia"/>
                <w:color w:val="auto"/>
                <w:szCs w:val="18"/>
                <w:highlight w:val="none"/>
                <w:lang w:eastAsia="zh-CN"/>
              </w:rPr>
              <w:t>、</w:t>
            </w:r>
            <w:r>
              <w:rPr>
                <w:rFonts w:hint="eastAsia"/>
                <w:color w:val="auto"/>
                <w:highlight w:val="none"/>
                <w:lang w:eastAsia="zh-CN"/>
              </w:rPr>
              <w:t>《废弃井封井回填技术指南（试行）》、《矿山生态环境保护与恢复治理技术规范（试行）》（HJ651-2013）的相关要求</w:t>
            </w:r>
            <w:r>
              <w:rPr>
                <w:rFonts w:hint="eastAsia"/>
                <w:color w:val="auto"/>
                <w:highlight w:val="none"/>
              </w:rPr>
              <w:t>进行退役封井处置。</w:t>
            </w:r>
          </w:p>
          <w:p w14:paraId="5C6D9CAD">
            <w:pPr>
              <w:adjustRightInd w:val="0"/>
              <w:snapToGrid w:val="0"/>
              <w:ind w:firstLine="420"/>
              <w:rPr>
                <w:color w:val="auto"/>
                <w:highlight w:val="none"/>
              </w:rPr>
            </w:pPr>
            <w:r>
              <w:rPr>
                <w:rFonts w:hint="eastAsia"/>
                <w:color w:val="auto"/>
                <w:highlight w:val="none"/>
              </w:rPr>
              <w:t>（1）收集相关资料，包括井型、井身结构、地层情况、流体性质、目前井口现状及压力、地面情况、废弃原因等。</w:t>
            </w:r>
          </w:p>
          <w:p w14:paraId="7420868A">
            <w:pPr>
              <w:adjustRightInd w:val="0"/>
              <w:snapToGrid w:val="0"/>
              <w:ind w:firstLine="420"/>
              <w:rPr>
                <w:color w:val="auto"/>
                <w:highlight w:val="none"/>
              </w:rPr>
            </w:pPr>
            <w:r>
              <w:rPr>
                <w:rFonts w:hint="eastAsia"/>
                <w:color w:val="auto"/>
                <w:highlight w:val="none"/>
              </w:rPr>
              <w:t>（2）将待封井进行风险等级评价，周边存在注采井干扰的废弃井封固前，应暂停周边干扰井的生产或注水等作业，待地层压力稳定后，对可能存在井间干扰的层位进行挤注封堵。</w:t>
            </w:r>
          </w:p>
          <w:p w14:paraId="1ED65957">
            <w:pPr>
              <w:adjustRightInd w:val="0"/>
              <w:snapToGrid w:val="0"/>
              <w:ind w:firstLine="420"/>
              <w:rPr>
                <w:color w:val="auto"/>
                <w:highlight w:val="none"/>
              </w:rPr>
            </w:pPr>
            <w:r>
              <w:rPr>
                <w:rFonts w:hint="eastAsia"/>
                <w:color w:val="auto"/>
                <w:highlight w:val="none"/>
              </w:rPr>
              <w:t>（3）封堵作业前进行压井，待井内液柱压力平衡后方可进行其他作业。注水泥塞施工时，井内的静液柱压力应大于地层压力。难以实现静态平衡的高压地层或漏失地层可采用桥塞、膨胀封隔器、水泥承留器等一些机械工具进行挤注水泥浆。</w:t>
            </w:r>
          </w:p>
          <w:p w14:paraId="202E262A">
            <w:pPr>
              <w:adjustRightInd w:val="0"/>
              <w:snapToGrid w:val="0"/>
              <w:ind w:firstLine="420"/>
              <w:rPr>
                <w:color w:val="auto"/>
                <w:highlight w:val="none"/>
              </w:rPr>
            </w:pPr>
            <w:r>
              <w:rPr>
                <w:rFonts w:hint="eastAsia"/>
                <w:color w:val="auto"/>
                <w:highlight w:val="none"/>
              </w:rPr>
              <w:t>（4）封井用水泥的选用和配制，应按《常规修井作业规程 第 14 部分：注塞、钻塞》（SY/T 5587.14-2013）的规定执行；低渗层储层可采用超细水泥。封井现场的水泥为配制好成品水泥，现场不设置水泥拌合装置。</w:t>
            </w:r>
          </w:p>
          <w:p w14:paraId="257ADEA5">
            <w:pPr>
              <w:adjustRightInd w:val="0"/>
              <w:snapToGrid w:val="0"/>
              <w:ind w:firstLine="420"/>
              <w:rPr>
                <w:color w:val="auto"/>
                <w:highlight w:val="none"/>
              </w:rPr>
            </w:pPr>
            <w:r>
              <w:rPr>
                <w:rFonts w:hint="eastAsia"/>
                <w:color w:val="auto"/>
                <w:highlight w:val="none"/>
              </w:rPr>
              <w:t>（5）水泥塞要根据废弃井实际情况合理选择封井位置，同时根据储层情况选择符合要求的密度的水泥进行封井，保证封固牢靠，地层内油水不会上返。低压井在油层套管水泥返高以下、最上部油层射孔井段以上200m内，注50m长的水泥塞；然后在距井口深度200m以内注50m长的水泥塞封井；高压井在油层套管水泥返高以下、最上部油层射孔井段以上200m内先打高压桥塞，再在桥塞上注 50m 长的水泥塞，最后在距井口深度200m以内注50m长的水泥塞封井。</w:t>
            </w:r>
          </w:p>
          <w:p w14:paraId="75BC1B0F">
            <w:pPr>
              <w:adjustRightInd w:val="0"/>
              <w:snapToGrid w:val="0"/>
              <w:ind w:firstLine="420"/>
              <w:rPr>
                <w:color w:val="auto"/>
                <w:highlight w:val="none"/>
              </w:rPr>
            </w:pPr>
            <w:r>
              <w:rPr>
                <w:rFonts w:hint="eastAsia"/>
                <w:color w:val="auto"/>
                <w:highlight w:val="none"/>
              </w:rPr>
              <w:t>（6）封井完成后，应采用探水泥塞面检验和压差检验的方法对封堵效果进行检验，确保封井质量满足要求，防止地面水入渗以及地层内油水上返污染土壤和地下水。</w:t>
            </w:r>
          </w:p>
          <w:p w14:paraId="4C66F45A">
            <w:pPr>
              <w:adjustRightInd w:val="0"/>
              <w:snapToGrid w:val="0"/>
              <w:ind w:firstLine="420"/>
              <w:rPr>
                <w:color w:val="auto"/>
                <w:highlight w:val="none"/>
              </w:rPr>
            </w:pPr>
            <w:r>
              <w:rPr>
                <w:rFonts w:hint="eastAsia"/>
                <w:color w:val="auto"/>
                <w:highlight w:val="none"/>
              </w:rPr>
              <w:t>（7）封井后进行试压，符合标准后进行其他作业。</w:t>
            </w:r>
          </w:p>
          <w:p w14:paraId="24B8FBBC">
            <w:pPr>
              <w:adjustRightInd w:val="0"/>
              <w:snapToGrid w:val="0"/>
              <w:ind w:firstLine="420"/>
              <w:rPr>
                <w:color w:val="auto"/>
                <w:highlight w:val="none"/>
              </w:rPr>
            </w:pPr>
            <w:r>
              <w:rPr>
                <w:rFonts w:hint="eastAsia"/>
                <w:color w:val="auto"/>
                <w:highlight w:val="none"/>
              </w:rPr>
              <w:t>（8）弃井作业（井筒情况、管柱记录、套管的损害及修补记录、打水泥塞封堵记录、管柱结构等）应按照管理结构的要求格式以永久性文件存档。</w:t>
            </w:r>
          </w:p>
          <w:p w14:paraId="679E295F">
            <w:pPr>
              <w:adjustRightInd w:val="0"/>
              <w:snapToGrid w:val="0"/>
              <w:ind w:firstLine="420"/>
              <w:rPr>
                <w:color w:val="auto"/>
                <w:highlight w:val="none"/>
              </w:rPr>
            </w:pPr>
            <w:r>
              <w:rPr>
                <w:rFonts w:hint="eastAsia"/>
                <w:color w:val="auto"/>
                <w:highlight w:val="none"/>
              </w:rPr>
              <w:t>（9）建立报废井档案。</w:t>
            </w:r>
          </w:p>
          <w:p w14:paraId="39A605B1">
            <w:pPr>
              <w:pStyle w:val="13"/>
              <w:spacing w:beforeLines="0" w:line="100" w:lineRule="atLeast"/>
              <w:ind w:firstLine="0" w:firstLineChars="0"/>
              <w:jc w:val="center"/>
              <w:rPr>
                <w:color w:val="auto"/>
                <w:sz w:val="2"/>
                <w:szCs w:val="2"/>
                <w:highlight w:val="none"/>
              </w:rPr>
            </w:pPr>
            <w:r>
              <w:rPr>
                <w:rFonts w:hint="eastAsia"/>
                <w:color w:val="auto"/>
                <w:highlight w:val="none"/>
              </w:rPr>
              <w:object>
                <v:shape id="_x0000_i1026" o:spt="75" type="#_x0000_t75" style="height:139.1pt;width:337.6pt;" o:ole="t" filled="f" o:preferrelative="t" stroked="f" coordsize="21600,21600">
                  <v:path/>
                  <v:fill on="f" focussize="0,0"/>
                  <v:stroke on="f"/>
                  <v:imagedata r:id="rId15" o:title=""/>
                  <o:lock v:ext="edit" aspectratio="f"/>
                  <w10:wrap type="none"/>
                  <w10:anchorlock/>
                </v:shape>
                <o:OLEObject Type="Embed" ProgID="Visio.Drawing.15" ShapeID="_x0000_i1026" DrawAspect="Content" ObjectID="_1468075726" r:id="rId14">
                  <o:LockedField>false</o:LockedField>
                </o:OLEObject>
              </w:object>
            </w:r>
          </w:p>
          <w:p w14:paraId="36C351FF">
            <w:pPr>
              <w:pStyle w:val="41"/>
              <w:rPr>
                <w:rFonts w:hint="eastAsia"/>
                <w:color w:val="auto"/>
                <w:szCs w:val="18"/>
                <w:highlight w:val="none"/>
              </w:rPr>
            </w:pPr>
            <w:bookmarkStart w:id="45" w:name="_Ref67817313"/>
          </w:p>
          <w:p w14:paraId="7A164D14">
            <w:pPr>
              <w:pStyle w:val="13"/>
              <w:bidi w:val="0"/>
              <w:rPr>
                <w:color w:val="auto"/>
                <w:highlight w:val="none"/>
              </w:rPr>
            </w:pPr>
            <w:r>
              <w:rPr>
                <w:rFonts w:hint="eastAsia"/>
                <w:color w:val="auto"/>
                <w:highlight w:val="none"/>
              </w:rPr>
              <w:t>图3 封井期工艺流程及产污节点图</w:t>
            </w:r>
            <w:bookmarkEnd w:id="45"/>
          </w:p>
        </w:tc>
      </w:tr>
      <w:tr w14:paraId="40EF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521" w:type="dxa"/>
            <w:vAlign w:val="center"/>
          </w:tcPr>
          <w:p w14:paraId="2FD3A2A9">
            <w:pPr>
              <w:pStyle w:val="3"/>
              <w:spacing w:line="240" w:lineRule="auto"/>
              <w:ind w:firstLine="0" w:firstLineChars="0"/>
              <w:jc w:val="center"/>
              <w:rPr>
                <w:color w:val="auto"/>
                <w:sz w:val="21"/>
                <w:highlight w:val="none"/>
              </w:rPr>
            </w:pPr>
            <w:r>
              <w:rPr>
                <w:rFonts w:hint="eastAsia"/>
                <w:color w:val="auto"/>
                <w:sz w:val="21"/>
                <w:highlight w:val="none"/>
              </w:rPr>
              <w:t>其</w:t>
            </w:r>
          </w:p>
          <w:p w14:paraId="6514044F">
            <w:pPr>
              <w:pStyle w:val="3"/>
              <w:spacing w:line="240" w:lineRule="auto"/>
              <w:ind w:firstLine="0" w:firstLineChars="0"/>
              <w:jc w:val="center"/>
              <w:rPr>
                <w:color w:val="auto"/>
                <w:sz w:val="21"/>
                <w:highlight w:val="none"/>
              </w:rPr>
            </w:pPr>
            <w:r>
              <w:rPr>
                <w:rFonts w:hint="eastAsia"/>
                <w:color w:val="auto"/>
                <w:sz w:val="21"/>
                <w:highlight w:val="none"/>
              </w:rPr>
              <w:t>他</w:t>
            </w:r>
          </w:p>
        </w:tc>
        <w:tc>
          <w:tcPr>
            <w:tcW w:w="7752" w:type="dxa"/>
            <w:tcMar>
              <w:top w:w="113" w:type="dxa"/>
              <w:bottom w:w="113" w:type="dxa"/>
            </w:tcMar>
            <w:vAlign w:val="center"/>
          </w:tcPr>
          <w:p w14:paraId="4BF63F83">
            <w:pPr>
              <w:pStyle w:val="3"/>
              <w:keepNext/>
              <w:spacing w:line="240" w:lineRule="auto"/>
              <w:ind w:firstLine="0" w:firstLineChars="0"/>
              <w:jc w:val="center"/>
              <w:rPr>
                <w:color w:val="auto"/>
                <w:sz w:val="21"/>
                <w:highlight w:val="none"/>
              </w:rPr>
            </w:pPr>
            <w:r>
              <w:rPr>
                <w:rFonts w:hint="eastAsia"/>
                <w:color w:val="auto"/>
                <w:sz w:val="21"/>
                <w:highlight w:val="none"/>
              </w:rPr>
              <w:t>无</w:t>
            </w:r>
          </w:p>
        </w:tc>
      </w:tr>
    </w:tbl>
    <w:p w14:paraId="3B0C07DD">
      <w:pPr>
        <w:pStyle w:val="3"/>
        <w:ind w:firstLine="0" w:firstLineChars="0"/>
        <w:rPr>
          <w:color w:val="auto"/>
          <w:highlight w:val="none"/>
        </w:rPr>
      </w:pPr>
    </w:p>
    <w:p w14:paraId="7A792987">
      <w:pPr>
        <w:pStyle w:val="3"/>
        <w:ind w:firstLine="0" w:firstLineChars="0"/>
        <w:rPr>
          <w:color w:val="auto"/>
          <w:highlight w:val="none"/>
        </w:rPr>
      </w:pPr>
    </w:p>
    <w:p w14:paraId="35580F9D">
      <w:pPr>
        <w:rPr>
          <w:color w:val="auto"/>
          <w:highlight w:val="none"/>
        </w:rPr>
      </w:pPr>
      <w:r>
        <w:rPr>
          <w:color w:val="auto"/>
          <w:highlight w:val="none"/>
        </w:rPr>
        <w:br w:type="page"/>
      </w:r>
    </w:p>
    <w:p w14:paraId="611A4119">
      <w:pPr>
        <w:pStyle w:val="3"/>
        <w:ind w:firstLine="0" w:firstLineChars="0"/>
        <w:rPr>
          <w:color w:val="auto"/>
          <w:highlight w:val="none"/>
        </w:rPr>
      </w:pPr>
    </w:p>
    <w:p w14:paraId="5DC97FD9">
      <w:pPr>
        <w:pStyle w:val="3"/>
        <w:ind w:firstLine="0" w:firstLineChars="0"/>
        <w:jc w:val="center"/>
        <w:outlineLvl w:val="0"/>
        <w:rPr>
          <w:rFonts w:ascii="黑体" w:hAnsi="黑体" w:eastAsia="黑体"/>
          <w:color w:val="auto"/>
          <w:sz w:val="30"/>
          <w:szCs w:val="30"/>
          <w:highlight w:val="none"/>
        </w:rPr>
      </w:pPr>
      <w:bookmarkStart w:id="46" w:name="_Toc5626"/>
      <w:bookmarkStart w:id="47" w:name="_Toc17447"/>
      <w:bookmarkStart w:id="128" w:name="_GoBack"/>
      <w:bookmarkEnd w:id="128"/>
      <w:r>
        <w:rPr>
          <w:rFonts w:hint="eastAsia" w:ascii="黑体" w:hAnsi="黑体" w:eastAsia="黑体"/>
          <w:color w:val="auto"/>
          <w:sz w:val="30"/>
          <w:szCs w:val="30"/>
          <w:highlight w:val="none"/>
        </w:rPr>
        <w:t>三、生态环境现状、保护目标及评价标准</w:t>
      </w:r>
      <w:bookmarkEnd w:id="46"/>
      <w:bookmarkEnd w:id="47"/>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7869"/>
      </w:tblGrid>
      <w:tr w14:paraId="4D11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vAlign w:val="center"/>
          </w:tcPr>
          <w:p w14:paraId="0C0CE5B3">
            <w:pPr>
              <w:pStyle w:val="3"/>
              <w:spacing w:line="240" w:lineRule="auto"/>
              <w:ind w:firstLine="0" w:firstLineChars="0"/>
              <w:jc w:val="center"/>
              <w:rPr>
                <w:color w:val="auto"/>
                <w:sz w:val="21"/>
                <w:highlight w:val="none"/>
              </w:rPr>
            </w:pPr>
            <w:r>
              <w:rPr>
                <w:rFonts w:hint="eastAsia"/>
                <w:color w:val="auto"/>
                <w:sz w:val="21"/>
                <w:highlight w:val="none"/>
              </w:rPr>
              <w:t>生</w:t>
            </w:r>
          </w:p>
          <w:p w14:paraId="59707D5D">
            <w:pPr>
              <w:pStyle w:val="3"/>
              <w:spacing w:line="240" w:lineRule="auto"/>
              <w:ind w:firstLine="0" w:firstLineChars="0"/>
              <w:jc w:val="center"/>
              <w:rPr>
                <w:color w:val="auto"/>
                <w:sz w:val="21"/>
                <w:highlight w:val="none"/>
              </w:rPr>
            </w:pPr>
            <w:r>
              <w:rPr>
                <w:rFonts w:hint="eastAsia"/>
                <w:color w:val="auto"/>
                <w:sz w:val="21"/>
                <w:highlight w:val="none"/>
              </w:rPr>
              <w:t>态</w:t>
            </w:r>
          </w:p>
          <w:p w14:paraId="08C902C3">
            <w:pPr>
              <w:pStyle w:val="3"/>
              <w:spacing w:line="240" w:lineRule="auto"/>
              <w:ind w:firstLine="0" w:firstLineChars="0"/>
              <w:jc w:val="center"/>
              <w:rPr>
                <w:color w:val="auto"/>
                <w:sz w:val="21"/>
                <w:highlight w:val="none"/>
              </w:rPr>
            </w:pPr>
            <w:r>
              <w:rPr>
                <w:rFonts w:hint="eastAsia"/>
                <w:color w:val="auto"/>
                <w:sz w:val="21"/>
                <w:highlight w:val="none"/>
              </w:rPr>
              <w:t>环</w:t>
            </w:r>
          </w:p>
          <w:p w14:paraId="31D872EF">
            <w:pPr>
              <w:pStyle w:val="3"/>
              <w:spacing w:line="240" w:lineRule="auto"/>
              <w:ind w:firstLine="0" w:firstLineChars="0"/>
              <w:jc w:val="center"/>
              <w:rPr>
                <w:color w:val="auto"/>
                <w:sz w:val="21"/>
                <w:highlight w:val="none"/>
              </w:rPr>
            </w:pPr>
            <w:r>
              <w:rPr>
                <w:rFonts w:hint="eastAsia"/>
                <w:color w:val="auto"/>
                <w:sz w:val="21"/>
                <w:highlight w:val="none"/>
              </w:rPr>
              <w:t>境</w:t>
            </w:r>
          </w:p>
          <w:p w14:paraId="6ECA4522">
            <w:pPr>
              <w:pStyle w:val="3"/>
              <w:spacing w:line="240" w:lineRule="auto"/>
              <w:ind w:firstLine="0" w:firstLineChars="0"/>
              <w:jc w:val="center"/>
              <w:rPr>
                <w:color w:val="auto"/>
                <w:sz w:val="21"/>
                <w:highlight w:val="none"/>
              </w:rPr>
            </w:pPr>
            <w:r>
              <w:rPr>
                <w:rFonts w:hint="eastAsia"/>
                <w:color w:val="auto"/>
                <w:sz w:val="21"/>
                <w:highlight w:val="none"/>
              </w:rPr>
              <w:t>现</w:t>
            </w:r>
          </w:p>
          <w:p w14:paraId="08D9011E">
            <w:pPr>
              <w:pStyle w:val="3"/>
              <w:spacing w:line="240" w:lineRule="auto"/>
              <w:ind w:firstLine="0" w:firstLineChars="0"/>
              <w:jc w:val="center"/>
              <w:rPr>
                <w:color w:val="auto"/>
                <w:sz w:val="21"/>
                <w:highlight w:val="none"/>
              </w:rPr>
            </w:pPr>
            <w:r>
              <w:rPr>
                <w:rFonts w:hint="eastAsia"/>
                <w:color w:val="auto"/>
                <w:sz w:val="21"/>
                <w:highlight w:val="none"/>
              </w:rPr>
              <w:t>状</w:t>
            </w:r>
          </w:p>
        </w:tc>
        <w:tc>
          <w:tcPr>
            <w:tcW w:w="7869" w:type="dxa"/>
            <w:tcMar>
              <w:top w:w="170" w:type="dxa"/>
              <w:left w:w="108" w:type="dxa"/>
              <w:bottom w:w="113" w:type="dxa"/>
              <w:right w:w="108" w:type="dxa"/>
            </w:tcMar>
            <w:vAlign w:val="center"/>
          </w:tcPr>
          <w:p w14:paraId="1F7392A7">
            <w:pPr>
              <w:pStyle w:val="3"/>
              <w:numPr>
                <w:ilvl w:val="0"/>
                <w:numId w:val="25"/>
              </w:numPr>
              <w:spacing w:line="332" w:lineRule="auto"/>
              <w:ind w:firstLine="420"/>
              <w:rPr>
                <w:color w:val="auto"/>
                <w:sz w:val="21"/>
                <w:highlight w:val="none"/>
              </w:rPr>
            </w:pPr>
            <w:r>
              <w:rPr>
                <w:rFonts w:hint="eastAsia"/>
                <w:color w:val="auto"/>
                <w:sz w:val="21"/>
                <w:highlight w:val="none"/>
              </w:rPr>
              <w:t>生态环境质量现状</w:t>
            </w:r>
          </w:p>
          <w:p w14:paraId="305D7FC1">
            <w:pPr>
              <w:pStyle w:val="71"/>
              <w:numPr>
                <w:ilvl w:val="0"/>
                <w:numId w:val="26"/>
              </w:numPr>
              <w:spacing w:line="332" w:lineRule="auto"/>
              <w:ind w:firstLine="420" w:firstLineChars="200"/>
              <w:rPr>
                <w:color w:val="auto"/>
                <w:highlight w:val="none"/>
              </w:rPr>
            </w:pPr>
            <w:r>
              <w:rPr>
                <w:rFonts w:hint="eastAsia"/>
                <w:color w:val="auto"/>
                <w:highlight w:val="none"/>
              </w:rPr>
              <w:t>主体功能区划</w:t>
            </w:r>
          </w:p>
          <w:p w14:paraId="5B2283FB">
            <w:pPr>
              <w:pStyle w:val="3"/>
              <w:spacing w:line="332" w:lineRule="auto"/>
              <w:ind w:firstLine="420"/>
              <w:rPr>
                <w:rFonts w:hint="default" w:eastAsia="宋体"/>
                <w:color w:val="auto"/>
                <w:sz w:val="21"/>
                <w:highlight w:val="none"/>
                <w:lang w:val="en-US" w:eastAsia="zh-CN"/>
              </w:rPr>
            </w:pPr>
            <w:r>
              <w:rPr>
                <w:rFonts w:hint="eastAsia"/>
                <w:color w:val="auto"/>
                <w:sz w:val="21"/>
                <w:highlight w:val="none"/>
              </w:rPr>
              <w:t>根据《昌吉回族自治州国土空间总体规划（2021-2035年）》，将</w:t>
            </w:r>
            <w:r>
              <w:rPr>
                <w:rFonts w:hint="eastAsia"/>
                <w:color w:val="auto"/>
                <w:sz w:val="21"/>
                <w:highlight w:val="none"/>
                <w:lang w:val="en-US" w:eastAsia="zh-CN"/>
              </w:rPr>
              <w:t>昌吉州以乡镇为基本分区单元</w:t>
            </w:r>
            <w:r>
              <w:rPr>
                <w:rFonts w:hint="eastAsia"/>
                <w:color w:val="auto"/>
                <w:sz w:val="21"/>
                <w:highlight w:val="none"/>
              </w:rPr>
              <w:t>分为以下主体功能区：</w:t>
            </w:r>
            <w:r>
              <w:rPr>
                <w:rFonts w:hint="eastAsia"/>
                <w:color w:val="auto"/>
                <w:sz w:val="21"/>
                <w:highlight w:val="none"/>
                <w:lang w:val="en-US" w:eastAsia="zh-CN"/>
              </w:rPr>
              <w:t>农产品主产区</w:t>
            </w:r>
            <w:r>
              <w:rPr>
                <w:rFonts w:hint="eastAsia"/>
                <w:color w:val="auto"/>
                <w:sz w:val="21"/>
                <w:highlight w:val="none"/>
              </w:rPr>
              <w:t>、</w:t>
            </w:r>
            <w:r>
              <w:rPr>
                <w:rFonts w:hint="eastAsia"/>
                <w:color w:val="auto"/>
                <w:sz w:val="21"/>
                <w:highlight w:val="none"/>
                <w:lang w:val="en-US" w:eastAsia="zh-CN"/>
              </w:rPr>
              <w:t>重点生态功能区</w:t>
            </w:r>
            <w:r>
              <w:rPr>
                <w:rFonts w:hint="eastAsia"/>
                <w:color w:val="auto"/>
                <w:sz w:val="21"/>
                <w:highlight w:val="none"/>
              </w:rPr>
              <w:t>、</w:t>
            </w:r>
            <w:r>
              <w:rPr>
                <w:rFonts w:hint="eastAsia"/>
                <w:color w:val="auto"/>
                <w:sz w:val="21"/>
                <w:highlight w:val="none"/>
                <w:lang w:val="en-US" w:eastAsia="zh-CN"/>
              </w:rPr>
              <w:t>城市化发展区。</w:t>
            </w:r>
          </w:p>
          <w:p w14:paraId="6D1448B2">
            <w:pPr>
              <w:pStyle w:val="3"/>
              <w:spacing w:line="332" w:lineRule="auto"/>
              <w:ind w:firstLine="420"/>
              <w:rPr>
                <w:color w:val="auto"/>
                <w:sz w:val="21"/>
                <w:szCs w:val="21"/>
                <w:highlight w:val="none"/>
              </w:rPr>
            </w:pPr>
            <w:r>
              <w:rPr>
                <w:rFonts w:hint="eastAsia"/>
                <w:color w:val="auto"/>
                <w:sz w:val="21"/>
                <w:szCs w:val="21"/>
                <w:highlight w:val="none"/>
              </w:rPr>
              <w:t>本项目建设地点位于</w:t>
            </w:r>
            <w:r>
              <w:rPr>
                <w:rFonts w:hint="eastAsia"/>
                <w:color w:val="auto"/>
                <w:sz w:val="21"/>
                <w:szCs w:val="21"/>
                <w:highlight w:val="none"/>
              </w:rPr>
              <w:fldChar w:fldCharType="begin"/>
            </w:r>
            <w:r>
              <w:rPr>
                <w:rFonts w:hint="eastAsia"/>
                <w:color w:val="auto"/>
                <w:sz w:val="21"/>
                <w:szCs w:val="21"/>
                <w:highlight w:val="none"/>
              </w:rPr>
              <w:instrText xml:space="preserve"> LINK Excel.Sheet.12 "C:\\Users\\DELL\\1报告初稿\\米泉2预探井-环评表基础信息表-sh (自动保存的).xlsx" Sheet2!R33C3 \t </w:instrText>
            </w:r>
            <w:bookmarkStart w:id="48" w:name="_1678076886"/>
            <w:bookmarkEnd w:id="48"/>
            <w:r>
              <w:rPr>
                <w:rFonts w:hint="eastAsia"/>
                <w:color w:val="auto"/>
                <w:sz w:val="21"/>
                <w:szCs w:val="21"/>
                <w:highlight w:val="none"/>
              </w:rPr>
              <w:instrText xml:space="preserve"> \* MERGEFORMAT </w:instrText>
            </w:r>
            <w:r>
              <w:rPr>
                <w:rFonts w:hint="eastAsia"/>
                <w:color w:val="auto"/>
                <w:sz w:val="21"/>
                <w:szCs w:val="21"/>
                <w:highlight w:val="none"/>
              </w:rPr>
              <w:fldChar w:fldCharType="separate"/>
            </w:r>
            <w:r>
              <w:rPr>
                <w:rFonts w:hint="eastAsia"/>
                <w:color w:val="auto"/>
                <w:sz w:val="21"/>
                <w:szCs w:val="21"/>
                <w:highlight w:val="none"/>
              </w:rPr>
              <w:t>新疆维吾尔自治区昌吉回族自治州阜康市</w:t>
            </w:r>
            <w:r>
              <w:rPr>
                <w:rFonts w:hint="eastAsia"/>
                <w:color w:val="auto"/>
                <w:sz w:val="21"/>
                <w:szCs w:val="21"/>
                <w:highlight w:val="none"/>
              </w:rPr>
              <w:fldChar w:fldCharType="end"/>
            </w:r>
            <w:r>
              <w:rPr>
                <w:rFonts w:hint="eastAsia"/>
                <w:color w:val="auto"/>
                <w:sz w:val="21"/>
                <w:szCs w:val="21"/>
                <w:highlight w:val="none"/>
                <w:lang w:val="en-US" w:eastAsia="zh-CN"/>
              </w:rPr>
              <w:t>以北</w:t>
            </w:r>
            <w:r>
              <w:rPr>
                <w:rFonts w:hint="eastAsia"/>
                <w:color w:val="auto"/>
                <w:sz w:val="21"/>
                <w:szCs w:val="21"/>
                <w:highlight w:val="none"/>
              </w:rPr>
              <w:t>，属于</w:t>
            </w:r>
            <w:r>
              <w:rPr>
                <w:rFonts w:hint="eastAsia"/>
                <w:color w:val="auto"/>
                <w:sz w:val="21"/>
                <w:szCs w:val="21"/>
                <w:highlight w:val="none"/>
                <w:lang w:val="en-US" w:eastAsia="zh-CN"/>
              </w:rPr>
              <w:t>重点生态功能区</w:t>
            </w:r>
            <w:r>
              <w:rPr>
                <w:rFonts w:hint="eastAsia"/>
                <w:color w:val="auto"/>
                <w:sz w:val="21"/>
                <w:szCs w:val="21"/>
                <w:highlight w:val="none"/>
              </w:rPr>
              <w:t>。</w:t>
            </w:r>
          </w:p>
          <w:p w14:paraId="37F3C9D8">
            <w:pPr>
              <w:pStyle w:val="3"/>
              <w:spacing w:line="332" w:lineRule="auto"/>
              <w:ind w:firstLine="420"/>
              <w:rPr>
                <w:rFonts w:hint="default" w:eastAsia="宋体"/>
                <w:color w:val="auto"/>
                <w:sz w:val="21"/>
                <w:szCs w:val="21"/>
                <w:highlight w:val="none"/>
                <w:lang w:val="en-US" w:eastAsia="zh-CN"/>
              </w:rPr>
            </w:pPr>
            <w:r>
              <w:rPr>
                <w:rFonts w:hint="eastAsia"/>
                <w:color w:val="auto"/>
                <w:sz w:val="21"/>
                <w:szCs w:val="21"/>
                <w:highlight w:val="none"/>
              </w:rPr>
              <w:t>重点</w:t>
            </w:r>
            <w:r>
              <w:rPr>
                <w:rFonts w:hint="eastAsia"/>
                <w:color w:val="auto"/>
                <w:sz w:val="21"/>
                <w:szCs w:val="21"/>
                <w:highlight w:val="none"/>
                <w:lang w:val="en-US" w:eastAsia="zh-CN"/>
              </w:rPr>
              <w:t>生态功能区的主要定位为承担水源涵养、水土保持、防风固沙和生物多样性维护等重要生态功能，以增强区域生态服务功能、改善生态环境质量为重点，以保持并提高生态产品供给能力的区域。</w:t>
            </w:r>
          </w:p>
          <w:p w14:paraId="037D2718">
            <w:pPr>
              <w:pStyle w:val="71"/>
              <w:numPr>
                <w:ilvl w:val="0"/>
                <w:numId w:val="26"/>
              </w:numPr>
              <w:spacing w:line="332" w:lineRule="auto"/>
              <w:ind w:firstLine="420" w:firstLineChars="200"/>
              <w:rPr>
                <w:color w:val="auto"/>
                <w:highlight w:val="none"/>
              </w:rPr>
            </w:pPr>
            <w:r>
              <w:rPr>
                <w:rFonts w:hint="eastAsia"/>
                <w:color w:val="auto"/>
                <w:highlight w:val="none"/>
              </w:rPr>
              <w:t>生态功能区划</w:t>
            </w:r>
          </w:p>
          <w:p w14:paraId="463D5803">
            <w:pPr>
              <w:pStyle w:val="3"/>
              <w:spacing w:line="332" w:lineRule="auto"/>
              <w:ind w:firstLine="420"/>
              <w:rPr>
                <w:color w:val="auto"/>
                <w:sz w:val="21"/>
                <w:szCs w:val="21"/>
                <w:highlight w:val="none"/>
              </w:rPr>
            </w:pPr>
            <w:r>
              <w:rPr>
                <w:rFonts w:hint="eastAsia"/>
                <w:color w:val="auto"/>
                <w:sz w:val="21"/>
                <w:szCs w:val="21"/>
                <w:highlight w:val="none"/>
              </w:rPr>
              <w:t>本项目位于新疆维吾尔自治区昌吉回族自治州阜康市三工河哈萨克族乡西北侧16.4km</w:t>
            </w:r>
            <w:r>
              <w:rPr>
                <w:rFonts w:hint="eastAsia"/>
                <w:color w:val="auto"/>
                <w:sz w:val="21"/>
                <w:highlight w:val="none"/>
              </w:rPr>
              <w:t>，</w:t>
            </w:r>
            <w:r>
              <w:rPr>
                <w:rFonts w:hint="eastAsia"/>
                <w:color w:val="auto"/>
                <w:sz w:val="21"/>
                <w:szCs w:val="21"/>
                <w:highlight w:val="none"/>
              </w:rPr>
              <w:t>根据《新疆生态功能区划》（2005年12月21日），本项目属于“Ⅱ准噶尔盆地温性荒漠与绿洲农业生态区”中“Ⅱ3准噶尔盆地中部固定、半固定沙漠生态亚区”，生态功能区划简表详见</w:t>
            </w:r>
            <w:r>
              <w:rPr>
                <w:rFonts w:hint="eastAsia"/>
                <w:color w:val="auto"/>
                <w:sz w:val="21"/>
                <w:szCs w:val="21"/>
                <w:highlight w:val="none"/>
              </w:rPr>
              <w:fldChar w:fldCharType="begin"/>
            </w:r>
            <w:r>
              <w:rPr>
                <w:color w:val="auto"/>
                <w:highlight w:val="none"/>
              </w:rPr>
              <w:instrText xml:space="preserve"> REF _Ref206053141 \h  \* MERGEFORMAT</w:instrText>
            </w:r>
            <w:r>
              <w:rPr>
                <w:rFonts w:hint="eastAsia"/>
                <w:color w:val="auto"/>
                <w:sz w:val="21"/>
                <w:szCs w:val="21"/>
                <w:highlight w:val="none"/>
              </w:rPr>
              <w:fldChar w:fldCharType="separate"/>
            </w:r>
            <w:r>
              <w:rPr>
                <w:rFonts w:hint="eastAsia"/>
                <w:color w:val="auto"/>
                <w:sz w:val="21"/>
                <w:szCs w:val="21"/>
                <w:highlight w:val="none"/>
              </w:rPr>
              <w:t>表24</w:t>
            </w:r>
            <w:r>
              <w:rPr>
                <w:rFonts w:hint="eastAsia"/>
                <w:color w:val="auto"/>
                <w:sz w:val="21"/>
                <w:szCs w:val="21"/>
                <w:highlight w:val="none"/>
              </w:rPr>
              <w:fldChar w:fldCharType="end"/>
            </w:r>
            <w:r>
              <w:rPr>
                <w:rFonts w:hint="eastAsia"/>
                <w:color w:val="auto"/>
                <w:sz w:val="21"/>
                <w:szCs w:val="21"/>
                <w:highlight w:val="none"/>
              </w:rPr>
              <w:t>。</w:t>
            </w:r>
          </w:p>
          <w:p w14:paraId="21252AA4">
            <w:pPr>
              <w:pStyle w:val="13"/>
              <w:bidi w:val="0"/>
              <w:rPr>
                <w:color w:val="auto"/>
                <w:highlight w:val="none"/>
              </w:rPr>
            </w:pPr>
            <w:bookmarkStart w:id="49" w:name="_Ref206053141"/>
            <w:r>
              <w:rPr>
                <w:rFonts w:hint="eastAsia"/>
                <w:color w:val="auto"/>
                <w:highlight w:val="none"/>
              </w:rPr>
              <w:t>表</w:t>
            </w:r>
            <w:r>
              <w:rPr>
                <w:color w:val="auto"/>
                <w:highlight w:val="none"/>
              </w:rPr>
              <w:fldChar w:fldCharType="begin"/>
            </w:r>
            <w:r>
              <w:rPr>
                <w:color w:val="auto"/>
                <w:highlight w:val="none"/>
              </w:rPr>
              <w:instrText xml:space="preserve"> </w:instrText>
            </w:r>
            <w:r>
              <w:rPr>
                <w:rFonts w:hint="eastAsia"/>
                <w:color w:val="auto"/>
                <w:highlight w:val="none"/>
              </w:rPr>
              <w:instrText xml:space="preserve">SEQ 表 \*ARABIC</w:instrText>
            </w:r>
            <w:r>
              <w:rPr>
                <w:color w:val="auto"/>
                <w:highlight w:val="none"/>
              </w:rPr>
              <w:instrText xml:space="preserve"> </w:instrText>
            </w:r>
            <w:r>
              <w:rPr>
                <w:color w:val="auto"/>
                <w:highlight w:val="none"/>
              </w:rPr>
              <w:fldChar w:fldCharType="separate"/>
            </w:r>
            <w:r>
              <w:rPr>
                <w:rFonts w:hint="eastAsia"/>
                <w:color w:val="auto"/>
                <w:highlight w:val="none"/>
              </w:rPr>
              <w:t>24</w:t>
            </w:r>
            <w:r>
              <w:rPr>
                <w:color w:val="auto"/>
                <w:highlight w:val="none"/>
              </w:rPr>
              <w:fldChar w:fldCharType="end"/>
            </w:r>
            <w:bookmarkEnd w:id="49"/>
            <w:r>
              <w:rPr>
                <w:color w:val="auto"/>
                <w:highlight w:val="none"/>
              </w:rPr>
              <w:t xml:space="preserve">  </w:t>
            </w:r>
            <w:r>
              <w:rPr>
                <w:rFonts w:hint="eastAsia"/>
                <w:color w:val="auto"/>
                <w:highlight w:val="none"/>
              </w:rPr>
              <w:t>生态功能区划简表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5989"/>
            </w:tblGrid>
            <w:tr w14:paraId="1245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2" w:type="pct"/>
                  <w:shd w:val="clear" w:color="auto" w:fill="auto"/>
                  <w:vAlign w:val="center"/>
                </w:tcPr>
                <w:p w14:paraId="541D7893">
                  <w:pPr>
                    <w:pStyle w:val="41"/>
                    <w:rPr>
                      <w:color w:val="auto"/>
                      <w:szCs w:val="18"/>
                      <w:highlight w:val="none"/>
                    </w:rPr>
                  </w:pPr>
                  <w:r>
                    <w:rPr>
                      <w:rFonts w:hint="eastAsia"/>
                      <w:color w:val="auto"/>
                      <w:szCs w:val="18"/>
                      <w:highlight w:val="none"/>
                    </w:rPr>
                    <w:t>生态区</w:t>
                  </w:r>
                </w:p>
              </w:tc>
              <w:tc>
                <w:tcPr>
                  <w:tcW w:w="3918" w:type="pct"/>
                  <w:shd w:val="clear" w:color="auto" w:fill="auto"/>
                  <w:vAlign w:val="center"/>
                </w:tcPr>
                <w:p w14:paraId="58BD1495">
                  <w:pPr>
                    <w:pStyle w:val="41"/>
                    <w:rPr>
                      <w:color w:val="auto"/>
                      <w:szCs w:val="18"/>
                      <w:highlight w:val="none"/>
                    </w:rPr>
                  </w:pPr>
                  <w:r>
                    <w:rPr>
                      <w:rFonts w:hint="eastAsia"/>
                      <w:color w:val="auto"/>
                      <w:szCs w:val="18"/>
                      <w:highlight w:val="none"/>
                    </w:rPr>
                    <w:t>Ⅱ 准噶尔盆地温性荒漠与绿洲农业生态区</w:t>
                  </w:r>
                </w:p>
              </w:tc>
            </w:tr>
            <w:tr w14:paraId="25A5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2" w:type="pct"/>
                  <w:shd w:val="clear" w:color="auto" w:fill="auto"/>
                  <w:vAlign w:val="center"/>
                </w:tcPr>
                <w:p w14:paraId="6525CE3D">
                  <w:pPr>
                    <w:pStyle w:val="41"/>
                    <w:rPr>
                      <w:color w:val="auto"/>
                      <w:szCs w:val="18"/>
                      <w:highlight w:val="none"/>
                    </w:rPr>
                  </w:pPr>
                  <w:r>
                    <w:rPr>
                      <w:rFonts w:hint="eastAsia"/>
                      <w:color w:val="auto"/>
                      <w:szCs w:val="18"/>
                      <w:highlight w:val="none"/>
                    </w:rPr>
                    <w:t>生态亚区</w:t>
                  </w:r>
                </w:p>
              </w:tc>
              <w:tc>
                <w:tcPr>
                  <w:tcW w:w="3918" w:type="pct"/>
                  <w:shd w:val="clear" w:color="auto" w:fill="auto"/>
                  <w:vAlign w:val="center"/>
                </w:tcPr>
                <w:p w14:paraId="2C760D91">
                  <w:pPr>
                    <w:pStyle w:val="41"/>
                    <w:rPr>
                      <w:color w:val="auto"/>
                      <w:szCs w:val="18"/>
                      <w:highlight w:val="none"/>
                    </w:rPr>
                  </w:pPr>
                  <w:r>
                    <w:rPr>
                      <w:rFonts w:hint="eastAsia"/>
                      <w:color w:val="auto"/>
                      <w:szCs w:val="18"/>
                      <w:highlight w:val="none"/>
                    </w:rPr>
                    <w:t>Ⅱ</w:t>
                  </w:r>
                  <w:r>
                    <w:rPr>
                      <w:rFonts w:hint="eastAsia"/>
                      <w:color w:val="auto"/>
                      <w:szCs w:val="18"/>
                      <w:highlight w:val="none"/>
                      <w:vertAlign w:val="subscript"/>
                    </w:rPr>
                    <w:t>3</w:t>
                  </w:r>
                  <w:r>
                    <w:rPr>
                      <w:rFonts w:hint="eastAsia"/>
                      <w:color w:val="auto"/>
                      <w:szCs w:val="18"/>
                      <w:highlight w:val="none"/>
                    </w:rPr>
                    <w:t>准噶尔盆地中部固定、半固定沙漠生态亚区</w:t>
                  </w:r>
                </w:p>
              </w:tc>
            </w:tr>
            <w:tr w14:paraId="5E63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2" w:type="pct"/>
                  <w:shd w:val="clear" w:color="auto" w:fill="auto"/>
                  <w:vAlign w:val="center"/>
                </w:tcPr>
                <w:p w14:paraId="3AE10B96">
                  <w:pPr>
                    <w:pStyle w:val="41"/>
                    <w:rPr>
                      <w:color w:val="auto"/>
                      <w:szCs w:val="18"/>
                      <w:highlight w:val="none"/>
                    </w:rPr>
                  </w:pPr>
                  <w:r>
                    <w:rPr>
                      <w:rFonts w:hint="eastAsia"/>
                      <w:color w:val="auto"/>
                      <w:szCs w:val="18"/>
                      <w:highlight w:val="none"/>
                    </w:rPr>
                    <w:t>生态功能区</w:t>
                  </w:r>
                </w:p>
              </w:tc>
              <w:tc>
                <w:tcPr>
                  <w:tcW w:w="3918" w:type="pct"/>
                  <w:shd w:val="clear" w:color="auto" w:fill="auto"/>
                  <w:vAlign w:val="center"/>
                </w:tcPr>
                <w:p w14:paraId="6D232D25">
                  <w:pPr>
                    <w:pStyle w:val="41"/>
                    <w:rPr>
                      <w:color w:val="auto"/>
                      <w:szCs w:val="18"/>
                      <w:highlight w:val="none"/>
                    </w:rPr>
                  </w:pPr>
                  <w:r>
                    <w:rPr>
                      <w:rFonts w:hint="eastAsia"/>
                      <w:color w:val="auto"/>
                      <w:szCs w:val="18"/>
                      <w:highlight w:val="none"/>
                    </w:rPr>
                    <w:t>2</w:t>
                  </w:r>
                  <w:r>
                    <w:rPr>
                      <w:color w:val="auto"/>
                      <w:szCs w:val="18"/>
                      <w:highlight w:val="none"/>
                    </w:rPr>
                    <w:t>3</w:t>
                  </w:r>
                  <w:r>
                    <w:rPr>
                      <w:rFonts w:hint="eastAsia"/>
                      <w:color w:val="auto"/>
                      <w:szCs w:val="18"/>
                      <w:highlight w:val="none"/>
                    </w:rPr>
                    <w:t>.古尔班通古特沙漠化敏感及植被保护生态功能区</w:t>
                  </w:r>
                </w:p>
              </w:tc>
            </w:tr>
            <w:tr w14:paraId="1D30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2" w:type="pct"/>
                  <w:shd w:val="clear" w:color="auto" w:fill="auto"/>
                  <w:vAlign w:val="center"/>
                </w:tcPr>
                <w:p w14:paraId="4B51C625">
                  <w:pPr>
                    <w:pStyle w:val="41"/>
                    <w:rPr>
                      <w:color w:val="auto"/>
                      <w:szCs w:val="18"/>
                      <w:highlight w:val="none"/>
                    </w:rPr>
                  </w:pPr>
                  <w:r>
                    <w:rPr>
                      <w:rFonts w:hint="eastAsia"/>
                      <w:color w:val="auto"/>
                      <w:szCs w:val="18"/>
                      <w:highlight w:val="none"/>
                    </w:rPr>
                    <w:t>隶属行政区</w:t>
                  </w:r>
                </w:p>
              </w:tc>
              <w:tc>
                <w:tcPr>
                  <w:tcW w:w="3918" w:type="pct"/>
                  <w:shd w:val="clear" w:color="auto" w:fill="auto"/>
                  <w:vAlign w:val="center"/>
                </w:tcPr>
                <w:p w14:paraId="60F8A9A7">
                  <w:pPr>
                    <w:pStyle w:val="41"/>
                    <w:rPr>
                      <w:color w:val="auto"/>
                      <w:szCs w:val="18"/>
                      <w:highlight w:val="none"/>
                    </w:rPr>
                  </w:pPr>
                  <w:r>
                    <w:rPr>
                      <w:rFonts w:hint="eastAsia"/>
                      <w:color w:val="auto"/>
                      <w:szCs w:val="18"/>
                      <w:highlight w:val="none"/>
                    </w:rPr>
                    <w:t>阜康市</w:t>
                  </w:r>
                </w:p>
              </w:tc>
            </w:tr>
            <w:tr w14:paraId="6750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2" w:type="pct"/>
                  <w:shd w:val="clear" w:color="auto" w:fill="auto"/>
                  <w:vAlign w:val="center"/>
                </w:tcPr>
                <w:p w14:paraId="7AB1345E">
                  <w:pPr>
                    <w:pStyle w:val="41"/>
                    <w:rPr>
                      <w:color w:val="auto"/>
                      <w:szCs w:val="18"/>
                      <w:highlight w:val="none"/>
                    </w:rPr>
                  </w:pPr>
                  <w:r>
                    <w:rPr>
                      <w:rFonts w:hint="eastAsia"/>
                      <w:color w:val="auto"/>
                      <w:szCs w:val="18"/>
                      <w:highlight w:val="none"/>
                    </w:rPr>
                    <w:t>主要生态服务功能</w:t>
                  </w:r>
                </w:p>
              </w:tc>
              <w:tc>
                <w:tcPr>
                  <w:tcW w:w="3918" w:type="pct"/>
                  <w:shd w:val="clear" w:color="auto" w:fill="auto"/>
                  <w:vAlign w:val="center"/>
                </w:tcPr>
                <w:p w14:paraId="02173C7E">
                  <w:pPr>
                    <w:pStyle w:val="41"/>
                    <w:rPr>
                      <w:color w:val="auto"/>
                      <w:szCs w:val="18"/>
                      <w:highlight w:val="none"/>
                    </w:rPr>
                  </w:pPr>
                  <w:r>
                    <w:rPr>
                      <w:rFonts w:hint="eastAsia"/>
                      <w:color w:val="auto"/>
                      <w:szCs w:val="18"/>
                      <w:highlight w:val="none"/>
                    </w:rPr>
                    <w:t>沙漠化控制、生物多样性维护</w:t>
                  </w:r>
                </w:p>
              </w:tc>
            </w:tr>
            <w:tr w14:paraId="4094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2" w:type="pct"/>
                  <w:shd w:val="clear" w:color="auto" w:fill="auto"/>
                  <w:vAlign w:val="center"/>
                </w:tcPr>
                <w:p w14:paraId="62CEC586">
                  <w:pPr>
                    <w:pStyle w:val="41"/>
                    <w:rPr>
                      <w:color w:val="auto"/>
                      <w:szCs w:val="18"/>
                      <w:highlight w:val="none"/>
                    </w:rPr>
                  </w:pPr>
                  <w:r>
                    <w:rPr>
                      <w:rFonts w:hint="eastAsia"/>
                      <w:color w:val="auto"/>
                      <w:szCs w:val="18"/>
                      <w:highlight w:val="none"/>
                    </w:rPr>
                    <w:t>主要生态环境问题</w:t>
                  </w:r>
                </w:p>
              </w:tc>
              <w:tc>
                <w:tcPr>
                  <w:tcW w:w="3918" w:type="pct"/>
                  <w:shd w:val="clear" w:color="auto" w:fill="auto"/>
                  <w:vAlign w:val="center"/>
                </w:tcPr>
                <w:p w14:paraId="68E5AEAF">
                  <w:pPr>
                    <w:pStyle w:val="41"/>
                    <w:rPr>
                      <w:color w:val="auto"/>
                      <w:szCs w:val="18"/>
                      <w:highlight w:val="none"/>
                    </w:rPr>
                  </w:pPr>
                  <w:r>
                    <w:rPr>
                      <w:rFonts w:hint="eastAsia"/>
                      <w:color w:val="auto"/>
                      <w:szCs w:val="18"/>
                      <w:highlight w:val="none"/>
                    </w:rPr>
                    <w:t>人为干扰范围扩大、工程建设引起沙漠植被破坏、鼠害严重、植被退化、沙漠化构成对南缘绿洲的威胁</w:t>
                  </w:r>
                </w:p>
              </w:tc>
            </w:tr>
            <w:tr w14:paraId="1D6C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2" w:type="pct"/>
                  <w:shd w:val="clear" w:color="auto" w:fill="auto"/>
                  <w:vAlign w:val="center"/>
                </w:tcPr>
                <w:p w14:paraId="2C7D3293">
                  <w:pPr>
                    <w:pStyle w:val="41"/>
                    <w:rPr>
                      <w:color w:val="auto"/>
                      <w:szCs w:val="18"/>
                      <w:highlight w:val="none"/>
                    </w:rPr>
                  </w:pPr>
                  <w:r>
                    <w:rPr>
                      <w:rFonts w:hint="eastAsia"/>
                      <w:color w:val="auto"/>
                      <w:szCs w:val="18"/>
                      <w:highlight w:val="none"/>
                    </w:rPr>
                    <w:t>生态敏感因子</w:t>
                  </w:r>
                </w:p>
              </w:tc>
              <w:tc>
                <w:tcPr>
                  <w:tcW w:w="3918" w:type="pct"/>
                  <w:shd w:val="clear" w:color="auto" w:fill="auto"/>
                  <w:vAlign w:val="center"/>
                </w:tcPr>
                <w:p w14:paraId="7B086420">
                  <w:pPr>
                    <w:pStyle w:val="41"/>
                    <w:rPr>
                      <w:color w:val="auto"/>
                      <w:szCs w:val="18"/>
                      <w:highlight w:val="none"/>
                    </w:rPr>
                  </w:pPr>
                  <w:r>
                    <w:rPr>
                      <w:rFonts w:hint="eastAsia"/>
                      <w:color w:val="auto"/>
                      <w:szCs w:val="18"/>
                      <w:highlight w:val="none"/>
                    </w:rPr>
                    <w:t>生物多样性及其生境高度敏感，土地沙漠化极度敏感，土壤侵蚀高度敏感、土壤盐渍化轻度敏感</w:t>
                  </w:r>
                </w:p>
              </w:tc>
            </w:tr>
            <w:tr w14:paraId="1DC1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2" w:type="pct"/>
                  <w:shd w:val="clear" w:color="auto" w:fill="auto"/>
                  <w:vAlign w:val="center"/>
                </w:tcPr>
                <w:p w14:paraId="214342B8">
                  <w:pPr>
                    <w:pStyle w:val="41"/>
                    <w:rPr>
                      <w:color w:val="auto"/>
                      <w:szCs w:val="18"/>
                      <w:highlight w:val="none"/>
                    </w:rPr>
                  </w:pPr>
                  <w:r>
                    <w:rPr>
                      <w:rFonts w:hint="eastAsia"/>
                      <w:color w:val="auto"/>
                      <w:szCs w:val="18"/>
                      <w:highlight w:val="none"/>
                    </w:rPr>
                    <w:t>保护目标</w:t>
                  </w:r>
                </w:p>
              </w:tc>
              <w:tc>
                <w:tcPr>
                  <w:tcW w:w="3918" w:type="pct"/>
                  <w:shd w:val="clear" w:color="auto" w:fill="auto"/>
                  <w:vAlign w:val="center"/>
                </w:tcPr>
                <w:p w14:paraId="2D1A6050">
                  <w:pPr>
                    <w:pStyle w:val="41"/>
                    <w:rPr>
                      <w:color w:val="auto"/>
                      <w:szCs w:val="18"/>
                      <w:highlight w:val="none"/>
                    </w:rPr>
                  </w:pPr>
                  <w:r>
                    <w:rPr>
                      <w:rFonts w:hint="eastAsia"/>
                      <w:color w:val="auto"/>
                      <w:szCs w:val="18"/>
                      <w:highlight w:val="none"/>
                    </w:rPr>
                    <w:t>保护沙漠植被、防止沙丘活化</w:t>
                  </w:r>
                </w:p>
              </w:tc>
            </w:tr>
          </w:tbl>
          <w:p w14:paraId="4DD77A80">
            <w:pPr>
              <w:pStyle w:val="3"/>
              <w:ind w:firstLine="0" w:firstLineChars="0"/>
              <w:jc w:val="center"/>
              <w:rPr>
                <w:color w:val="auto"/>
                <w:sz w:val="21"/>
                <w:highlight w:val="none"/>
              </w:rPr>
            </w:pPr>
          </w:p>
          <w:p w14:paraId="74696453">
            <w:pPr>
              <w:pStyle w:val="71"/>
              <w:numPr>
                <w:ilvl w:val="0"/>
                <w:numId w:val="26"/>
              </w:numPr>
              <w:spacing w:line="332" w:lineRule="auto"/>
              <w:ind w:firstLine="420" w:firstLineChars="200"/>
              <w:rPr>
                <w:color w:val="auto"/>
                <w:highlight w:val="none"/>
              </w:rPr>
            </w:pPr>
            <w:r>
              <w:rPr>
                <w:rFonts w:hint="eastAsia"/>
                <w:color w:val="auto"/>
                <w:highlight w:val="none"/>
              </w:rPr>
              <w:t>植被现状</w:t>
            </w:r>
          </w:p>
          <w:p w14:paraId="6602ADD7">
            <w:pPr>
              <w:pStyle w:val="3"/>
              <w:ind w:firstLine="420"/>
              <w:rPr>
                <w:rFonts w:hint="eastAsia"/>
                <w:color w:val="auto"/>
                <w:sz w:val="21"/>
                <w:szCs w:val="21"/>
                <w:highlight w:val="none"/>
              </w:rPr>
            </w:pPr>
            <w:r>
              <w:rPr>
                <w:rFonts w:hint="eastAsia"/>
                <w:color w:val="auto"/>
                <w:sz w:val="21"/>
                <w:szCs w:val="21"/>
                <w:highlight w:val="none"/>
              </w:rPr>
              <w:t>根据现场调查，该油田区植被在世界植被区划中属亚非荒漠区，在中国植被区划中属新疆荒漠区、北疆荒漠亚区、准噶尔荒漠省、乌苏-奇台州。自然植被以荒漠植被为主，整个区域植被覆盖度在5%～15%之间。本项目所在区域为梭梭沙漠，现场踏勘区域有稀疏分布梭梭、</w:t>
            </w:r>
            <w:r>
              <w:rPr>
                <w:rFonts w:hint="eastAsia"/>
                <w:color w:val="auto"/>
                <w:sz w:val="21"/>
                <w:szCs w:val="21"/>
                <w:highlight w:val="none"/>
                <w:lang w:val="en-US" w:eastAsia="zh-CN"/>
              </w:rPr>
              <w:t>柽</w:t>
            </w:r>
            <w:r>
              <w:rPr>
                <w:rFonts w:hint="eastAsia"/>
                <w:color w:val="auto"/>
                <w:sz w:val="21"/>
                <w:szCs w:val="21"/>
                <w:highlight w:val="none"/>
              </w:rPr>
              <w:t>柳等灌木</w:t>
            </w:r>
            <w:r>
              <w:rPr>
                <w:rFonts w:hint="eastAsia"/>
                <w:color w:val="auto"/>
                <w:sz w:val="21"/>
                <w:szCs w:val="21"/>
                <w:highlight w:val="none"/>
                <w:lang w:eastAsia="zh-CN"/>
              </w:rPr>
              <w:t>，骆驼刺</w:t>
            </w:r>
            <w:r>
              <w:rPr>
                <w:rFonts w:hint="eastAsia"/>
                <w:color w:val="auto"/>
                <w:sz w:val="21"/>
                <w:szCs w:val="21"/>
                <w:highlight w:val="none"/>
              </w:rPr>
              <w:t>、假木贼和角果藜等组成的小半灌木荒漠植被；</w:t>
            </w:r>
            <w:r>
              <w:rPr>
                <w:color w:val="auto"/>
                <w:highlight w:val="none"/>
              </w:rPr>
              <w:t>在</w:t>
            </w:r>
            <w:r>
              <w:rPr>
                <w:rFonts w:hint="eastAsia"/>
                <w:color w:val="auto"/>
                <w:sz w:val="21"/>
                <w:szCs w:val="21"/>
                <w:highlight w:val="none"/>
              </w:rPr>
              <w:t>项目区域及临时占地范围内未见《国家重点保护野生植物名录》（国家林业和草原局 农业农村部公告（2021年第15号））中重点保护野生植物及中国濒危珍稀植物，也没有古树名木分布</w:t>
            </w:r>
            <w:r>
              <w:rPr>
                <w:rFonts w:hint="eastAsia"/>
                <w:color w:val="auto"/>
                <w:sz w:val="21"/>
                <w:szCs w:val="21"/>
                <w:highlight w:val="none"/>
                <w:lang w:eastAsia="zh-CN"/>
              </w:rPr>
              <w:t>；</w:t>
            </w:r>
            <w:r>
              <w:rPr>
                <w:rFonts w:hint="eastAsia"/>
                <w:color w:val="auto"/>
                <w:sz w:val="21"/>
                <w:szCs w:val="21"/>
                <w:highlight w:val="none"/>
              </w:rPr>
              <w:t>也未发现《新疆维吾尔自治区重点保护野生植物名录》（</w:t>
            </w:r>
            <w:r>
              <w:rPr>
                <w:rFonts w:hint="eastAsia"/>
                <w:color w:val="auto"/>
                <w:sz w:val="21"/>
                <w:szCs w:val="21"/>
                <w:highlight w:val="none"/>
                <w:lang w:val="en-US" w:eastAsia="zh-CN"/>
              </w:rPr>
              <w:t>新政发(2023)63号</w:t>
            </w:r>
            <w:r>
              <w:rPr>
                <w:rFonts w:hint="eastAsia"/>
                <w:color w:val="auto"/>
                <w:sz w:val="21"/>
                <w:szCs w:val="21"/>
                <w:highlight w:val="none"/>
              </w:rPr>
              <w:t>）中所列植物。</w:t>
            </w:r>
          </w:p>
          <w:p w14:paraId="6612E093">
            <w:pPr>
              <w:pStyle w:val="71"/>
              <w:numPr>
                <w:ilvl w:val="0"/>
                <w:numId w:val="26"/>
              </w:numPr>
              <w:spacing w:line="332" w:lineRule="auto"/>
              <w:ind w:firstLine="420" w:firstLineChars="200"/>
              <w:rPr>
                <w:color w:val="auto"/>
                <w:highlight w:val="none"/>
              </w:rPr>
            </w:pPr>
            <w:r>
              <w:rPr>
                <w:rFonts w:hint="eastAsia"/>
                <w:color w:val="auto"/>
                <w:highlight w:val="none"/>
              </w:rPr>
              <w:t>野生动物现状</w:t>
            </w:r>
          </w:p>
          <w:p w14:paraId="07E16921">
            <w:pPr>
              <w:pStyle w:val="3"/>
              <w:ind w:firstLine="420"/>
              <w:rPr>
                <w:color w:val="auto"/>
                <w:sz w:val="21"/>
                <w:szCs w:val="21"/>
                <w:highlight w:val="none"/>
              </w:rPr>
            </w:pPr>
            <w:r>
              <w:rPr>
                <w:rFonts w:hint="eastAsia"/>
                <w:color w:val="auto"/>
                <w:sz w:val="21"/>
                <w:szCs w:val="21"/>
                <w:highlight w:val="none"/>
              </w:rPr>
              <w:t>根据《中国动物地理区划》，项目评价区域属古北界、中亚亚界、蒙新区、西部荒漠亚区、准噶尔盆地小区。</w:t>
            </w:r>
          </w:p>
          <w:p w14:paraId="3A4BBABF">
            <w:pPr>
              <w:pStyle w:val="3"/>
              <w:ind w:firstLine="420"/>
              <w:rPr>
                <w:color w:val="auto"/>
                <w:sz w:val="21"/>
                <w:szCs w:val="21"/>
                <w:highlight w:val="none"/>
              </w:rPr>
            </w:pPr>
            <w:r>
              <w:rPr>
                <w:rFonts w:hint="eastAsia"/>
                <w:color w:val="auto"/>
                <w:sz w:val="21"/>
                <w:szCs w:val="21"/>
                <w:highlight w:val="none"/>
              </w:rPr>
              <w:t>项目评价区域大部分为广阔干旱的荒漠，气候干燥，雨量稀少。按气候区划为酷热干旱区，野生动物无论是种类组成还是数量都比较贫乏，野生动物的栖息生境单元类型极为单一，基本为荒漠区。由于油田及周围区域油田的开发建设活动，大量人员、机械的进入，荒漠环境中人类活动频率大幅度增加，使得大型脊椎动物早已离开，迁至它处生存、繁衍。因此目前在油田开发区内已见不到这些动物的出没。结合现有动物图谱、照片，通过查阅资料文献及调查访问，确定了评价区内分布的主要野生脊椎动物24种，其中爬行类3种、哺乳类5种、鸟类16种。该区域共有国家级保护动物6种，包括鸢、猎隼、红隼、燕隼、草原鹞、草原雕。该6种动物均为国家二级保护动物，没有区域特有种。</w:t>
            </w:r>
          </w:p>
          <w:p w14:paraId="35E4A6F6">
            <w:pPr>
              <w:pStyle w:val="3"/>
              <w:ind w:firstLine="420"/>
              <w:rPr>
                <w:color w:val="auto"/>
                <w:sz w:val="21"/>
                <w:szCs w:val="21"/>
                <w:highlight w:val="none"/>
              </w:rPr>
            </w:pPr>
            <w:r>
              <w:rPr>
                <w:rFonts w:hint="eastAsia"/>
                <w:color w:val="auto"/>
                <w:sz w:val="21"/>
                <w:szCs w:val="21"/>
                <w:highlight w:val="none"/>
              </w:rPr>
              <w:t>现场调查期间，项目评价区域未见《国家重点保护野生动物名录》（国家林业和草原局 农业农村部公告2021年第3号）、《国家重点保护水生野生动物名录》（2021年2月11日）、《关于发布新疆维吾尔自治区重点保护野生动物名录（修订）的通知》（新政发〔2022〕75号）中的重点保护野生动物和中国濒危珍稀动物。项目的建设和运行不会对野生动物的生活产生影响和危害。</w:t>
            </w:r>
          </w:p>
          <w:p w14:paraId="504D9DF4">
            <w:pPr>
              <w:pStyle w:val="71"/>
              <w:numPr>
                <w:ilvl w:val="0"/>
                <w:numId w:val="26"/>
              </w:numPr>
              <w:spacing w:line="332" w:lineRule="auto"/>
              <w:ind w:firstLine="420" w:firstLineChars="200"/>
              <w:rPr>
                <w:color w:val="auto"/>
                <w:highlight w:val="none"/>
              </w:rPr>
            </w:pPr>
            <w:r>
              <w:rPr>
                <w:rFonts w:hint="eastAsia"/>
                <w:color w:val="auto"/>
                <w:highlight w:val="none"/>
              </w:rPr>
              <w:t>生态系统类型与特点</w:t>
            </w:r>
          </w:p>
          <w:p w14:paraId="07C9411D">
            <w:pPr>
              <w:pStyle w:val="3"/>
              <w:ind w:firstLine="420"/>
              <w:rPr>
                <w:color w:val="auto"/>
                <w:sz w:val="21"/>
                <w:szCs w:val="21"/>
                <w:highlight w:val="none"/>
              </w:rPr>
            </w:pPr>
            <w:r>
              <w:rPr>
                <w:rFonts w:hint="eastAsia"/>
                <w:color w:val="auto"/>
                <w:sz w:val="21"/>
                <w:szCs w:val="21"/>
                <w:highlight w:val="none"/>
              </w:rPr>
              <w:t>经现场调查，评价范围生态系统类型主要为</w:t>
            </w:r>
            <w:r>
              <w:rPr>
                <w:color w:val="auto"/>
                <w:sz w:val="21"/>
                <w:szCs w:val="21"/>
                <w:highlight w:val="none"/>
              </w:rPr>
              <w:t>灌木</w:t>
            </w:r>
            <w:r>
              <w:rPr>
                <w:rFonts w:hint="eastAsia"/>
                <w:color w:val="auto"/>
                <w:sz w:val="21"/>
                <w:szCs w:val="21"/>
                <w:highlight w:val="none"/>
              </w:rPr>
              <w:t>林地生态系统，位置为荒漠区边缘，主要为荒漠景观和荒漠植被景观，其特点是植被稀疏，有大片的裸露土地，植物种类单调，生物生产量很低，主要植被有梭梭、白梭梭、准噶尔琵琶柴等。项目区气候干燥，温差大，多风沙，土地贫瘠，质地粗，植被分布不均匀，呈斑块分布，可见明显土地裸露，盖度在10%～35%之间。</w:t>
            </w:r>
          </w:p>
          <w:p w14:paraId="451ECD20">
            <w:pPr>
              <w:pStyle w:val="71"/>
              <w:numPr>
                <w:ilvl w:val="0"/>
                <w:numId w:val="26"/>
              </w:numPr>
              <w:spacing w:line="332" w:lineRule="auto"/>
              <w:ind w:firstLine="420" w:firstLineChars="200"/>
              <w:rPr>
                <w:color w:val="auto"/>
                <w:highlight w:val="none"/>
              </w:rPr>
            </w:pPr>
            <w:r>
              <w:rPr>
                <w:rFonts w:hint="eastAsia"/>
                <w:color w:val="auto"/>
                <w:highlight w:val="none"/>
              </w:rPr>
              <w:t>土壤现状</w:t>
            </w:r>
          </w:p>
          <w:p w14:paraId="21AB2F0D">
            <w:pPr>
              <w:pStyle w:val="3"/>
              <w:ind w:firstLine="420"/>
              <w:rPr>
                <w:color w:val="auto"/>
                <w:sz w:val="21"/>
                <w:szCs w:val="21"/>
                <w:highlight w:val="none"/>
              </w:rPr>
            </w:pPr>
            <w:r>
              <w:rPr>
                <w:rFonts w:hint="eastAsia"/>
                <w:color w:val="auto"/>
                <w:sz w:val="21"/>
                <w:szCs w:val="21"/>
                <w:highlight w:val="none"/>
              </w:rPr>
              <w:t>项目评价区域的土壤类型为风沙土。</w:t>
            </w:r>
          </w:p>
          <w:p w14:paraId="0050A843">
            <w:pPr>
              <w:pStyle w:val="3"/>
              <w:ind w:firstLine="420"/>
              <w:rPr>
                <w:color w:val="auto"/>
                <w:sz w:val="21"/>
                <w:szCs w:val="21"/>
                <w:highlight w:val="none"/>
              </w:rPr>
            </w:pPr>
            <w:r>
              <w:rPr>
                <w:rFonts w:hint="eastAsia"/>
                <w:color w:val="auto"/>
                <w:sz w:val="21"/>
                <w:szCs w:val="21"/>
                <w:highlight w:val="none"/>
              </w:rPr>
              <w:t>风沙土特征：风沙土质地粗，细砂粒占土壤矿质部分重量的80%～90%以上，而粗砂粒、粉砂粒及粘粒的含量甚微。干旱是风沙土的又一重要性状，土壤表层多为干沙层，厚度不一，通常在10cm～20cm左右，其下含水率也仅2%～3%。有机质含量低，约在0.1%～1.0%范围内；有盐分和碳酸钙的积聚，前者由风力从他处运积而来，后者是植物残体分解和沙尘沉积的结果。</w:t>
            </w:r>
          </w:p>
          <w:p w14:paraId="76FC6979">
            <w:pPr>
              <w:pStyle w:val="3"/>
              <w:ind w:firstLine="420"/>
              <w:rPr>
                <w:color w:val="auto"/>
                <w:sz w:val="21"/>
                <w:szCs w:val="21"/>
                <w:highlight w:val="none"/>
              </w:rPr>
            </w:pPr>
            <w:r>
              <w:rPr>
                <w:rFonts w:hint="eastAsia"/>
                <w:color w:val="auto"/>
                <w:sz w:val="21"/>
                <w:szCs w:val="21"/>
                <w:highlight w:val="none"/>
              </w:rPr>
              <w:t>由于所处的自然地带不同，风沙土的性质也表现出一定的地区性变异。通常是草原地区的风沙土有机质含量较高，盐分含量较低且无石灰积聚；半荒漠地区的风沙土有机质含量较低，有盐分及少量石灰的积聚；荒漠地区的风沙土有机质含量更低，盐分及石灰的积聚作用明显增强。</w:t>
            </w:r>
          </w:p>
          <w:p w14:paraId="486A4C53">
            <w:pPr>
              <w:pStyle w:val="71"/>
              <w:numPr>
                <w:ilvl w:val="0"/>
                <w:numId w:val="26"/>
              </w:numPr>
              <w:spacing w:line="332" w:lineRule="auto"/>
              <w:ind w:firstLine="420" w:firstLineChars="200"/>
              <w:rPr>
                <w:color w:val="auto"/>
                <w:highlight w:val="none"/>
              </w:rPr>
            </w:pPr>
            <w:r>
              <w:rPr>
                <w:rFonts w:hint="eastAsia"/>
                <w:color w:val="auto"/>
                <w:highlight w:val="none"/>
              </w:rPr>
              <w:t>水土流失现状调查</w:t>
            </w:r>
          </w:p>
          <w:p w14:paraId="3EB0A851">
            <w:pPr>
              <w:pStyle w:val="3"/>
              <w:ind w:firstLine="420"/>
              <w:rPr>
                <w:color w:val="auto"/>
                <w:sz w:val="21"/>
                <w:szCs w:val="21"/>
                <w:highlight w:val="none"/>
              </w:rPr>
            </w:pPr>
            <w:r>
              <w:rPr>
                <w:rFonts w:hint="eastAsia"/>
                <w:color w:val="auto"/>
                <w:sz w:val="21"/>
                <w:szCs w:val="21"/>
                <w:highlight w:val="none"/>
              </w:rPr>
              <w:t>本项目位于</w:t>
            </w:r>
            <w:r>
              <w:rPr>
                <w:color w:val="auto"/>
                <w:sz w:val="21"/>
                <w:szCs w:val="21"/>
                <w:highlight w:val="none"/>
              </w:rPr>
              <w:fldChar w:fldCharType="begin"/>
            </w:r>
            <w:r>
              <w:rPr>
                <w:color w:val="auto"/>
                <w:sz w:val="21"/>
                <w:szCs w:val="21"/>
                <w:highlight w:val="none"/>
              </w:rPr>
              <w:instrText xml:space="preserve"> LINK Word.Document.12 "F:\\008 西部探井\\西勘探井\\初稿.docx" OLE_LINK17 \t  \* MERGEFORMAT </w:instrText>
            </w:r>
            <w:r>
              <w:rPr>
                <w:color w:val="auto"/>
                <w:sz w:val="21"/>
                <w:szCs w:val="21"/>
                <w:highlight w:val="none"/>
              </w:rPr>
              <w:fldChar w:fldCharType="separate"/>
            </w:r>
            <w:r>
              <w:rPr>
                <w:rFonts w:hint="eastAsia"/>
                <w:color w:val="auto"/>
                <w:sz w:val="21"/>
                <w:szCs w:val="21"/>
                <w:highlight w:val="none"/>
              </w:rPr>
              <w:t>新疆维吾尔自治区昌吉回族自治州阜康市</w:t>
            </w:r>
            <w:r>
              <w:rPr>
                <w:color w:val="auto"/>
                <w:sz w:val="21"/>
                <w:szCs w:val="21"/>
                <w:highlight w:val="none"/>
              </w:rPr>
              <w:fldChar w:fldCharType="end"/>
            </w:r>
            <w:r>
              <w:rPr>
                <w:rFonts w:hint="eastAsia"/>
                <w:color w:val="auto"/>
                <w:sz w:val="21"/>
                <w:szCs w:val="21"/>
                <w:highlight w:val="none"/>
              </w:rPr>
              <w:t>，根据《新疆维吾尔自治区昌吉回族自治州水土保持规划》（2021-2030年），阜康市水土流失面积为0.67万km</w:t>
            </w:r>
            <w:r>
              <w:rPr>
                <w:rFonts w:hint="eastAsia"/>
                <w:color w:val="auto"/>
                <w:sz w:val="21"/>
                <w:szCs w:val="21"/>
                <w:highlight w:val="none"/>
                <w:vertAlign w:val="superscript"/>
              </w:rPr>
              <w:t>2</w:t>
            </w:r>
            <w:r>
              <w:rPr>
                <w:rFonts w:hint="eastAsia"/>
                <w:color w:val="auto"/>
                <w:sz w:val="21"/>
                <w:szCs w:val="21"/>
                <w:highlight w:val="none"/>
              </w:rPr>
              <w:t>，占县域面积的78%。水土流失形式以风力侵蚀为主，水力侵蚀为辅。</w:t>
            </w:r>
          </w:p>
          <w:p w14:paraId="7391C7A9">
            <w:pPr>
              <w:pStyle w:val="71"/>
              <w:numPr>
                <w:ilvl w:val="0"/>
                <w:numId w:val="26"/>
              </w:numPr>
              <w:spacing w:line="332" w:lineRule="auto"/>
              <w:ind w:firstLine="420" w:firstLineChars="200"/>
              <w:rPr>
                <w:color w:val="auto"/>
                <w:highlight w:val="none"/>
              </w:rPr>
            </w:pPr>
            <w:r>
              <w:rPr>
                <w:rFonts w:hint="eastAsia"/>
                <w:color w:val="auto"/>
                <w:highlight w:val="none"/>
              </w:rPr>
              <w:t>土地沙化现状调查</w:t>
            </w:r>
          </w:p>
          <w:p w14:paraId="257C450F">
            <w:pPr>
              <w:pStyle w:val="3"/>
              <w:ind w:firstLine="420"/>
              <w:rPr>
                <w:rFonts w:hint="eastAsia"/>
                <w:color w:val="auto"/>
                <w:sz w:val="21"/>
                <w:szCs w:val="21"/>
                <w:highlight w:val="none"/>
              </w:rPr>
            </w:pPr>
            <w:r>
              <w:rPr>
                <w:rFonts w:hint="eastAsia"/>
                <w:color w:val="auto"/>
                <w:sz w:val="21"/>
                <w:szCs w:val="21"/>
                <w:highlight w:val="none"/>
              </w:rPr>
              <w:t>据地质资料和古气候资料证明，新疆沙漠主要是在第四纪中更新世以后形成的，特别是晚更新世至全新世期间。沙漠主要是在干旱的气候，丰富的沙源和多风的动力条件等自然因素长期作用下形成的，与人类的活动无关。但在近代历史时期，由于人为的直接或间接作用，加速了沙漠自然环境的退化进程，或使原来的绿洲等非沙化土地退化为沙漠。</w:t>
            </w:r>
          </w:p>
          <w:p w14:paraId="003F1384">
            <w:pPr>
              <w:pStyle w:val="3"/>
              <w:ind w:firstLine="420"/>
              <w:rPr>
                <w:rFonts w:hint="eastAsia"/>
                <w:color w:val="auto"/>
                <w:sz w:val="21"/>
                <w:szCs w:val="21"/>
                <w:highlight w:val="none"/>
              </w:rPr>
            </w:pPr>
            <w:r>
              <w:rPr>
                <w:rFonts w:hint="eastAsia"/>
                <w:color w:val="auto"/>
                <w:sz w:val="21"/>
                <w:szCs w:val="21"/>
                <w:highlight w:val="none"/>
              </w:rPr>
              <w:t>根据《新疆第六次沙化监测报告》，新疆国土总面积为16648.97万公顷，本次沙化监测区面积为15689.13万公顷，沙化监测区分布在14个地州市，88个县市（区）、10个自治区直辖市共98个行政区域。监测结果显示：沙化土地面积7468.21万公顷，占监测区总面积47.60%，具有明显沙化趋势的土地面积437.96万公顷，占监测区总面积2.79%，非沙化土地面积7782.95万公顷，占监测区总面积49.61%。古尔班通古特沙漠面积48695km</w:t>
            </w:r>
            <w:r>
              <w:rPr>
                <w:rFonts w:hint="eastAsia"/>
                <w:color w:val="auto"/>
                <w:sz w:val="21"/>
                <w:szCs w:val="21"/>
                <w:highlight w:val="none"/>
                <w:vertAlign w:val="superscript"/>
              </w:rPr>
              <w:t>2</w:t>
            </w:r>
            <w:r>
              <w:rPr>
                <w:rFonts w:hint="eastAsia"/>
                <w:color w:val="auto"/>
                <w:sz w:val="21"/>
                <w:szCs w:val="21"/>
                <w:highlight w:val="none"/>
              </w:rPr>
              <w:t>，占全疆沙漠的11.05%；沙漠中的沙化土地面积449.44万hm</w:t>
            </w:r>
            <w:r>
              <w:rPr>
                <w:rFonts w:hint="eastAsia"/>
                <w:color w:val="auto"/>
                <w:sz w:val="21"/>
                <w:szCs w:val="21"/>
                <w:highlight w:val="none"/>
                <w:vertAlign w:val="superscript"/>
              </w:rPr>
              <w:t>2</w:t>
            </w:r>
            <w:r>
              <w:rPr>
                <w:rFonts w:hint="eastAsia"/>
                <w:color w:val="auto"/>
                <w:sz w:val="21"/>
                <w:szCs w:val="21"/>
                <w:highlight w:val="none"/>
              </w:rPr>
              <w:t>，其中：流动沙地3.57万hm</w:t>
            </w:r>
            <w:r>
              <w:rPr>
                <w:rFonts w:hint="eastAsia"/>
                <w:color w:val="auto"/>
                <w:sz w:val="21"/>
                <w:szCs w:val="21"/>
                <w:highlight w:val="none"/>
                <w:vertAlign w:val="superscript"/>
              </w:rPr>
              <w:t>2</w:t>
            </w:r>
            <w:r>
              <w:rPr>
                <w:rFonts w:hint="eastAsia"/>
                <w:color w:val="auto"/>
                <w:sz w:val="21"/>
                <w:szCs w:val="21"/>
                <w:highlight w:val="none"/>
              </w:rPr>
              <w:t>，半固定沙地96.92万hm</w:t>
            </w:r>
            <w:r>
              <w:rPr>
                <w:rFonts w:hint="eastAsia"/>
                <w:color w:val="auto"/>
                <w:sz w:val="21"/>
                <w:szCs w:val="21"/>
                <w:highlight w:val="none"/>
                <w:vertAlign w:val="superscript"/>
              </w:rPr>
              <w:t>2</w:t>
            </w:r>
            <w:r>
              <w:rPr>
                <w:rFonts w:hint="eastAsia"/>
                <w:color w:val="auto"/>
                <w:sz w:val="21"/>
                <w:szCs w:val="21"/>
                <w:highlight w:val="none"/>
              </w:rPr>
              <w:t>，固定沙地344.54万hm</w:t>
            </w:r>
            <w:r>
              <w:rPr>
                <w:rFonts w:hint="eastAsia"/>
                <w:color w:val="auto"/>
                <w:sz w:val="21"/>
                <w:szCs w:val="21"/>
                <w:highlight w:val="none"/>
                <w:vertAlign w:val="superscript"/>
              </w:rPr>
              <w:t>2</w:t>
            </w:r>
            <w:r>
              <w:rPr>
                <w:rFonts w:hint="eastAsia"/>
                <w:color w:val="auto"/>
                <w:sz w:val="21"/>
                <w:szCs w:val="21"/>
                <w:highlight w:val="none"/>
              </w:rPr>
              <w:t>，沙化耕地4.41万hm</w:t>
            </w:r>
            <w:r>
              <w:rPr>
                <w:rFonts w:hint="eastAsia"/>
                <w:color w:val="auto"/>
                <w:sz w:val="21"/>
                <w:szCs w:val="21"/>
                <w:highlight w:val="none"/>
                <w:vertAlign w:val="superscript"/>
              </w:rPr>
              <w:t>2</w:t>
            </w:r>
            <w:r>
              <w:rPr>
                <w:rFonts w:hint="eastAsia"/>
                <w:color w:val="auto"/>
                <w:sz w:val="21"/>
                <w:szCs w:val="21"/>
                <w:highlight w:val="none"/>
              </w:rPr>
              <w:t>。</w:t>
            </w:r>
          </w:p>
          <w:p w14:paraId="40BA3C5E">
            <w:pPr>
              <w:pStyle w:val="3"/>
              <w:ind w:firstLine="420"/>
              <w:rPr>
                <w:rFonts w:hint="eastAsia"/>
                <w:color w:val="auto"/>
                <w:sz w:val="21"/>
                <w:szCs w:val="21"/>
                <w:highlight w:val="none"/>
              </w:rPr>
            </w:pPr>
            <w:r>
              <w:rPr>
                <w:rFonts w:hint="eastAsia"/>
                <w:color w:val="auto"/>
                <w:sz w:val="21"/>
                <w:szCs w:val="21"/>
                <w:highlight w:val="none"/>
              </w:rPr>
              <w:t>根据《新疆第六次沙化监测报告》，近年来，通过持续实施三北防护林、退耕还林还草及封沙育林工程，区域防风固沙生态服务功能显著增强。近5年数据显示，</w:t>
            </w:r>
            <w:r>
              <w:rPr>
                <w:rFonts w:hint="eastAsia"/>
                <w:color w:val="auto"/>
                <w:sz w:val="21"/>
                <w:szCs w:val="21"/>
                <w:highlight w:val="none"/>
                <w:lang w:val="en-US" w:eastAsia="zh-CN"/>
              </w:rPr>
              <w:t>阜康市</w:t>
            </w:r>
            <w:r>
              <w:rPr>
                <w:rFonts w:hint="eastAsia"/>
                <w:color w:val="auto"/>
                <w:sz w:val="21"/>
                <w:szCs w:val="21"/>
                <w:highlight w:val="none"/>
              </w:rPr>
              <w:t>县境内沙化土地面积整体呈“缩减与稳定并存”的趋势，具有明显沙化趋势的土地面积占比持续下降，荒漠植被综合盖度稳中有升。</w:t>
            </w:r>
          </w:p>
          <w:p w14:paraId="779A4D59">
            <w:pPr>
              <w:pStyle w:val="3"/>
              <w:ind w:firstLine="420"/>
              <w:rPr>
                <w:rFonts w:hint="eastAsia" w:eastAsia="宋体"/>
                <w:color w:val="auto"/>
                <w:sz w:val="21"/>
                <w:szCs w:val="21"/>
                <w:highlight w:val="none"/>
                <w:lang w:eastAsia="zh-CN"/>
              </w:rPr>
            </w:pPr>
            <w:r>
              <w:rPr>
                <w:rFonts w:hint="eastAsia"/>
                <w:color w:val="auto"/>
                <w:sz w:val="21"/>
                <w:szCs w:val="21"/>
                <w:highlight w:val="none"/>
              </w:rPr>
              <w:t>古尔班通古特沙漠位于准噶尔盆地中央，是我国第二大沙漠。本项目位于古尔班通古特沙漠南缘</w:t>
            </w:r>
            <w:r>
              <w:rPr>
                <w:rFonts w:hint="eastAsia"/>
                <w:color w:val="auto"/>
                <w:sz w:val="21"/>
                <w:szCs w:val="21"/>
                <w:highlight w:val="none"/>
                <w:lang w:eastAsia="zh-CN"/>
              </w:rPr>
              <w:t>，</w:t>
            </w:r>
            <w:r>
              <w:rPr>
                <w:rFonts w:hint="eastAsia"/>
                <w:color w:val="auto"/>
                <w:sz w:val="21"/>
                <w:szCs w:val="21"/>
                <w:highlight w:val="none"/>
              </w:rPr>
              <w:t>地处准噶尔盆地南缘的绿洲-荒漠过渡带</w:t>
            </w:r>
            <w:r>
              <w:rPr>
                <w:rFonts w:hint="eastAsia"/>
                <w:color w:val="auto"/>
                <w:sz w:val="21"/>
                <w:szCs w:val="21"/>
                <w:highlight w:val="none"/>
                <w:lang w:eastAsia="zh-CN"/>
              </w:rPr>
              <w:t>，</w:t>
            </w:r>
            <w:r>
              <w:rPr>
                <w:rFonts w:hint="eastAsia"/>
                <w:color w:val="auto"/>
                <w:sz w:val="21"/>
                <w:szCs w:val="21"/>
                <w:highlight w:val="none"/>
              </w:rPr>
              <w:t>不在沙漠范围内</w:t>
            </w:r>
            <w:r>
              <w:rPr>
                <w:rFonts w:hint="eastAsia"/>
                <w:color w:val="auto"/>
                <w:sz w:val="21"/>
                <w:szCs w:val="21"/>
                <w:highlight w:val="none"/>
                <w:lang w:eastAsia="zh-CN"/>
              </w:rPr>
              <w:t>，</w:t>
            </w:r>
            <w:r>
              <w:rPr>
                <w:rFonts w:hint="eastAsia"/>
                <w:color w:val="auto"/>
                <w:sz w:val="21"/>
                <w:szCs w:val="21"/>
                <w:highlight w:val="none"/>
                <w:lang w:val="en-US" w:eastAsia="zh-CN"/>
              </w:rPr>
              <w:t>不涉及沙化土地</w:t>
            </w:r>
            <w:r>
              <w:rPr>
                <w:rFonts w:hint="eastAsia"/>
                <w:color w:val="auto"/>
                <w:sz w:val="21"/>
                <w:szCs w:val="21"/>
                <w:highlight w:val="none"/>
              </w:rPr>
              <w:t>。本项目为勘探作业，占地极小且实施严格的“表土剥离、工完场清、植被恢复”措施，不会对古尔班通古特沙漠的沙源扩张或区域整体防风固沙格局造成实质性影响</w:t>
            </w:r>
            <w:r>
              <w:rPr>
                <w:rFonts w:hint="eastAsia"/>
                <w:color w:val="auto"/>
                <w:sz w:val="21"/>
                <w:szCs w:val="21"/>
                <w:highlight w:val="none"/>
                <w:lang w:eastAsia="zh-CN"/>
              </w:rPr>
              <w:t>。</w:t>
            </w:r>
          </w:p>
          <w:p w14:paraId="4E48ECB6">
            <w:pPr>
              <w:pStyle w:val="3"/>
              <w:ind w:firstLine="420"/>
              <w:rPr>
                <w:rFonts w:hint="eastAsia"/>
                <w:color w:val="auto"/>
                <w:sz w:val="21"/>
                <w:szCs w:val="21"/>
                <w:highlight w:val="none"/>
              </w:rPr>
            </w:pPr>
            <w:r>
              <w:rPr>
                <w:rFonts w:hint="eastAsia"/>
                <w:color w:val="auto"/>
                <w:sz w:val="21"/>
                <w:szCs w:val="21"/>
                <w:highlight w:val="none"/>
              </w:rPr>
              <w:t>本项目区域主要为荒漠景观和荒漠植被景观，该地区有一定量的野生植被，植物种类</w:t>
            </w:r>
            <w:r>
              <w:rPr>
                <w:rFonts w:hint="eastAsia"/>
                <w:color w:val="auto"/>
                <w:sz w:val="21"/>
                <w:szCs w:val="21"/>
                <w:highlight w:val="none"/>
                <w:lang w:eastAsia="zh-CN"/>
              </w:rPr>
              <w:t>单一</w:t>
            </w:r>
            <w:r>
              <w:rPr>
                <w:rFonts w:hint="eastAsia"/>
                <w:color w:val="auto"/>
                <w:sz w:val="21"/>
                <w:szCs w:val="21"/>
                <w:highlight w:val="none"/>
              </w:rPr>
              <w:t>，生态系统较为稳定。</w:t>
            </w:r>
          </w:p>
          <w:p w14:paraId="6898F42E">
            <w:pPr>
              <w:pStyle w:val="71"/>
              <w:numPr>
                <w:ilvl w:val="0"/>
                <w:numId w:val="26"/>
              </w:numPr>
              <w:spacing w:line="332" w:lineRule="auto"/>
              <w:ind w:firstLine="420" w:firstLineChars="200"/>
              <w:rPr>
                <w:color w:val="auto"/>
                <w:highlight w:val="none"/>
              </w:rPr>
            </w:pPr>
            <w:r>
              <w:rPr>
                <w:rFonts w:hint="eastAsia"/>
                <w:color w:val="auto"/>
                <w:highlight w:val="none"/>
              </w:rPr>
              <w:t>土地利用类型</w:t>
            </w:r>
          </w:p>
          <w:p w14:paraId="6CE57936">
            <w:pPr>
              <w:pStyle w:val="3"/>
              <w:ind w:firstLine="420"/>
              <w:rPr>
                <w:color w:val="auto"/>
                <w:sz w:val="21"/>
                <w:szCs w:val="21"/>
                <w:highlight w:val="none"/>
              </w:rPr>
            </w:pPr>
            <w:r>
              <w:rPr>
                <w:rFonts w:hint="eastAsia"/>
                <w:color w:val="auto"/>
                <w:sz w:val="21"/>
                <w:szCs w:val="21"/>
                <w:highlight w:val="none"/>
              </w:rPr>
              <w:t>本项目临时占用</w:t>
            </w:r>
            <w:r>
              <w:rPr>
                <w:color w:val="auto"/>
                <w:sz w:val="21"/>
                <w:szCs w:val="21"/>
                <w:highlight w:val="none"/>
              </w:rPr>
              <w:t>灌木</w:t>
            </w:r>
            <w:r>
              <w:rPr>
                <w:rFonts w:hint="eastAsia"/>
                <w:color w:val="auto"/>
                <w:sz w:val="21"/>
                <w:szCs w:val="21"/>
                <w:highlight w:val="none"/>
              </w:rPr>
              <w:t>林地</w:t>
            </w:r>
            <w:r>
              <w:rPr>
                <w:rFonts w:hint="eastAsia"/>
                <w:color w:val="auto"/>
                <w:highlight w:val="none"/>
              </w:rPr>
              <w:t>，</w:t>
            </w:r>
            <w:r>
              <w:rPr>
                <w:rFonts w:hint="eastAsia"/>
                <w:color w:val="auto"/>
                <w:sz w:val="21"/>
                <w:szCs w:val="21"/>
                <w:highlight w:val="none"/>
              </w:rPr>
              <w:t>位于国家级公益林范围内</w:t>
            </w:r>
            <w:r>
              <w:rPr>
                <w:rFonts w:hint="eastAsia"/>
                <w:color w:val="auto"/>
                <w:sz w:val="21"/>
                <w:szCs w:val="21"/>
                <w:highlight w:val="none"/>
                <w:lang w:eastAsia="zh-CN"/>
              </w:rPr>
              <w:t>，</w:t>
            </w:r>
            <w:r>
              <w:rPr>
                <w:rFonts w:hint="eastAsia"/>
                <w:color w:val="auto"/>
                <w:sz w:val="21"/>
                <w:szCs w:val="21"/>
                <w:highlight w:val="none"/>
                <w:lang w:val="en-US" w:eastAsia="zh-CN"/>
              </w:rPr>
              <w:t>占用公益林面积</w:t>
            </w:r>
            <w:r>
              <w:rPr>
                <w:rFonts w:hint="eastAsia"/>
                <w:color w:val="auto"/>
                <w:sz w:val="21"/>
                <w:szCs w:val="21"/>
                <w:highlight w:val="none"/>
                <w:lang w:eastAsia="zh-CN"/>
              </w:rPr>
              <w:t>25284</w:t>
            </w:r>
            <w:r>
              <w:rPr>
                <w:rFonts w:hint="eastAsia"/>
                <w:color w:val="auto"/>
                <w:sz w:val="21"/>
                <w:szCs w:val="21"/>
                <w:highlight w:val="none"/>
              </w:rPr>
              <w:t>m</w:t>
            </w:r>
            <w:r>
              <w:rPr>
                <w:rFonts w:hint="eastAsia"/>
                <w:color w:val="auto"/>
                <w:sz w:val="21"/>
                <w:szCs w:val="21"/>
                <w:highlight w:val="none"/>
                <w:vertAlign w:val="superscript"/>
              </w:rPr>
              <w:t>2</w:t>
            </w:r>
            <w:r>
              <w:rPr>
                <w:rFonts w:hint="eastAsia"/>
                <w:color w:val="auto"/>
                <w:sz w:val="21"/>
                <w:szCs w:val="21"/>
                <w:highlight w:val="none"/>
              </w:rPr>
              <w:t>，不在自然保护区范围内，不在湿地公园、风景名胜区范围内。</w:t>
            </w:r>
          </w:p>
          <w:p w14:paraId="61CF0FDC">
            <w:pPr>
              <w:pStyle w:val="71"/>
              <w:numPr>
                <w:ilvl w:val="0"/>
                <w:numId w:val="26"/>
              </w:numPr>
              <w:spacing w:line="332" w:lineRule="auto"/>
              <w:ind w:firstLine="420" w:firstLineChars="200"/>
              <w:rPr>
                <w:color w:val="auto"/>
                <w:szCs w:val="21"/>
                <w:highlight w:val="none"/>
              </w:rPr>
            </w:pPr>
            <w:r>
              <w:rPr>
                <w:rFonts w:hint="eastAsia"/>
                <w:color w:val="auto"/>
                <w:highlight w:val="none"/>
              </w:rPr>
              <w:t>公益林调查</w:t>
            </w:r>
          </w:p>
          <w:p w14:paraId="14A3ECAE">
            <w:pPr>
              <w:pStyle w:val="3"/>
              <w:ind w:firstLine="420"/>
              <w:rPr>
                <w:color w:val="auto"/>
                <w:sz w:val="21"/>
                <w:szCs w:val="21"/>
                <w:highlight w:val="none"/>
              </w:rPr>
            </w:pPr>
            <w:r>
              <w:rPr>
                <w:rFonts w:hint="eastAsia"/>
                <w:color w:val="auto"/>
                <w:sz w:val="21"/>
                <w:szCs w:val="21"/>
                <w:highlight w:val="none"/>
              </w:rPr>
              <w:t>阜康市灌木林（防护树种）总面积74077.88公顷。按起源划分，天然林面积74019.55公顷；占灌木林（防护树种）总面积的99.92%；人工林面积58.33公顷，占0.08%。按林种划分全部为防风固沙林。主要分布在荒漠区域。</w:t>
            </w:r>
          </w:p>
          <w:p w14:paraId="318166F7">
            <w:pPr>
              <w:pStyle w:val="102"/>
              <w:snapToGrid w:val="0"/>
              <w:ind w:firstLine="420"/>
              <w:rPr>
                <w:color w:val="auto"/>
                <w:highlight w:val="none"/>
              </w:rPr>
            </w:pPr>
            <w:r>
              <w:rPr>
                <w:rFonts w:hint="eastAsia"/>
                <w:color w:val="auto"/>
                <w:highlight w:val="none"/>
              </w:rPr>
              <w:t>本项目</w:t>
            </w:r>
            <w:r>
              <w:rPr>
                <w:rFonts w:hint="eastAsia"/>
                <w:color w:val="auto"/>
                <w:sz w:val="21"/>
                <w:szCs w:val="21"/>
                <w:highlight w:val="none"/>
                <w:lang w:val="en-US" w:eastAsia="zh-CN"/>
              </w:rPr>
              <w:t>占用公益林面积</w:t>
            </w:r>
            <w:r>
              <w:rPr>
                <w:rFonts w:hint="eastAsia"/>
                <w:color w:val="auto"/>
                <w:sz w:val="21"/>
                <w:szCs w:val="21"/>
                <w:highlight w:val="none"/>
                <w:lang w:eastAsia="zh-CN"/>
              </w:rPr>
              <w:t>25284</w:t>
            </w:r>
            <w:r>
              <w:rPr>
                <w:rFonts w:hint="eastAsia"/>
                <w:color w:val="auto"/>
                <w:sz w:val="21"/>
                <w:szCs w:val="21"/>
                <w:highlight w:val="none"/>
              </w:rPr>
              <w:t>m</w:t>
            </w:r>
            <w:r>
              <w:rPr>
                <w:rFonts w:hint="eastAsia"/>
                <w:color w:val="auto"/>
                <w:sz w:val="21"/>
                <w:szCs w:val="21"/>
                <w:highlight w:val="none"/>
                <w:vertAlign w:val="superscript"/>
              </w:rPr>
              <w:t>2</w:t>
            </w:r>
            <w:r>
              <w:rPr>
                <w:rFonts w:hint="eastAsia"/>
                <w:color w:val="auto"/>
                <w:sz w:val="21"/>
                <w:szCs w:val="21"/>
                <w:highlight w:val="none"/>
                <w:vertAlign w:val="baseline"/>
                <w:lang w:eastAsia="zh-CN"/>
              </w:rPr>
              <w:t>，</w:t>
            </w:r>
            <w:r>
              <w:rPr>
                <w:color w:val="auto"/>
                <w:highlight w:val="none"/>
              </w:rPr>
              <w:t>占用林地的林种为</w:t>
            </w:r>
            <w:r>
              <w:rPr>
                <w:rFonts w:hint="eastAsia"/>
                <w:color w:val="auto"/>
                <w:highlight w:val="none"/>
              </w:rPr>
              <w:t>防风固沙林；林地权属为国有；地类为灌木林地；优势树种为</w:t>
            </w:r>
            <w:r>
              <w:rPr>
                <w:color w:val="auto"/>
                <w:highlight w:val="none"/>
              </w:rPr>
              <w:t>梭梭</w:t>
            </w:r>
            <w:r>
              <w:rPr>
                <w:rFonts w:hint="eastAsia"/>
                <w:color w:val="auto"/>
                <w:highlight w:val="none"/>
              </w:rPr>
              <w:t>；</w:t>
            </w:r>
            <w:r>
              <w:rPr>
                <w:color w:val="auto"/>
                <w:highlight w:val="none"/>
              </w:rPr>
              <w:t>起源为天然</w:t>
            </w:r>
            <w:r>
              <w:rPr>
                <w:rFonts w:hint="eastAsia"/>
                <w:color w:val="auto"/>
                <w:highlight w:val="none"/>
              </w:rPr>
              <w:t>；</w:t>
            </w:r>
            <w:r>
              <w:rPr>
                <w:color w:val="auto"/>
                <w:highlight w:val="none"/>
              </w:rPr>
              <w:t>森林类别为重点公益林</w:t>
            </w:r>
            <w:r>
              <w:rPr>
                <w:rFonts w:hint="eastAsia"/>
                <w:color w:val="auto"/>
                <w:highlight w:val="none"/>
              </w:rPr>
              <w:t>；公益林事权等级为国家级二级公益林；林业分区为北部荒漠防风固沙林区</w:t>
            </w:r>
            <w:r>
              <w:rPr>
                <w:color w:val="auto"/>
                <w:highlight w:val="none"/>
              </w:rPr>
              <w:t>。</w:t>
            </w:r>
            <w:r>
              <w:rPr>
                <w:rFonts w:hint="eastAsia"/>
                <w:color w:val="auto"/>
                <w:highlight w:val="none"/>
              </w:rPr>
              <w:t>项目</w:t>
            </w:r>
            <w:r>
              <w:rPr>
                <w:color w:val="auto"/>
                <w:highlight w:val="none"/>
              </w:rPr>
              <w:t>区属干旱、半干旱荒漠地区，植被组成简单，类型单调，分布稀疏，建群植物主要由旱生、超旱生的灌木、小灌木、半灌木及一年生草本和中短命植物组成，如梭梭、</w:t>
            </w:r>
            <w:r>
              <w:rPr>
                <w:rFonts w:hint="eastAsia"/>
                <w:color w:val="auto"/>
                <w:highlight w:val="none"/>
              </w:rPr>
              <w:t>沙漠绢蒿、琵琶柴、驼绒藜、内蒙古旱蒿</w:t>
            </w:r>
            <w:r>
              <w:rPr>
                <w:color w:val="auto"/>
                <w:highlight w:val="none"/>
              </w:rPr>
              <w:t>等，无蓄积。</w:t>
            </w:r>
          </w:p>
          <w:p w14:paraId="13CD8A58">
            <w:pPr>
              <w:pStyle w:val="3"/>
              <w:numPr>
                <w:ilvl w:val="0"/>
                <w:numId w:val="25"/>
              </w:numPr>
              <w:spacing w:line="332" w:lineRule="auto"/>
              <w:ind w:firstLine="420"/>
              <w:rPr>
                <w:color w:val="auto"/>
                <w:sz w:val="21"/>
                <w:highlight w:val="none"/>
              </w:rPr>
            </w:pPr>
            <w:r>
              <w:rPr>
                <w:rFonts w:hint="eastAsia"/>
                <w:color w:val="auto"/>
                <w:sz w:val="21"/>
                <w:highlight w:val="none"/>
              </w:rPr>
              <w:t>环境空气质量</w:t>
            </w:r>
          </w:p>
          <w:p w14:paraId="2F44AC5B">
            <w:pPr>
              <w:adjustRightInd w:val="0"/>
              <w:snapToGrid w:val="0"/>
              <w:ind w:firstLine="420"/>
              <w:rPr>
                <w:color w:val="auto"/>
                <w:highlight w:val="none"/>
              </w:rPr>
            </w:pPr>
            <w:r>
              <w:rPr>
                <w:rFonts w:hint="eastAsia"/>
                <w:color w:val="auto"/>
                <w:highlight w:val="none"/>
              </w:rPr>
              <w:t>根据维吾尔自治区生态环境厅发布的《2025年12月和1-12月重点区域空气质量状况及排名》环境空气质量数据（数据来源网站地址：https://sthjt.xinjiang.gov.cn/xjepd/sthjhjjckpm/202601/0f0cfbb2eb35429ca9f13723e534ec4c.shtml），2025年昌吉回族自治州阜康市环境空气质量现状不满足《环境空气质量标准》（GB 3095-2026）中过渡阶段二级浓度限值要求。因此，项目所在地属于大气环境不达标区。</w:t>
            </w:r>
          </w:p>
          <w:p w14:paraId="1A888B2C">
            <w:pPr>
              <w:pStyle w:val="13"/>
              <w:bidi w:val="0"/>
              <w:rPr>
                <w:color w:val="auto"/>
                <w:szCs w:val="18"/>
                <w:highlight w:val="none"/>
              </w:rPr>
            </w:pPr>
            <w:bookmarkStart w:id="50" w:name="_Ref303400458"/>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25</w:t>
            </w:r>
            <w:r>
              <w:rPr>
                <w:rFonts w:hint="eastAsia"/>
                <w:color w:val="auto"/>
                <w:highlight w:val="none"/>
              </w:rPr>
              <w:fldChar w:fldCharType="end"/>
            </w:r>
            <w:bookmarkEnd w:id="50"/>
            <w:r>
              <w:rPr>
                <w:rFonts w:hint="eastAsia"/>
                <w:color w:val="auto"/>
                <w:highlight w:val="none"/>
              </w:rPr>
              <w:t xml:space="preserve">  阜康市环境基本污染物环境质量现状一览表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1803"/>
              <w:gridCol w:w="795"/>
              <w:gridCol w:w="1048"/>
              <w:gridCol w:w="1048"/>
              <w:gridCol w:w="845"/>
              <w:gridCol w:w="1051"/>
            </w:tblGrid>
            <w:tr w14:paraId="4D31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6" w:type="pct"/>
                  <w:shd w:val="clear" w:color="auto" w:fill="auto"/>
                  <w:vAlign w:val="center"/>
                </w:tcPr>
                <w:p w14:paraId="7F2F84D7">
                  <w:pPr>
                    <w:pStyle w:val="41"/>
                    <w:rPr>
                      <w:color w:val="auto"/>
                      <w:highlight w:val="none"/>
                    </w:rPr>
                  </w:pPr>
                  <w:r>
                    <w:rPr>
                      <w:rFonts w:hint="eastAsia"/>
                      <w:color w:val="auto"/>
                      <w:highlight w:val="none"/>
                    </w:rPr>
                    <w:t>评价因子</w:t>
                  </w:r>
                </w:p>
              </w:tc>
              <w:tc>
                <w:tcPr>
                  <w:tcW w:w="1180" w:type="pct"/>
                  <w:shd w:val="clear" w:color="auto" w:fill="auto"/>
                  <w:vAlign w:val="center"/>
                </w:tcPr>
                <w:p w14:paraId="42429500">
                  <w:pPr>
                    <w:pStyle w:val="41"/>
                    <w:rPr>
                      <w:color w:val="auto"/>
                      <w:highlight w:val="none"/>
                    </w:rPr>
                  </w:pPr>
                  <w:r>
                    <w:rPr>
                      <w:rFonts w:hint="eastAsia"/>
                      <w:color w:val="auto"/>
                      <w:highlight w:val="none"/>
                    </w:rPr>
                    <w:t>年评价指标</w:t>
                  </w:r>
                </w:p>
              </w:tc>
              <w:tc>
                <w:tcPr>
                  <w:tcW w:w="520" w:type="pct"/>
                  <w:shd w:val="clear" w:color="auto" w:fill="auto"/>
                  <w:vAlign w:val="center"/>
                </w:tcPr>
                <w:p w14:paraId="2E579BE0">
                  <w:pPr>
                    <w:pStyle w:val="41"/>
                    <w:rPr>
                      <w:color w:val="auto"/>
                      <w:highlight w:val="none"/>
                    </w:rPr>
                  </w:pPr>
                  <w:r>
                    <w:rPr>
                      <w:rFonts w:hint="eastAsia"/>
                      <w:color w:val="auto"/>
                      <w:highlight w:val="none"/>
                    </w:rPr>
                    <w:t>单位</w:t>
                  </w:r>
                </w:p>
              </w:tc>
              <w:tc>
                <w:tcPr>
                  <w:tcW w:w="686" w:type="pct"/>
                  <w:shd w:val="clear" w:color="auto" w:fill="auto"/>
                  <w:vAlign w:val="center"/>
                </w:tcPr>
                <w:p w14:paraId="7FD03795">
                  <w:pPr>
                    <w:pStyle w:val="41"/>
                    <w:rPr>
                      <w:color w:val="auto"/>
                      <w:highlight w:val="none"/>
                    </w:rPr>
                  </w:pPr>
                  <w:r>
                    <w:rPr>
                      <w:rFonts w:hint="eastAsia"/>
                      <w:color w:val="auto"/>
                      <w:highlight w:val="none"/>
                    </w:rPr>
                    <w:t>现状浓度</w:t>
                  </w:r>
                </w:p>
              </w:tc>
              <w:tc>
                <w:tcPr>
                  <w:tcW w:w="686" w:type="pct"/>
                  <w:shd w:val="clear" w:color="auto" w:fill="auto"/>
                  <w:vAlign w:val="center"/>
                </w:tcPr>
                <w:p w14:paraId="4FC6D6F0">
                  <w:pPr>
                    <w:pStyle w:val="41"/>
                    <w:rPr>
                      <w:color w:val="auto"/>
                      <w:highlight w:val="none"/>
                    </w:rPr>
                  </w:pPr>
                  <w:r>
                    <w:rPr>
                      <w:rFonts w:hint="eastAsia"/>
                      <w:color w:val="auto"/>
                      <w:highlight w:val="none"/>
                    </w:rPr>
                    <w:t>评价标准</w:t>
                  </w:r>
                </w:p>
              </w:tc>
              <w:tc>
                <w:tcPr>
                  <w:tcW w:w="554" w:type="pct"/>
                  <w:shd w:val="clear" w:color="auto" w:fill="auto"/>
                  <w:vAlign w:val="center"/>
                </w:tcPr>
                <w:p w14:paraId="6FC87336">
                  <w:pPr>
                    <w:pStyle w:val="41"/>
                    <w:rPr>
                      <w:color w:val="auto"/>
                      <w:highlight w:val="none"/>
                    </w:rPr>
                  </w:pPr>
                  <w:r>
                    <w:rPr>
                      <w:rFonts w:hint="eastAsia"/>
                      <w:color w:val="auto"/>
                      <w:highlight w:val="none"/>
                    </w:rPr>
                    <w:t>占标率</w:t>
                  </w:r>
                </w:p>
              </w:tc>
              <w:tc>
                <w:tcPr>
                  <w:tcW w:w="686" w:type="pct"/>
                  <w:shd w:val="clear" w:color="auto" w:fill="auto"/>
                  <w:vAlign w:val="center"/>
                </w:tcPr>
                <w:p w14:paraId="1D8D4BE9">
                  <w:pPr>
                    <w:pStyle w:val="41"/>
                    <w:rPr>
                      <w:color w:val="auto"/>
                      <w:highlight w:val="none"/>
                    </w:rPr>
                  </w:pPr>
                  <w:r>
                    <w:rPr>
                      <w:rFonts w:hint="eastAsia"/>
                      <w:color w:val="auto"/>
                      <w:highlight w:val="none"/>
                    </w:rPr>
                    <w:t>达标情况</w:t>
                  </w:r>
                </w:p>
              </w:tc>
            </w:tr>
            <w:tr w14:paraId="0DD5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6" w:type="pct"/>
                  <w:shd w:val="clear" w:color="auto" w:fill="auto"/>
                  <w:vAlign w:val="center"/>
                </w:tcPr>
                <w:p w14:paraId="27B1C125">
                  <w:pPr>
                    <w:pStyle w:val="41"/>
                    <w:rPr>
                      <w:color w:val="auto"/>
                      <w:highlight w:val="none"/>
                    </w:rPr>
                  </w:pPr>
                  <w:r>
                    <w:rPr>
                      <w:rFonts w:hint="eastAsia"/>
                      <w:color w:val="auto"/>
                      <w:highlight w:val="none"/>
                    </w:rPr>
                    <w:t>SO</w:t>
                  </w:r>
                  <w:r>
                    <w:rPr>
                      <w:rFonts w:hint="eastAsia"/>
                      <w:color w:val="auto"/>
                      <w:highlight w:val="none"/>
                      <w:vertAlign w:val="subscript"/>
                    </w:rPr>
                    <w:t>2</w:t>
                  </w:r>
                </w:p>
              </w:tc>
              <w:tc>
                <w:tcPr>
                  <w:tcW w:w="1180" w:type="pct"/>
                  <w:shd w:val="clear" w:color="auto" w:fill="auto"/>
                  <w:vAlign w:val="center"/>
                </w:tcPr>
                <w:p w14:paraId="75B71CF3">
                  <w:pPr>
                    <w:pStyle w:val="41"/>
                    <w:rPr>
                      <w:color w:val="auto"/>
                      <w:highlight w:val="none"/>
                    </w:rPr>
                  </w:pPr>
                  <w:r>
                    <w:rPr>
                      <w:rFonts w:hint="eastAsia"/>
                      <w:color w:val="auto"/>
                      <w:highlight w:val="none"/>
                    </w:rPr>
                    <w:t>年平均</w:t>
                  </w:r>
                </w:p>
              </w:tc>
              <w:tc>
                <w:tcPr>
                  <w:tcW w:w="520" w:type="pct"/>
                  <w:shd w:val="clear" w:color="auto" w:fill="auto"/>
                  <w:vAlign w:val="center"/>
                </w:tcPr>
                <w:p w14:paraId="4CD57A36">
                  <w:pPr>
                    <w:pStyle w:val="41"/>
                    <w:rPr>
                      <w:color w:val="auto"/>
                      <w:highlight w:val="none"/>
                    </w:rPr>
                  </w:pPr>
                  <w:r>
                    <w:rPr>
                      <w:rFonts w:hint="eastAsia"/>
                      <w:color w:val="auto"/>
                      <w:highlight w:val="none"/>
                    </w:rPr>
                    <w:t>μg/m</w:t>
                  </w:r>
                  <w:r>
                    <w:rPr>
                      <w:rFonts w:hint="eastAsia"/>
                      <w:color w:val="auto"/>
                      <w:highlight w:val="none"/>
                      <w:vertAlign w:val="superscript"/>
                    </w:rPr>
                    <w:t>3</w:t>
                  </w:r>
                </w:p>
              </w:tc>
              <w:tc>
                <w:tcPr>
                  <w:tcW w:w="686" w:type="pct"/>
                  <w:shd w:val="clear" w:color="auto" w:fill="auto"/>
                  <w:vAlign w:val="center"/>
                </w:tcPr>
                <w:p w14:paraId="1C4ED818">
                  <w:pPr>
                    <w:pStyle w:val="41"/>
                    <w:rPr>
                      <w:color w:val="auto"/>
                      <w:highlight w:val="none"/>
                    </w:rPr>
                  </w:pPr>
                  <w:r>
                    <w:rPr>
                      <w:rFonts w:hint="eastAsia"/>
                      <w:color w:val="auto"/>
                      <w:highlight w:val="none"/>
                    </w:rPr>
                    <w:t>8</w:t>
                  </w:r>
                </w:p>
              </w:tc>
              <w:tc>
                <w:tcPr>
                  <w:tcW w:w="686" w:type="pct"/>
                  <w:shd w:val="clear" w:color="auto" w:fill="auto"/>
                  <w:vAlign w:val="center"/>
                </w:tcPr>
                <w:p w14:paraId="78E9FE02">
                  <w:pPr>
                    <w:pStyle w:val="41"/>
                    <w:rPr>
                      <w:color w:val="auto"/>
                      <w:highlight w:val="none"/>
                    </w:rPr>
                  </w:pPr>
                  <w:r>
                    <w:rPr>
                      <w:rFonts w:hint="eastAsia"/>
                      <w:color w:val="auto"/>
                      <w:highlight w:val="none"/>
                    </w:rPr>
                    <w:t>60</w:t>
                  </w:r>
                </w:p>
              </w:tc>
              <w:tc>
                <w:tcPr>
                  <w:tcW w:w="848" w:type="dxa"/>
                  <w:shd w:val="clear" w:color="auto" w:fill="auto"/>
                  <w:vAlign w:val="center"/>
                </w:tcPr>
                <w:p w14:paraId="2A9E6DEF">
                  <w:pPr>
                    <w:pStyle w:val="41"/>
                    <w:rPr>
                      <w:color w:val="auto"/>
                      <w:highlight w:val="none"/>
                    </w:rPr>
                  </w:pPr>
                  <w:r>
                    <w:rPr>
                      <w:rFonts w:hint="eastAsia"/>
                      <w:color w:val="auto"/>
                      <w:highlight w:val="none"/>
                    </w:rPr>
                    <w:t>13%</w:t>
                  </w:r>
                </w:p>
              </w:tc>
              <w:tc>
                <w:tcPr>
                  <w:tcW w:w="686" w:type="pct"/>
                  <w:shd w:val="clear" w:color="auto" w:fill="auto"/>
                  <w:vAlign w:val="center"/>
                </w:tcPr>
                <w:p w14:paraId="6D7CC05B">
                  <w:pPr>
                    <w:pStyle w:val="41"/>
                    <w:rPr>
                      <w:color w:val="auto"/>
                      <w:highlight w:val="none"/>
                    </w:rPr>
                  </w:pPr>
                  <w:r>
                    <w:rPr>
                      <w:rFonts w:hint="eastAsia"/>
                      <w:color w:val="auto"/>
                      <w:highlight w:val="none"/>
                    </w:rPr>
                    <w:t>达标</w:t>
                  </w:r>
                </w:p>
              </w:tc>
            </w:tr>
            <w:tr w14:paraId="1CCE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6" w:type="pct"/>
                  <w:shd w:val="clear" w:color="auto" w:fill="auto"/>
                  <w:vAlign w:val="center"/>
                </w:tcPr>
                <w:p w14:paraId="4DEE0A30">
                  <w:pPr>
                    <w:pStyle w:val="41"/>
                    <w:rPr>
                      <w:color w:val="auto"/>
                      <w:highlight w:val="none"/>
                    </w:rPr>
                  </w:pPr>
                  <w:r>
                    <w:rPr>
                      <w:rFonts w:hint="eastAsia"/>
                      <w:color w:val="auto"/>
                      <w:highlight w:val="none"/>
                    </w:rPr>
                    <w:t>NO</w:t>
                  </w:r>
                  <w:r>
                    <w:rPr>
                      <w:rFonts w:hint="eastAsia"/>
                      <w:color w:val="auto"/>
                      <w:highlight w:val="none"/>
                      <w:vertAlign w:val="subscript"/>
                    </w:rPr>
                    <w:t>2</w:t>
                  </w:r>
                </w:p>
              </w:tc>
              <w:tc>
                <w:tcPr>
                  <w:tcW w:w="1180" w:type="pct"/>
                  <w:shd w:val="clear" w:color="auto" w:fill="auto"/>
                  <w:vAlign w:val="center"/>
                </w:tcPr>
                <w:p w14:paraId="2456CB3B">
                  <w:pPr>
                    <w:pStyle w:val="41"/>
                    <w:rPr>
                      <w:color w:val="auto"/>
                      <w:highlight w:val="none"/>
                    </w:rPr>
                  </w:pPr>
                  <w:r>
                    <w:rPr>
                      <w:rFonts w:hint="eastAsia"/>
                      <w:color w:val="auto"/>
                      <w:highlight w:val="none"/>
                    </w:rPr>
                    <w:t>年平均</w:t>
                  </w:r>
                </w:p>
              </w:tc>
              <w:tc>
                <w:tcPr>
                  <w:tcW w:w="520" w:type="pct"/>
                  <w:shd w:val="clear" w:color="auto" w:fill="auto"/>
                  <w:vAlign w:val="center"/>
                </w:tcPr>
                <w:p w14:paraId="7B0F2803">
                  <w:pPr>
                    <w:pStyle w:val="41"/>
                    <w:rPr>
                      <w:color w:val="auto"/>
                      <w:highlight w:val="none"/>
                    </w:rPr>
                  </w:pPr>
                  <w:r>
                    <w:rPr>
                      <w:rFonts w:hint="eastAsia"/>
                      <w:color w:val="auto"/>
                      <w:highlight w:val="none"/>
                    </w:rPr>
                    <w:t>μg/m</w:t>
                  </w:r>
                  <w:r>
                    <w:rPr>
                      <w:rFonts w:hint="eastAsia"/>
                      <w:color w:val="auto"/>
                      <w:highlight w:val="none"/>
                      <w:vertAlign w:val="superscript"/>
                    </w:rPr>
                    <w:t>3</w:t>
                  </w:r>
                </w:p>
              </w:tc>
              <w:tc>
                <w:tcPr>
                  <w:tcW w:w="686" w:type="pct"/>
                  <w:shd w:val="clear" w:color="auto" w:fill="auto"/>
                  <w:vAlign w:val="center"/>
                </w:tcPr>
                <w:p w14:paraId="3AF79400">
                  <w:pPr>
                    <w:pStyle w:val="41"/>
                    <w:rPr>
                      <w:color w:val="auto"/>
                      <w:highlight w:val="none"/>
                    </w:rPr>
                  </w:pPr>
                  <w:r>
                    <w:rPr>
                      <w:rFonts w:hint="eastAsia"/>
                      <w:color w:val="auto"/>
                      <w:highlight w:val="none"/>
                    </w:rPr>
                    <w:t>22</w:t>
                  </w:r>
                </w:p>
              </w:tc>
              <w:tc>
                <w:tcPr>
                  <w:tcW w:w="686" w:type="pct"/>
                  <w:shd w:val="clear" w:color="auto" w:fill="auto"/>
                  <w:vAlign w:val="center"/>
                </w:tcPr>
                <w:p w14:paraId="392EB55B">
                  <w:pPr>
                    <w:pStyle w:val="41"/>
                    <w:rPr>
                      <w:color w:val="auto"/>
                      <w:highlight w:val="none"/>
                    </w:rPr>
                  </w:pPr>
                  <w:r>
                    <w:rPr>
                      <w:rFonts w:hint="eastAsia"/>
                      <w:color w:val="auto"/>
                      <w:highlight w:val="none"/>
                    </w:rPr>
                    <w:t>40</w:t>
                  </w:r>
                </w:p>
              </w:tc>
              <w:tc>
                <w:tcPr>
                  <w:tcW w:w="848" w:type="dxa"/>
                  <w:shd w:val="clear" w:color="auto" w:fill="auto"/>
                  <w:vAlign w:val="center"/>
                </w:tcPr>
                <w:p w14:paraId="0FBDC073">
                  <w:pPr>
                    <w:pStyle w:val="41"/>
                    <w:rPr>
                      <w:color w:val="auto"/>
                      <w:highlight w:val="none"/>
                    </w:rPr>
                  </w:pPr>
                  <w:r>
                    <w:rPr>
                      <w:rFonts w:hint="eastAsia"/>
                      <w:color w:val="auto"/>
                      <w:highlight w:val="none"/>
                    </w:rPr>
                    <w:t>55%</w:t>
                  </w:r>
                </w:p>
              </w:tc>
              <w:tc>
                <w:tcPr>
                  <w:tcW w:w="686" w:type="pct"/>
                  <w:shd w:val="clear" w:color="auto" w:fill="auto"/>
                  <w:vAlign w:val="center"/>
                </w:tcPr>
                <w:p w14:paraId="1F473A57">
                  <w:pPr>
                    <w:pStyle w:val="41"/>
                    <w:rPr>
                      <w:color w:val="auto"/>
                      <w:highlight w:val="none"/>
                    </w:rPr>
                  </w:pPr>
                  <w:r>
                    <w:rPr>
                      <w:rFonts w:hint="eastAsia"/>
                      <w:color w:val="auto"/>
                      <w:highlight w:val="none"/>
                    </w:rPr>
                    <w:t>达标</w:t>
                  </w:r>
                </w:p>
              </w:tc>
            </w:tr>
            <w:tr w14:paraId="0CA6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6" w:type="pct"/>
                  <w:shd w:val="clear" w:color="auto" w:fill="auto"/>
                  <w:vAlign w:val="center"/>
                </w:tcPr>
                <w:p w14:paraId="2749A63D">
                  <w:pPr>
                    <w:pStyle w:val="41"/>
                    <w:rPr>
                      <w:color w:val="auto"/>
                      <w:highlight w:val="none"/>
                    </w:rPr>
                  </w:pPr>
                  <w:r>
                    <w:rPr>
                      <w:rFonts w:hint="eastAsia"/>
                      <w:color w:val="auto"/>
                      <w:highlight w:val="none"/>
                    </w:rPr>
                    <w:t>CO</w:t>
                  </w:r>
                </w:p>
              </w:tc>
              <w:tc>
                <w:tcPr>
                  <w:tcW w:w="1180" w:type="pct"/>
                  <w:shd w:val="clear" w:color="auto" w:fill="auto"/>
                  <w:vAlign w:val="center"/>
                </w:tcPr>
                <w:p w14:paraId="677CCB81">
                  <w:pPr>
                    <w:pStyle w:val="41"/>
                    <w:rPr>
                      <w:color w:val="auto"/>
                      <w:highlight w:val="none"/>
                    </w:rPr>
                  </w:pPr>
                  <w:r>
                    <w:rPr>
                      <w:rFonts w:hint="eastAsia"/>
                      <w:color w:val="auto"/>
                      <w:highlight w:val="none"/>
                    </w:rPr>
                    <w:t>第95百分位数日</w:t>
                  </w:r>
                </w:p>
                <w:p w14:paraId="0BC09C9A">
                  <w:pPr>
                    <w:pStyle w:val="41"/>
                    <w:rPr>
                      <w:color w:val="auto"/>
                      <w:highlight w:val="none"/>
                    </w:rPr>
                  </w:pPr>
                  <w:r>
                    <w:rPr>
                      <w:rFonts w:hint="eastAsia"/>
                      <w:color w:val="auto"/>
                      <w:highlight w:val="none"/>
                    </w:rPr>
                    <w:t>平均质量浓度</w:t>
                  </w:r>
                </w:p>
              </w:tc>
              <w:tc>
                <w:tcPr>
                  <w:tcW w:w="520" w:type="pct"/>
                  <w:shd w:val="clear" w:color="auto" w:fill="auto"/>
                  <w:vAlign w:val="center"/>
                </w:tcPr>
                <w:p w14:paraId="6CA01328">
                  <w:pPr>
                    <w:pStyle w:val="41"/>
                    <w:rPr>
                      <w:color w:val="auto"/>
                      <w:highlight w:val="none"/>
                    </w:rPr>
                  </w:pPr>
                  <w:r>
                    <w:rPr>
                      <w:rFonts w:hint="eastAsia"/>
                      <w:color w:val="auto"/>
                      <w:highlight w:val="none"/>
                    </w:rPr>
                    <w:t>mg/m</w:t>
                  </w:r>
                  <w:r>
                    <w:rPr>
                      <w:rFonts w:hint="eastAsia"/>
                      <w:color w:val="auto"/>
                      <w:highlight w:val="none"/>
                      <w:vertAlign w:val="superscript"/>
                    </w:rPr>
                    <w:t>3</w:t>
                  </w:r>
                </w:p>
              </w:tc>
              <w:tc>
                <w:tcPr>
                  <w:tcW w:w="686" w:type="pct"/>
                  <w:shd w:val="clear" w:color="auto" w:fill="auto"/>
                  <w:vAlign w:val="center"/>
                </w:tcPr>
                <w:p w14:paraId="40070993">
                  <w:pPr>
                    <w:pStyle w:val="41"/>
                    <w:rPr>
                      <w:color w:val="auto"/>
                      <w:highlight w:val="none"/>
                    </w:rPr>
                  </w:pPr>
                  <w:r>
                    <w:rPr>
                      <w:rFonts w:hint="eastAsia"/>
                      <w:color w:val="auto"/>
                      <w:highlight w:val="none"/>
                    </w:rPr>
                    <w:t>0.8</w:t>
                  </w:r>
                </w:p>
              </w:tc>
              <w:tc>
                <w:tcPr>
                  <w:tcW w:w="686" w:type="pct"/>
                  <w:shd w:val="clear" w:color="auto" w:fill="auto"/>
                  <w:vAlign w:val="center"/>
                </w:tcPr>
                <w:p w14:paraId="3EF477D7">
                  <w:pPr>
                    <w:pStyle w:val="41"/>
                    <w:rPr>
                      <w:color w:val="auto"/>
                      <w:highlight w:val="none"/>
                    </w:rPr>
                  </w:pPr>
                  <w:r>
                    <w:rPr>
                      <w:rFonts w:hint="eastAsia"/>
                      <w:color w:val="auto"/>
                      <w:highlight w:val="none"/>
                    </w:rPr>
                    <w:t>4</w:t>
                  </w:r>
                </w:p>
              </w:tc>
              <w:tc>
                <w:tcPr>
                  <w:tcW w:w="848" w:type="dxa"/>
                  <w:shd w:val="clear" w:color="auto" w:fill="auto"/>
                  <w:vAlign w:val="center"/>
                </w:tcPr>
                <w:p w14:paraId="0A72FE20">
                  <w:pPr>
                    <w:pStyle w:val="41"/>
                    <w:rPr>
                      <w:color w:val="auto"/>
                      <w:highlight w:val="none"/>
                    </w:rPr>
                  </w:pPr>
                  <w:r>
                    <w:rPr>
                      <w:rFonts w:hint="eastAsia"/>
                      <w:color w:val="auto"/>
                      <w:highlight w:val="none"/>
                    </w:rPr>
                    <w:t>20%</w:t>
                  </w:r>
                </w:p>
              </w:tc>
              <w:tc>
                <w:tcPr>
                  <w:tcW w:w="686" w:type="pct"/>
                  <w:shd w:val="clear" w:color="auto" w:fill="auto"/>
                  <w:vAlign w:val="center"/>
                </w:tcPr>
                <w:p w14:paraId="47BC7C4A">
                  <w:pPr>
                    <w:pStyle w:val="41"/>
                    <w:rPr>
                      <w:color w:val="auto"/>
                      <w:highlight w:val="none"/>
                    </w:rPr>
                  </w:pPr>
                  <w:r>
                    <w:rPr>
                      <w:rFonts w:hint="eastAsia"/>
                      <w:color w:val="auto"/>
                      <w:highlight w:val="none"/>
                    </w:rPr>
                    <w:t>达标</w:t>
                  </w:r>
                </w:p>
              </w:tc>
            </w:tr>
            <w:tr w14:paraId="6B48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6" w:type="pct"/>
                  <w:shd w:val="clear" w:color="auto" w:fill="auto"/>
                  <w:vAlign w:val="center"/>
                </w:tcPr>
                <w:p w14:paraId="296C2EBF">
                  <w:pPr>
                    <w:pStyle w:val="41"/>
                    <w:rPr>
                      <w:color w:val="auto"/>
                      <w:highlight w:val="none"/>
                    </w:rPr>
                  </w:pPr>
                  <w:r>
                    <w:rPr>
                      <w:rFonts w:hint="eastAsia"/>
                      <w:color w:val="auto"/>
                      <w:highlight w:val="none"/>
                    </w:rPr>
                    <w:t>O</w:t>
                  </w:r>
                  <w:r>
                    <w:rPr>
                      <w:rFonts w:hint="eastAsia"/>
                      <w:color w:val="auto"/>
                      <w:highlight w:val="none"/>
                      <w:vertAlign w:val="subscript"/>
                    </w:rPr>
                    <w:t>3</w:t>
                  </w:r>
                </w:p>
              </w:tc>
              <w:tc>
                <w:tcPr>
                  <w:tcW w:w="1180" w:type="pct"/>
                  <w:shd w:val="clear" w:color="auto" w:fill="auto"/>
                  <w:vAlign w:val="center"/>
                </w:tcPr>
                <w:p w14:paraId="0A146AD6">
                  <w:pPr>
                    <w:pStyle w:val="41"/>
                    <w:rPr>
                      <w:color w:val="auto"/>
                      <w:highlight w:val="none"/>
                    </w:rPr>
                  </w:pPr>
                  <w:r>
                    <w:rPr>
                      <w:rFonts w:hint="eastAsia"/>
                      <w:color w:val="auto"/>
                      <w:highlight w:val="none"/>
                    </w:rPr>
                    <w:t>第90百分位数8h</w:t>
                  </w:r>
                </w:p>
                <w:p w14:paraId="11829B2A">
                  <w:pPr>
                    <w:pStyle w:val="41"/>
                    <w:rPr>
                      <w:color w:val="auto"/>
                      <w:highlight w:val="none"/>
                    </w:rPr>
                  </w:pPr>
                  <w:r>
                    <w:rPr>
                      <w:rFonts w:hint="eastAsia"/>
                      <w:color w:val="auto"/>
                      <w:highlight w:val="none"/>
                    </w:rPr>
                    <w:t>平均质量浓度</w:t>
                  </w:r>
                </w:p>
              </w:tc>
              <w:tc>
                <w:tcPr>
                  <w:tcW w:w="520" w:type="pct"/>
                  <w:shd w:val="clear" w:color="auto" w:fill="auto"/>
                  <w:vAlign w:val="center"/>
                </w:tcPr>
                <w:p w14:paraId="4DC9B95D">
                  <w:pPr>
                    <w:pStyle w:val="41"/>
                    <w:rPr>
                      <w:color w:val="auto"/>
                      <w:highlight w:val="none"/>
                    </w:rPr>
                  </w:pPr>
                  <w:r>
                    <w:rPr>
                      <w:rFonts w:hint="eastAsia"/>
                      <w:color w:val="auto"/>
                      <w:highlight w:val="none"/>
                    </w:rPr>
                    <w:t>μg/m</w:t>
                  </w:r>
                  <w:r>
                    <w:rPr>
                      <w:rFonts w:hint="eastAsia"/>
                      <w:color w:val="auto"/>
                      <w:highlight w:val="none"/>
                      <w:vertAlign w:val="superscript"/>
                    </w:rPr>
                    <w:t>3</w:t>
                  </w:r>
                </w:p>
              </w:tc>
              <w:tc>
                <w:tcPr>
                  <w:tcW w:w="686" w:type="pct"/>
                  <w:shd w:val="clear" w:color="auto" w:fill="auto"/>
                  <w:vAlign w:val="center"/>
                </w:tcPr>
                <w:p w14:paraId="2E877173">
                  <w:pPr>
                    <w:pStyle w:val="41"/>
                    <w:rPr>
                      <w:color w:val="auto"/>
                      <w:highlight w:val="none"/>
                    </w:rPr>
                  </w:pPr>
                  <w:r>
                    <w:rPr>
                      <w:rFonts w:hint="eastAsia"/>
                      <w:color w:val="auto"/>
                      <w:highlight w:val="none"/>
                    </w:rPr>
                    <w:t>87</w:t>
                  </w:r>
                </w:p>
              </w:tc>
              <w:tc>
                <w:tcPr>
                  <w:tcW w:w="686" w:type="pct"/>
                  <w:shd w:val="clear" w:color="auto" w:fill="auto"/>
                  <w:vAlign w:val="center"/>
                </w:tcPr>
                <w:p w14:paraId="1FC93A1C">
                  <w:pPr>
                    <w:pStyle w:val="41"/>
                    <w:rPr>
                      <w:color w:val="auto"/>
                      <w:highlight w:val="none"/>
                    </w:rPr>
                  </w:pPr>
                  <w:r>
                    <w:rPr>
                      <w:rFonts w:hint="eastAsia"/>
                      <w:color w:val="auto"/>
                      <w:highlight w:val="none"/>
                    </w:rPr>
                    <w:t>160</w:t>
                  </w:r>
                </w:p>
              </w:tc>
              <w:tc>
                <w:tcPr>
                  <w:tcW w:w="848" w:type="dxa"/>
                  <w:shd w:val="clear" w:color="auto" w:fill="auto"/>
                  <w:vAlign w:val="center"/>
                </w:tcPr>
                <w:p w14:paraId="2DA3B854">
                  <w:pPr>
                    <w:pStyle w:val="41"/>
                    <w:rPr>
                      <w:color w:val="auto"/>
                      <w:highlight w:val="none"/>
                    </w:rPr>
                  </w:pPr>
                  <w:r>
                    <w:rPr>
                      <w:rFonts w:hint="eastAsia"/>
                      <w:color w:val="auto"/>
                      <w:highlight w:val="none"/>
                    </w:rPr>
                    <w:t>54%</w:t>
                  </w:r>
                </w:p>
              </w:tc>
              <w:tc>
                <w:tcPr>
                  <w:tcW w:w="686" w:type="pct"/>
                  <w:shd w:val="clear" w:color="auto" w:fill="auto"/>
                  <w:vAlign w:val="center"/>
                </w:tcPr>
                <w:p w14:paraId="334DCFBA">
                  <w:pPr>
                    <w:pStyle w:val="41"/>
                    <w:rPr>
                      <w:color w:val="auto"/>
                      <w:highlight w:val="none"/>
                    </w:rPr>
                  </w:pPr>
                  <w:r>
                    <w:rPr>
                      <w:rFonts w:hint="eastAsia"/>
                      <w:color w:val="auto"/>
                      <w:highlight w:val="none"/>
                    </w:rPr>
                    <w:t>达标</w:t>
                  </w:r>
                </w:p>
              </w:tc>
            </w:tr>
            <w:tr w14:paraId="5762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6" w:type="pct"/>
                  <w:shd w:val="clear" w:color="auto" w:fill="auto"/>
                  <w:vAlign w:val="center"/>
                </w:tcPr>
                <w:p w14:paraId="21FC25CB">
                  <w:pPr>
                    <w:pStyle w:val="41"/>
                    <w:rPr>
                      <w:color w:val="auto"/>
                      <w:highlight w:val="none"/>
                    </w:rPr>
                  </w:pPr>
                  <w:r>
                    <w:rPr>
                      <w:rFonts w:hint="eastAsia"/>
                      <w:color w:val="auto"/>
                      <w:highlight w:val="none"/>
                    </w:rPr>
                    <w:t>PM</w:t>
                  </w:r>
                  <w:r>
                    <w:rPr>
                      <w:rFonts w:hint="eastAsia"/>
                      <w:color w:val="auto"/>
                      <w:highlight w:val="none"/>
                      <w:vertAlign w:val="subscript"/>
                    </w:rPr>
                    <w:t>10</w:t>
                  </w:r>
                </w:p>
              </w:tc>
              <w:tc>
                <w:tcPr>
                  <w:tcW w:w="1180" w:type="pct"/>
                  <w:shd w:val="clear" w:color="auto" w:fill="auto"/>
                  <w:vAlign w:val="center"/>
                </w:tcPr>
                <w:p w14:paraId="5C4BD0DA">
                  <w:pPr>
                    <w:pStyle w:val="41"/>
                    <w:rPr>
                      <w:color w:val="auto"/>
                      <w:highlight w:val="none"/>
                    </w:rPr>
                  </w:pPr>
                  <w:r>
                    <w:rPr>
                      <w:rFonts w:hint="eastAsia"/>
                      <w:color w:val="auto"/>
                      <w:highlight w:val="none"/>
                    </w:rPr>
                    <w:t>年平均</w:t>
                  </w:r>
                </w:p>
              </w:tc>
              <w:tc>
                <w:tcPr>
                  <w:tcW w:w="520" w:type="pct"/>
                  <w:shd w:val="clear" w:color="auto" w:fill="auto"/>
                  <w:vAlign w:val="center"/>
                </w:tcPr>
                <w:p w14:paraId="57A72281">
                  <w:pPr>
                    <w:pStyle w:val="41"/>
                    <w:rPr>
                      <w:color w:val="auto"/>
                      <w:highlight w:val="none"/>
                    </w:rPr>
                  </w:pPr>
                  <w:r>
                    <w:rPr>
                      <w:rFonts w:hint="eastAsia"/>
                      <w:color w:val="auto"/>
                      <w:highlight w:val="none"/>
                    </w:rPr>
                    <w:t>μg/m</w:t>
                  </w:r>
                  <w:r>
                    <w:rPr>
                      <w:rFonts w:hint="eastAsia"/>
                      <w:color w:val="auto"/>
                      <w:highlight w:val="none"/>
                      <w:vertAlign w:val="superscript"/>
                    </w:rPr>
                    <w:t>3</w:t>
                  </w:r>
                </w:p>
              </w:tc>
              <w:tc>
                <w:tcPr>
                  <w:tcW w:w="686" w:type="pct"/>
                  <w:shd w:val="clear" w:color="auto" w:fill="auto"/>
                  <w:vAlign w:val="center"/>
                </w:tcPr>
                <w:p w14:paraId="204EED6C">
                  <w:pPr>
                    <w:pStyle w:val="41"/>
                    <w:rPr>
                      <w:color w:val="auto"/>
                      <w:highlight w:val="none"/>
                    </w:rPr>
                  </w:pPr>
                  <w:r>
                    <w:rPr>
                      <w:rFonts w:hint="eastAsia"/>
                      <w:color w:val="auto"/>
                      <w:highlight w:val="none"/>
                    </w:rPr>
                    <w:t>71</w:t>
                  </w:r>
                </w:p>
              </w:tc>
              <w:tc>
                <w:tcPr>
                  <w:tcW w:w="686" w:type="pct"/>
                  <w:shd w:val="clear" w:color="auto" w:fill="auto"/>
                  <w:vAlign w:val="center"/>
                </w:tcPr>
                <w:p w14:paraId="12D4EB0E">
                  <w:pPr>
                    <w:pStyle w:val="41"/>
                    <w:rPr>
                      <w:color w:val="auto"/>
                      <w:highlight w:val="none"/>
                    </w:rPr>
                  </w:pPr>
                  <w:r>
                    <w:rPr>
                      <w:color w:val="auto"/>
                      <w:highlight w:val="none"/>
                    </w:rPr>
                    <w:t>60</w:t>
                  </w:r>
                </w:p>
              </w:tc>
              <w:tc>
                <w:tcPr>
                  <w:tcW w:w="848" w:type="dxa"/>
                  <w:shd w:val="clear" w:color="auto" w:fill="auto"/>
                  <w:vAlign w:val="center"/>
                </w:tcPr>
                <w:p w14:paraId="5CC62B81">
                  <w:pPr>
                    <w:pStyle w:val="41"/>
                    <w:rPr>
                      <w:color w:val="auto"/>
                      <w:highlight w:val="none"/>
                    </w:rPr>
                  </w:pPr>
                  <w:r>
                    <w:rPr>
                      <w:rFonts w:hint="eastAsia"/>
                      <w:color w:val="auto"/>
                      <w:highlight w:val="none"/>
                    </w:rPr>
                    <w:t>118%</w:t>
                  </w:r>
                </w:p>
              </w:tc>
              <w:tc>
                <w:tcPr>
                  <w:tcW w:w="686" w:type="pct"/>
                  <w:shd w:val="clear" w:color="auto" w:fill="auto"/>
                  <w:vAlign w:val="center"/>
                </w:tcPr>
                <w:p w14:paraId="3C4ED199">
                  <w:pPr>
                    <w:pStyle w:val="41"/>
                    <w:rPr>
                      <w:color w:val="auto"/>
                      <w:highlight w:val="none"/>
                    </w:rPr>
                  </w:pPr>
                  <w:r>
                    <w:rPr>
                      <w:rFonts w:hint="eastAsia"/>
                      <w:color w:val="auto"/>
                      <w:highlight w:val="none"/>
                    </w:rPr>
                    <w:t>超标</w:t>
                  </w:r>
                </w:p>
              </w:tc>
            </w:tr>
            <w:tr w14:paraId="6DEB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6" w:type="pct"/>
                  <w:shd w:val="clear" w:color="auto" w:fill="auto"/>
                  <w:vAlign w:val="center"/>
                </w:tcPr>
                <w:p w14:paraId="7535D18A">
                  <w:pPr>
                    <w:pStyle w:val="41"/>
                    <w:rPr>
                      <w:color w:val="auto"/>
                      <w:highlight w:val="none"/>
                    </w:rPr>
                  </w:pPr>
                  <w:r>
                    <w:rPr>
                      <w:rFonts w:hint="eastAsia"/>
                      <w:color w:val="auto"/>
                      <w:highlight w:val="none"/>
                    </w:rPr>
                    <w:t>PM</w:t>
                  </w:r>
                  <w:r>
                    <w:rPr>
                      <w:rFonts w:hint="eastAsia"/>
                      <w:color w:val="auto"/>
                      <w:highlight w:val="none"/>
                      <w:vertAlign w:val="subscript"/>
                    </w:rPr>
                    <w:t>2.5</w:t>
                  </w:r>
                </w:p>
              </w:tc>
              <w:tc>
                <w:tcPr>
                  <w:tcW w:w="1180" w:type="pct"/>
                  <w:shd w:val="clear" w:color="auto" w:fill="auto"/>
                  <w:vAlign w:val="center"/>
                </w:tcPr>
                <w:p w14:paraId="5DD078E9">
                  <w:pPr>
                    <w:pStyle w:val="41"/>
                    <w:rPr>
                      <w:color w:val="auto"/>
                      <w:highlight w:val="none"/>
                    </w:rPr>
                  </w:pPr>
                  <w:r>
                    <w:rPr>
                      <w:rFonts w:hint="eastAsia"/>
                      <w:color w:val="auto"/>
                      <w:highlight w:val="none"/>
                    </w:rPr>
                    <w:t>年平均</w:t>
                  </w:r>
                </w:p>
              </w:tc>
              <w:tc>
                <w:tcPr>
                  <w:tcW w:w="520" w:type="pct"/>
                  <w:shd w:val="clear" w:color="auto" w:fill="auto"/>
                  <w:vAlign w:val="center"/>
                </w:tcPr>
                <w:p w14:paraId="24EEFE26">
                  <w:pPr>
                    <w:pStyle w:val="41"/>
                    <w:rPr>
                      <w:color w:val="auto"/>
                      <w:highlight w:val="none"/>
                    </w:rPr>
                  </w:pPr>
                  <w:r>
                    <w:rPr>
                      <w:rFonts w:hint="eastAsia"/>
                      <w:color w:val="auto"/>
                      <w:highlight w:val="none"/>
                    </w:rPr>
                    <w:t>μg/m</w:t>
                  </w:r>
                  <w:r>
                    <w:rPr>
                      <w:rFonts w:hint="eastAsia"/>
                      <w:color w:val="auto"/>
                      <w:highlight w:val="none"/>
                      <w:vertAlign w:val="superscript"/>
                    </w:rPr>
                    <w:t>3</w:t>
                  </w:r>
                </w:p>
              </w:tc>
              <w:tc>
                <w:tcPr>
                  <w:tcW w:w="686" w:type="pct"/>
                  <w:shd w:val="clear" w:color="auto" w:fill="auto"/>
                  <w:vAlign w:val="center"/>
                </w:tcPr>
                <w:p w14:paraId="08F01567">
                  <w:pPr>
                    <w:pStyle w:val="41"/>
                    <w:rPr>
                      <w:color w:val="auto"/>
                      <w:highlight w:val="none"/>
                    </w:rPr>
                  </w:pPr>
                  <w:r>
                    <w:rPr>
                      <w:rFonts w:hint="eastAsia"/>
                      <w:color w:val="auto"/>
                      <w:highlight w:val="none"/>
                    </w:rPr>
                    <w:t>39</w:t>
                  </w:r>
                </w:p>
              </w:tc>
              <w:tc>
                <w:tcPr>
                  <w:tcW w:w="686" w:type="pct"/>
                  <w:shd w:val="clear" w:color="auto" w:fill="auto"/>
                  <w:vAlign w:val="center"/>
                </w:tcPr>
                <w:p w14:paraId="3D59300D">
                  <w:pPr>
                    <w:pStyle w:val="41"/>
                    <w:rPr>
                      <w:color w:val="auto"/>
                      <w:highlight w:val="none"/>
                    </w:rPr>
                  </w:pPr>
                  <w:r>
                    <w:rPr>
                      <w:rFonts w:hint="eastAsia"/>
                      <w:color w:val="auto"/>
                      <w:highlight w:val="none"/>
                    </w:rPr>
                    <w:t>3</w:t>
                  </w:r>
                  <w:r>
                    <w:rPr>
                      <w:color w:val="auto"/>
                      <w:highlight w:val="none"/>
                    </w:rPr>
                    <w:t>0</w:t>
                  </w:r>
                </w:p>
              </w:tc>
              <w:tc>
                <w:tcPr>
                  <w:tcW w:w="848" w:type="dxa"/>
                  <w:shd w:val="clear" w:color="auto" w:fill="auto"/>
                  <w:vAlign w:val="center"/>
                </w:tcPr>
                <w:p w14:paraId="0E9B70DD">
                  <w:pPr>
                    <w:pStyle w:val="41"/>
                    <w:rPr>
                      <w:color w:val="auto"/>
                      <w:highlight w:val="none"/>
                    </w:rPr>
                  </w:pPr>
                  <w:r>
                    <w:rPr>
                      <w:rFonts w:hint="eastAsia"/>
                      <w:color w:val="auto"/>
                      <w:highlight w:val="none"/>
                    </w:rPr>
                    <w:t>130%</w:t>
                  </w:r>
                </w:p>
              </w:tc>
              <w:tc>
                <w:tcPr>
                  <w:tcW w:w="686" w:type="pct"/>
                  <w:shd w:val="clear" w:color="auto" w:fill="auto"/>
                  <w:vAlign w:val="center"/>
                </w:tcPr>
                <w:p w14:paraId="0AC4D0AA">
                  <w:pPr>
                    <w:pStyle w:val="41"/>
                    <w:rPr>
                      <w:color w:val="auto"/>
                      <w:highlight w:val="none"/>
                    </w:rPr>
                  </w:pPr>
                  <w:r>
                    <w:rPr>
                      <w:rFonts w:hint="eastAsia"/>
                      <w:color w:val="auto"/>
                      <w:highlight w:val="none"/>
                    </w:rPr>
                    <w:t>超标</w:t>
                  </w:r>
                </w:p>
              </w:tc>
            </w:tr>
            <w:tr w14:paraId="700E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7"/>
                  <w:shd w:val="clear" w:color="auto" w:fill="auto"/>
                  <w:vAlign w:val="center"/>
                </w:tcPr>
                <w:p w14:paraId="68D43BC0">
                  <w:pPr>
                    <w:pStyle w:val="41"/>
                    <w:rPr>
                      <w:color w:val="auto"/>
                      <w:highlight w:val="none"/>
                    </w:rPr>
                  </w:pPr>
                  <w:r>
                    <w:rPr>
                      <w:rFonts w:hint="eastAsia"/>
                      <w:color w:val="auto"/>
                      <w:highlight w:val="none"/>
                    </w:rPr>
                    <w:t>备注：本表标准值采用《环境空气质量标准》（GB 3095-2026）中过渡阶段二级浓度限值。</w:t>
                  </w:r>
                </w:p>
              </w:tc>
            </w:tr>
          </w:tbl>
          <w:p w14:paraId="43847BCB">
            <w:pPr>
              <w:pStyle w:val="3"/>
              <w:numPr>
                <w:ilvl w:val="0"/>
                <w:numId w:val="25"/>
              </w:numPr>
              <w:spacing w:line="332" w:lineRule="auto"/>
              <w:ind w:firstLine="420"/>
              <w:rPr>
                <w:color w:val="auto"/>
                <w:sz w:val="21"/>
                <w:highlight w:val="none"/>
              </w:rPr>
            </w:pPr>
            <w:r>
              <w:rPr>
                <w:rFonts w:hint="eastAsia"/>
                <w:color w:val="auto"/>
                <w:sz w:val="21"/>
                <w:highlight w:val="none"/>
              </w:rPr>
              <w:t>水环境质量现状调查与评价</w:t>
            </w:r>
          </w:p>
          <w:p w14:paraId="51C55182">
            <w:pPr>
              <w:pStyle w:val="71"/>
              <w:numPr>
                <w:ilvl w:val="0"/>
                <w:numId w:val="27"/>
              </w:numPr>
              <w:spacing w:line="332" w:lineRule="auto"/>
              <w:ind w:firstLine="420" w:firstLineChars="200"/>
              <w:rPr>
                <w:color w:val="auto"/>
                <w:highlight w:val="none"/>
              </w:rPr>
            </w:pPr>
            <w:r>
              <w:rPr>
                <w:rFonts w:hint="eastAsia"/>
                <w:color w:val="auto"/>
                <w:highlight w:val="none"/>
              </w:rPr>
              <w:t>地表水</w:t>
            </w:r>
          </w:p>
          <w:p w14:paraId="38AC9E8A">
            <w:pPr>
              <w:pStyle w:val="3"/>
              <w:ind w:firstLine="420"/>
              <w:rPr>
                <w:color w:val="auto"/>
                <w:sz w:val="21"/>
                <w:highlight w:val="none"/>
              </w:rPr>
            </w:pPr>
            <w:r>
              <w:rPr>
                <w:rFonts w:hint="eastAsia"/>
                <w:color w:val="auto"/>
                <w:sz w:val="21"/>
                <w:highlight w:val="none"/>
              </w:rPr>
              <w:t>项目周边无地表水体。</w:t>
            </w:r>
          </w:p>
          <w:p w14:paraId="202B1AFD">
            <w:pPr>
              <w:pStyle w:val="3"/>
              <w:ind w:firstLine="420"/>
              <w:rPr>
                <w:color w:val="auto"/>
                <w:sz w:val="21"/>
                <w:highlight w:val="none"/>
              </w:rPr>
            </w:pPr>
            <w:r>
              <w:rPr>
                <w:rFonts w:hint="eastAsia"/>
                <w:color w:val="auto"/>
                <w:sz w:val="21"/>
                <w:highlight w:val="none"/>
              </w:rPr>
              <w:t>根据《环境影响评价技术导则 地表水环境》（HJ 2.3-2018）要求，“建设项目生产工艺中有废水产生，但作为回水利用，不排放到外环境的，按三级B评价。”本项目产生的井下作业废液、压裂返排液定期由罐车运至</w:t>
            </w:r>
            <w:r>
              <w:rPr>
                <w:rFonts w:hint="eastAsia"/>
                <w:color w:val="auto"/>
                <w:sz w:val="21"/>
                <w:highlight w:val="none"/>
                <w:lang w:eastAsia="zh-CN"/>
              </w:rPr>
              <w:t>春风联合站</w:t>
            </w:r>
            <w:r>
              <w:rPr>
                <w:rFonts w:hint="eastAsia"/>
                <w:color w:val="auto"/>
                <w:sz w:val="21"/>
                <w:highlight w:val="none"/>
              </w:rPr>
              <w:t>进行处理，生活污水排入环保厕所</w:t>
            </w:r>
            <w:r>
              <w:rPr>
                <w:rFonts w:hint="eastAsia"/>
                <w:color w:val="auto"/>
                <w:sz w:val="21"/>
                <w:highlight w:val="none"/>
                <w:lang w:val="en-US" w:eastAsia="zh-CN"/>
              </w:rPr>
              <w:t>和</w:t>
            </w:r>
            <w:r>
              <w:rPr>
                <w:rFonts w:hint="eastAsia"/>
                <w:color w:val="auto"/>
                <w:sz w:val="21"/>
                <w:highlight w:val="none"/>
              </w:rPr>
              <w:t>生活污水收集罐</w:t>
            </w:r>
            <w:r>
              <w:rPr>
                <w:rFonts w:hint="eastAsia"/>
                <w:color w:val="auto"/>
                <w:sz w:val="21"/>
                <w:highlight w:val="none"/>
                <w:lang w:val="en-US" w:eastAsia="zh-CN"/>
              </w:rPr>
              <w:t>，定期</w:t>
            </w:r>
            <w:r>
              <w:rPr>
                <w:rFonts w:hint="eastAsia"/>
                <w:color w:val="auto"/>
                <w:sz w:val="21"/>
                <w:highlight w:val="none"/>
              </w:rPr>
              <w:t>由新疆熙祥运输公司拉运至五家渠城华市政六运湖分公司</w:t>
            </w:r>
            <w:r>
              <w:rPr>
                <w:rFonts w:hint="eastAsia"/>
                <w:color w:val="auto"/>
                <w:sz w:val="21"/>
                <w:highlight w:val="none"/>
                <w:lang w:val="en-US" w:eastAsia="zh-CN"/>
              </w:rPr>
              <w:t>污水处理厂</w:t>
            </w:r>
            <w:r>
              <w:rPr>
                <w:rFonts w:hint="eastAsia"/>
                <w:color w:val="auto"/>
                <w:sz w:val="21"/>
                <w:highlight w:val="none"/>
              </w:rPr>
              <w:t>处理；废水均不外排。因此，地表水评价等级为三级B。</w:t>
            </w:r>
          </w:p>
          <w:p w14:paraId="4CC46C57">
            <w:pPr>
              <w:pStyle w:val="71"/>
              <w:numPr>
                <w:ilvl w:val="0"/>
                <w:numId w:val="27"/>
              </w:numPr>
              <w:spacing w:line="332" w:lineRule="auto"/>
              <w:ind w:firstLine="420" w:firstLineChars="200"/>
              <w:rPr>
                <w:color w:val="auto"/>
                <w:highlight w:val="none"/>
              </w:rPr>
            </w:pPr>
            <w:r>
              <w:rPr>
                <w:rFonts w:hint="eastAsia"/>
                <w:color w:val="auto"/>
                <w:highlight w:val="none"/>
              </w:rPr>
              <w:t>地下水</w:t>
            </w:r>
          </w:p>
          <w:p w14:paraId="240BEBE6">
            <w:pPr>
              <w:pStyle w:val="3"/>
              <w:ind w:firstLine="420"/>
              <w:rPr>
                <w:color w:val="auto"/>
                <w:sz w:val="21"/>
                <w:highlight w:val="none"/>
              </w:rPr>
            </w:pPr>
            <w:r>
              <w:rPr>
                <w:rFonts w:hint="eastAsia"/>
                <w:color w:val="auto"/>
                <w:sz w:val="21"/>
                <w:highlight w:val="none"/>
              </w:rPr>
              <w:t>项目地处古尔班通古特沙漠南缘、绿洲—荒漠过渡带，地下水埋深普遍大于10m。根据《</w:t>
            </w:r>
            <w:r>
              <w:rPr>
                <w:color w:val="auto"/>
                <w:highlight w:val="none"/>
              </w:rPr>
              <w:fldChar w:fldCharType="begin"/>
            </w:r>
            <w:r>
              <w:rPr>
                <w:color w:val="auto"/>
                <w:highlight w:val="none"/>
              </w:rPr>
              <w:instrText xml:space="preserve"> HYPERLINK "https://wenku.baidu.com/view/a0410af2941ea76e58fa04c7?fr=xueshu_top" \t "https://xueshu.baidu.com/usercenter/paper/_blank" </w:instrText>
            </w:r>
            <w:r>
              <w:rPr>
                <w:color w:val="auto"/>
                <w:highlight w:val="none"/>
              </w:rPr>
              <w:fldChar w:fldCharType="separate"/>
            </w:r>
            <w:r>
              <w:rPr>
                <w:rFonts w:hint="eastAsia"/>
                <w:color w:val="auto"/>
                <w:sz w:val="21"/>
                <w:highlight w:val="none"/>
              </w:rPr>
              <w:t>浅析阜康市地下水埋藏分布及水位动态</w:t>
            </w:r>
            <w:r>
              <w:rPr>
                <w:rFonts w:hint="eastAsia"/>
                <w:color w:val="auto"/>
                <w:sz w:val="21"/>
                <w:highlight w:val="none"/>
              </w:rPr>
              <w:fldChar w:fldCharType="end"/>
            </w:r>
            <w:r>
              <w:rPr>
                <w:rFonts w:hint="eastAsia"/>
                <w:color w:val="auto"/>
                <w:sz w:val="21"/>
                <w:highlight w:val="none"/>
              </w:rPr>
              <w:t>》（</w:t>
            </w:r>
            <w:r>
              <w:rPr>
                <w:color w:val="auto"/>
                <w:highlight w:val="none"/>
              </w:rPr>
              <w:fldChar w:fldCharType="begin"/>
            </w:r>
            <w:r>
              <w:rPr>
                <w:color w:val="auto"/>
                <w:highlight w:val="none"/>
              </w:rPr>
              <w:instrText xml:space="preserve"> HYPERLINK "https://xueshu.baidu.com/usercenter/data/author?cmd=authoruri&amp;wd=authoruri:(4c31abf0202a8318)%20author:(%E8%83%A1%E5%A8%9F)%20" \t "https://xueshu.baidu.com/usercenter/paper/_blank" </w:instrText>
            </w:r>
            <w:r>
              <w:rPr>
                <w:color w:val="auto"/>
                <w:highlight w:val="none"/>
              </w:rPr>
              <w:fldChar w:fldCharType="separate"/>
            </w:r>
            <w:r>
              <w:rPr>
                <w:rFonts w:hint="eastAsia"/>
                <w:color w:val="auto"/>
                <w:sz w:val="21"/>
                <w:highlight w:val="none"/>
              </w:rPr>
              <w:t>胡娟</w:t>
            </w:r>
            <w:r>
              <w:rPr>
                <w:rFonts w:hint="eastAsia"/>
                <w:color w:val="auto"/>
                <w:sz w:val="21"/>
                <w:highlight w:val="none"/>
              </w:rPr>
              <w:fldChar w:fldCharType="end"/>
            </w:r>
            <w:r>
              <w:rPr>
                <w:rFonts w:hint="eastAsia"/>
                <w:color w:val="auto"/>
                <w:sz w:val="21"/>
                <w:highlight w:val="none"/>
              </w:rPr>
              <w:t>，</w:t>
            </w:r>
            <w:r>
              <w:rPr>
                <w:color w:val="auto"/>
                <w:highlight w:val="none"/>
              </w:rPr>
              <w:fldChar w:fldCharType="begin"/>
            </w:r>
            <w:r>
              <w:rPr>
                <w:color w:val="auto"/>
                <w:highlight w:val="none"/>
              </w:rPr>
              <w:instrText xml:space="preserve"> HYPERLINK "https://xueshu.baidu.com/usercenter/data/author?cmd=authoruri&amp;wd=authoruri:(d0988d19c14a9e7d)%20author:(%E4%B8%81%E5%9B%BD%E6%A2%81)%20" \t "https://xueshu.baidu.com/usercenter/paper/_blank" </w:instrText>
            </w:r>
            <w:r>
              <w:rPr>
                <w:color w:val="auto"/>
                <w:highlight w:val="none"/>
              </w:rPr>
              <w:fldChar w:fldCharType="separate"/>
            </w:r>
            <w:r>
              <w:rPr>
                <w:rFonts w:hint="eastAsia"/>
                <w:color w:val="auto"/>
                <w:sz w:val="21"/>
                <w:highlight w:val="none"/>
              </w:rPr>
              <w:t>丁国梁</w:t>
            </w:r>
            <w:r>
              <w:rPr>
                <w:rFonts w:hint="eastAsia"/>
                <w:color w:val="auto"/>
                <w:sz w:val="21"/>
                <w:highlight w:val="none"/>
              </w:rPr>
              <w:fldChar w:fldCharType="end"/>
            </w:r>
            <w:r>
              <w:rPr>
                <w:rFonts w:hint="eastAsia"/>
                <w:color w:val="auto"/>
                <w:sz w:val="21"/>
                <w:highlight w:val="none"/>
              </w:rPr>
              <w:t>，</w:t>
            </w:r>
            <w:r>
              <w:rPr>
                <w:color w:val="auto"/>
                <w:highlight w:val="none"/>
              </w:rPr>
              <w:fldChar w:fldCharType="begin"/>
            </w:r>
            <w:r>
              <w:rPr>
                <w:color w:val="auto"/>
                <w:highlight w:val="none"/>
              </w:rPr>
              <w:instrText xml:space="preserve"> HYPERLINK "https://xueshu.baidu.com/s?wd=confuri:(4695bb886187405)%20%E4%B8%AD%E5%9B%BD%E6%B0%B4%E6%96%87%E7%A7%91%E6%8A%80%E6%96%B0%E5%8F%91%E5%B1%95%E2%80%94%E2%80%94%E4%B8%AD%E5%9B%BD%E6%B0%B4%E6%96%87%E5%AD%A6%E6%9C%AF%E8%AE%A8%E8%AE%BA%E4%BC%9A&amp;tn=SE_baiduxueshu_c1gjeupa&amp;ie=utf-8&amp;sc_f_para=sc_hilight=publish&amp;sort=sc_cited" \t "https://xueshu.baidu.com/usercenter/paper/_blank" \o "中国水文科技新发展——中国水文学术讨论会" </w:instrText>
            </w:r>
            <w:r>
              <w:rPr>
                <w:color w:val="auto"/>
                <w:highlight w:val="none"/>
              </w:rPr>
              <w:fldChar w:fldCharType="separate"/>
            </w:r>
            <w:r>
              <w:rPr>
                <w:rFonts w:hint="eastAsia"/>
                <w:color w:val="auto"/>
                <w:sz w:val="21"/>
                <w:highlight w:val="none"/>
              </w:rPr>
              <w:t>中国水文科技新发展——中国水文学术讨论会</w:t>
            </w:r>
            <w:r>
              <w:rPr>
                <w:rFonts w:hint="eastAsia"/>
                <w:color w:val="auto"/>
                <w:sz w:val="21"/>
                <w:highlight w:val="none"/>
              </w:rPr>
              <w:fldChar w:fldCharType="end"/>
            </w:r>
            <w:r>
              <w:rPr>
                <w:rFonts w:hint="eastAsia"/>
                <w:color w:val="auto"/>
                <w:sz w:val="21"/>
                <w:highlight w:val="none"/>
              </w:rPr>
              <w:t>，2012年）中项目所在区域地下水采样监测研究数据，项目所在区域地下水水质类型为SO</w:t>
            </w:r>
            <w:r>
              <w:rPr>
                <w:rFonts w:hint="eastAsia"/>
                <w:color w:val="auto"/>
                <w:sz w:val="21"/>
                <w:highlight w:val="none"/>
                <w:vertAlign w:val="subscript"/>
              </w:rPr>
              <w:t>4</w:t>
            </w:r>
            <w:r>
              <w:rPr>
                <w:rFonts w:hint="eastAsia"/>
                <w:color w:val="auto"/>
                <w:sz w:val="21"/>
                <w:highlight w:val="none"/>
              </w:rPr>
              <w:t>·Cl</w:t>
            </w:r>
            <w:r>
              <w:rPr>
                <w:rFonts w:hint="eastAsia"/>
                <w:color w:val="auto"/>
                <w:sz w:val="21"/>
                <w:highlight w:val="none"/>
                <w:vertAlign w:val="superscript"/>
              </w:rPr>
              <w:t>-</w:t>
            </w:r>
            <w:r>
              <w:rPr>
                <w:rFonts w:hint="eastAsia"/>
                <w:color w:val="auto"/>
                <w:sz w:val="21"/>
                <w:highlight w:val="none"/>
              </w:rPr>
              <w:t>Na</w:t>
            </w:r>
            <w:r>
              <w:rPr>
                <w:rFonts w:hint="eastAsia"/>
                <w:color w:val="auto"/>
                <w:sz w:val="21"/>
                <w:highlight w:val="none"/>
                <w:vertAlign w:val="superscript"/>
              </w:rPr>
              <w:t>+</w:t>
            </w:r>
            <w:r>
              <w:rPr>
                <w:rFonts w:hint="eastAsia"/>
                <w:color w:val="auto"/>
                <w:sz w:val="21"/>
                <w:highlight w:val="none"/>
              </w:rPr>
              <w:t>型，受蒸发浓缩控制，且阳离子交换作用显著加剧Na</w:t>
            </w:r>
            <w:r>
              <w:rPr>
                <w:rFonts w:hint="eastAsia"/>
                <w:color w:val="auto"/>
                <w:sz w:val="21"/>
                <w:highlight w:val="none"/>
                <w:vertAlign w:val="superscript"/>
              </w:rPr>
              <w:t>+</w:t>
            </w:r>
            <w:r>
              <w:rPr>
                <w:rFonts w:hint="eastAsia"/>
                <w:color w:val="auto"/>
                <w:sz w:val="21"/>
                <w:highlight w:val="none"/>
              </w:rPr>
              <w:t>富集。</w:t>
            </w:r>
          </w:p>
          <w:p w14:paraId="46DAEBAF">
            <w:pPr>
              <w:pStyle w:val="3"/>
              <w:ind w:firstLine="420"/>
              <w:rPr>
                <w:color w:val="auto"/>
                <w:sz w:val="21"/>
                <w:highlight w:val="none"/>
              </w:rPr>
            </w:pPr>
            <w:r>
              <w:rPr>
                <w:rFonts w:hint="eastAsia"/>
                <w:color w:val="auto"/>
                <w:sz w:val="21"/>
                <w:highlight w:val="none"/>
              </w:rPr>
              <w:t>根据《环境影响评价技术导则 地下水环境》（HJ 610-2016）中附录A 地下水环境影响评价行业分类表，本项目行业类别为：C 地质勘查，24、矿产资源地质勘查（包括勘探活动），地下水环境影响评价项目类别为Ⅳ类。根据《环境影响评价技术导则 地下水环境》（HJ 610-2016），Ⅳ类建设项目不开展地下水环境影响评价，故本项目不对地下水进行环境影响评价。</w:t>
            </w:r>
          </w:p>
          <w:p w14:paraId="3983C57C">
            <w:pPr>
              <w:pStyle w:val="3"/>
              <w:ind w:firstLine="420"/>
              <w:rPr>
                <w:color w:val="auto"/>
                <w:sz w:val="21"/>
                <w:highlight w:val="none"/>
              </w:rPr>
            </w:pPr>
            <w:r>
              <w:rPr>
                <w:rFonts w:hint="eastAsia"/>
                <w:color w:val="auto"/>
                <w:sz w:val="21"/>
                <w:highlight w:val="none"/>
              </w:rPr>
              <w:t>4、声环境质量现状与评价</w:t>
            </w:r>
          </w:p>
          <w:p w14:paraId="0D23F723">
            <w:pPr>
              <w:pStyle w:val="3"/>
              <w:ind w:firstLine="420"/>
              <w:rPr>
                <w:color w:val="auto"/>
                <w:sz w:val="21"/>
                <w:highlight w:val="none"/>
              </w:rPr>
            </w:pPr>
            <w:r>
              <w:rPr>
                <w:rFonts w:hint="eastAsia"/>
                <w:color w:val="auto"/>
                <w:sz w:val="21"/>
                <w:highlight w:val="none"/>
              </w:rPr>
              <w:t>经过现场实地踏勘，项目周边50m范围内无声环境保护目标。</w:t>
            </w:r>
          </w:p>
          <w:p w14:paraId="3FDC7727">
            <w:pPr>
              <w:pStyle w:val="3"/>
              <w:ind w:firstLine="420"/>
              <w:rPr>
                <w:color w:val="auto"/>
                <w:sz w:val="21"/>
                <w:highlight w:val="none"/>
              </w:rPr>
            </w:pPr>
            <w:r>
              <w:rPr>
                <w:rFonts w:hint="eastAsia"/>
                <w:color w:val="auto"/>
                <w:sz w:val="21"/>
                <w:highlight w:val="none"/>
              </w:rPr>
              <w:t>项目所在区域周边空旷，项目所在区域声环境质量现状较好，执行《声环境质量标准》（GB 3096-2008）中的2类声环境功能区环境噪声限值。参照《建设项目环境影响报告表编制技术指南（污染影响类）（试行）》，本次评价不开展声环境质量现状监测。</w:t>
            </w:r>
          </w:p>
          <w:p w14:paraId="5389DFC3">
            <w:pPr>
              <w:pStyle w:val="3"/>
              <w:ind w:firstLine="420"/>
              <w:rPr>
                <w:color w:val="auto"/>
                <w:sz w:val="21"/>
                <w:highlight w:val="none"/>
              </w:rPr>
            </w:pPr>
            <w:r>
              <w:rPr>
                <w:rFonts w:hint="eastAsia"/>
                <w:color w:val="auto"/>
                <w:sz w:val="21"/>
                <w:highlight w:val="none"/>
              </w:rPr>
              <w:t>5、土壤环境质量现状调查与评价</w:t>
            </w:r>
          </w:p>
          <w:p w14:paraId="15632F8F">
            <w:pPr>
              <w:pStyle w:val="3"/>
              <w:ind w:firstLine="420"/>
              <w:rPr>
                <w:color w:val="auto"/>
                <w:sz w:val="21"/>
                <w:highlight w:val="none"/>
              </w:rPr>
            </w:pPr>
            <w:r>
              <w:rPr>
                <w:rFonts w:hint="eastAsia"/>
                <w:color w:val="auto"/>
                <w:sz w:val="21"/>
                <w:highlight w:val="none"/>
              </w:rPr>
              <w:t>根据《环境影响评价技术导则 土壤环境（试行）》（HJ 964-2018）中附录A 土壤环境影响评价项目类别，本项目为矿产资源地质勘查，行业类别属于其他行业，土壤环境影响评价项目类别为Ⅳ类。根据《环境影响评价技术导则 土壤环境（试行）》（HJ 964-2018），Ⅳ类建设项目不开展土壤环境影响评价，故本项目不对土壤进行环境影响评价。</w:t>
            </w:r>
          </w:p>
        </w:tc>
      </w:tr>
      <w:tr w14:paraId="1C92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9" w:hRule="atLeast"/>
          <w:jc w:val="center"/>
        </w:trPr>
        <w:tc>
          <w:tcPr>
            <w:tcW w:w="659" w:type="dxa"/>
            <w:vAlign w:val="center"/>
          </w:tcPr>
          <w:p w14:paraId="09C93B46">
            <w:pPr>
              <w:pStyle w:val="3"/>
              <w:spacing w:line="240" w:lineRule="auto"/>
              <w:ind w:firstLine="0" w:firstLineChars="0"/>
              <w:jc w:val="center"/>
              <w:rPr>
                <w:color w:val="auto"/>
                <w:sz w:val="21"/>
                <w:highlight w:val="none"/>
              </w:rPr>
            </w:pPr>
            <w:r>
              <w:rPr>
                <w:rFonts w:hint="eastAsia"/>
                <w:color w:val="auto"/>
                <w:sz w:val="21"/>
                <w:highlight w:val="none"/>
              </w:rPr>
              <w:t>与项目有关的原有环境污染和生态破坏问题</w:t>
            </w:r>
          </w:p>
        </w:tc>
        <w:tc>
          <w:tcPr>
            <w:tcW w:w="7869" w:type="dxa"/>
            <w:tcMar>
              <w:top w:w="113" w:type="dxa"/>
              <w:bottom w:w="113" w:type="dxa"/>
            </w:tcMar>
            <w:vAlign w:val="center"/>
          </w:tcPr>
          <w:p w14:paraId="5E5C7705">
            <w:pPr>
              <w:pStyle w:val="3"/>
              <w:spacing w:line="240" w:lineRule="auto"/>
              <w:ind w:firstLine="420"/>
              <w:rPr>
                <w:color w:val="auto"/>
                <w:sz w:val="21"/>
                <w:highlight w:val="none"/>
              </w:rPr>
            </w:pPr>
            <w:r>
              <w:rPr>
                <w:rFonts w:hint="eastAsia"/>
                <w:color w:val="auto"/>
                <w:sz w:val="21"/>
                <w:highlight w:val="none"/>
              </w:rPr>
              <w:t>本项目为新建项目，无原有环境污染和生态破坏问题。</w:t>
            </w:r>
          </w:p>
        </w:tc>
      </w:tr>
      <w:tr w14:paraId="3847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vAlign w:val="center"/>
          </w:tcPr>
          <w:p w14:paraId="467AA447">
            <w:pPr>
              <w:pStyle w:val="3"/>
              <w:spacing w:line="240" w:lineRule="auto"/>
              <w:ind w:firstLine="0" w:firstLineChars="0"/>
              <w:jc w:val="center"/>
              <w:rPr>
                <w:color w:val="auto"/>
                <w:sz w:val="21"/>
                <w:highlight w:val="none"/>
              </w:rPr>
            </w:pPr>
            <w:r>
              <w:rPr>
                <w:rFonts w:hint="eastAsia"/>
                <w:color w:val="auto"/>
                <w:sz w:val="21"/>
                <w:highlight w:val="none"/>
              </w:rPr>
              <w:t>生</w:t>
            </w:r>
          </w:p>
          <w:p w14:paraId="72633945">
            <w:pPr>
              <w:pStyle w:val="3"/>
              <w:spacing w:line="240" w:lineRule="auto"/>
              <w:ind w:firstLine="0" w:firstLineChars="0"/>
              <w:jc w:val="center"/>
              <w:rPr>
                <w:color w:val="auto"/>
                <w:sz w:val="21"/>
                <w:highlight w:val="none"/>
              </w:rPr>
            </w:pPr>
            <w:r>
              <w:rPr>
                <w:rFonts w:hint="eastAsia"/>
                <w:color w:val="auto"/>
                <w:sz w:val="21"/>
                <w:highlight w:val="none"/>
              </w:rPr>
              <w:t>态</w:t>
            </w:r>
          </w:p>
          <w:p w14:paraId="2162A281">
            <w:pPr>
              <w:pStyle w:val="3"/>
              <w:spacing w:line="240" w:lineRule="auto"/>
              <w:ind w:firstLine="0" w:firstLineChars="0"/>
              <w:jc w:val="center"/>
              <w:rPr>
                <w:color w:val="auto"/>
                <w:sz w:val="21"/>
                <w:highlight w:val="none"/>
              </w:rPr>
            </w:pPr>
            <w:r>
              <w:rPr>
                <w:rFonts w:hint="eastAsia"/>
                <w:color w:val="auto"/>
                <w:sz w:val="21"/>
                <w:highlight w:val="none"/>
              </w:rPr>
              <w:t>环</w:t>
            </w:r>
          </w:p>
          <w:p w14:paraId="1D1BAE32">
            <w:pPr>
              <w:pStyle w:val="3"/>
              <w:spacing w:line="240" w:lineRule="auto"/>
              <w:ind w:firstLine="0" w:firstLineChars="0"/>
              <w:jc w:val="center"/>
              <w:rPr>
                <w:color w:val="auto"/>
                <w:sz w:val="21"/>
                <w:highlight w:val="none"/>
              </w:rPr>
            </w:pPr>
            <w:r>
              <w:rPr>
                <w:rFonts w:hint="eastAsia"/>
                <w:color w:val="auto"/>
                <w:sz w:val="21"/>
                <w:highlight w:val="none"/>
              </w:rPr>
              <w:t>境</w:t>
            </w:r>
          </w:p>
          <w:p w14:paraId="4B1926EF">
            <w:pPr>
              <w:pStyle w:val="3"/>
              <w:spacing w:line="240" w:lineRule="auto"/>
              <w:ind w:firstLine="0" w:firstLineChars="0"/>
              <w:jc w:val="center"/>
              <w:rPr>
                <w:color w:val="auto"/>
                <w:sz w:val="21"/>
                <w:highlight w:val="none"/>
              </w:rPr>
            </w:pPr>
            <w:r>
              <w:rPr>
                <w:rFonts w:hint="eastAsia"/>
                <w:color w:val="auto"/>
                <w:sz w:val="21"/>
                <w:highlight w:val="none"/>
              </w:rPr>
              <w:t>保</w:t>
            </w:r>
          </w:p>
          <w:p w14:paraId="43EE4AFE">
            <w:pPr>
              <w:pStyle w:val="3"/>
              <w:spacing w:line="240" w:lineRule="auto"/>
              <w:ind w:firstLine="0" w:firstLineChars="0"/>
              <w:jc w:val="center"/>
              <w:rPr>
                <w:color w:val="auto"/>
                <w:sz w:val="21"/>
                <w:highlight w:val="none"/>
              </w:rPr>
            </w:pPr>
            <w:r>
              <w:rPr>
                <w:rFonts w:hint="eastAsia"/>
                <w:color w:val="auto"/>
                <w:sz w:val="21"/>
                <w:highlight w:val="none"/>
              </w:rPr>
              <w:t>护</w:t>
            </w:r>
          </w:p>
          <w:p w14:paraId="3190C337">
            <w:pPr>
              <w:pStyle w:val="3"/>
              <w:spacing w:line="240" w:lineRule="auto"/>
              <w:ind w:firstLine="0" w:firstLineChars="0"/>
              <w:jc w:val="center"/>
              <w:rPr>
                <w:color w:val="auto"/>
                <w:sz w:val="21"/>
                <w:highlight w:val="none"/>
              </w:rPr>
            </w:pPr>
            <w:r>
              <w:rPr>
                <w:rFonts w:hint="eastAsia"/>
                <w:color w:val="auto"/>
                <w:sz w:val="21"/>
                <w:highlight w:val="none"/>
              </w:rPr>
              <w:t>目</w:t>
            </w:r>
          </w:p>
          <w:p w14:paraId="0AD8AA02">
            <w:pPr>
              <w:pStyle w:val="3"/>
              <w:spacing w:line="240" w:lineRule="auto"/>
              <w:ind w:firstLine="0" w:firstLineChars="0"/>
              <w:jc w:val="center"/>
              <w:rPr>
                <w:color w:val="auto"/>
                <w:sz w:val="21"/>
                <w:highlight w:val="none"/>
              </w:rPr>
            </w:pPr>
            <w:r>
              <w:rPr>
                <w:rFonts w:hint="eastAsia"/>
                <w:color w:val="auto"/>
                <w:sz w:val="21"/>
                <w:highlight w:val="none"/>
              </w:rPr>
              <w:t>标</w:t>
            </w:r>
          </w:p>
        </w:tc>
        <w:tc>
          <w:tcPr>
            <w:tcW w:w="7869" w:type="dxa"/>
            <w:tcMar>
              <w:top w:w="170" w:type="dxa"/>
              <w:left w:w="108" w:type="dxa"/>
              <w:bottom w:w="113" w:type="dxa"/>
              <w:right w:w="108" w:type="dxa"/>
            </w:tcMar>
            <w:vAlign w:val="center"/>
          </w:tcPr>
          <w:p w14:paraId="6EF3ABF8">
            <w:pPr>
              <w:pStyle w:val="3"/>
              <w:ind w:firstLine="420"/>
              <w:rPr>
                <w:color w:val="auto"/>
                <w:sz w:val="21"/>
                <w:szCs w:val="21"/>
                <w:highlight w:val="none"/>
              </w:rPr>
            </w:pPr>
            <w:r>
              <w:rPr>
                <w:rFonts w:hint="eastAsia"/>
                <w:color w:val="auto"/>
                <w:sz w:val="21"/>
                <w:szCs w:val="21"/>
                <w:highlight w:val="none"/>
              </w:rPr>
              <w:t>根据《环境影响评价技术导则 陆地石油天然气开发建设项目》（HJ 349-2023）中关于生态影响评价范围的要求，区域性建设项目以影响区范围向四周外扩原则确定评价范围。因此，本项目生态环境影响评价范围为项目影响范围并外扩50m。</w:t>
            </w:r>
          </w:p>
          <w:p w14:paraId="66E9709B">
            <w:pPr>
              <w:pStyle w:val="3"/>
              <w:ind w:firstLine="420"/>
              <w:rPr>
                <w:color w:val="auto"/>
                <w:sz w:val="21"/>
                <w:szCs w:val="21"/>
                <w:highlight w:val="none"/>
              </w:rPr>
            </w:pPr>
            <w:r>
              <w:rPr>
                <w:rFonts w:hint="eastAsia"/>
                <w:color w:val="auto"/>
                <w:sz w:val="21"/>
                <w:szCs w:val="21"/>
                <w:highlight w:val="none"/>
              </w:rPr>
              <w:t>本项目大气、声环境参照《建设项目环境影响报告表编制技术指南（污染影响类）（试行）》分别调查500m、50m范围内保护目标。根据调查结果，本项目调查范围内无大气、声环境保护目标。</w:t>
            </w:r>
          </w:p>
          <w:p w14:paraId="668E709D">
            <w:pPr>
              <w:pStyle w:val="3"/>
              <w:ind w:firstLine="420"/>
              <w:rPr>
                <w:color w:val="auto"/>
                <w:sz w:val="21"/>
                <w:szCs w:val="21"/>
                <w:highlight w:val="none"/>
              </w:rPr>
            </w:pPr>
            <w:r>
              <w:rPr>
                <w:rFonts w:hint="eastAsia"/>
                <w:color w:val="auto"/>
                <w:sz w:val="21"/>
                <w:szCs w:val="21"/>
                <w:highlight w:val="none"/>
              </w:rPr>
              <w:t>根据《昌吉回族自治州国土空间总体规划（2021-2035年）》，本项目不涉及生态保护红线，不占用永久基本农田，</w:t>
            </w:r>
            <w:r>
              <w:rPr>
                <w:rFonts w:hint="eastAsia"/>
                <w:color w:val="auto"/>
                <w:sz w:val="21"/>
                <w:szCs w:val="21"/>
                <w:highlight w:val="none"/>
                <w:lang w:val="en-US" w:eastAsia="zh-CN"/>
              </w:rPr>
              <w:t>项目用地及评价范围为灌木林地，</w:t>
            </w:r>
            <w:r>
              <w:rPr>
                <w:rFonts w:hint="eastAsia"/>
                <w:color w:val="auto"/>
                <w:sz w:val="21"/>
                <w:szCs w:val="21"/>
                <w:highlight w:val="none"/>
              </w:rPr>
              <w:t>属于国家级公益林，项目周边无名胜古迹、自然保护区、风景名胜区、疗养院、水源地等重点保护目标，项目周边1km内无地表水体。</w:t>
            </w:r>
          </w:p>
          <w:p w14:paraId="452F421D">
            <w:pPr>
              <w:pStyle w:val="3"/>
              <w:ind w:firstLine="420"/>
              <w:rPr>
                <w:color w:val="auto"/>
                <w:sz w:val="21"/>
                <w:szCs w:val="21"/>
                <w:highlight w:val="none"/>
              </w:rPr>
            </w:pPr>
            <w:r>
              <w:rPr>
                <w:rFonts w:hint="eastAsia"/>
                <w:color w:val="auto"/>
                <w:sz w:val="21"/>
                <w:szCs w:val="21"/>
                <w:highlight w:val="none"/>
              </w:rPr>
              <w:t>生态环境保护目标见</w:t>
            </w:r>
            <w:r>
              <w:rPr>
                <w:rFonts w:hint="eastAsia"/>
                <w:color w:val="auto"/>
                <w:sz w:val="21"/>
                <w:szCs w:val="21"/>
                <w:highlight w:val="none"/>
              </w:rPr>
              <w:fldChar w:fldCharType="begin"/>
            </w:r>
            <w:r>
              <w:rPr>
                <w:color w:val="auto"/>
                <w:highlight w:val="none"/>
              </w:rPr>
              <w:instrText xml:space="preserve"> REF _Ref308492979 \h  \* MERGEFORMAT</w:instrText>
            </w:r>
            <w:r>
              <w:rPr>
                <w:rFonts w:hint="eastAsia"/>
                <w:color w:val="auto"/>
                <w:sz w:val="21"/>
                <w:szCs w:val="21"/>
                <w:highlight w:val="none"/>
              </w:rPr>
              <w:fldChar w:fldCharType="separate"/>
            </w:r>
            <w:r>
              <w:rPr>
                <w:rFonts w:hint="eastAsia"/>
                <w:color w:val="auto"/>
                <w:sz w:val="21"/>
                <w:szCs w:val="21"/>
                <w:highlight w:val="none"/>
              </w:rPr>
              <w:t>表26</w:t>
            </w:r>
            <w:r>
              <w:rPr>
                <w:rFonts w:hint="eastAsia"/>
                <w:color w:val="auto"/>
                <w:sz w:val="21"/>
                <w:szCs w:val="21"/>
                <w:highlight w:val="none"/>
              </w:rPr>
              <w:fldChar w:fldCharType="end"/>
            </w:r>
            <w:r>
              <w:rPr>
                <w:rFonts w:hint="eastAsia"/>
                <w:color w:val="auto"/>
                <w:sz w:val="21"/>
                <w:szCs w:val="21"/>
                <w:highlight w:val="none"/>
              </w:rPr>
              <w:t>。</w:t>
            </w:r>
          </w:p>
          <w:p w14:paraId="6E3DDB28">
            <w:pPr>
              <w:pStyle w:val="13"/>
              <w:bidi w:val="0"/>
              <w:rPr>
                <w:color w:val="auto"/>
                <w:highlight w:val="none"/>
              </w:rPr>
            </w:pPr>
            <w:bookmarkStart w:id="51" w:name="_Ref308492979"/>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26</w:t>
            </w:r>
            <w:r>
              <w:rPr>
                <w:rFonts w:hint="eastAsia"/>
                <w:color w:val="auto"/>
                <w:highlight w:val="none"/>
              </w:rPr>
              <w:fldChar w:fldCharType="end"/>
            </w:r>
            <w:bookmarkEnd w:id="51"/>
            <w:r>
              <w:rPr>
                <w:rFonts w:hint="eastAsia"/>
                <w:color w:val="auto"/>
                <w:highlight w:val="none"/>
              </w:rPr>
              <w:t xml:space="preserve">  区域环境保护目标一览表</w:t>
            </w:r>
          </w:p>
          <w:tbl>
            <w:tblPr>
              <w:tblStyle w:val="26"/>
              <w:tblW w:w="5033" w:type="pct"/>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620"/>
              <w:gridCol w:w="621"/>
              <w:gridCol w:w="1008"/>
              <w:gridCol w:w="625"/>
              <w:gridCol w:w="818"/>
              <w:gridCol w:w="815"/>
              <w:gridCol w:w="1008"/>
              <w:gridCol w:w="1119"/>
            </w:tblGrid>
            <w:tr w14:paraId="0D78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688" w:type="pct"/>
                  <w:vAlign w:val="center"/>
                </w:tcPr>
                <w:p w14:paraId="57D26E47">
                  <w:pPr>
                    <w:pStyle w:val="41"/>
                    <w:rPr>
                      <w:color w:val="auto"/>
                      <w:kern w:val="0"/>
                      <w:szCs w:val="18"/>
                      <w:highlight w:val="none"/>
                    </w:rPr>
                  </w:pPr>
                  <w:r>
                    <w:rPr>
                      <w:rFonts w:hint="eastAsia"/>
                      <w:color w:val="auto"/>
                      <w:kern w:val="0"/>
                      <w:szCs w:val="18"/>
                      <w:highlight w:val="none"/>
                    </w:rPr>
                    <w:t>类型</w:t>
                  </w:r>
                </w:p>
              </w:tc>
              <w:tc>
                <w:tcPr>
                  <w:tcW w:w="402" w:type="pct"/>
                  <w:vAlign w:val="center"/>
                </w:tcPr>
                <w:p w14:paraId="291E6A0D">
                  <w:pPr>
                    <w:pStyle w:val="41"/>
                    <w:rPr>
                      <w:color w:val="auto"/>
                      <w:kern w:val="0"/>
                      <w:szCs w:val="18"/>
                      <w:highlight w:val="none"/>
                    </w:rPr>
                  </w:pPr>
                  <w:r>
                    <w:rPr>
                      <w:rFonts w:hint="eastAsia"/>
                      <w:color w:val="auto"/>
                      <w:kern w:val="0"/>
                      <w:szCs w:val="18"/>
                      <w:highlight w:val="none"/>
                    </w:rPr>
                    <w:t>序号</w:t>
                  </w:r>
                </w:p>
              </w:tc>
              <w:tc>
                <w:tcPr>
                  <w:tcW w:w="403" w:type="pct"/>
                  <w:vAlign w:val="center"/>
                </w:tcPr>
                <w:p w14:paraId="3FC18397">
                  <w:pPr>
                    <w:pStyle w:val="41"/>
                    <w:rPr>
                      <w:color w:val="auto"/>
                      <w:kern w:val="0"/>
                      <w:szCs w:val="18"/>
                      <w:highlight w:val="none"/>
                    </w:rPr>
                  </w:pPr>
                  <w:r>
                    <w:rPr>
                      <w:rFonts w:hint="eastAsia"/>
                      <w:color w:val="auto"/>
                      <w:kern w:val="0"/>
                      <w:szCs w:val="18"/>
                      <w:highlight w:val="none"/>
                    </w:rPr>
                    <w:t>名称</w:t>
                  </w:r>
                </w:p>
              </w:tc>
              <w:tc>
                <w:tcPr>
                  <w:tcW w:w="655" w:type="pct"/>
                  <w:vAlign w:val="center"/>
                </w:tcPr>
                <w:p w14:paraId="018AB0DE">
                  <w:pPr>
                    <w:pStyle w:val="41"/>
                    <w:rPr>
                      <w:color w:val="auto"/>
                      <w:kern w:val="0"/>
                      <w:szCs w:val="18"/>
                      <w:highlight w:val="none"/>
                    </w:rPr>
                  </w:pPr>
                  <w:r>
                    <w:rPr>
                      <w:rFonts w:hint="eastAsia"/>
                      <w:color w:val="auto"/>
                      <w:kern w:val="0"/>
                      <w:szCs w:val="18"/>
                      <w:highlight w:val="none"/>
                    </w:rPr>
                    <w:t>保护对象</w:t>
                  </w:r>
                </w:p>
                <w:p w14:paraId="0AE2A9A2">
                  <w:pPr>
                    <w:pStyle w:val="41"/>
                    <w:rPr>
                      <w:color w:val="auto"/>
                      <w:kern w:val="0"/>
                      <w:szCs w:val="18"/>
                      <w:highlight w:val="none"/>
                    </w:rPr>
                  </w:pPr>
                  <w:r>
                    <w:rPr>
                      <w:rFonts w:hint="eastAsia"/>
                      <w:color w:val="auto"/>
                      <w:kern w:val="0"/>
                      <w:szCs w:val="18"/>
                      <w:highlight w:val="none"/>
                    </w:rPr>
                    <w:t>（人）</w:t>
                  </w:r>
                </w:p>
              </w:tc>
              <w:tc>
                <w:tcPr>
                  <w:tcW w:w="406" w:type="pct"/>
                  <w:vAlign w:val="center"/>
                </w:tcPr>
                <w:p w14:paraId="1CDEED1C">
                  <w:pPr>
                    <w:pStyle w:val="41"/>
                    <w:rPr>
                      <w:color w:val="auto"/>
                      <w:kern w:val="0"/>
                      <w:szCs w:val="18"/>
                      <w:highlight w:val="none"/>
                    </w:rPr>
                  </w:pPr>
                  <w:r>
                    <w:rPr>
                      <w:rFonts w:hint="eastAsia"/>
                      <w:color w:val="auto"/>
                      <w:kern w:val="0"/>
                      <w:szCs w:val="18"/>
                      <w:highlight w:val="none"/>
                    </w:rPr>
                    <w:t>保护</w:t>
                  </w:r>
                </w:p>
                <w:p w14:paraId="4FB264F2">
                  <w:pPr>
                    <w:pStyle w:val="41"/>
                    <w:rPr>
                      <w:color w:val="auto"/>
                      <w:kern w:val="0"/>
                      <w:szCs w:val="18"/>
                      <w:highlight w:val="none"/>
                    </w:rPr>
                  </w:pPr>
                  <w:r>
                    <w:rPr>
                      <w:rFonts w:hint="eastAsia"/>
                      <w:color w:val="auto"/>
                      <w:kern w:val="0"/>
                      <w:szCs w:val="18"/>
                      <w:highlight w:val="none"/>
                    </w:rPr>
                    <w:t>内容</w:t>
                  </w:r>
                </w:p>
              </w:tc>
              <w:tc>
                <w:tcPr>
                  <w:tcW w:w="531" w:type="pct"/>
                  <w:vAlign w:val="center"/>
                </w:tcPr>
                <w:p w14:paraId="45B952EC">
                  <w:pPr>
                    <w:pStyle w:val="41"/>
                    <w:rPr>
                      <w:color w:val="auto"/>
                      <w:kern w:val="0"/>
                      <w:szCs w:val="18"/>
                      <w:highlight w:val="none"/>
                    </w:rPr>
                  </w:pPr>
                  <w:r>
                    <w:rPr>
                      <w:rFonts w:hint="eastAsia"/>
                      <w:color w:val="auto"/>
                      <w:kern w:val="0"/>
                      <w:szCs w:val="18"/>
                      <w:highlight w:val="none"/>
                    </w:rPr>
                    <w:t>环境</w:t>
                  </w:r>
                </w:p>
                <w:p w14:paraId="308D4FE9">
                  <w:pPr>
                    <w:pStyle w:val="41"/>
                    <w:rPr>
                      <w:color w:val="auto"/>
                      <w:kern w:val="0"/>
                      <w:szCs w:val="18"/>
                      <w:highlight w:val="none"/>
                    </w:rPr>
                  </w:pPr>
                  <w:r>
                    <w:rPr>
                      <w:rFonts w:hint="eastAsia"/>
                      <w:color w:val="auto"/>
                      <w:kern w:val="0"/>
                      <w:szCs w:val="18"/>
                      <w:highlight w:val="none"/>
                    </w:rPr>
                    <w:t>功能区</w:t>
                  </w:r>
                </w:p>
              </w:tc>
              <w:tc>
                <w:tcPr>
                  <w:tcW w:w="529" w:type="pct"/>
                  <w:vAlign w:val="center"/>
                </w:tcPr>
                <w:p w14:paraId="1F1D8B59">
                  <w:pPr>
                    <w:pStyle w:val="41"/>
                    <w:rPr>
                      <w:color w:val="auto"/>
                      <w:kern w:val="0"/>
                      <w:szCs w:val="18"/>
                      <w:highlight w:val="none"/>
                    </w:rPr>
                  </w:pPr>
                  <w:r>
                    <w:rPr>
                      <w:rFonts w:hint="eastAsia"/>
                      <w:color w:val="auto"/>
                      <w:kern w:val="0"/>
                      <w:szCs w:val="18"/>
                      <w:highlight w:val="none"/>
                    </w:rPr>
                    <w:t>参照</w:t>
                  </w:r>
                </w:p>
                <w:p w14:paraId="694CD0FE">
                  <w:pPr>
                    <w:pStyle w:val="41"/>
                    <w:rPr>
                      <w:color w:val="auto"/>
                      <w:kern w:val="0"/>
                      <w:szCs w:val="18"/>
                      <w:highlight w:val="none"/>
                    </w:rPr>
                  </w:pPr>
                  <w:r>
                    <w:rPr>
                      <w:rFonts w:hint="eastAsia"/>
                      <w:color w:val="auto"/>
                      <w:kern w:val="0"/>
                      <w:szCs w:val="18"/>
                      <w:highlight w:val="none"/>
                    </w:rPr>
                    <w:t>污染源</w:t>
                  </w:r>
                </w:p>
              </w:tc>
              <w:tc>
                <w:tcPr>
                  <w:tcW w:w="655" w:type="pct"/>
                  <w:vAlign w:val="center"/>
                </w:tcPr>
                <w:p w14:paraId="50FB80B1">
                  <w:pPr>
                    <w:pStyle w:val="41"/>
                    <w:rPr>
                      <w:color w:val="auto"/>
                      <w:kern w:val="0"/>
                      <w:szCs w:val="18"/>
                      <w:highlight w:val="none"/>
                    </w:rPr>
                  </w:pPr>
                  <w:r>
                    <w:rPr>
                      <w:rFonts w:hint="eastAsia"/>
                      <w:color w:val="auto"/>
                      <w:kern w:val="0"/>
                      <w:szCs w:val="18"/>
                      <w:highlight w:val="none"/>
                    </w:rPr>
                    <w:t>相对井场</w:t>
                  </w:r>
                </w:p>
                <w:p w14:paraId="7C8714E0">
                  <w:pPr>
                    <w:pStyle w:val="41"/>
                    <w:rPr>
                      <w:color w:val="auto"/>
                      <w:kern w:val="0"/>
                      <w:szCs w:val="18"/>
                      <w:highlight w:val="none"/>
                    </w:rPr>
                  </w:pPr>
                  <w:r>
                    <w:rPr>
                      <w:rFonts w:hint="eastAsia"/>
                      <w:color w:val="auto"/>
                      <w:kern w:val="0"/>
                      <w:szCs w:val="18"/>
                      <w:highlight w:val="none"/>
                    </w:rPr>
                    <w:t>方位</w:t>
                  </w:r>
                </w:p>
              </w:tc>
              <w:tc>
                <w:tcPr>
                  <w:tcW w:w="727" w:type="pct"/>
                  <w:vAlign w:val="center"/>
                </w:tcPr>
                <w:p w14:paraId="6C6AC76D">
                  <w:pPr>
                    <w:pStyle w:val="41"/>
                    <w:rPr>
                      <w:color w:val="auto"/>
                      <w:kern w:val="0"/>
                      <w:szCs w:val="18"/>
                      <w:highlight w:val="none"/>
                    </w:rPr>
                  </w:pPr>
                  <w:r>
                    <w:rPr>
                      <w:rFonts w:hint="eastAsia"/>
                      <w:color w:val="auto"/>
                      <w:kern w:val="0"/>
                      <w:szCs w:val="18"/>
                      <w:highlight w:val="none"/>
                    </w:rPr>
                    <w:t>相对井场</w:t>
                  </w:r>
                </w:p>
                <w:p w14:paraId="3450C5B9">
                  <w:pPr>
                    <w:pStyle w:val="41"/>
                    <w:rPr>
                      <w:color w:val="auto"/>
                      <w:kern w:val="0"/>
                      <w:szCs w:val="18"/>
                      <w:highlight w:val="none"/>
                    </w:rPr>
                  </w:pPr>
                  <w:r>
                    <w:rPr>
                      <w:rFonts w:hint="eastAsia"/>
                      <w:color w:val="auto"/>
                      <w:kern w:val="0"/>
                      <w:szCs w:val="18"/>
                      <w:highlight w:val="none"/>
                    </w:rPr>
                    <w:t>距离（m）</w:t>
                  </w:r>
                </w:p>
              </w:tc>
            </w:tr>
            <w:tr w14:paraId="127C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000" w:type="pct"/>
                  <w:gridSpan w:val="9"/>
                  <w:vAlign w:val="center"/>
                </w:tcPr>
                <w:p w14:paraId="0312A861">
                  <w:pPr>
                    <w:pStyle w:val="41"/>
                    <w:rPr>
                      <w:rFonts w:hint="eastAsia"/>
                      <w:color w:val="auto"/>
                      <w:kern w:val="0"/>
                      <w:szCs w:val="18"/>
                      <w:highlight w:val="none"/>
                    </w:rPr>
                  </w:pPr>
                  <w:r>
                    <w:rPr>
                      <w:rFonts w:hint="eastAsia"/>
                      <w:color w:val="auto"/>
                      <w:kern w:val="0"/>
                      <w:szCs w:val="18"/>
                      <w:highlight w:val="none"/>
                    </w:rPr>
                    <w:t>大气环境敏感目标</w:t>
                  </w:r>
                </w:p>
              </w:tc>
            </w:tr>
            <w:tr w14:paraId="4054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blHeader/>
              </w:trPr>
              <w:tc>
                <w:tcPr>
                  <w:tcW w:w="688" w:type="pct"/>
                  <w:vAlign w:val="center"/>
                </w:tcPr>
                <w:p w14:paraId="5036FCC2">
                  <w:pPr>
                    <w:pStyle w:val="41"/>
                    <w:rPr>
                      <w:rFonts w:hint="eastAsia"/>
                      <w:color w:val="auto"/>
                      <w:kern w:val="0"/>
                      <w:szCs w:val="18"/>
                      <w:highlight w:val="none"/>
                    </w:rPr>
                  </w:pPr>
                  <w:r>
                    <w:rPr>
                      <w:rFonts w:hint="eastAsia"/>
                      <w:color w:val="auto"/>
                      <w:kern w:val="0"/>
                      <w:szCs w:val="18"/>
                      <w:highlight w:val="none"/>
                    </w:rPr>
                    <w:t>大气环境</w:t>
                  </w:r>
                </w:p>
              </w:tc>
              <w:tc>
                <w:tcPr>
                  <w:tcW w:w="402" w:type="pct"/>
                  <w:vAlign w:val="center"/>
                </w:tcPr>
                <w:p w14:paraId="5B01A9BD">
                  <w:pPr>
                    <w:pStyle w:val="41"/>
                    <w:rPr>
                      <w:rFonts w:hint="eastAsia"/>
                      <w:color w:val="auto"/>
                      <w:kern w:val="0"/>
                      <w:szCs w:val="18"/>
                      <w:highlight w:val="none"/>
                    </w:rPr>
                  </w:pPr>
                  <w:r>
                    <w:rPr>
                      <w:rFonts w:hint="eastAsia"/>
                      <w:color w:val="auto"/>
                      <w:kern w:val="0"/>
                      <w:szCs w:val="18"/>
                      <w:highlight w:val="none"/>
                    </w:rPr>
                    <w:t>1</w:t>
                  </w:r>
                </w:p>
              </w:tc>
              <w:tc>
                <w:tcPr>
                  <w:tcW w:w="1058" w:type="pct"/>
                  <w:gridSpan w:val="2"/>
                  <w:vAlign w:val="center"/>
                </w:tcPr>
                <w:p w14:paraId="1F1BB798">
                  <w:pPr>
                    <w:pStyle w:val="41"/>
                    <w:rPr>
                      <w:rFonts w:hint="eastAsia"/>
                      <w:color w:val="auto"/>
                      <w:kern w:val="0"/>
                      <w:szCs w:val="18"/>
                      <w:highlight w:val="none"/>
                    </w:rPr>
                  </w:pPr>
                  <w:r>
                    <w:rPr>
                      <w:rFonts w:hint="eastAsia"/>
                      <w:color w:val="auto"/>
                      <w:kern w:val="0"/>
                      <w:szCs w:val="18"/>
                      <w:highlight w:val="none"/>
                    </w:rPr>
                    <w:t>项目区周边大气环境</w:t>
                  </w:r>
                </w:p>
              </w:tc>
              <w:tc>
                <w:tcPr>
                  <w:tcW w:w="406" w:type="pct"/>
                  <w:vAlign w:val="center"/>
                </w:tcPr>
                <w:p w14:paraId="04079C9C">
                  <w:pPr>
                    <w:pStyle w:val="41"/>
                    <w:rPr>
                      <w:rFonts w:hint="eastAsia"/>
                      <w:color w:val="auto"/>
                      <w:kern w:val="0"/>
                      <w:szCs w:val="18"/>
                      <w:highlight w:val="none"/>
                    </w:rPr>
                  </w:pPr>
                  <w:r>
                    <w:rPr>
                      <w:rFonts w:hint="eastAsia"/>
                      <w:color w:val="auto"/>
                      <w:kern w:val="0"/>
                      <w:szCs w:val="18"/>
                      <w:highlight w:val="none"/>
                    </w:rPr>
                    <w:t>/</w:t>
                  </w:r>
                </w:p>
              </w:tc>
              <w:tc>
                <w:tcPr>
                  <w:tcW w:w="531" w:type="pct"/>
                  <w:vAlign w:val="center"/>
                </w:tcPr>
                <w:p w14:paraId="6FF36919">
                  <w:pPr>
                    <w:pStyle w:val="41"/>
                    <w:rPr>
                      <w:rFonts w:hint="eastAsia"/>
                      <w:color w:val="auto"/>
                      <w:kern w:val="0"/>
                      <w:szCs w:val="18"/>
                      <w:highlight w:val="none"/>
                    </w:rPr>
                  </w:pPr>
                  <w:r>
                    <w:rPr>
                      <w:rFonts w:hint="eastAsia"/>
                      <w:color w:val="auto"/>
                      <w:kern w:val="0"/>
                      <w:szCs w:val="18"/>
                      <w:highlight w:val="none"/>
                    </w:rPr>
                    <w:t>/</w:t>
                  </w:r>
                </w:p>
              </w:tc>
              <w:tc>
                <w:tcPr>
                  <w:tcW w:w="529" w:type="pct"/>
                  <w:vAlign w:val="center"/>
                </w:tcPr>
                <w:p w14:paraId="10D3C0BB">
                  <w:pPr>
                    <w:pStyle w:val="41"/>
                    <w:rPr>
                      <w:rFonts w:hint="eastAsia"/>
                      <w:color w:val="auto"/>
                      <w:kern w:val="0"/>
                      <w:szCs w:val="18"/>
                      <w:highlight w:val="none"/>
                    </w:rPr>
                  </w:pPr>
                  <w:r>
                    <w:rPr>
                      <w:rFonts w:hint="eastAsia"/>
                      <w:color w:val="auto"/>
                      <w:kern w:val="0"/>
                      <w:szCs w:val="18"/>
                      <w:highlight w:val="none"/>
                    </w:rPr>
                    <w:t>董深斜2井</w:t>
                  </w:r>
                </w:p>
              </w:tc>
              <w:tc>
                <w:tcPr>
                  <w:tcW w:w="655" w:type="pct"/>
                  <w:vAlign w:val="center"/>
                </w:tcPr>
                <w:p w14:paraId="10719AFB">
                  <w:pPr>
                    <w:pStyle w:val="41"/>
                    <w:rPr>
                      <w:rFonts w:hint="eastAsia"/>
                      <w:color w:val="auto"/>
                      <w:kern w:val="0"/>
                      <w:szCs w:val="18"/>
                      <w:highlight w:val="none"/>
                    </w:rPr>
                  </w:pPr>
                  <w:r>
                    <w:rPr>
                      <w:rFonts w:hint="eastAsia"/>
                      <w:color w:val="auto"/>
                      <w:kern w:val="0"/>
                      <w:szCs w:val="18"/>
                      <w:highlight w:val="none"/>
                    </w:rPr>
                    <w:t>/</w:t>
                  </w:r>
                </w:p>
              </w:tc>
              <w:tc>
                <w:tcPr>
                  <w:tcW w:w="727" w:type="pct"/>
                  <w:vAlign w:val="center"/>
                </w:tcPr>
                <w:p w14:paraId="2B723FBD">
                  <w:pPr>
                    <w:pStyle w:val="41"/>
                    <w:rPr>
                      <w:rFonts w:hint="eastAsia"/>
                      <w:color w:val="auto"/>
                      <w:kern w:val="0"/>
                      <w:szCs w:val="18"/>
                      <w:highlight w:val="none"/>
                    </w:rPr>
                  </w:pPr>
                  <w:r>
                    <w:rPr>
                      <w:rFonts w:hint="eastAsia"/>
                      <w:color w:val="auto"/>
                      <w:kern w:val="0"/>
                      <w:szCs w:val="18"/>
                      <w:highlight w:val="none"/>
                    </w:rPr>
                    <w:t>/</w:t>
                  </w:r>
                </w:p>
              </w:tc>
            </w:tr>
            <w:tr w14:paraId="493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000" w:type="pct"/>
                  <w:gridSpan w:val="9"/>
                  <w:vAlign w:val="center"/>
                </w:tcPr>
                <w:p w14:paraId="3FF17C88">
                  <w:pPr>
                    <w:pStyle w:val="41"/>
                    <w:rPr>
                      <w:color w:val="auto"/>
                      <w:kern w:val="0"/>
                      <w:szCs w:val="18"/>
                      <w:highlight w:val="none"/>
                    </w:rPr>
                  </w:pPr>
                  <w:r>
                    <w:rPr>
                      <w:rFonts w:hint="eastAsia"/>
                      <w:color w:val="auto"/>
                      <w:kern w:val="0"/>
                      <w:szCs w:val="18"/>
                      <w:highlight w:val="none"/>
                    </w:rPr>
                    <w:t>地表水敏感目标</w:t>
                  </w:r>
                </w:p>
              </w:tc>
            </w:tr>
            <w:tr w14:paraId="566F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688" w:type="pct"/>
                  <w:vAlign w:val="center"/>
                </w:tcPr>
                <w:p w14:paraId="41376FCF">
                  <w:pPr>
                    <w:pStyle w:val="41"/>
                    <w:rPr>
                      <w:color w:val="auto"/>
                      <w:kern w:val="0"/>
                      <w:szCs w:val="18"/>
                      <w:highlight w:val="none"/>
                    </w:rPr>
                  </w:pPr>
                  <w:r>
                    <w:rPr>
                      <w:rFonts w:hint="eastAsia"/>
                      <w:color w:val="auto"/>
                      <w:kern w:val="0"/>
                      <w:szCs w:val="18"/>
                      <w:highlight w:val="none"/>
                    </w:rPr>
                    <w:t>地表水</w:t>
                  </w:r>
                </w:p>
              </w:tc>
              <w:tc>
                <w:tcPr>
                  <w:tcW w:w="402" w:type="pct"/>
                  <w:vAlign w:val="center"/>
                </w:tcPr>
                <w:p w14:paraId="7A45229D">
                  <w:pPr>
                    <w:pStyle w:val="41"/>
                    <w:rPr>
                      <w:color w:val="auto"/>
                      <w:kern w:val="0"/>
                      <w:szCs w:val="18"/>
                      <w:highlight w:val="none"/>
                    </w:rPr>
                  </w:pPr>
                  <w:r>
                    <w:rPr>
                      <w:rFonts w:hint="eastAsia"/>
                      <w:color w:val="auto"/>
                      <w:kern w:val="0"/>
                      <w:szCs w:val="18"/>
                      <w:highlight w:val="none"/>
                    </w:rPr>
                    <w:t>1</w:t>
                  </w:r>
                </w:p>
              </w:tc>
              <w:tc>
                <w:tcPr>
                  <w:tcW w:w="403" w:type="pct"/>
                  <w:vAlign w:val="center"/>
                </w:tcPr>
                <w:p w14:paraId="66808B5F">
                  <w:pPr>
                    <w:pStyle w:val="41"/>
                    <w:rPr>
                      <w:color w:val="auto"/>
                      <w:kern w:val="0"/>
                      <w:szCs w:val="18"/>
                      <w:highlight w:val="none"/>
                    </w:rPr>
                  </w:pPr>
                  <w:r>
                    <w:rPr>
                      <w:rFonts w:hint="eastAsia"/>
                      <w:color w:val="auto"/>
                      <w:kern w:val="0"/>
                      <w:szCs w:val="18"/>
                      <w:highlight w:val="none"/>
                    </w:rPr>
                    <w:t>/</w:t>
                  </w:r>
                </w:p>
              </w:tc>
              <w:tc>
                <w:tcPr>
                  <w:tcW w:w="655" w:type="pct"/>
                  <w:vAlign w:val="center"/>
                </w:tcPr>
                <w:p w14:paraId="5A0FF0C9">
                  <w:pPr>
                    <w:pStyle w:val="41"/>
                    <w:rPr>
                      <w:color w:val="auto"/>
                      <w:kern w:val="0"/>
                      <w:szCs w:val="18"/>
                      <w:highlight w:val="none"/>
                    </w:rPr>
                  </w:pPr>
                  <w:r>
                    <w:rPr>
                      <w:rFonts w:hint="eastAsia"/>
                      <w:color w:val="auto"/>
                      <w:kern w:val="0"/>
                      <w:szCs w:val="18"/>
                      <w:highlight w:val="none"/>
                    </w:rPr>
                    <w:t>/</w:t>
                  </w:r>
                </w:p>
              </w:tc>
              <w:tc>
                <w:tcPr>
                  <w:tcW w:w="406" w:type="pct"/>
                  <w:vAlign w:val="center"/>
                </w:tcPr>
                <w:p w14:paraId="23BF5977">
                  <w:pPr>
                    <w:pStyle w:val="41"/>
                    <w:rPr>
                      <w:color w:val="auto"/>
                      <w:kern w:val="0"/>
                      <w:szCs w:val="18"/>
                      <w:highlight w:val="none"/>
                    </w:rPr>
                  </w:pPr>
                  <w:r>
                    <w:rPr>
                      <w:rFonts w:hint="eastAsia"/>
                      <w:color w:val="auto"/>
                      <w:kern w:val="0"/>
                      <w:szCs w:val="18"/>
                      <w:highlight w:val="none"/>
                    </w:rPr>
                    <w:t>/</w:t>
                  </w:r>
                </w:p>
              </w:tc>
              <w:tc>
                <w:tcPr>
                  <w:tcW w:w="531" w:type="pct"/>
                  <w:vAlign w:val="center"/>
                </w:tcPr>
                <w:p w14:paraId="64CFC39D">
                  <w:pPr>
                    <w:pStyle w:val="41"/>
                    <w:rPr>
                      <w:color w:val="auto"/>
                      <w:kern w:val="0"/>
                      <w:szCs w:val="18"/>
                      <w:highlight w:val="none"/>
                    </w:rPr>
                  </w:pPr>
                  <w:r>
                    <w:rPr>
                      <w:rFonts w:hint="eastAsia"/>
                      <w:color w:val="auto"/>
                      <w:kern w:val="0"/>
                      <w:szCs w:val="18"/>
                      <w:highlight w:val="none"/>
                    </w:rPr>
                    <w:t>/</w:t>
                  </w:r>
                </w:p>
              </w:tc>
              <w:tc>
                <w:tcPr>
                  <w:tcW w:w="529" w:type="pct"/>
                  <w:vAlign w:val="center"/>
                </w:tcPr>
                <w:p w14:paraId="64A351FF">
                  <w:pPr>
                    <w:pStyle w:val="41"/>
                    <w:rPr>
                      <w:color w:val="auto"/>
                      <w:kern w:val="0"/>
                      <w:szCs w:val="18"/>
                      <w:highlight w:val="none"/>
                    </w:rPr>
                  </w:pPr>
                  <w:r>
                    <w:rPr>
                      <w:rFonts w:hint="eastAsia"/>
                      <w:color w:val="auto"/>
                      <w:kern w:val="0"/>
                      <w:szCs w:val="18"/>
                      <w:highlight w:val="none"/>
                    </w:rPr>
                    <w:t>/</w:t>
                  </w:r>
                </w:p>
              </w:tc>
              <w:tc>
                <w:tcPr>
                  <w:tcW w:w="655" w:type="pct"/>
                  <w:vAlign w:val="center"/>
                </w:tcPr>
                <w:p w14:paraId="7ADB045B">
                  <w:pPr>
                    <w:pStyle w:val="41"/>
                    <w:rPr>
                      <w:color w:val="auto"/>
                      <w:kern w:val="0"/>
                      <w:szCs w:val="18"/>
                      <w:highlight w:val="none"/>
                    </w:rPr>
                  </w:pPr>
                  <w:r>
                    <w:rPr>
                      <w:rFonts w:hint="eastAsia"/>
                      <w:color w:val="auto"/>
                      <w:kern w:val="0"/>
                      <w:szCs w:val="18"/>
                      <w:highlight w:val="none"/>
                    </w:rPr>
                    <w:t>/</w:t>
                  </w:r>
                </w:p>
              </w:tc>
              <w:tc>
                <w:tcPr>
                  <w:tcW w:w="727" w:type="pct"/>
                  <w:vAlign w:val="center"/>
                </w:tcPr>
                <w:p w14:paraId="0E5FAFE0">
                  <w:pPr>
                    <w:pStyle w:val="41"/>
                    <w:rPr>
                      <w:color w:val="auto"/>
                      <w:kern w:val="0"/>
                      <w:szCs w:val="18"/>
                      <w:highlight w:val="none"/>
                    </w:rPr>
                  </w:pPr>
                  <w:r>
                    <w:rPr>
                      <w:rFonts w:hint="eastAsia"/>
                      <w:color w:val="auto"/>
                      <w:kern w:val="0"/>
                      <w:szCs w:val="18"/>
                      <w:highlight w:val="none"/>
                    </w:rPr>
                    <w:t>/</w:t>
                  </w:r>
                </w:p>
              </w:tc>
            </w:tr>
            <w:tr w14:paraId="5A7A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000" w:type="pct"/>
                  <w:gridSpan w:val="9"/>
                  <w:vAlign w:val="center"/>
                </w:tcPr>
                <w:p w14:paraId="63BA30B1">
                  <w:pPr>
                    <w:pStyle w:val="41"/>
                    <w:rPr>
                      <w:color w:val="auto"/>
                      <w:kern w:val="0"/>
                      <w:szCs w:val="18"/>
                      <w:highlight w:val="none"/>
                    </w:rPr>
                  </w:pPr>
                  <w:r>
                    <w:rPr>
                      <w:rFonts w:hint="eastAsia"/>
                      <w:color w:val="auto"/>
                      <w:kern w:val="0"/>
                      <w:szCs w:val="18"/>
                      <w:highlight w:val="none"/>
                    </w:rPr>
                    <w:t>噪声敏感目标</w:t>
                  </w:r>
                </w:p>
              </w:tc>
            </w:tr>
            <w:tr w14:paraId="69CEC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688" w:type="pct"/>
                  <w:vAlign w:val="center"/>
                </w:tcPr>
                <w:p w14:paraId="375075FE">
                  <w:pPr>
                    <w:pStyle w:val="41"/>
                    <w:rPr>
                      <w:color w:val="auto"/>
                      <w:kern w:val="0"/>
                      <w:szCs w:val="18"/>
                      <w:highlight w:val="none"/>
                    </w:rPr>
                  </w:pPr>
                  <w:r>
                    <w:rPr>
                      <w:rFonts w:hint="eastAsia" w:cs="宋体"/>
                      <w:color w:val="auto"/>
                      <w:kern w:val="0"/>
                      <w:szCs w:val="18"/>
                      <w:highlight w:val="none"/>
                    </w:rPr>
                    <w:t>噪声</w:t>
                  </w:r>
                </w:p>
              </w:tc>
              <w:tc>
                <w:tcPr>
                  <w:tcW w:w="402" w:type="pct"/>
                  <w:vAlign w:val="center"/>
                </w:tcPr>
                <w:p w14:paraId="5C5ED455">
                  <w:pPr>
                    <w:pStyle w:val="41"/>
                    <w:rPr>
                      <w:color w:val="auto"/>
                      <w:kern w:val="0"/>
                      <w:szCs w:val="18"/>
                      <w:highlight w:val="none"/>
                    </w:rPr>
                  </w:pPr>
                  <w:r>
                    <w:rPr>
                      <w:rFonts w:hint="eastAsia"/>
                      <w:color w:val="auto"/>
                      <w:kern w:val="0"/>
                      <w:szCs w:val="18"/>
                      <w:highlight w:val="none"/>
                    </w:rPr>
                    <w:t>1</w:t>
                  </w:r>
                </w:p>
              </w:tc>
              <w:tc>
                <w:tcPr>
                  <w:tcW w:w="403" w:type="pct"/>
                  <w:vAlign w:val="center"/>
                </w:tcPr>
                <w:p w14:paraId="56954D4C">
                  <w:pPr>
                    <w:pStyle w:val="41"/>
                    <w:rPr>
                      <w:color w:val="auto"/>
                      <w:kern w:val="0"/>
                      <w:szCs w:val="18"/>
                      <w:highlight w:val="none"/>
                    </w:rPr>
                  </w:pPr>
                  <w:r>
                    <w:rPr>
                      <w:rFonts w:hint="eastAsia"/>
                      <w:color w:val="auto"/>
                      <w:kern w:val="0"/>
                      <w:szCs w:val="18"/>
                      <w:highlight w:val="none"/>
                    </w:rPr>
                    <w:t>/</w:t>
                  </w:r>
                </w:p>
              </w:tc>
              <w:tc>
                <w:tcPr>
                  <w:tcW w:w="655" w:type="pct"/>
                  <w:vAlign w:val="center"/>
                </w:tcPr>
                <w:p w14:paraId="5E7FE81D">
                  <w:pPr>
                    <w:pStyle w:val="41"/>
                    <w:rPr>
                      <w:color w:val="auto"/>
                      <w:kern w:val="0"/>
                      <w:szCs w:val="18"/>
                      <w:highlight w:val="none"/>
                    </w:rPr>
                  </w:pPr>
                  <w:r>
                    <w:rPr>
                      <w:rFonts w:hint="eastAsia"/>
                      <w:color w:val="auto"/>
                      <w:kern w:val="0"/>
                      <w:szCs w:val="18"/>
                      <w:highlight w:val="none"/>
                    </w:rPr>
                    <w:t>/</w:t>
                  </w:r>
                </w:p>
              </w:tc>
              <w:tc>
                <w:tcPr>
                  <w:tcW w:w="406" w:type="pct"/>
                  <w:vAlign w:val="center"/>
                </w:tcPr>
                <w:p w14:paraId="452E5313">
                  <w:pPr>
                    <w:pStyle w:val="41"/>
                    <w:rPr>
                      <w:color w:val="auto"/>
                      <w:kern w:val="0"/>
                      <w:szCs w:val="18"/>
                      <w:highlight w:val="none"/>
                    </w:rPr>
                  </w:pPr>
                  <w:r>
                    <w:rPr>
                      <w:rFonts w:hint="eastAsia"/>
                      <w:color w:val="auto"/>
                      <w:kern w:val="0"/>
                      <w:szCs w:val="18"/>
                      <w:highlight w:val="none"/>
                    </w:rPr>
                    <w:t>/</w:t>
                  </w:r>
                </w:p>
              </w:tc>
              <w:tc>
                <w:tcPr>
                  <w:tcW w:w="531" w:type="pct"/>
                  <w:vAlign w:val="center"/>
                </w:tcPr>
                <w:p w14:paraId="1E9A49A0">
                  <w:pPr>
                    <w:pStyle w:val="41"/>
                    <w:rPr>
                      <w:color w:val="auto"/>
                      <w:kern w:val="0"/>
                      <w:szCs w:val="18"/>
                      <w:highlight w:val="none"/>
                    </w:rPr>
                  </w:pPr>
                  <w:r>
                    <w:rPr>
                      <w:rFonts w:hint="eastAsia"/>
                      <w:color w:val="auto"/>
                      <w:kern w:val="0"/>
                      <w:szCs w:val="18"/>
                      <w:highlight w:val="none"/>
                    </w:rPr>
                    <w:t>/</w:t>
                  </w:r>
                </w:p>
              </w:tc>
              <w:tc>
                <w:tcPr>
                  <w:tcW w:w="529" w:type="pct"/>
                  <w:vAlign w:val="center"/>
                </w:tcPr>
                <w:p w14:paraId="480AC39A">
                  <w:pPr>
                    <w:pStyle w:val="41"/>
                    <w:rPr>
                      <w:color w:val="auto"/>
                      <w:kern w:val="0"/>
                      <w:szCs w:val="18"/>
                      <w:highlight w:val="none"/>
                    </w:rPr>
                  </w:pPr>
                  <w:r>
                    <w:rPr>
                      <w:rFonts w:hint="eastAsia"/>
                      <w:color w:val="auto"/>
                      <w:kern w:val="0"/>
                      <w:szCs w:val="18"/>
                      <w:highlight w:val="none"/>
                    </w:rPr>
                    <w:t>/</w:t>
                  </w:r>
                </w:p>
              </w:tc>
              <w:tc>
                <w:tcPr>
                  <w:tcW w:w="655" w:type="pct"/>
                  <w:vAlign w:val="center"/>
                </w:tcPr>
                <w:p w14:paraId="1A021A62">
                  <w:pPr>
                    <w:pStyle w:val="41"/>
                    <w:rPr>
                      <w:color w:val="auto"/>
                      <w:kern w:val="0"/>
                      <w:szCs w:val="18"/>
                      <w:highlight w:val="none"/>
                    </w:rPr>
                  </w:pPr>
                  <w:r>
                    <w:rPr>
                      <w:rFonts w:hint="eastAsia"/>
                      <w:color w:val="auto"/>
                      <w:kern w:val="0"/>
                      <w:szCs w:val="18"/>
                      <w:highlight w:val="none"/>
                    </w:rPr>
                    <w:t>/</w:t>
                  </w:r>
                </w:p>
              </w:tc>
              <w:tc>
                <w:tcPr>
                  <w:tcW w:w="727" w:type="pct"/>
                  <w:vAlign w:val="center"/>
                </w:tcPr>
                <w:p w14:paraId="46430024">
                  <w:pPr>
                    <w:pStyle w:val="41"/>
                    <w:rPr>
                      <w:color w:val="auto"/>
                      <w:kern w:val="0"/>
                      <w:szCs w:val="18"/>
                      <w:highlight w:val="none"/>
                    </w:rPr>
                  </w:pPr>
                  <w:r>
                    <w:rPr>
                      <w:rFonts w:hint="eastAsia"/>
                      <w:color w:val="auto"/>
                      <w:kern w:val="0"/>
                      <w:szCs w:val="18"/>
                      <w:highlight w:val="none"/>
                    </w:rPr>
                    <w:t>/</w:t>
                  </w:r>
                </w:p>
              </w:tc>
            </w:tr>
            <w:tr w14:paraId="21E4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000" w:type="pct"/>
                  <w:gridSpan w:val="9"/>
                  <w:vAlign w:val="center"/>
                </w:tcPr>
                <w:p w14:paraId="21D629C8">
                  <w:pPr>
                    <w:pStyle w:val="41"/>
                    <w:rPr>
                      <w:color w:val="auto"/>
                      <w:kern w:val="0"/>
                      <w:szCs w:val="18"/>
                      <w:highlight w:val="none"/>
                    </w:rPr>
                  </w:pPr>
                  <w:r>
                    <w:rPr>
                      <w:rFonts w:hint="eastAsia"/>
                      <w:color w:val="auto"/>
                      <w:kern w:val="0"/>
                      <w:szCs w:val="18"/>
                      <w:highlight w:val="none"/>
                    </w:rPr>
                    <w:t>生态环境</w:t>
                  </w:r>
                  <w:r>
                    <w:rPr>
                      <w:rFonts w:hint="eastAsia" w:cs="宋体"/>
                      <w:color w:val="auto"/>
                      <w:kern w:val="0"/>
                      <w:szCs w:val="18"/>
                      <w:highlight w:val="none"/>
                    </w:rPr>
                    <w:t>敏感目标</w:t>
                  </w:r>
                </w:p>
              </w:tc>
            </w:tr>
            <w:tr w14:paraId="283E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688" w:type="pct"/>
                  <w:vAlign w:val="center"/>
                </w:tcPr>
                <w:p w14:paraId="6C94522B">
                  <w:pPr>
                    <w:pStyle w:val="41"/>
                    <w:rPr>
                      <w:color w:val="auto"/>
                      <w:kern w:val="0"/>
                      <w:szCs w:val="18"/>
                      <w:highlight w:val="none"/>
                    </w:rPr>
                  </w:pPr>
                  <w:r>
                    <w:rPr>
                      <w:rFonts w:hint="eastAsia"/>
                      <w:color w:val="auto"/>
                      <w:kern w:val="0"/>
                      <w:szCs w:val="18"/>
                      <w:highlight w:val="none"/>
                    </w:rPr>
                    <w:t>生态环境</w:t>
                  </w:r>
                </w:p>
              </w:tc>
              <w:tc>
                <w:tcPr>
                  <w:tcW w:w="2399" w:type="pct"/>
                  <w:gridSpan w:val="5"/>
                  <w:vAlign w:val="center"/>
                </w:tcPr>
                <w:p w14:paraId="2BE023AA">
                  <w:pPr>
                    <w:pStyle w:val="41"/>
                    <w:rPr>
                      <w:color w:val="auto"/>
                      <w:kern w:val="0"/>
                      <w:szCs w:val="18"/>
                      <w:highlight w:val="none"/>
                    </w:rPr>
                  </w:pPr>
                  <w:r>
                    <w:rPr>
                      <w:rFonts w:hint="eastAsia"/>
                      <w:color w:val="auto"/>
                      <w:highlight w:val="none"/>
                      <w:lang w:val="en-US" w:eastAsia="zh-CN"/>
                    </w:rPr>
                    <w:t>本</w:t>
                  </w:r>
                  <w:r>
                    <w:rPr>
                      <w:rFonts w:hint="eastAsia"/>
                      <w:color w:val="auto"/>
                      <w:highlight w:val="none"/>
                    </w:rPr>
                    <w:t>项目</w:t>
                  </w:r>
                  <w:r>
                    <w:rPr>
                      <w:rFonts w:hint="eastAsia"/>
                      <w:color w:val="auto"/>
                      <w:highlight w:val="none"/>
                      <w:lang w:val="en-US" w:eastAsia="zh-CN"/>
                    </w:rPr>
                    <w:t>及评价范围</w:t>
                  </w:r>
                  <w:r>
                    <w:rPr>
                      <w:color w:val="auto"/>
                      <w:highlight w:val="none"/>
                    </w:rPr>
                    <w:t>内</w:t>
                  </w:r>
                  <w:r>
                    <w:rPr>
                      <w:rFonts w:hint="eastAsia"/>
                      <w:color w:val="auto"/>
                      <w:highlight w:val="none"/>
                    </w:rPr>
                    <w:t>公益林（属国家级公益林）</w:t>
                  </w:r>
                  <w:r>
                    <w:rPr>
                      <w:rFonts w:hint="eastAsia"/>
                      <w:color w:val="auto"/>
                      <w:highlight w:val="none"/>
                      <w:lang w:eastAsia="zh-CN"/>
                    </w:rPr>
                    <w:t>，</w:t>
                  </w:r>
                  <w:r>
                    <w:rPr>
                      <w:rFonts w:hint="eastAsia"/>
                      <w:color w:val="auto"/>
                      <w:highlight w:val="none"/>
                      <w:lang w:val="en-US" w:eastAsia="zh-CN"/>
                    </w:rPr>
                    <w:t>面积</w:t>
                  </w:r>
                  <w:r>
                    <w:rPr>
                      <w:rFonts w:hint="eastAsia"/>
                      <w:color w:val="auto"/>
                      <w:highlight w:val="none"/>
                      <w:lang w:eastAsia="zh-CN"/>
                    </w:rPr>
                    <w:t>25284</w:t>
                  </w:r>
                  <w:r>
                    <w:rPr>
                      <w:rFonts w:hint="eastAsia"/>
                      <w:color w:val="auto"/>
                      <w:highlight w:val="none"/>
                    </w:rPr>
                    <w:t>m</w:t>
                  </w:r>
                  <w:r>
                    <w:rPr>
                      <w:rFonts w:hint="eastAsia"/>
                      <w:color w:val="auto"/>
                      <w:highlight w:val="none"/>
                      <w:vertAlign w:val="superscript"/>
                    </w:rPr>
                    <w:t>2</w:t>
                  </w:r>
                </w:p>
              </w:tc>
              <w:tc>
                <w:tcPr>
                  <w:tcW w:w="529" w:type="pct"/>
                  <w:vAlign w:val="center"/>
                </w:tcPr>
                <w:p w14:paraId="301879A4">
                  <w:pPr>
                    <w:pStyle w:val="41"/>
                    <w:rPr>
                      <w:color w:val="auto"/>
                      <w:kern w:val="0"/>
                      <w:szCs w:val="18"/>
                      <w:highlight w:val="none"/>
                    </w:rPr>
                  </w:pPr>
                  <w:r>
                    <w:rPr>
                      <w:rFonts w:hint="eastAsia"/>
                      <w:color w:val="auto"/>
                      <w:kern w:val="0"/>
                      <w:szCs w:val="18"/>
                      <w:highlight w:val="none"/>
                    </w:rPr>
                    <w:t>董深斜2井</w:t>
                  </w:r>
                </w:p>
              </w:tc>
              <w:tc>
                <w:tcPr>
                  <w:tcW w:w="655" w:type="pct"/>
                  <w:vAlign w:val="center"/>
                </w:tcPr>
                <w:p w14:paraId="2CA8D261">
                  <w:pPr>
                    <w:pStyle w:val="41"/>
                    <w:rPr>
                      <w:color w:val="auto"/>
                      <w:kern w:val="0"/>
                      <w:szCs w:val="18"/>
                      <w:highlight w:val="none"/>
                    </w:rPr>
                  </w:pPr>
                  <w:r>
                    <w:rPr>
                      <w:rFonts w:hint="eastAsia"/>
                      <w:color w:val="auto"/>
                      <w:kern w:val="0"/>
                      <w:szCs w:val="18"/>
                      <w:highlight w:val="none"/>
                    </w:rPr>
                    <w:t>/</w:t>
                  </w:r>
                </w:p>
              </w:tc>
              <w:tc>
                <w:tcPr>
                  <w:tcW w:w="727" w:type="pct"/>
                  <w:vAlign w:val="center"/>
                </w:tcPr>
                <w:p w14:paraId="26308FA2">
                  <w:pPr>
                    <w:pStyle w:val="41"/>
                    <w:rPr>
                      <w:color w:val="auto"/>
                      <w:kern w:val="0"/>
                      <w:szCs w:val="18"/>
                      <w:highlight w:val="none"/>
                    </w:rPr>
                  </w:pPr>
                  <w:r>
                    <w:rPr>
                      <w:rFonts w:hint="eastAsia"/>
                      <w:color w:val="auto"/>
                      <w:kern w:val="0"/>
                      <w:szCs w:val="18"/>
                      <w:highlight w:val="none"/>
                    </w:rPr>
                    <w:t>/</w:t>
                  </w:r>
                </w:p>
              </w:tc>
            </w:tr>
            <w:tr w14:paraId="06F2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000" w:type="pct"/>
                  <w:gridSpan w:val="9"/>
                  <w:vAlign w:val="center"/>
                </w:tcPr>
                <w:p w14:paraId="0938CBF5">
                  <w:pPr>
                    <w:pStyle w:val="41"/>
                    <w:rPr>
                      <w:color w:val="auto"/>
                      <w:kern w:val="0"/>
                      <w:szCs w:val="18"/>
                      <w:highlight w:val="none"/>
                    </w:rPr>
                  </w:pPr>
                  <w:r>
                    <w:rPr>
                      <w:rFonts w:hint="eastAsia"/>
                      <w:color w:val="auto"/>
                      <w:kern w:val="0"/>
                      <w:szCs w:val="18"/>
                      <w:highlight w:val="none"/>
                    </w:rPr>
                    <w:t>地下水环境敏感目标</w:t>
                  </w:r>
                </w:p>
              </w:tc>
            </w:tr>
            <w:tr w14:paraId="1E68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blHeader/>
              </w:trPr>
              <w:tc>
                <w:tcPr>
                  <w:tcW w:w="688" w:type="pct"/>
                  <w:vAlign w:val="center"/>
                </w:tcPr>
                <w:p w14:paraId="515A054B">
                  <w:pPr>
                    <w:pStyle w:val="41"/>
                    <w:rPr>
                      <w:color w:val="auto"/>
                      <w:kern w:val="0"/>
                      <w:szCs w:val="18"/>
                      <w:highlight w:val="none"/>
                    </w:rPr>
                  </w:pPr>
                  <w:r>
                    <w:rPr>
                      <w:rFonts w:hint="eastAsia"/>
                      <w:color w:val="auto"/>
                      <w:kern w:val="0"/>
                      <w:szCs w:val="18"/>
                      <w:highlight w:val="none"/>
                    </w:rPr>
                    <w:t>地下水</w:t>
                  </w:r>
                </w:p>
              </w:tc>
              <w:tc>
                <w:tcPr>
                  <w:tcW w:w="1867" w:type="pct"/>
                  <w:gridSpan w:val="4"/>
                  <w:vAlign w:val="center"/>
                </w:tcPr>
                <w:p w14:paraId="15C51D38">
                  <w:pPr>
                    <w:pStyle w:val="41"/>
                    <w:rPr>
                      <w:color w:val="auto"/>
                      <w:kern w:val="0"/>
                      <w:szCs w:val="18"/>
                      <w:highlight w:val="none"/>
                    </w:rPr>
                  </w:pPr>
                  <w:r>
                    <w:rPr>
                      <w:rFonts w:hint="eastAsia"/>
                      <w:color w:val="auto"/>
                      <w:kern w:val="0"/>
                      <w:szCs w:val="18"/>
                      <w:highlight w:val="none"/>
                    </w:rPr>
                    <w:t>周围地下水</w:t>
                  </w:r>
                </w:p>
              </w:tc>
              <w:tc>
                <w:tcPr>
                  <w:tcW w:w="531" w:type="pct"/>
                  <w:vAlign w:val="center"/>
                </w:tcPr>
                <w:p w14:paraId="17234FD8">
                  <w:pPr>
                    <w:pStyle w:val="41"/>
                    <w:rPr>
                      <w:color w:val="auto"/>
                      <w:kern w:val="0"/>
                      <w:szCs w:val="18"/>
                      <w:highlight w:val="none"/>
                    </w:rPr>
                  </w:pPr>
                  <w:r>
                    <w:rPr>
                      <w:rFonts w:hint="eastAsia"/>
                      <w:color w:val="auto"/>
                      <w:kern w:val="0"/>
                      <w:szCs w:val="18"/>
                      <w:highlight w:val="none"/>
                    </w:rPr>
                    <w:t>Ⅲ类</w:t>
                  </w:r>
                </w:p>
              </w:tc>
              <w:tc>
                <w:tcPr>
                  <w:tcW w:w="529" w:type="pct"/>
                  <w:vAlign w:val="center"/>
                </w:tcPr>
                <w:p w14:paraId="62BFEF39">
                  <w:pPr>
                    <w:pStyle w:val="41"/>
                    <w:rPr>
                      <w:color w:val="auto"/>
                      <w:kern w:val="0"/>
                      <w:szCs w:val="18"/>
                      <w:highlight w:val="none"/>
                    </w:rPr>
                  </w:pPr>
                  <w:r>
                    <w:rPr>
                      <w:rFonts w:hint="eastAsia"/>
                      <w:color w:val="auto"/>
                      <w:kern w:val="0"/>
                      <w:szCs w:val="18"/>
                      <w:highlight w:val="none"/>
                    </w:rPr>
                    <w:t>董深斜2井</w:t>
                  </w:r>
                </w:p>
              </w:tc>
              <w:tc>
                <w:tcPr>
                  <w:tcW w:w="655" w:type="pct"/>
                  <w:vAlign w:val="center"/>
                </w:tcPr>
                <w:p w14:paraId="27894BFB">
                  <w:pPr>
                    <w:pStyle w:val="41"/>
                    <w:rPr>
                      <w:color w:val="auto"/>
                      <w:kern w:val="0"/>
                      <w:szCs w:val="18"/>
                      <w:highlight w:val="none"/>
                    </w:rPr>
                  </w:pPr>
                  <w:r>
                    <w:rPr>
                      <w:rFonts w:hint="eastAsia"/>
                      <w:color w:val="auto"/>
                      <w:kern w:val="0"/>
                      <w:szCs w:val="18"/>
                      <w:highlight w:val="none"/>
                    </w:rPr>
                    <w:t>/</w:t>
                  </w:r>
                </w:p>
              </w:tc>
              <w:tc>
                <w:tcPr>
                  <w:tcW w:w="727" w:type="pct"/>
                  <w:vAlign w:val="center"/>
                </w:tcPr>
                <w:p w14:paraId="5CF5846F">
                  <w:pPr>
                    <w:pStyle w:val="41"/>
                    <w:rPr>
                      <w:color w:val="auto"/>
                      <w:kern w:val="0"/>
                      <w:szCs w:val="18"/>
                      <w:highlight w:val="none"/>
                    </w:rPr>
                  </w:pPr>
                  <w:r>
                    <w:rPr>
                      <w:rFonts w:hint="eastAsia"/>
                      <w:color w:val="auto"/>
                      <w:kern w:val="0"/>
                      <w:szCs w:val="18"/>
                      <w:highlight w:val="none"/>
                    </w:rPr>
                    <w:t>/</w:t>
                  </w:r>
                </w:p>
              </w:tc>
            </w:tr>
            <w:tr w14:paraId="3A4A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000" w:type="pct"/>
                  <w:gridSpan w:val="9"/>
                  <w:vAlign w:val="center"/>
                </w:tcPr>
                <w:p w14:paraId="455A37C4">
                  <w:pPr>
                    <w:pStyle w:val="41"/>
                    <w:rPr>
                      <w:rFonts w:hint="default" w:eastAsia="宋体"/>
                      <w:color w:val="auto"/>
                      <w:kern w:val="0"/>
                      <w:szCs w:val="18"/>
                      <w:highlight w:val="none"/>
                      <w:lang w:val="en-US" w:eastAsia="zh-CN"/>
                    </w:rPr>
                  </w:pPr>
                  <w:r>
                    <w:rPr>
                      <w:rFonts w:hint="eastAsia"/>
                      <w:color w:val="auto"/>
                      <w:kern w:val="0"/>
                      <w:szCs w:val="18"/>
                      <w:highlight w:val="none"/>
                      <w:lang w:val="en-US" w:eastAsia="zh-CN"/>
                    </w:rPr>
                    <w:t>土壤环境</w:t>
                  </w:r>
                </w:p>
              </w:tc>
            </w:tr>
            <w:tr w14:paraId="0145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688" w:type="pct"/>
                  <w:vAlign w:val="center"/>
                </w:tcPr>
                <w:p w14:paraId="0E31FBF7">
                  <w:pPr>
                    <w:pStyle w:val="41"/>
                    <w:rPr>
                      <w:rFonts w:hint="eastAsia" w:eastAsia="宋体"/>
                      <w:color w:val="auto"/>
                      <w:kern w:val="0"/>
                      <w:szCs w:val="18"/>
                      <w:highlight w:val="none"/>
                      <w:lang w:val="en-US" w:eastAsia="zh-CN"/>
                    </w:rPr>
                  </w:pPr>
                  <w:r>
                    <w:rPr>
                      <w:rFonts w:hint="eastAsia"/>
                      <w:color w:val="auto"/>
                      <w:kern w:val="0"/>
                      <w:szCs w:val="18"/>
                      <w:highlight w:val="none"/>
                      <w:lang w:val="en-US" w:eastAsia="zh-CN"/>
                    </w:rPr>
                    <w:t>土壤</w:t>
                  </w:r>
                </w:p>
              </w:tc>
              <w:tc>
                <w:tcPr>
                  <w:tcW w:w="2399" w:type="pct"/>
                  <w:gridSpan w:val="5"/>
                  <w:vAlign w:val="center"/>
                </w:tcPr>
                <w:p w14:paraId="7047DAEB">
                  <w:pPr>
                    <w:pStyle w:val="41"/>
                    <w:rPr>
                      <w:rFonts w:hint="eastAsia"/>
                      <w:color w:val="auto"/>
                      <w:kern w:val="0"/>
                      <w:szCs w:val="18"/>
                      <w:highlight w:val="none"/>
                    </w:rPr>
                  </w:pPr>
                  <w:r>
                    <w:rPr>
                      <w:rFonts w:hint="eastAsia"/>
                      <w:color w:val="auto"/>
                      <w:highlight w:val="none"/>
                      <w:lang w:val="en-US" w:eastAsia="zh-CN"/>
                    </w:rPr>
                    <w:t>本</w:t>
                  </w:r>
                  <w:r>
                    <w:rPr>
                      <w:rFonts w:hint="eastAsia"/>
                      <w:color w:val="auto"/>
                      <w:highlight w:val="none"/>
                    </w:rPr>
                    <w:t>项目</w:t>
                  </w:r>
                  <w:r>
                    <w:rPr>
                      <w:rFonts w:hint="eastAsia"/>
                      <w:color w:val="auto"/>
                      <w:highlight w:val="none"/>
                      <w:lang w:val="en-US" w:eastAsia="zh-CN"/>
                    </w:rPr>
                    <w:t>及评价范围</w:t>
                  </w:r>
                  <w:r>
                    <w:rPr>
                      <w:color w:val="auto"/>
                      <w:highlight w:val="none"/>
                    </w:rPr>
                    <w:t>内</w:t>
                  </w:r>
                  <w:r>
                    <w:rPr>
                      <w:rFonts w:hint="eastAsia"/>
                      <w:color w:val="auto"/>
                      <w:highlight w:val="none"/>
                    </w:rPr>
                    <w:t>公益林（属国家级公益林）</w:t>
                  </w:r>
                  <w:r>
                    <w:rPr>
                      <w:rFonts w:hint="eastAsia"/>
                      <w:color w:val="auto"/>
                      <w:highlight w:val="none"/>
                      <w:lang w:eastAsia="zh-CN"/>
                    </w:rPr>
                    <w:t>，</w:t>
                  </w:r>
                  <w:r>
                    <w:rPr>
                      <w:rFonts w:hint="eastAsia"/>
                      <w:color w:val="auto"/>
                      <w:highlight w:val="none"/>
                      <w:lang w:val="en-US" w:eastAsia="zh-CN"/>
                    </w:rPr>
                    <w:t>面积</w:t>
                  </w:r>
                  <w:r>
                    <w:rPr>
                      <w:rFonts w:hint="eastAsia"/>
                      <w:color w:val="auto"/>
                      <w:highlight w:val="none"/>
                      <w:lang w:eastAsia="zh-CN"/>
                    </w:rPr>
                    <w:t>25284</w:t>
                  </w:r>
                  <w:r>
                    <w:rPr>
                      <w:rFonts w:hint="eastAsia"/>
                      <w:color w:val="auto"/>
                      <w:highlight w:val="none"/>
                    </w:rPr>
                    <w:t>m</w:t>
                  </w:r>
                  <w:r>
                    <w:rPr>
                      <w:rFonts w:hint="eastAsia"/>
                      <w:color w:val="auto"/>
                      <w:highlight w:val="none"/>
                      <w:vertAlign w:val="superscript"/>
                    </w:rPr>
                    <w:t>2</w:t>
                  </w:r>
                </w:p>
              </w:tc>
              <w:tc>
                <w:tcPr>
                  <w:tcW w:w="529" w:type="pct"/>
                  <w:vAlign w:val="center"/>
                </w:tcPr>
                <w:p w14:paraId="0E33A2E2">
                  <w:pPr>
                    <w:pStyle w:val="41"/>
                    <w:rPr>
                      <w:rFonts w:hint="eastAsia"/>
                      <w:color w:val="auto"/>
                      <w:kern w:val="0"/>
                      <w:szCs w:val="18"/>
                      <w:highlight w:val="none"/>
                    </w:rPr>
                  </w:pPr>
                  <w:r>
                    <w:rPr>
                      <w:rFonts w:hint="eastAsia"/>
                      <w:color w:val="auto"/>
                      <w:kern w:val="0"/>
                      <w:szCs w:val="18"/>
                      <w:highlight w:val="none"/>
                    </w:rPr>
                    <w:t>董深斜2井</w:t>
                  </w:r>
                </w:p>
              </w:tc>
              <w:tc>
                <w:tcPr>
                  <w:tcW w:w="655" w:type="pct"/>
                  <w:shd w:val="clear" w:color="auto" w:fill="auto"/>
                  <w:vAlign w:val="center"/>
                </w:tcPr>
                <w:p w14:paraId="3E3B4B83">
                  <w:pPr>
                    <w:pStyle w:val="41"/>
                    <w:rPr>
                      <w:rFonts w:hint="eastAsia" w:ascii="宋体" w:hAnsi="宋体" w:eastAsia="宋体" w:cstheme="minorBidi"/>
                      <w:color w:val="auto"/>
                      <w:kern w:val="0"/>
                      <w:sz w:val="18"/>
                      <w:szCs w:val="18"/>
                      <w:highlight w:val="none"/>
                      <w:lang w:val="en-US" w:eastAsia="zh-CN" w:bidi="ar-SA"/>
                    </w:rPr>
                  </w:pPr>
                  <w:r>
                    <w:rPr>
                      <w:rFonts w:hint="eastAsia"/>
                      <w:color w:val="auto"/>
                      <w:kern w:val="0"/>
                      <w:szCs w:val="18"/>
                      <w:highlight w:val="none"/>
                    </w:rPr>
                    <w:t>/</w:t>
                  </w:r>
                </w:p>
              </w:tc>
              <w:tc>
                <w:tcPr>
                  <w:tcW w:w="727" w:type="pct"/>
                  <w:shd w:val="clear" w:color="auto" w:fill="auto"/>
                  <w:vAlign w:val="center"/>
                </w:tcPr>
                <w:p w14:paraId="68EBDD35">
                  <w:pPr>
                    <w:pStyle w:val="41"/>
                    <w:rPr>
                      <w:rFonts w:hint="eastAsia" w:ascii="宋体" w:hAnsi="宋体" w:eastAsia="宋体" w:cstheme="minorBidi"/>
                      <w:color w:val="auto"/>
                      <w:kern w:val="0"/>
                      <w:sz w:val="18"/>
                      <w:szCs w:val="18"/>
                      <w:highlight w:val="none"/>
                      <w:lang w:val="en-US" w:eastAsia="zh-CN" w:bidi="ar-SA"/>
                    </w:rPr>
                  </w:pPr>
                  <w:r>
                    <w:rPr>
                      <w:rFonts w:hint="eastAsia"/>
                      <w:color w:val="auto"/>
                      <w:kern w:val="0"/>
                      <w:szCs w:val="18"/>
                      <w:highlight w:val="none"/>
                    </w:rPr>
                    <w:t>/</w:t>
                  </w:r>
                </w:p>
              </w:tc>
            </w:tr>
          </w:tbl>
          <w:p w14:paraId="04032A3A">
            <w:pPr>
              <w:pStyle w:val="3"/>
              <w:ind w:firstLine="420"/>
              <w:rPr>
                <w:color w:val="auto"/>
                <w:sz w:val="21"/>
                <w:highlight w:val="none"/>
              </w:rPr>
            </w:pPr>
          </w:p>
        </w:tc>
      </w:tr>
      <w:tr w14:paraId="3068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vAlign w:val="center"/>
          </w:tcPr>
          <w:p w14:paraId="30CD7B14">
            <w:pPr>
              <w:pStyle w:val="3"/>
              <w:spacing w:line="240" w:lineRule="auto"/>
              <w:ind w:firstLine="0" w:firstLineChars="0"/>
              <w:jc w:val="center"/>
              <w:rPr>
                <w:color w:val="auto"/>
                <w:sz w:val="21"/>
                <w:highlight w:val="none"/>
              </w:rPr>
            </w:pPr>
            <w:r>
              <w:rPr>
                <w:rFonts w:hint="eastAsia"/>
                <w:color w:val="auto"/>
                <w:sz w:val="21"/>
                <w:highlight w:val="none"/>
              </w:rPr>
              <w:t>评</w:t>
            </w:r>
          </w:p>
          <w:p w14:paraId="15B39B27">
            <w:pPr>
              <w:pStyle w:val="3"/>
              <w:spacing w:line="240" w:lineRule="auto"/>
              <w:ind w:firstLine="0" w:firstLineChars="0"/>
              <w:jc w:val="center"/>
              <w:rPr>
                <w:color w:val="auto"/>
                <w:sz w:val="21"/>
                <w:highlight w:val="none"/>
              </w:rPr>
            </w:pPr>
            <w:r>
              <w:rPr>
                <w:rFonts w:hint="eastAsia"/>
                <w:color w:val="auto"/>
                <w:sz w:val="21"/>
                <w:highlight w:val="none"/>
              </w:rPr>
              <w:t>价</w:t>
            </w:r>
          </w:p>
          <w:p w14:paraId="24AE222E">
            <w:pPr>
              <w:pStyle w:val="3"/>
              <w:spacing w:line="240" w:lineRule="auto"/>
              <w:ind w:firstLine="0" w:firstLineChars="0"/>
              <w:jc w:val="center"/>
              <w:rPr>
                <w:color w:val="auto"/>
                <w:sz w:val="21"/>
                <w:highlight w:val="none"/>
              </w:rPr>
            </w:pPr>
            <w:r>
              <w:rPr>
                <w:rFonts w:hint="eastAsia"/>
                <w:color w:val="auto"/>
                <w:sz w:val="21"/>
                <w:highlight w:val="none"/>
              </w:rPr>
              <w:t>标</w:t>
            </w:r>
          </w:p>
          <w:p w14:paraId="5D4A90A2">
            <w:pPr>
              <w:pStyle w:val="3"/>
              <w:spacing w:line="240" w:lineRule="auto"/>
              <w:ind w:firstLine="0" w:firstLineChars="0"/>
              <w:jc w:val="center"/>
              <w:rPr>
                <w:color w:val="auto"/>
                <w:sz w:val="21"/>
                <w:highlight w:val="none"/>
              </w:rPr>
            </w:pPr>
            <w:r>
              <w:rPr>
                <w:rFonts w:hint="eastAsia"/>
                <w:color w:val="auto"/>
                <w:sz w:val="21"/>
                <w:highlight w:val="none"/>
              </w:rPr>
              <w:t>准</w:t>
            </w:r>
          </w:p>
        </w:tc>
        <w:tc>
          <w:tcPr>
            <w:tcW w:w="7869" w:type="dxa"/>
            <w:tcMar>
              <w:top w:w="170" w:type="dxa"/>
              <w:left w:w="108" w:type="dxa"/>
              <w:bottom w:w="113" w:type="dxa"/>
              <w:right w:w="108" w:type="dxa"/>
            </w:tcMar>
            <w:vAlign w:val="center"/>
          </w:tcPr>
          <w:p w14:paraId="62935FDD">
            <w:pPr>
              <w:pStyle w:val="3"/>
              <w:numPr>
                <w:ilvl w:val="0"/>
                <w:numId w:val="28"/>
              </w:numPr>
              <w:spacing w:line="332" w:lineRule="auto"/>
              <w:ind w:firstLine="420"/>
              <w:rPr>
                <w:color w:val="auto"/>
                <w:sz w:val="21"/>
                <w:highlight w:val="none"/>
              </w:rPr>
            </w:pPr>
            <w:r>
              <w:rPr>
                <w:rFonts w:hint="eastAsia"/>
                <w:color w:val="auto"/>
                <w:sz w:val="21"/>
                <w:highlight w:val="none"/>
              </w:rPr>
              <w:t>环境质量标准</w:t>
            </w:r>
          </w:p>
          <w:p w14:paraId="512D6B0A">
            <w:pPr>
              <w:pStyle w:val="71"/>
              <w:numPr>
                <w:ilvl w:val="0"/>
                <w:numId w:val="29"/>
              </w:numPr>
              <w:spacing w:line="332" w:lineRule="auto"/>
              <w:ind w:firstLine="420" w:firstLineChars="200"/>
              <w:rPr>
                <w:color w:val="auto"/>
                <w:highlight w:val="none"/>
              </w:rPr>
            </w:pPr>
            <w:r>
              <w:rPr>
                <w:rFonts w:hint="eastAsia"/>
                <w:color w:val="auto"/>
                <w:highlight w:val="none"/>
              </w:rPr>
              <w:t>环境空气</w:t>
            </w:r>
          </w:p>
          <w:p w14:paraId="1735F83C">
            <w:pPr>
              <w:pStyle w:val="71"/>
              <w:numPr>
                <w:ilvl w:val="0"/>
                <w:numId w:val="0"/>
              </w:numPr>
              <w:ind w:firstLine="420" w:firstLineChars="200"/>
              <w:rPr>
                <w:color w:val="auto"/>
                <w:highlight w:val="none"/>
              </w:rPr>
            </w:pPr>
            <w:r>
              <w:rPr>
                <w:rFonts w:hint="eastAsia"/>
                <w:color w:val="auto"/>
                <w:highlight w:val="none"/>
              </w:rPr>
              <w:t>执行《环境空气质量标准》（GB 3095-2026）中过渡阶段二级浓度限值要求；非甲烷总烃参照《大气污染物综合排放标准详解》（国家环境保护局科技标准司制定）中的推荐值2.0mg/m</w:t>
            </w:r>
            <w:r>
              <w:rPr>
                <w:rFonts w:hint="eastAsia"/>
                <w:color w:val="auto"/>
                <w:highlight w:val="none"/>
                <w:vertAlign w:val="superscript"/>
              </w:rPr>
              <w:t>3</w:t>
            </w:r>
            <w:r>
              <w:rPr>
                <w:rFonts w:hint="eastAsia"/>
                <w:color w:val="auto"/>
                <w:highlight w:val="none"/>
              </w:rPr>
              <w:t>。</w:t>
            </w:r>
          </w:p>
          <w:p w14:paraId="5A6C60B8">
            <w:pPr>
              <w:pStyle w:val="71"/>
              <w:numPr>
                <w:ilvl w:val="0"/>
                <w:numId w:val="29"/>
              </w:numPr>
              <w:spacing w:line="332" w:lineRule="auto"/>
              <w:ind w:firstLine="420" w:firstLineChars="200"/>
              <w:rPr>
                <w:color w:val="auto"/>
                <w:highlight w:val="none"/>
              </w:rPr>
            </w:pPr>
            <w:r>
              <w:rPr>
                <w:rFonts w:hint="eastAsia"/>
                <w:color w:val="auto"/>
                <w:highlight w:val="none"/>
              </w:rPr>
              <w:t>地下水环境</w:t>
            </w:r>
          </w:p>
          <w:p w14:paraId="35164D4D">
            <w:pPr>
              <w:pStyle w:val="71"/>
              <w:numPr>
                <w:ilvl w:val="0"/>
                <w:numId w:val="0"/>
              </w:numPr>
              <w:ind w:firstLine="420" w:firstLineChars="200"/>
              <w:rPr>
                <w:color w:val="auto"/>
                <w:highlight w:val="none"/>
              </w:rPr>
            </w:pPr>
            <w:r>
              <w:rPr>
                <w:rFonts w:hint="eastAsia"/>
                <w:color w:val="auto"/>
                <w:highlight w:val="none"/>
              </w:rPr>
              <w:t>执行《地下水质量标准》（GB/T 14848-2017）Ⅲ类标准，石油类参照《地表水环境质量标准》（GB 3838-2002）中的Ⅲ类标准。</w:t>
            </w:r>
          </w:p>
          <w:p w14:paraId="3B7E41AE">
            <w:pPr>
              <w:pStyle w:val="71"/>
              <w:numPr>
                <w:ilvl w:val="0"/>
                <w:numId w:val="29"/>
              </w:numPr>
              <w:spacing w:line="332" w:lineRule="auto"/>
              <w:ind w:firstLine="420" w:firstLineChars="200"/>
              <w:rPr>
                <w:color w:val="auto"/>
                <w:highlight w:val="none"/>
              </w:rPr>
            </w:pPr>
            <w:r>
              <w:rPr>
                <w:rFonts w:hint="eastAsia"/>
                <w:color w:val="auto"/>
                <w:highlight w:val="none"/>
              </w:rPr>
              <w:t>声环境</w:t>
            </w:r>
          </w:p>
          <w:p w14:paraId="2DE4612E">
            <w:pPr>
              <w:pStyle w:val="71"/>
              <w:numPr>
                <w:ilvl w:val="0"/>
                <w:numId w:val="0"/>
              </w:numPr>
              <w:ind w:firstLine="420" w:firstLineChars="200"/>
              <w:rPr>
                <w:color w:val="auto"/>
                <w:highlight w:val="none"/>
              </w:rPr>
            </w:pPr>
            <w:r>
              <w:rPr>
                <w:rFonts w:hint="eastAsia"/>
                <w:color w:val="auto"/>
                <w:highlight w:val="none"/>
              </w:rPr>
              <w:t>执行《声环境质量标准》（GB 3096-2008）中的2类声环境功能区环境噪声限值。</w:t>
            </w:r>
          </w:p>
          <w:p w14:paraId="2ACFFC95">
            <w:pPr>
              <w:pStyle w:val="71"/>
              <w:numPr>
                <w:ilvl w:val="0"/>
                <w:numId w:val="29"/>
              </w:numPr>
              <w:spacing w:line="332" w:lineRule="auto"/>
              <w:ind w:firstLine="420" w:firstLineChars="200"/>
              <w:rPr>
                <w:color w:val="auto"/>
                <w:highlight w:val="none"/>
              </w:rPr>
            </w:pPr>
            <w:r>
              <w:rPr>
                <w:rFonts w:hint="eastAsia"/>
                <w:color w:val="auto"/>
                <w:highlight w:val="none"/>
              </w:rPr>
              <w:t>土壤环境</w:t>
            </w:r>
          </w:p>
          <w:p w14:paraId="339FE2E0">
            <w:pPr>
              <w:pStyle w:val="71"/>
              <w:numPr>
                <w:ilvl w:val="0"/>
                <w:numId w:val="0"/>
              </w:numPr>
              <w:ind w:firstLine="420" w:firstLineChars="200"/>
              <w:rPr>
                <w:color w:val="auto"/>
                <w:highlight w:val="none"/>
              </w:rPr>
            </w:pPr>
            <w:r>
              <w:rPr>
                <w:rFonts w:hint="eastAsia"/>
                <w:color w:val="auto"/>
                <w:highlight w:val="none"/>
              </w:rPr>
              <w:t>参照执行《土壤环境质量 建设用地土壤污染风险管控标准（试行）》（GB 36600-2018）。</w:t>
            </w:r>
          </w:p>
          <w:p w14:paraId="21907196">
            <w:pPr>
              <w:pStyle w:val="3"/>
              <w:numPr>
                <w:ilvl w:val="0"/>
                <w:numId w:val="28"/>
              </w:numPr>
              <w:spacing w:line="332" w:lineRule="auto"/>
              <w:ind w:firstLine="420"/>
              <w:rPr>
                <w:color w:val="auto"/>
                <w:sz w:val="21"/>
                <w:highlight w:val="none"/>
              </w:rPr>
            </w:pPr>
            <w:r>
              <w:rPr>
                <w:rFonts w:hint="eastAsia"/>
                <w:color w:val="auto"/>
                <w:sz w:val="21"/>
                <w:highlight w:val="none"/>
              </w:rPr>
              <w:t>污染物排放标准</w:t>
            </w:r>
          </w:p>
          <w:p w14:paraId="25FD46B8">
            <w:pPr>
              <w:pStyle w:val="71"/>
              <w:numPr>
                <w:ilvl w:val="0"/>
                <w:numId w:val="30"/>
              </w:numPr>
              <w:spacing w:line="332" w:lineRule="auto"/>
              <w:ind w:firstLine="420" w:firstLineChars="200"/>
              <w:rPr>
                <w:color w:val="auto"/>
                <w:highlight w:val="none"/>
              </w:rPr>
            </w:pPr>
            <w:r>
              <w:rPr>
                <w:rFonts w:hint="eastAsia"/>
                <w:color w:val="auto"/>
                <w:highlight w:val="none"/>
              </w:rPr>
              <w:t>施工期、封井期废气</w:t>
            </w:r>
          </w:p>
          <w:p w14:paraId="18EAEA55">
            <w:pPr>
              <w:pStyle w:val="71"/>
              <w:numPr>
                <w:ilvl w:val="0"/>
                <w:numId w:val="0"/>
              </w:numPr>
              <w:spacing w:line="332" w:lineRule="auto"/>
              <w:ind w:firstLine="420" w:firstLineChars="200"/>
              <w:rPr>
                <w:color w:val="auto"/>
                <w:highlight w:val="none"/>
              </w:rPr>
            </w:pPr>
            <w:r>
              <w:rPr>
                <w:rFonts w:hint="eastAsia"/>
                <w:color w:val="auto"/>
                <w:highlight w:val="none"/>
              </w:rPr>
              <w:t>柴油发电机废气执行《大气污染物综合排放标准》（GB 16297-1996）无组织排放监控浓度限值；非甲烷总烃排放标准参照执行《挥发性有机物无组织排放控制标准》（GB 37822-2019）及《陆上石油天然气开采工业大气污染物排放标准》（GB 39728-2020）中的无组织排放浓度限值（4.0mg/m</w:t>
            </w:r>
            <w:r>
              <w:rPr>
                <w:rFonts w:hint="eastAsia"/>
                <w:color w:val="auto"/>
                <w:highlight w:val="none"/>
                <w:vertAlign w:val="superscript"/>
              </w:rPr>
              <w:t>3</w:t>
            </w:r>
            <w:r>
              <w:rPr>
                <w:rFonts w:hint="eastAsia"/>
                <w:color w:val="auto"/>
                <w:highlight w:val="none"/>
              </w:rPr>
              <w:t>）；硫化氢（若伴生气含硫化氢时）执行《恶臭污染物排放标准》（GB 14554-93）厂界标准值。</w:t>
            </w:r>
          </w:p>
          <w:p w14:paraId="634B042E">
            <w:pPr>
              <w:pStyle w:val="71"/>
              <w:numPr>
                <w:ilvl w:val="0"/>
                <w:numId w:val="30"/>
              </w:numPr>
              <w:spacing w:line="332" w:lineRule="auto"/>
              <w:ind w:firstLine="420" w:firstLineChars="200"/>
              <w:rPr>
                <w:color w:val="auto"/>
                <w:highlight w:val="none"/>
              </w:rPr>
            </w:pPr>
            <w:r>
              <w:rPr>
                <w:rFonts w:hint="eastAsia"/>
                <w:color w:val="auto"/>
                <w:highlight w:val="none"/>
              </w:rPr>
              <w:t>施工期、封井期废水</w:t>
            </w:r>
          </w:p>
          <w:p w14:paraId="52BE59FD">
            <w:pPr>
              <w:pStyle w:val="71"/>
              <w:numPr>
                <w:ilvl w:val="0"/>
                <w:numId w:val="0"/>
              </w:numPr>
              <w:ind w:firstLine="420" w:firstLineChars="200"/>
              <w:rPr>
                <w:color w:val="auto"/>
                <w:highlight w:val="none"/>
              </w:rPr>
            </w:pPr>
            <w:r>
              <w:rPr>
                <w:rFonts w:hint="eastAsia"/>
                <w:color w:val="auto"/>
                <w:highlight w:val="none"/>
              </w:rPr>
              <w:t>井下作业废液、压裂返排液执行《碎屑岩油藏注水水质指标技术要求及分析方法》（SY/T 5329-2022）。</w:t>
            </w:r>
          </w:p>
          <w:p w14:paraId="2C2008D8">
            <w:pPr>
              <w:pStyle w:val="71"/>
              <w:numPr>
                <w:ilvl w:val="0"/>
                <w:numId w:val="30"/>
              </w:numPr>
              <w:spacing w:line="332" w:lineRule="auto"/>
              <w:ind w:firstLine="420" w:firstLineChars="200"/>
              <w:rPr>
                <w:color w:val="auto"/>
                <w:highlight w:val="none"/>
              </w:rPr>
            </w:pPr>
            <w:r>
              <w:rPr>
                <w:rFonts w:hint="eastAsia"/>
                <w:color w:val="auto"/>
                <w:highlight w:val="none"/>
              </w:rPr>
              <w:t>施工期、封井期噪声</w:t>
            </w:r>
          </w:p>
          <w:p w14:paraId="626D5FD6">
            <w:pPr>
              <w:pStyle w:val="71"/>
              <w:numPr>
                <w:ilvl w:val="0"/>
                <w:numId w:val="0"/>
              </w:numPr>
              <w:ind w:firstLine="420" w:firstLineChars="200"/>
              <w:rPr>
                <w:color w:val="auto"/>
                <w:highlight w:val="none"/>
              </w:rPr>
            </w:pPr>
            <w:r>
              <w:rPr>
                <w:rFonts w:hint="eastAsia"/>
                <w:color w:val="auto"/>
                <w:highlight w:val="none"/>
              </w:rPr>
              <w:t>施工场界噪声执行《建筑施工噪声排放标准》（GB 12523-2025）表1标准要求（昼间70dB（A），夜间55dB（A））。</w:t>
            </w:r>
          </w:p>
          <w:p w14:paraId="7CCE7DB4">
            <w:pPr>
              <w:pStyle w:val="71"/>
              <w:numPr>
                <w:ilvl w:val="0"/>
                <w:numId w:val="30"/>
              </w:numPr>
              <w:spacing w:line="332" w:lineRule="auto"/>
              <w:ind w:firstLine="420" w:firstLineChars="200"/>
              <w:rPr>
                <w:color w:val="auto"/>
                <w:highlight w:val="none"/>
              </w:rPr>
            </w:pPr>
            <w:r>
              <w:rPr>
                <w:rFonts w:hint="eastAsia"/>
                <w:color w:val="auto"/>
                <w:highlight w:val="none"/>
              </w:rPr>
              <w:t>施工期、封井期固废</w:t>
            </w:r>
          </w:p>
          <w:p w14:paraId="5E74456A">
            <w:pPr>
              <w:pStyle w:val="71"/>
              <w:numPr>
                <w:ilvl w:val="0"/>
                <w:numId w:val="0"/>
              </w:numPr>
              <w:ind w:firstLine="420" w:firstLineChars="200"/>
              <w:rPr>
                <w:color w:val="auto"/>
                <w:highlight w:val="none"/>
              </w:rPr>
            </w:pPr>
            <w:r>
              <w:rPr>
                <w:rFonts w:hint="eastAsia"/>
                <w:color w:val="auto"/>
                <w:highlight w:val="none"/>
              </w:rPr>
              <w:t>一般工业固体废物执行《中华人民共和国固体废物污染环境防治法》（主席令[2020]第43号[2020年修正本]）</w:t>
            </w:r>
            <w:r>
              <w:rPr>
                <w:color w:val="auto"/>
                <w:highlight w:val="none"/>
              </w:rPr>
              <w:t>、《石油天然气开采业固体废物污染控制技术规范（试行）》（HJ1461-2026）</w:t>
            </w:r>
            <w:r>
              <w:rPr>
                <w:rFonts w:hint="eastAsia"/>
                <w:color w:val="auto"/>
                <w:highlight w:val="none"/>
              </w:rPr>
              <w:t>；危险废物执行《危险废物贮存污染控制标准》（GB 18597-2023）；处理后的钻井固废执行《油气田钻井固体废物综合利用污染控制要求》（DB65/T 3997-2017）。</w:t>
            </w:r>
          </w:p>
        </w:tc>
      </w:tr>
      <w:tr w14:paraId="47C7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9" w:type="dxa"/>
            <w:vAlign w:val="center"/>
          </w:tcPr>
          <w:p w14:paraId="3578A4C6">
            <w:pPr>
              <w:pStyle w:val="3"/>
              <w:spacing w:line="240" w:lineRule="auto"/>
              <w:ind w:firstLine="0" w:firstLineChars="0"/>
              <w:jc w:val="center"/>
              <w:rPr>
                <w:color w:val="auto"/>
                <w:sz w:val="21"/>
                <w:highlight w:val="none"/>
              </w:rPr>
            </w:pPr>
            <w:r>
              <w:rPr>
                <w:rFonts w:hint="eastAsia"/>
                <w:color w:val="auto"/>
                <w:sz w:val="21"/>
                <w:highlight w:val="none"/>
              </w:rPr>
              <w:t>其</w:t>
            </w:r>
          </w:p>
          <w:p w14:paraId="11191AC1">
            <w:pPr>
              <w:pStyle w:val="3"/>
              <w:spacing w:line="240" w:lineRule="auto"/>
              <w:ind w:firstLine="0" w:firstLineChars="0"/>
              <w:jc w:val="center"/>
              <w:rPr>
                <w:color w:val="auto"/>
                <w:sz w:val="21"/>
                <w:highlight w:val="none"/>
              </w:rPr>
            </w:pPr>
            <w:r>
              <w:rPr>
                <w:rFonts w:hint="eastAsia"/>
                <w:color w:val="auto"/>
                <w:sz w:val="21"/>
                <w:highlight w:val="none"/>
              </w:rPr>
              <w:t>他</w:t>
            </w:r>
          </w:p>
        </w:tc>
        <w:tc>
          <w:tcPr>
            <w:tcW w:w="7869" w:type="dxa"/>
            <w:tcMar>
              <w:top w:w="170" w:type="dxa"/>
              <w:bottom w:w="113" w:type="dxa"/>
            </w:tcMar>
            <w:vAlign w:val="center"/>
          </w:tcPr>
          <w:p w14:paraId="2499CB6F">
            <w:pPr>
              <w:pStyle w:val="3"/>
              <w:spacing w:line="240" w:lineRule="auto"/>
              <w:ind w:firstLine="0" w:firstLineChars="0"/>
              <w:jc w:val="center"/>
              <w:rPr>
                <w:color w:val="auto"/>
                <w:sz w:val="21"/>
                <w:highlight w:val="none"/>
              </w:rPr>
            </w:pPr>
            <w:r>
              <w:rPr>
                <w:rFonts w:hint="eastAsia"/>
                <w:color w:val="auto"/>
                <w:sz w:val="21"/>
                <w:highlight w:val="none"/>
              </w:rPr>
              <w:t>无</w:t>
            </w:r>
          </w:p>
        </w:tc>
      </w:tr>
    </w:tbl>
    <w:p w14:paraId="0AA99E44">
      <w:pPr>
        <w:pStyle w:val="3"/>
        <w:ind w:firstLine="0" w:firstLineChars="0"/>
        <w:rPr>
          <w:color w:val="auto"/>
          <w:highlight w:val="none"/>
        </w:rPr>
        <w:sectPr>
          <w:pgSz w:w="11906" w:h="16838"/>
          <w:pgMar w:top="1440" w:right="1797" w:bottom="1304" w:left="1797" w:header="1021" w:footer="851" w:gutter="0"/>
          <w:cols w:space="425" w:num="1"/>
          <w:docGrid w:type="lines" w:linePitch="312" w:charSpace="0"/>
        </w:sectPr>
      </w:pPr>
    </w:p>
    <w:p w14:paraId="0D79FDA5">
      <w:pPr>
        <w:pStyle w:val="3"/>
        <w:ind w:firstLine="0" w:firstLineChars="0"/>
        <w:jc w:val="center"/>
        <w:outlineLvl w:val="0"/>
        <w:rPr>
          <w:rFonts w:ascii="黑体" w:hAnsi="黑体" w:eastAsia="黑体"/>
          <w:color w:val="auto"/>
          <w:sz w:val="30"/>
          <w:szCs w:val="30"/>
          <w:highlight w:val="none"/>
        </w:rPr>
      </w:pPr>
      <w:bookmarkStart w:id="52" w:name="_Toc21768"/>
      <w:bookmarkStart w:id="53" w:name="_Toc27258"/>
      <w:r>
        <w:rPr>
          <w:rFonts w:hint="eastAsia" w:ascii="黑体" w:hAnsi="黑体" w:eastAsia="黑体"/>
          <w:color w:val="auto"/>
          <w:sz w:val="30"/>
          <w:szCs w:val="30"/>
          <w:highlight w:val="none"/>
        </w:rPr>
        <w:t>四、生态环境影响分析</w:t>
      </w:r>
      <w:bookmarkEnd w:id="52"/>
      <w:bookmarkEnd w:id="53"/>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7881"/>
      </w:tblGrid>
      <w:tr w14:paraId="06EE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Mar>
              <w:top w:w="113" w:type="dxa"/>
              <w:bottom w:w="113" w:type="dxa"/>
            </w:tcMar>
            <w:vAlign w:val="center"/>
          </w:tcPr>
          <w:p w14:paraId="1C0465A1">
            <w:pPr>
              <w:pStyle w:val="3"/>
              <w:spacing w:line="240" w:lineRule="auto"/>
              <w:ind w:firstLine="0" w:firstLineChars="0"/>
              <w:jc w:val="center"/>
              <w:rPr>
                <w:color w:val="auto"/>
                <w:sz w:val="21"/>
                <w:highlight w:val="none"/>
              </w:rPr>
            </w:pPr>
            <w:r>
              <w:rPr>
                <w:rFonts w:hint="eastAsia"/>
                <w:color w:val="auto"/>
                <w:sz w:val="21"/>
                <w:highlight w:val="none"/>
              </w:rPr>
              <w:t>施</w:t>
            </w:r>
          </w:p>
          <w:p w14:paraId="6FBB9E4A">
            <w:pPr>
              <w:pStyle w:val="3"/>
              <w:spacing w:line="240" w:lineRule="auto"/>
              <w:ind w:firstLine="0" w:firstLineChars="0"/>
              <w:jc w:val="center"/>
              <w:rPr>
                <w:color w:val="auto"/>
                <w:sz w:val="21"/>
                <w:highlight w:val="none"/>
              </w:rPr>
            </w:pPr>
            <w:r>
              <w:rPr>
                <w:rFonts w:hint="eastAsia"/>
                <w:color w:val="auto"/>
                <w:sz w:val="21"/>
                <w:highlight w:val="none"/>
              </w:rPr>
              <w:t>工</w:t>
            </w:r>
          </w:p>
          <w:p w14:paraId="0BB45DB2">
            <w:pPr>
              <w:pStyle w:val="3"/>
              <w:spacing w:line="240" w:lineRule="auto"/>
              <w:ind w:firstLine="0" w:firstLineChars="0"/>
              <w:jc w:val="center"/>
              <w:rPr>
                <w:color w:val="auto"/>
                <w:sz w:val="21"/>
                <w:highlight w:val="none"/>
              </w:rPr>
            </w:pPr>
            <w:r>
              <w:rPr>
                <w:rFonts w:hint="eastAsia"/>
                <w:color w:val="auto"/>
                <w:sz w:val="21"/>
                <w:highlight w:val="none"/>
              </w:rPr>
              <w:t>期</w:t>
            </w:r>
          </w:p>
          <w:p w14:paraId="217B1CDB">
            <w:pPr>
              <w:pStyle w:val="3"/>
              <w:spacing w:line="240" w:lineRule="auto"/>
              <w:ind w:firstLine="0" w:firstLineChars="0"/>
              <w:jc w:val="center"/>
              <w:rPr>
                <w:color w:val="auto"/>
                <w:sz w:val="21"/>
                <w:highlight w:val="none"/>
              </w:rPr>
            </w:pPr>
            <w:r>
              <w:rPr>
                <w:rFonts w:hint="eastAsia"/>
                <w:color w:val="auto"/>
                <w:sz w:val="21"/>
                <w:highlight w:val="none"/>
              </w:rPr>
              <w:t>生</w:t>
            </w:r>
          </w:p>
          <w:p w14:paraId="0B0EB0F7">
            <w:pPr>
              <w:pStyle w:val="3"/>
              <w:spacing w:line="240" w:lineRule="auto"/>
              <w:ind w:firstLine="0" w:firstLineChars="0"/>
              <w:jc w:val="center"/>
              <w:rPr>
                <w:color w:val="auto"/>
                <w:sz w:val="21"/>
                <w:highlight w:val="none"/>
              </w:rPr>
            </w:pPr>
            <w:r>
              <w:rPr>
                <w:rFonts w:hint="eastAsia"/>
                <w:color w:val="auto"/>
                <w:sz w:val="21"/>
                <w:highlight w:val="none"/>
              </w:rPr>
              <w:t>态</w:t>
            </w:r>
          </w:p>
          <w:p w14:paraId="4DA79812">
            <w:pPr>
              <w:pStyle w:val="3"/>
              <w:spacing w:line="240" w:lineRule="auto"/>
              <w:ind w:firstLine="0" w:firstLineChars="0"/>
              <w:jc w:val="center"/>
              <w:rPr>
                <w:color w:val="auto"/>
                <w:sz w:val="21"/>
                <w:highlight w:val="none"/>
              </w:rPr>
            </w:pPr>
            <w:r>
              <w:rPr>
                <w:rFonts w:hint="eastAsia"/>
                <w:color w:val="auto"/>
                <w:sz w:val="21"/>
                <w:highlight w:val="none"/>
              </w:rPr>
              <w:t>环</w:t>
            </w:r>
          </w:p>
          <w:p w14:paraId="3181C80D">
            <w:pPr>
              <w:pStyle w:val="3"/>
              <w:spacing w:line="240" w:lineRule="auto"/>
              <w:ind w:firstLine="0" w:firstLineChars="0"/>
              <w:jc w:val="center"/>
              <w:rPr>
                <w:color w:val="auto"/>
                <w:sz w:val="21"/>
                <w:highlight w:val="none"/>
              </w:rPr>
            </w:pPr>
            <w:r>
              <w:rPr>
                <w:rFonts w:hint="eastAsia"/>
                <w:color w:val="auto"/>
                <w:sz w:val="21"/>
                <w:highlight w:val="none"/>
              </w:rPr>
              <w:t>境</w:t>
            </w:r>
          </w:p>
          <w:p w14:paraId="5AE46892">
            <w:pPr>
              <w:pStyle w:val="3"/>
              <w:spacing w:line="240" w:lineRule="auto"/>
              <w:ind w:firstLine="0" w:firstLineChars="0"/>
              <w:jc w:val="center"/>
              <w:rPr>
                <w:color w:val="auto"/>
                <w:sz w:val="21"/>
                <w:highlight w:val="none"/>
              </w:rPr>
            </w:pPr>
            <w:r>
              <w:rPr>
                <w:rFonts w:hint="eastAsia"/>
                <w:color w:val="auto"/>
                <w:sz w:val="21"/>
                <w:highlight w:val="none"/>
              </w:rPr>
              <w:t>影</w:t>
            </w:r>
          </w:p>
          <w:p w14:paraId="078C9EAE">
            <w:pPr>
              <w:pStyle w:val="3"/>
              <w:spacing w:line="240" w:lineRule="auto"/>
              <w:ind w:firstLine="0" w:firstLineChars="0"/>
              <w:jc w:val="center"/>
              <w:rPr>
                <w:color w:val="auto"/>
                <w:sz w:val="21"/>
                <w:highlight w:val="none"/>
              </w:rPr>
            </w:pPr>
            <w:r>
              <w:rPr>
                <w:rFonts w:hint="eastAsia"/>
                <w:color w:val="auto"/>
                <w:sz w:val="21"/>
                <w:highlight w:val="none"/>
              </w:rPr>
              <w:t>响</w:t>
            </w:r>
          </w:p>
          <w:p w14:paraId="38B0336E">
            <w:pPr>
              <w:pStyle w:val="3"/>
              <w:spacing w:line="240" w:lineRule="auto"/>
              <w:ind w:firstLine="0" w:firstLineChars="0"/>
              <w:jc w:val="center"/>
              <w:rPr>
                <w:color w:val="auto"/>
                <w:sz w:val="21"/>
                <w:highlight w:val="none"/>
              </w:rPr>
            </w:pPr>
            <w:r>
              <w:rPr>
                <w:rFonts w:hint="eastAsia"/>
                <w:color w:val="auto"/>
                <w:sz w:val="21"/>
                <w:highlight w:val="none"/>
              </w:rPr>
              <w:t>分</w:t>
            </w:r>
          </w:p>
          <w:p w14:paraId="5AB1E1F8">
            <w:pPr>
              <w:pStyle w:val="3"/>
              <w:spacing w:line="240" w:lineRule="auto"/>
              <w:ind w:firstLine="0" w:firstLineChars="0"/>
              <w:jc w:val="center"/>
              <w:rPr>
                <w:color w:val="auto"/>
                <w:sz w:val="21"/>
                <w:highlight w:val="none"/>
              </w:rPr>
            </w:pPr>
            <w:r>
              <w:rPr>
                <w:rFonts w:hint="eastAsia"/>
                <w:color w:val="auto"/>
                <w:sz w:val="21"/>
                <w:highlight w:val="none"/>
              </w:rPr>
              <w:t>析</w:t>
            </w:r>
          </w:p>
        </w:tc>
        <w:tc>
          <w:tcPr>
            <w:tcW w:w="7881" w:type="dxa"/>
            <w:tcMar>
              <w:top w:w="170" w:type="dxa"/>
              <w:left w:w="108" w:type="dxa"/>
              <w:bottom w:w="113" w:type="dxa"/>
              <w:right w:w="108" w:type="dxa"/>
            </w:tcMar>
            <w:vAlign w:val="center"/>
          </w:tcPr>
          <w:p w14:paraId="7536CD38">
            <w:pPr>
              <w:pStyle w:val="3"/>
              <w:numPr>
                <w:ilvl w:val="0"/>
                <w:numId w:val="0"/>
              </w:numPr>
              <w:spacing w:line="332" w:lineRule="auto"/>
              <w:ind w:firstLine="420" w:firstLineChars="200"/>
              <w:rPr>
                <w:color w:val="auto"/>
                <w:sz w:val="21"/>
                <w:highlight w:val="none"/>
              </w:rPr>
            </w:pPr>
            <w:r>
              <w:rPr>
                <w:rFonts w:ascii="宋体" w:hAnsi="宋体" w:eastAsia="宋体" w:cstheme="minorBidi"/>
                <w:color w:val="auto"/>
                <w:kern w:val="2"/>
                <w:sz w:val="21"/>
                <w:szCs w:val="24"/>
                <w:highlight w:val="none"/>
                <w:lang w:val="en-US" w:eastAsia="zh-CN" w:bidi="ar-SA"/>
              </w:rPr>
              <w:t>1、</w:t>
            </w:r>
            <w:r>
              <w:rPr>
                <w:rFonts w:hint="eastAsia"/>
                <w:color w:val="auto"/>
                <w:sz w:val="21"/>
                <w:highlight w:val="none"/>
              </w:rPr>
              <w:t>生态环境影响分析</w:t>
            </w:r>
          </w:p>
          <w:p w14:paraId="526BCD49">
            <w:pPr>
              <w:pStyle w:val="71"/>
              <w:numPr>
                <w:ilvl w:val="0"/>
                <w:numId w:val="31"/>
              </w:numPr>
              <w:spacing w:line="332" w:lineRule="auto"/>
              <w:ind w:firstLine="420" w:firstLineChars="200"/>
              <w:rPr>
                <w:color w:val="auto"/>
                <w:highlight w:val="none"/>
              </w:rPr>
            </w:pPr>
            <w:r>
              <w:rPr>
                <w:rFonts w:hint="eastAsia"/>
                <w:color w:val="auto"/>
                <w:highlight w:val="none"/>
              </w:rPr>
              <w:t>生态评价范围</w:t>
            </w:r>
          </w:p>
          <w:p w14:paraId="0CAF51C0">
            <w:pPr>
              <w:pStyle w:val="3"/>
              <w:ind w:firstLine="420"/>
              <w:rPr>
                <w:color w:val="auto"/>
                <w:sz w:val="21"/>
                <w:highlight w:val="none"/>
              </w:rPr>
            </w:pPr>
            <w:r>
              <w:rPr>
                <w:rFonts w:hint="eastAsia"/>
                <w:color w:val="auto"/>
                <w:sz w:val="21"/>
                <w:highlight w:val="none"/>
              </w:rPr>
              <w:t>根据《环境影响评价技术导则 生态影响》（HJ 19-2022）以及《环境影响评价技术导则 陆地石油天然气开发建设项目》（HJ 349-2023）中关于生态影响评价范围的要求，区域性建设项目以影响区范围向四周外扩原则确定评价范围。因此，本项目评价范围为井场边界外扩50m。</w:t>
            </w:r>
          </w:p>
          <w:p w14:paraId="3CDFD943">
            <w:pPr>
              <w:pStyle w:val="71"/>
              <w:numPr>
                <w:ilvl w:val="0"/>
                <w:numId w:val="31"/>
              </w:numPr>
              <w:spacing w:line="332" w:lineRule="auto"/>
              <w:ind w:firstLine="420" w:firstLineChars="200"/>
              <w:rPr>
                <w:color w:val="auto"/>
                <w:highlight w:val="none"/>
              </w:rPr>
            </w:pPr>
            <w:r>
              <w:rPr>
                <w:rFonts w:hint="eastAsia"/>
                <w:color w:val="auto"/>
                <w:highlight w:val="none"/>
              </w:rPr>
              <w:t>土地利用影响分析</w:t>
            </w:r>
          </w:p>
          <w:p w14:paraId="729EC71D">
            <w:pPr>
              <w:pStyle w:val="3"/>
              <w:ind w:firstLine="420"/>
              <w:rPr>
                <w:color w:val="auto"/>
                <w:sz w:val="21"/>
                <w:highlight w:val="none"/>
              </w:rPr>
            </w:pPr>
            <w:r>
              <w:rPr>
                <w:rFonts w:hint="eastAsia"/>
                <w:color w:val="auto"/>
                <w:sz w:val="21"/>
                <w:highlight w:val="none"/>
              </w:rPr>
              <w:t>项目临时占用灌木林地，但临时占地只在短期内改变土地利用类型和植被现状，施工结束后将对临时占用土地进行地貌恢复，即可恢复为原有土地利用类型。因此，临时占地对区域土地利用类型的影响较小。</w:t>
            </w:r>
          </w:p>
          <w:p w14:paraId="50499354">
            <w:pPr>
              <w:pStyle w:val="71"/>
              <w:numPr>
                <w:ilvl w:val="0"/>
                <w:numId w:val="31"/>
              </w:numPr>
              <w:spacing w:line="332" w:lineRule="auto"/>
              <w:ind w:firstLine="420" w:firstLineChars="200"/>
              <w:rPr>
                <w:color w:val="auto"/>
                <w:highlight w:val="none"/>
              </w:rPr>
            </w:pPr>
            <w:r>
              <w:rPr>
                <w:rFonts w:hint="eastAsia"/>
                <w:color w:val="auto"/>
                <w:highlight w:val="none"/>
              </w:rPr>
              <w:t>生态环境影响分析</w:t>
            </w:r>
          </w:p>
          <w:p w14:paraId="31A5D7A8">
            <w:pPr>
              <w:pStyle w:val="3"/>
              <w:ind w:firstLine="420"/>
              <w:rPr>
                <w:color w:val="auto"/>
                <w:sz w:val="21"/>
                <w:highlight w:val="none"/>
              </w:rPr>
            </w:pPr>
            <w:r>
              <w:rPr>
                <w:rFonts w:hint="eastAsia"/>
                <w:color w:val="auto"/>
                <w:sz w:val="21"/>
                <w:highlight w:val="none"/>
              </w:rPr>
              <w:t>本项目钻井工程和进井道路建设是造成植被破坏的主要原因，开发过程中的占地为临时占地，对植被的主要影响形式是对土地的占用以及施工阶段清场过程中对地表植被的清理及施工过程中的碾压。地表保护层被破坏后，其稳定性下降，防止水土流失的能力也随之下降，并且地表植被已不复存在。该区域的植被覆盖低，项目占地会影响生态系统的功能发挥，并会产生一定的水土流失。植被破坏后不易恢复，因而使得这部分土地基本没有植物初级生产能力。当临时性占地的植被得到初步恢复后，这种损失将逐渐减少。</w:t>
            </w:r>
          </w:p>
          <w:p w14:paraId="424F0F37">
            <w:pPr>
              <w:pStyle w:val="73"/>
              <w:numPr>
                <w:ilvl w:val="0"/>
                <w:numId w:val="0"/>
              </w:numPr>
              <w:ind w:firstLine="420" w:firstLineChars="200"/>
              <w:rPr>
                <w:color w:val="auto"/>
                <w:highlight w:val="none"/>
              </w:rPr>
            </w:pPr>
            <w:r>
              <w:rPr>
                <w:color w:val="auto"/>
                <w:highlight w:val="none"/>
              </w:rPr>
              <w:t>（1）</w:t>
            </w:r>
            <w:r>
              <w:rPr>
                <w:rFonts w:hint="eastAsia"/>
                <w:color w:val="auto"/>
                <w:highlight w:val="none"/>
              </w:rPr>
              <w:t>对土壤环境影响</w:t>
            </w:r>
          </w:p>
          <w:p w14:paraId="6E0779E2">
            <w:pPr>
              <w:pStyle w:val="3"/>
              <w:ind w:firstLine="420"/>
              <w:rPr>
                <w:color w:val="auto"/>
                <w:sz w:val="21"/>
                <w:highlight w:val="none"/>
              </w:rPr>
            </w:pPr>
            <w:r>
              <w:rPr>
                <w:rFonts w:hint="eastAsia"/>
                <w:color w:val="auto"/>
                <w:sz w:val="21"/>
                <w:highlight w:val="none"/>
              </w:rPr>
              <w:t>对土壤质量的影响主要为人为扰动、车辆行驶和机械施工。</w:t>
            </w:r>
          </w:p>
          <w:p w14:paraId="2FDBC931">
            <w:pPr>
              <w:pStyle w:val="3"/>
              <w:ind w:firstLine="420"/>
              <w:rPr>
                <w:color w:val="auto"/>
                <w:sz w:val="21"/>
                <w:highlight w:val="none"/>
              </w:rPr>
            </w:pPr>
            <w:r>
              <w:rPr>
                <w:rFonts w:hint="eastAsia"/>
                <w:color w:val="auto"/>
                <w:sz w:val="21"/>
                <w:highlight w:val="none"/>
              </w:rPr>
              <w:t>①人为扰动对土壤的影响</w:t>
            </w:r>
          </w:p>
          <w:p w14:paraId="1DC21A78">
            <w:pPr>
              <w:pStyle w:val="3"/>
              <w:ind w:firstLine="420"/>
              <w:rPr>
                <w:color w:val="auto"/>
                <w:sz w:val="21"/>
                <w:highlight w:val="none"/>
              </w:rPr>
            </w:pPr>
            <w:r>
              <w:rPr>
                <w:rFonts w:hint="eastAsia"/>
                <w:color w:val="auto"/>
                <w:sz w:val="21"/>
                <w:highlight w:val="none"/>
              </w:rPr>
              <w:t>项目施工过程中，不可避免地要对土壤进行人为扰动，主要是开挖和回填，翻动土壤层次并破坏土壤结构。</w:t>
            </w:r>
          </w:p>
          <w:p w14:paraId="3A7E33E1">
            <w:pPr>
              <w:pStyle w:val="3"/>
              <w:ind w:firstLine="420"/>
              <w:rPr>
                <w:color w:val="auto"/>
                <w:sz w:val="21"/>
                <w:highlight w:val="none"/>
              </w:rPr>
            </w:pPr>
            <w:r>
              <w:rPr>
                <w:rFonts w:hint="eastAsia"/>
                <w:color w:val="auto"/>
                <w:sz w:val="21"/>
                <w:highlight w:val="none"/>
              </w:rPr>
              <w:t>②车辆行驶和机械施工对土壤的影响在施工中，车辆行驶和机械作业时机械设备的碾压、施工人员的踩踏等都会对土壤的紧实度产生影响。机械碾压的结果使土壤紧实度增高，地表水入渗减少。各种车辆（尤其是重型卡车）在荒漠上行驶将使经过的土壤变紧实。因此环评要求，严格控制施工作业范围，严禁随意扩大施工用地范围，并充分利用项目区周边的现有便道。</w:t>
            </w:r>
          </w:p>
          <w:p w14:paraId="169900C1">
            <w:pPr>
              <w:pStyle w:val="73"/>
              <w:numPr>
                <w:ilvl w:val="0"/>
                <w:numId w:val="0"/>
              </w:numPr>
              <w:ind w:firstLine="420" w:firstLineChars="200"/>
              <w:rPr>
                <w:color w:val="auto"/>
                <w:highlight w:val="none"/>
              </w:rPr>
            </w:pPr>
            <w:r>
              <w:rPr>
                <w:color w:val="auto"/>
                <w:highlight w:val="none"/>
              </w:rPr>
              <w:t>（2）</w:t>
            </w:r>
            <w:r>
              <w:rPr>
                <w:rFonts w:hint="eastAsia"/>
                <w:color w:val="auto"/>
                <w:highlight w:val="none"/>
              </w:rPr>
              <w:t>对工程区植被的影响</w:t>
            </w:r>
          </w:p>
          <w:p w14:paraId="06BEA091">
            <w:pPr>
              <w:pStyle w:val="3"/>
              <w:ind w:firstLine="420"/>
              <w:rPr>
                <w:color w:val="auto"/>
                <w:sz w:val="21"/>
                <w:highlight w:val="none"/>
              </w:rPr>
            </w:pPr>
            <w:r>
              <w:rPr>
                <w:rFonts w:hint="eastAsia"/>
                <w:color w:val="auto"/>
                <w:sz w:val="21"/>
                <w:highlight w:val="none"/>
              </w:rPr>
              <w:t>本项目建设过程中大量人员、机械进入施工区域，使草地环境中人类活动频率大幅度增加，对植被的影响主要表现在人类和机械对植物的踩踏、碾压和砍伐，使原生植被生境发生较大变化。井区在施工过程中临时占地面积较小，在完井后的2年～3年，将影响占地范围之内的植被初级生产力。本项目施工期短暂，仅为临时占地。当临时性占地的植被得到初步恢复后，这种损失将逐渐减少。</w:t>
            </w:r>
          </w:p>
          <w:p w14:paraId="5A2293D8">
            <w:pPr>
              <w:pStyle w:val="3"/>
              <w:ind w:firstLine="420"/>
              <w:rPr>
                <w:color w:val="auto"/>
                <w:sz w:val="21"/>
                <w:highlight w:val="none"/>
              </w:rPr>
            </w:pPr>
            <w:r>
              <w:rPr>
                <w:rFonts w:hint="eastAsia"/>
                <w:color w:val="auto"/>
                <w:sz w:val="21"/>
                <w:highlight w:val="none"/>
              </w:rPr>
              <w:t>本项目建设过程中将损毁一定量的植被。根据相关文献资料调查，固定和半固定沙丘上梭梭林的地上部分生物量（干重）范围通常在2.0～8.0t/hm</w:t>
            </w:r>
            <w:r>
              <w:rPr>
                <w:rFonts w:hint="eastAsia"/>
                <w:color w:val="auto"/>
                <w:sz w:val="21"/>
                <w:highlight w:val="none"/>
                <w:vertAlign w:val="superscript"/>
              </w:rPr>
              <w:t>2</w:t>
            </w:r>
            <w:r>
              <w:rPr>
                <w:rFonts w:hint="eastAsia"/>
                <w:color w:val="auto"/>
                <w:sz w:val="21"/>
                <w:highlight w:val="none"/>
              </w:rPr>
              <w:t>之间。40%的覆盖度通常对应生物量处于中下水平，约2.0～5.0t/hm</w:t>
            </w:r>
            <w:r>
              <w:rPr>
                <w:rFonts w:hint="eastAsia"/>
                <w:color w:val="auto"/>
                <w:sz w:val="21"/>
                <w:highlight w:val="none"/>
                <w:vertAlign w:val="superscript"/>
              </w:rPr>
              <w:t>2</w:t>
            </w:r>
            <w:r>
              <w:rPr>
                <w:rFonts w:hint="eastAsia"/>
                <w:color w:val="auto"/>
                <w:sz w:val="21"/>
                <w:highlight w:val="none"/>
              </w:rPr>
              <w:t>。根据现场调查，生物量取5t/hm</w:t>
            </w:r>
            <w:r>
              <w:rPr>
                <w:rFonts w:hint="eastAsia"/>
                <w:color w:val="auto"/>
                <w:sz w:val="21"/>
                <w:highlight w:val="none"/>
                <w:vertAlign w:val="superscript"/>
              </w:rPr>
              <w:t>2</w:t>
            </w:r>
            <w:r>
              <w:rPr>
                <w:rFonts w:hint="eastAsia"/>
                <w:color w:val="auto"/>
                <w:sz w:val="21"/>
                <w:highlight w:val="none"/>
              </w:rPr>
              <w:t>，本项目土壤扰动面积为2.5hm</w:t>
            </w:r>
            <w:r>
              <w:rPr>
                <w:rFonts w:hint="eastAsia"/>
                <w:color w:val="auto"/>
                <w:sz w:val="21"/>
                <w:highlight w:val="none"/>
                <w:vertAlign w:val="superscript"/>
              </w:rPr>
              <w:t>2</w:t>
            </w:r>
            <w:r>
              <w:rPr>
                <w:rFonts w:hint="eastAsia"/>
                <w:color w:val="auto"/>
                <w:sz w:val="21"/>
                <w:highlight w:val="none"/>
              </w:rPr>
              <w:t>，本项目单年生物量损失约为12.5t。由于所在区域植被类型少而单一，植被损失主要来自临时占地，因此只要加强施工管理，认真做好施工结束后的植被恢复及固沙工作，施工结束后地表植被自然恢复，建设对植被的环境影响是可以接受的。</w:t>
            </w:r>
          </w:p>
          <w:p w14:paraId="6FBDCE87">
            <w:pPr>
              <w:pStyle w:val="3"/>
              <w:ind w:firstLine="420"/>
              <w:rPr>
                <w:color w:val="auto"/>
                <w:sz w:val="21"/>
                <w:szCs w:val="21"/>
                <w:highlight w:val="none"/>
              </w:rPr>
            </w:pPr>
            <w:r>
              <w:rPr>
                <w:rFonts w:hint="eastAsia"/>
                <w:color w:val="auto"/>
                <w:sz w:val="21"/>
                <w:szCs w:val="21"/>
                <w:highlight w:val="none"/>
              </w:rPr>
              <w:t>（3）对工程区公益林的影响</w:t>
            </w:r>
          </w:p>
          <w:p w14:paraId="64C853EB">
            <w:pPr>
              <w:pStyle w:val="3"/>
              <w:ind w:firstLine="420"/>
              <w:rPr>
                <w:rFonts w:hint="eastAsia"/>
                <w:color w:val="auto"/>
                <w:sz w:val="21"/>
                <w:szCs w:val="21"/>
                <w:highlight w:val="none"/>
              </w:rPr>
            </w:pPr>
            <w:r>
              <w:rPr>
                <w:rFonts w:hint="eastAsia"/>
                <w:color w:val="auto"/>
                <w:sz w:val="21"/>
                <w:szCs w:val="21"/>
                <w:highlight w:val="none"/>
              </w:rPr>
              <w:t>本工程不涉及永久占地，新增临时占地</w:t>
            </w:r>
            <w:r>
              <w:rPr>
                <w:rFonts w:hint="eastAsia"/>
                <w:color w:val="auto"/>
                <w:sz w:val="21"/>
                <w:highlight w:val="none"/>
                <w:lang w:eastAsia="zh-CN"/>
              </w:rPr>
              <w:t>25284</w:t>
            </w:r>
            <w:r>
              <w:rPr>
                <w:rFonts w:hint="eastAsia"/>
                <w:color w:val="auto"/>
                <w:sz w:val="21"/>
                <w:highlight w:val="none"/>
              </w:rPr>
              <w:t>m</w:t>
            </w:r>
            <w:r>
              <w:rPr>
                <w:rFonts w:hint="eastAsia"/>
                <w:color w:val="auto"/>
                <w:sz w:val="21"/>
                <w:highlight w:val="none"/>
                <w:vertAlign w:val="superscript"/>
              </w:rPr>
              <w:t>2</w:t>
            </w:r>
            <w:r>
              <w:rPr>
                <w:rFonts w:hint="eastAsia"/>
                <w:color w:val="auto"/>
                <w:sz w:val="21"/>
                <w:szCs w:val="21"/>
                <w:highlight w:val="none"/>
              </w:rPr>
              <w:t>，占用公益林森林类别为国家级二级公益林，不涉及国家一级公益林。</w:t>
            </w:r>
          </w:p>
          <w:p w14:paraId="219246F4">
            <w:pPr>
              <w:pStyle w:val="3"/>
              <w:ind w:firstLine="420"/>
              <w:rPr>
                <w:color w:val="auto"/>
                <w:sz w:val="21"/>
                <w:szCs w:val="21"/>
                <w:highlight w:val="none"/>
              </w:rPr>
            </w:pPr>
            <w:r>
              <w:rPr>
                <w:rFonts w:hint="eastAsia"/>
                <w:color w:val="auto"/>
                <w:sz w:val="21"/>
                <w:szCs w:val="21"/>
                <w:highlight w:val="none"/>
              </w:rPr>
              <w:t>项目所在区域分布的重点公益林类型为灌木林地、优势树种为梭梭，植被盖度约为10～15%，局部灌木分布区域生境条件较好，植被覆盖度可达40%，灌木林地、宜林地呈南北向条带状相间分布，主要作用为防风固沙。工程区分布的植被均为旱生荒漠广布种类，工程占地区域相对于整个荒漠区而言很小，对生物多样性不会产生大的影响。工程建设将对局部区域的公益林生态效能产生影响。工程施工将使占用范围内的土壤、植被遭到破坏，地表裸露，局部蒸发量加大，土壤理化性质和土壤结构改变，占地林地范围内森林生态防护效能暂时丧失；由于施工设施的影响，地表水将有序流动，使一定范围内的植被生存环境的恶劣程度减轻，改善了其生长条件。</w:t>
            </w:r>
          </w:p>
          <w:p w14:paraId="61C4A8E8">
            <w:pPr>
              <w:pStyle w:val="3"/>
              <w:ind w:firstLine="420"/>
              <w:rPr>
                <w:color w:val="auto"/>
                <w:sz w:val="21"/>
                <w:szCs w:val="21"/>
                <w:highlight w:val="none"/>
              </w:rPr>
            </w:pPr>
            <w:bookmarkStart w:id="54" w:name="_Hlk55229086"/>
            <w:r>
              <w:rPr>
                <w:rFonts w:hint="eastAsia"/>
                <w:color w:val="auto"/>
                <w:sz w:val="21"/>
                <w:szCs w:val="21"/>
                <w:highlight w:val="none"/>
              </w:rPr>
              <w:t>本工程正常工况下无废水及固废等污染物外排，不会对周边公益林造成影响。如果发生井喷及管线泄漏等事故，泄漏的原油会对周边公益林造成一定的影响，其产生的污染物排放均会对影响范围内的公益林造成不同程度的影响，影响程度与发生事故时泄漏的油量及是否发生火灾有很大关系。发生事故时泄漏的油量附着在公益林植被上会影响其生理功能，使植物生长发育受阻，严重时导致植物的死亡。根据环境风险分析可知，本项目风险潜势很低，发生泄漏事故的可能性很小，且发生事故后及时采取相应的治理措施，将受污染的土壤及时收集、处理，不会对土壤环境产生明显影响。如果发生火灾，则植被的地上部分会完全被毁，但如果土壤环境未被破坏，草本植被第二年会重新发芽生长。</w:t>
            </w:r>
          </w:p>
          <w:bookmarkEnd w:id="54"/>
          <w:p w14:paraId="6D7B1189">
            <w:pPr>
              <w:pStyle w:val="3"/>
              <w:ind w:firstLine="420"/>
              <w:rPr>
                <w:color w:val="auto"/>
                <w:sz w:val="21"/>
                <w:highlight w:val="none"/>
              </w:rPr>
            </w:pPr>
            <w:r>
              <w:rPr>
                <w:rFonts w:hint="eastAsia"/>
                <w:color w:val="auto"/>
                <w:sz w:val="21"/>
                <w:szCs w:val="21"/>
                <w:highlight w:val="none"/>
              </w:rPr>
              <w:t>管道沿线两侧范围内的林地征用应按照地方有关工程临时征地补偿标准进行，占用国家二级公益林，应按《国家级公益林管理办法》</w:t>
            </w:r>
            <w:r>
              <w:rPr>
                <w:rFonts w:hint="eastAsia"/>
                <w:color w:val="auto"/>
                <w:sz w:val="21"/>
                <w:szCs w:val="21"/>
                <w:highlight w:val="none"/>
                <w:lang w:eastAsia="zh-CN"/>
              </w:rPr>
              <w:t>（林资发[2017]34号）</w:t>
            </w:r>
            <w:r>
              <w:rPr>
                <w:rFonts w:hint="eastAsia"/>
                <w:color w:val="auto"/>
                <w:sz w:val="21"/>
                <w:szCs w:val="21"/>
                <w:highlight w:val="none"/>
              </w:rPr>
              <w:t>第十八条、第十九条的规定实行占补平衡。同时，施工作业时尽量避开灌木茂密区域，在条件允许时，减少砍伐林木的数量，最大程度地保护沿线的林业生态环境。</w:t>
            </w:r>
          </w:p>
          <w:p w14:paraId="7B8EB602">
            <w:pPr>
              <w:pStyle w:val="73"/>
              <w:numPr>
                <w:ilvl w:val="0"/>
                <w:numId w:val="0"/>
              </w:numPr>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highlight w:val="none"/>
              </w:rPr>
              <w:t>对野生动物的影响</w:t>
            </w:r>
          </w:p>
          <w:p w14:paraId="2CE96430">
            <w:pPr>
              <w:pStyle w:val="3"/>
              <w:ind w:firstLine="420"/>
              <w:rPr>
                <w:color w:val="auto"/>
                <w:sz w:val="21"/>
                <w:highlight w:val="none"/>
              </w:rPr>
            </w:pPr>
            <w:r>
              <w:rPr>
                <w:rFonts w:hint="eastAsia"/>
                <w:color w:val="auto"/>
                <w:sz w:val="21"/>
                <w:highlight w:val="none"/>
              </w:rPr>
              <w:t>钻井工程对野生动物生存环境、分布范围和种群数量的影响主要分为直接影响和间接影响两个方面。直接影响主要表现为建设项目占地使野生动物的原始生存环境被破坏或改变；间接影响主要表现为由于植被的减少或污染破坏而引起野生动物食物来源减少。根据现场踏勘，未见国家及自治区野生保护动物，本项目区域受人为活动影响，大型兽类活动较少，区域内仅有少量小型野生动物栖息，包括小家鼠、田鼠、沙鼠等，鸟类有麻雀、乌鸦等，数量不多，由于评价区域不是动物的唯一栖息地，项目不涉及野生动物栖息地，故该建设项目对动物区域性生境不产生明显影响。</w:t>
            </w:r>
          </w:p>
          <w:p w14:paraId="10B549DA">
            <w:pPr>
              <w:pStyle w:val="73"/>
              <w:numPr>
                <w:ilvl w:val="0"/>
                <w:numId w:val="0"/>
              </w:numPr>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rFonts w:hint="eastAsia"/>
                <w:color w:val="auto"/>
                <w:highlight w:val="none"/>
              </w:rPr>
              <w:t>水土流失影响分析</w:t>
            </w:r>
          </w:p>
          <w:p w14:paraId="15DEDD74">
            <w:pPr>
              <w:pStyle w:val="3"/>
              <w:spacing w:line="332" w:lineRule="auto"/>
              <w:ind w:firstLine="420"/>
              <w:rPr>
                <w:color w:val="auto"/>
                <w:sz w:val="21"/>
                <w:highlight w:val="none"/>
              </w:rPr>
            </w:pPr>
            <w:r>
              <w:rPr>
                <w:rFonts w:hint="eastAsia"/>
                <w:color w:val="auto"/>
                <w:sz w:val="21"/>
                <w:highlight w:val="none"/>
              </w:rPr>
              <w:t>本项目建设将破坏地表原有稳定</w:t>
            </w:r>
            <w:r>
              <w:rPr>
                <w:color w:val="auto"/>
                <w:sz w:val="21"/>
                <w:highlight w:val="none"/>
              </w:rPr>
              <w:t>结构</w:t>
            </w:r>
            <w:r>
              <w:rPr>
                <w:rFonts w:hint="eastAsia"/>
                <w:color w:val="auto"/>
                <w:sz w:val="21"/>
                <w:highlight w:val="none"/>
              </w:rPr>
              <w:t>，增大了风蚀量。施工作业范围内的土壤地表表层遭到破坏，下层的粉细物质暴露在地层表面，在风力的作用下，风蚀量会明显加大，这种影响在短时间内不会完全恢复。但随着时间的推移，风蚀量会随着地表新保护层的逐渐形成而减弱。水土流失本次要求建设单位严格按照《中华人民共和国防沙治沙法》（2018年10月26日）中有关规定，执行以下井场防沙治沙防治措施：</w:t>
            </w:r>
          </w:p>
          <w:p w14:paraId="21E279E4">
            <w:pPr>
              <w:pStyle w:val="3"/>
              <w:ind w:firstLine="420"/>
              <w:rPr>
                <w:color w:val="auto"/>
                <w:sz w:val="21"/>
                <w:highlight w:val="none"/>
              </w:rPr>
            </w:pPr>
            <w:r>
              <w:rPr>
                <w:rFonts w:hint="eastAsia"/>
                <w:color w:val="auto"/>
                <w:sz w:val="21"/>
                <w:highlight w:val="none"/>
              </w:rPr>
              <w:t>土地临时使用过程中发现土地沙化或者沙化程度加重的，应当及时报告当地人民政府；大力宣传《中华人民共和国防沙治沙法》（2018年10月26日），使施工人员知法、懂法、守法，自觉保护林草植被，自觉履行防治义务。禁止在沙化土地上砍挖灌木、药材及其他固沙植物；施工结束后对占地进行平整，清运现场遗留的污染物，按照正式征地文件的规定对占地进行经济补偿。</w:t>
            </w:r>
          </w:p>
          <w:p w14:paraId="086AF600">
            <w:pPr>
              <w:pStyle w:val="73"/>
              <w:numPr>
                <w:ilvl w:val="0"/>
                <w:numId w:val="0"/>
              </w:numPr>
              <w:ind w:firstLine="420" w:firstLineChars="200"/>
              <w:rPr>
                <w:color w:val="auto"/>
                <w:highlight w:val="none"/>
              </w:rPr>
            </w:pPr>
            <w:r>
              <w:rPr>
                <w:color w:val="auto"/>
                <w:highlight w:val="none"/>
              </w:rPr>
              <w:t>（</w:t>
            </w:r>
            <w:r>
              <w:rPr>
                <w:rFonts w:hint="eastAsia"/>
                <w:color w:val="auto"/>
                <w:highlight w:val="none"/>
              </w:rPr>
              <w:t>6</w:t>
            </w:r>
            <w:r>
              <w:rPr>
                <w:color w:val="auto"/>
                <w:highlight w:val="none"/>
              </w:rPr>
              <w:t>）</w:t>
            </w:r>
            <w:r>
              <w:rPr>
                <w:rFonts w:hint="eastAsia"/>
                <w:color w:val="auto"/>
                <w:highlight w:val="none"/>
              </w:rPr>
              <w:t>对区域土地沙化的影响分析</w:t>
            </w:r>
          </w:p>
          <w:p w14:paraId="0A6C0D22">
            <w:pPr>
              <w:pStyle w:val="3"/>
              <w:ind w:firstLine="420"/>
              <w:rPr>
                <w:color w:val="auto"/>
                <w:sz w:val="21"/>
                <w:highlight w:val="none"/>
              </w:rPr>
            </w:pPr>
            <w:r>
              <w:rPr>
                <w:rFonts w:hint="eastAsia"/>
                <w:color w:val="auto"/>
                <w:sz w:val="21"/>
                <w:highlight w:val="none"/>
              </w:rPr>
              <w:t>①钻井平台搭建、道路修建、临时设施建设等会直接占用土地，破坏地表植被和土壤结构，导致原生植被覆盖率下降，裸露地表增加，风蚀和水蚀风险加剧。</w:t>
            </w:r>
          </w:p>
          <w:p w14:paraId="6E408E7E">
            <w:pPr>
              <w:pStyle w:val="3"/>
              <w:ind w:firstLine="420"/>
              <w:rPr>
                <w:color w:val="auto"/>
                <w:sz w:val="21"/>
                <w:highlight w:val="none"/>
              </w:rPr>
            </w:pPr>
            <w:r>
              <w:rPr>
                <w:rFonts w:hint="eastAsia"/>
                <w:color w:val="auto"/>
                <w:sz w:val="21"/>
                <w:highlight w:val="none"/>
              </w:rPr>
              <w:t>②施工机械碾压等活动会破坏土壤层次，降低土壤渗透性和持水能力，加速土壤水分蒸发，形成松散沙源。</w:t>
            </w:r>
          </w:p>
          <w:p w14:paraId="3DA75A01">
            <w:pPr>
              <w:pStyle w:val="3"/>
              <w:ind w:firstLine="420"/>
              <w:rPr>
                <w:color w:val="auto"/>
                <w:sz w:val="21"/>
                <w:highlight w:val="none"/>
              </w:rPr>
            </w:pPr>
            <w:r>
              <w:rPr>
                <w:rFonts w:hint="eastAsia"/>
                <w:color w:val="auto"/>
                <w:sz w:val="21"/>
                <w:highlight w:val="none"/>
              </w:rPr>
              <w:t>③钻井废水、油污若未妥善处理，可能渗入土壤，改变土壤理化性质，抑制植被生长，间接加剧沙化。</w:t>
            </w:r>
          </w:p>
          <w:p w14:paraId="5834B74C">
            <w:pPr>
              <w:pStyle w:val="3"/>
              <w:ind w:firstLine="420"/>
              <w:rPr>
                <w:color w:val="auto"/>
                <w:sz w:val="21"/>
                <w:highlight w:val="none"/>
              </w:rPr>
            </w:pPr>
            <w:r>
              <w:rPr>
                <w:rFonts w:hint="eastAsia"/>
                <w:color w:val="auto"/>
                <w:sz w:val="21"/>
                <w:highlight w:val="none"/>
              </w:rPr>
              <w:t>④井场周边植被恢复滞后可能导致土地裸露时间延长，植被覆盖度难以恢复，区域固沙能力下降。</w:t>
            </w:r>
          </w:p>
          <w:p w14:paraId="7968BDC4">
            <w:pPr>
              <w:pStyle w:val="3"/>
              <w:ind w:firstLine="420"/>
              <w:rPr>
                <w:color w:val="auto"/>
                <w:sz w:val="21"/>
                <w:highlight w:val="none"/>
              </w:rPr>
            </w:pPr>
            <w:r>
              <w:rPr>
                <w:rFonts w:hint="eastAsia"/>
                <w:color w:val="auto"/>
                <w:sz w:val="21"/>
                <w:highlight w:val="none"/>
              </w:rPr>
              <w:t>⑤若项目结束后未采取有效生态恢复措施（如植被补种、土壤改良），可能导致土地沙化问题长期存在。</w:t>
            </w:r>
          </w:p>
          <w:p w14:paraId="4244FC44">
            <w:pPr>
              <w:pStyle w:val="3"/>
              <w:ind w:firstLine="420"/>
              <w:rPr>
                <w:color w:val="auto"/>
                <w:sz w:val="21"/>
                <w:highlight w:val="none"/>
              </w:rPr>
            </w:pPr>
            <w:r>
              <w:rPr>
                <w:rFonts w:hint="eastAsia"/>
                <w:color w:val="auto"/>
                <w:sz w:val="21"/>
                <w:highlight w:val="none"/>
              </w:rPr>
              <w:t>⑥项目实施过程中将会破坏占地范围内的土壤表层稳定结皮和地表荒漠植被，项目所在区域具有多风、降水量偏低等气候特征，地表稳定结皮被破坏后，在大风天气条件下，施工会使占地范围内的土地就地起尘，造成局部水土流失，严重时可能导致沙化。</w:t>
            </w:r>
          </w:p>
          <w:p w14:paraId="6B8EA47A">
            <w:pPr>
              <w:pStyle w:val="3"/>
              <w:ind w:firstLine="420"/>
              <w:rPr>
                <w:color w:val="auto"/>
                <w:sz w:val="21"/>
                <w:highlight w:val="none"/>
              </w:rPr>
            </w:pPr>
            <w:r>
              <w:rPr>
                <w:rFonts w:hint="eastAsia"/>
                <w:color w:val="auto"/>
                <w:sz w:val="21"/>
                <w:highlight w:val="none"/>
              </w:rPr>
              <w:t>由于项目占地范围较小，施工时间短，施工结束后及时对临时占地范围内场地进行平整和清理，尽量利用施工时产生的表层土对临时占地进行覆盖，采用自然恢复的方式对区域植被进行恢复。综上所述，本项目对区域土地沙化影响不大。</w:t>
            </w:r>
          </w:p>
          <w:p w14:paraId="5A48CC1D">
            <w:pPr>
              <w:pStyle w:val="73"/>
              <w:numPr>
                <w:ilvl w:val="0"/>
                <w:numId w:val="0"/>
              </w:numPr>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土地影响分析</w:t>
            </w:r>
          </w:p>
          <w:p w14:paraId="35CB4EAD">
            <w:pPr>
              <w:pStyle w:val="3"/>
              <w:ind w:firstLine="420"/>
              <w:rPr>
                <w:color w:val="auto"/>
                <w:sz w:val="21"/>
                <w:highlight w:val="none"/>
              </w:rPr>
            </w:pPr>
            <w:r>
              <w:rPr>
                <w:rFonts w:hint="eastAsia"/>
                <w:color w:val="auto"/>
                <w:sz w:val="21"/>
                <w:highlight w:val="none"/>
              </w:rPr>
              <w:t>①土地理化性质影响施工过程中，土方开挖、堆放、回填及材料堆放、人工踩踏、机械设备碾压等活动将对土壤理化性质产生影响。</w:t>
            </w:r>
          </w:p>
          <w:p w14:paraId="53960A07">
            <w:pPr>
              <w:pStyle w:val="3"/>
              <w:ind w:firstLine="420"/>
              <w:rPr>
                <w:color w:val="auto"/>
                <w:sz w:val="21"/>
                <w:highlight w:val="none"/>
              </w:rPr>
            </w:pPr>
            <w:r>
              <w:rPr>
                <w:rFonts w:hint="eastAsia"/>
                <w:color w:val="auto"/>
                <w:sz w:val="21"/>
                <w:highlight w:val="none"/>
              </w:rPr>
              <w:t>a.混合土壤层次，改变土体构型</w:t>
            </w:r>
          </w:p>
          <w:p w14:paraId="3E0B9DD0">
            <w:pPr>
              <w:pStyle w:val="3"/>
              <w:ind w:firstLine="420"/>
              <w:rPr>
                <w:color w:val="auto"/>
                <w:sz w:val="21"/>
                <w:highlight w:val="none"/>
              </w:rPr>
            </w:pPr>
            <w:r>
              <w:rPr>
                <w:rFonts w:hint="eastAsia"/>
                <w:color w:val="auto"/>
                <w:sz w:val="21"/>
                <w:highlight w:val="none"/>
              </w:rPr>
              <w:t>无论是自然土壤还是农业土壤，在形成过程中由于物质和能量长期垂直分异的结果，形成质地、结构、性质和厚度差异明显的土壤剖面构型。项目土方的开挖与回填，使原土壤层次混合，原土体构型破坏。土体构型被破坏，将明显地改变土体中物质和能量的转移和传递规律，使表层通气透水性变差，亚表层保水、保肥性能降低，从而造成对植物的生长、发育及其产量影响。</w:t>
            </w:r>
          </w:p>
          <w:p w14:paraId="5EB20449">
            <w:pPr>
              <w:pStyle w:val="3"/>
              <w:ind w:firstLine="420"/>
              <w:rPr>
                <w:color w:val="auto"/>
                <w:sz w:val="21"/>
                <w:highlight w:val="none"/>
              </w:rPr>
            </w:pPr>
            <w:r>
              <w:rPr>
                <w:rFonts w:hint="eastAsia"/>
                <w:color w:val="auto"/>
                <w:sz w:val="21"/>
                <w:highlight w:val="none"/>
              </w:rPr>
              <w:t>b.影响土壤紧实度</w:t>
            </w:r>
          </w:p>
          <w:p w14:paraId="6E5B488C">
            <w:pPr>
              <w:pStyle w:val="3"/>
              <w:ind w:firstLine="420"/>
              <w:rPr>
                <w:color w:val="auto"/>
                <w:sz w:val="21"/>
                <w:highlight w:val="none"/>
              </w:rPr>
            </w:pPr>
            <w:r>
              <w:rPr>
                <w:rFonts w:hint="eastAsia"/>
                <w:color w:val="auto"/>
                <w:sz w:val="21"/>
                <w:highlight w:val="none"/>
              </w:rPr>
              <w:t>自然土壤在自重作用下，形成上松下紧的土壤紧实度垂直差异。施工过程中的机械碾压，尤其在坡度较大的地段，甚至进行掺灰固结，这种碾压或固结，将大大改变土壤的紧实程度，与原有的上松下紧结构相比，极不利于土壤的通气、透水作用，影响作物生长。</w:t>
            </w:r>
          </w:p>
          <w:p w14:paraId="3EFB0F81">
            <w:pPr>
              <w:pStyle w:val="3"/>
              <w:ind w:firstLine="420"/>
              <w:rPr>
                <w:color w:val="auto"/>
                <w:sz w:val="21"/>
                <w:highlight w:val="none"/>
              </w:rPr>
            </w:pPr>
            <w:r>
              <w:rPr>
                <w:rFonts w:hint="eastAsia"/>
                <w:color w:val="auto"/>
                <w:sz w:val="21"/>
                <w:highlight w:val="none"/>
              </w:rPr>
              <w:t>②土地肥力影响</w:t>
            </w:r>
          </w:p>
          <w:p w14:paraId="408EB063">
            <w:pPr>
              <w:pStyle w:val="3"/>
              <w:ind w:firstLine="420"/>
              <w:rPr>
                <w:color w:val="auto"/>
                <w:sz w:val="21"/>
                <w:highlight w:val="none"/>
              </w:rPr>
            </w:pPr>
            <w:r>
              <w:rPr>
                <w:rFonts w:hint="eastAsia"/>
                <w:color w:val="auto"/>
                <w:sz w:val="21"/>
                <w:highlight w:val="none"/>
              </w:rPr>
              <w:t>自然土壤或农业土壤中的有机质、氮、磷、钾等养分含量，均表现为表土层远高于心土层；在土壤肥力的其他方面如紧实度、空隙性、适耕性、团粒结构含量等，也都表现为表土层优于心土层。施工期土方的开挖与回填，将扰动甚至打乱原土体构型，使土壤养分、水分含量及肥力状况受到较大的影响，影响植被正常生长。</w:t>
            </w:r>
          </w:p>
          <w:p w14:paraId="3D11AEB7">
            <w:pPr>
              <w:pStyle w:val="73"/>
              <w:numPr>
                <w:ilvl w:val="0"/>
                <w:numId w:val="0"/>
              </w:numPr>
              <w:ind w:firstLine="420" w:firstLineChars="200"/>
              <w:rPr>
                <w:color w:val="auto"/>
                <w:highlight w:val="none"/>
              </w:rPr>
            </w:pPr>
            <w:r>
              <w:rPr>
                <w:color w:val="auto"/>
                <w:highlight w:val="none"/>
              </w:rPr>
              <w:t>（</w:t>
            </w:r>
            <w:r>
              <w:rPr>
                <w:rFonts w:hint="eastAsia"/>
                <w:color w:val="auto"/>
                <w:highlight w:val="none"/>
              </w:rPr>
              <w:t>8</w:t>
            </w:r>
            <w:r>
              <w:rPr>
                <w:color w:val="auto"/>
                <w:highlight w:val="none"/>
              </w:rPr>
              <w:t>）</w:t>
            </w:r>
            <w:r>
              <w:rPr>
                <w:rFonts w:hint="eastAsia"/>
                <w:color w:val="auto"/>
                <w:highlight w:val="none"/>
              </w:rPr>
              <w:t>景观生态影响分析</w:t>
            </w:r>
          </w:p>
          <w:p w14:paraId="6A6879C5">
            <w:pPr>
              <w:pStyle w:val="3"/>
              <w:ind w:firstLine="420"/>
              <w:rPr>
                <w:color w:val="auto"/>
                <w:sz w:val="21"/>
                <w:highlight w:val="none"/>
              </w:rPr>
            </w:pPr>
            <w:r>
              <w:rPr>
                <w:rFonts w:hint="eastAsia"/>
                <w:color w:val="auto"/>
                <w:sz w:val="21"/>
                <w:highlight w:val="none"/>
              </w:rPr>
              <w:t>本项目仅涉及施工期和封井期，且施工时间较短，仅在施工期间改变原有的生态景观；施工期将进行填方施工，改变当地生态景观。施工结束后，各类污染物均妥善处置，并将现场设备等进行搬迁，恢复地表植被，避免对景观环境、土壤和水体造成影响；施工期结束后及时复垦，复垦后地形地貌与当地自然环境和景观相协调。</w:t>
            </w:r>
          </w:p>
          <w:p w14:paraId="45146BDC">
            <w:pPr>
              <w:pStyle w:val="73"/>
              <w:numPr>
                <w:ilvl w:val="0"/>
                <w:numId w:val="0"/>
              </w:numPr>
              <w:ind w:firstLine="420" w:firstLineChars="200"/>
              <w:rPr>
                <w:color w:val="auto"/>
                <w:highlight w:val="none"/>
              </w:rPr>
            </w:pPr>
            <w:r>
              <w:rPr>
                <w:color w:val="auto"/>
                <w:highlight w:val="none"/>
              </w:rPr>
              <w:t>（</w:t>
            </w:r>
            <w:r>
              <w:rPr>
                <w:rFonts w:hint="eastAsia"/>
                <w:color w:val="auto"/>
                <w:highlight w:val="none"/>
              </w:rPr>
              <w:t>9</w:t>
            </w:r>
            <w:r>
              <w:rPr>
                <w:color w:val="auto"/>
                <w:highlight w:val="none"/>
              </w:rPr>
              <w:t>）</w:t>
            </w:r>
            <w:r>
              <w:rPr>
                <w:rFonts w:hint="eastAsia"/>
                <w:color w:val="auto"/>
                <w:highlight w:val="none"/>
              </w:rPr>
              <w:t>生态避让措施</w:t>
            </w:r>
          </w:p>
          <w:p w14:paraId="3B7AA2FA">
            <w:pPr>
              <w:pStyle w:val="3"/>
              <w:ind w:firstLine="420"/>
              <w:rPr>
                <w:color w:val="auto"/>
                <w:sz w:val="21"/>
                <w:highlight w:val="none"/>
              </w:rPr>
            </w:pPr>
            <w:r>
              <w:rPr>
                <w:rFonts w:hint="eastAsia"/>
                <w:color w:val="auto"/>
                <w:sz w:val="21"/>
                <w:highlight w:val="none"/>
              </w:rPr>
              <w:t>①管理措施：尽量避让植被密集区域，并严格遵守油田环境保护规章制度，运输车辆及勘探车辆在划定的道路上通行，禁止乱辗乱轧，严禁捕猎野生动物、破坏野生动物巢穴。</w:t>
            </w:r>
          </w:p>
          <w:p w14:paraId="6ACB124E">
            <w:pPr>
              <w:pStyle w:val="3"/>
              <w:ind w:firstLine="420"/>
              <w:rPr>
                <w:color w:val="auto"/>
                <w:sz w:val="21"/>
                <w:highlight w:val="none"/>
              </w:rPr>
            </w:pPr>
            <w:r>
              <w:rPr>
                <w:rFonts w:hint="eastAsia"/>
                <w:color w:val="auto"/>
                <w:sz w:val="21"/>
                <w:highlight w:val="none"/>
              </w:rPr>
              <w:t>②钻井废弃物采用不落地技术：钻井废弃物采用不落地技术，减少对周围土壤、植被的影响。</w:t>
            </w:r>
          </w:p>
          <w:p w14:paraId="0B8A311A">
            <w:pPr>
              <w:pStyle w:val="3"/>
              <w:ind w:firstLine="420"/>
              <w:rPr>
                <w:color w:val="auto"/>
                <w:sz w:val="21"/>
                <w:highlight w:val="none"/>
              </w:rPr>
            </w:pPr>
            <w:r>
              <w:rPr>
                <w:rFonts w:hint="eastAsia"/>
                <w:color w:val="auto"/>
                <w:sz w:val="21"/>
                <w:highlight w:val="none"/>
              </w:rPr>
              <w:t>③井场恢复措施：完井后施工现场禁止遗弃废物，固体废物全部妥善处置，井场应平整，施工结束后土地复垦。</w:t>
            </w:r>
          </w:p>
          <w:p w14:paraId="4F8A622D">
            <w:pPr>
              <w:pStyle w:val="3"/>
              <w:numPr>
                <w:ilvl w:val="0"/>
                <w:numId w:val="0"/>
              </w:numPr>
              <w:spacing w:line="332" w:lineRule="auto"/>
              <w:ind w:firstLine="420" w:firstLineChars="200"/>
              <w:rPr>
                <w:color w:val="auto"/>
                <w:sz w:val="21"/>
                <w:highlight w:val="none"/>
              </w:rPr>
            </w:pPr>
            <w:r>
              <w:rPr>
                <w:rFonts w:ascii="宋体" w:hAnsi="宋体" w:eastAsia="宋体" w:cstheme="minorBidi"/>
                <w:color w:val="auto"/>
                <w:kern w:val="2"/>
                <w:sz w:val="21"/>
                <w:szCs w:val="24"/>
                <w:highlight w:val="none"/>
                <w:lang w:val="en-US" w:eastAsia="zh-CN" w:bidi="ar-SA"/>
              </w:rPr>
              <w:t>2、</w:t>
            </w:r>
            <w:r>
              <w:rPr>
                <w:rFonts w:hint="eastAsia"/>
                <w:color w:val="auto"/>
                <w:sz w:val="21"/>
                <w:highlight w:val="none"/>
              </w:rPr>
              <w:t>施工期大气环境影响分析</w:t>
            </w:r>
          </w:p>
          <w:p w14:paraId="0AE526E0">
            <w:pPr>
              <w:pStyle w:val="3"/>
              <w:ind w:firstLine="420"/>
              <w:rPr>
                <w:color w:val="auto"/>
                <w:sz w:val="21"/>
                <w:highlight w:val="none"/>
              </w:rPr>
            </w:pPr>
            <w:r>
              <w:rPr>
                <w:rFonts w:hint="eastAsia"/>
                <w:color w:val="auto"/>
                <w:sz w:val="21"/>
                <w:highlight w:val="none"/>
              </w:rPr>
              <w:t>本项目在施工期对环境空气的影响主要为：钻井期和试油期柴油机尾气、施工机械尾气、伴生气燃放废气、试油期井场无组织烃类废气以及施工扬尘。</w:t>
            </w:r>
          </w:p>
          <w:p w14:paraId="141120A4">
            <w:pPr>
              <w:pStyle w:val="71"/>
              <w:numPr>
                <w:ilvl w:val="0"/>
                <w:numId w:val="32"/>
              </w:numPr>
              <w:spacing w:line="332" w:lineRule="auto"/>
              <w:ind w:firstLine="420" w:firstLineChars="200"/>
              <w:rPr>
                <w:color w:val="auto"/>
                <w:highlight w:val="none"/>
              </w:rPr>
            </w:pPr>
            <w:r>
              <w:rPr>
                <w:rFonts w:hint="eastAsia"/>
                <w:color w:val="auto"/>
                <w:highlight w:val="none"/>
              </w:rPr>
              <w:t>柴油机烟气和汽车尾气的影响分析</w:t>
            </w:r>
          </w:p>
          <w:p w14:paraId="701DEF12">
            <w:pPr>
              <w:pStyle w:val="3"/>
              <w:ind w:firstLine="420"/>
              <w:rPr>
                <w:color w:val="auto"/>
                <w:sz w:val="21"/>
                <w:highlight w:val="none"/>
              </w:rPr>
            </w:pPr>
            <w:r>
              <w:rPr>
                <w:rFonts w:hint="eastAsia"/>
                <w:color w:val="auto"/>
                <w:sz w:val="21"/>
                <w:highlight w:val="none"/>
              </w:rPr>
              <w:t>本项目新钻1口井。项目施工、试油过程中均使用符合国家标准的燃料，提高效率，减少污染物排放，项目施工、试油期较短，且周边1km范围内无居民区、地域空旷，扩散条件良好。施工、试油期废气排放时段较为集中，且属于阶段性排放源，随项目工程的结束影响随之结束，对周围环境影响较小。</w:t>
            </w:r>
          </w:p>
          <w:p w14:paraId="5C122F10">
            <w:pPr>
              <w:pStyle w:val="3"/>
              <w:ind w:firstLine="420"/>
              <w:rPr>
                <w:color w:val="auto"/>
                <w:sz w:val="21"/>
                <w:highlight w:val="none"/>
              </w:rPr>
            </w:pPr>
            <w:r>
              <w:rPr>
                <w:rFonts w:hint="eastAsia"/>
                <w:color w:val="auto"/>
                <w:sz w:val="21"/>
                <w:highlight w:val="none"/>
              </w:rPr>
              <w:t>本项目钻井期柴油消耗量4.5t/d，钻井周期</w:t>
            </w:r>
            <w:r>
              <w:rPr>
                <w:rFonts w:hint="eastAsia"/>
                <w:color w:val="auto"/>
                <w:sz w:val="21"/>
                <w:highlight w:val="none"/>
                <w:lang w:eastAsia="zh-CN"/>
              </w:rPr>
              <w:t>180d</w:t>
            </w:r>
            <w:r>
              <w:rPr>
                <w:rFonts w:hint="eastAsia"/>
                <w:color w:val="auto"/>
                <w:sz w:val="21"/>
                <w:highlight w:val="none"/>
              </w:rPr>
              <w:t>，钻井期消耗柴油约</w:t>
            </w:r>
            <w:r>
              <w:rPr>
                <w:rFonts w:hint="eastAsia"/>
                <w:color w:val="auto"/>
                <w:sz w:val="21"/>
                <w:highlight w:val="none"/>
                <w:lang w:val="en-US" w:eastAsia="zh-CN"/>
              </w:rPr>
              <w:t>810</w:t>
            </w:r>
            <w:r>
              <w:rPr>
                <w:rFonts w:hint="eastAsia"/>
                <w:color w:val="auto"/>
                <w:sz w:val="21"/>
                <w:highlight w:val="none"/>
              </w:rPr>
              <w:t>t；本项目试油周期</w:t>
            </w:r>
            <w:r>
              <w:rPr>
                <w:rFonts w:hint="eastAsia"/>
                <w:color w:val="auto"/>
                <w:sz w:val="21"/>
                <w:highlight w:val="none"/>
                <w:lang w:eastAsia="zh-CN"/>
              </w:rPr>
              <w:t>180d</w:t>
            </w:r>
            <w:r>
              <w:rPr>
                <w:rFonts w:hint="eastAsia"/>
                <w:color w:val="auto"/>
                <w:sz w:val="21"/>
                <w:highlight w:val="none"/>
              </w:rPr>
              <w:t>，消耗柴油约</w:t>
            </w:r>
            <w:r>
              <w:rPr>
                <w:rFonts w:hint="eastAsia"/>
                <w:color w:val="auto"/>
                <w:sz w:val="21"/>
                <w:highlight w:val="none"/>
                <w:lang w:val="en-US" w:eastAsia="zh-CN"/>
              </w:rPr>
              <w:t>122</w:t>
            </w:r>
            <w:r>
              <w:rPr>
                <w:rFonts w:hint="eastAsia"/>
                <w:color w:val="auto"/>
                <w:sz w:val="21"/>
                <w:highlight w:val="none"/>
              </w:rPr>
              <w:t>t；则柴油总消耗量约</w:t>
            </w:r>
            <w:r>
              <w:rPr>
                <w:rFonts w:hint="eastAsia"/>
                <w:color w:val="auto"/>
                <w:sz w:val="21"/>
                <w:highlight w:val="none"/>
                <w:lang w:val="en-US" w:eastAsia="zh-CN"/>
              </w:rPr>
              <w:t>932</w:t>
            </w:r>
            <w:r>
              <w:rPr>
                <w:rFonts w:hint="eastAsia"/>
                <w:color w:val="auto"/>
                <w:sz w:val="21"/>
                <w:highlight w:val="none"/>
              </w:rPr>
              <w:t>t（考虑柴油密度为0.85t/m</w:t>
            </w:r>
            <w:r>
              <w:rPr>
                <w:rFonts w:hint="eastAsia"/>
                <w:color w:val="auto"/>
                <w:sz w:val="21"/>
                <w:highlight w:val="none"/>
                <w:vertAlign w:val="superscript"/>
              </w:rPr>
              <w:t>3</w:t>
            </w:r>
            <w:r>
              <w:rPr>
                <w:rFonts w:hint="eastAsia"/>
                <w:color w:val="auto"/>
                <w:sz w:val="21"/>
                <w:highlight w:val="none"/>
              </w:rPr>
              <w:t>，则共耗柴油体积为</w:t>
            </w:r>
            <w:r>
              <w:rPr>
                <w:rFonts w:hint="eastAsia"/>
                <w:color w:val="auto"/>
                <w:sz w:val="21"/>
                <w:highlight w:val="none"/>
                <w:lang w:val="en-US" w:eastAsia="zh-CN"/>
              </w:rPr>
              <w:t>1096.5</w:t>
            </w:r>
            <w:r>
              <w:rPr>
                <w:rFonts w:hint="eastAsia"/>
                <w:color w:val="auto"/>
                <w:sz w:val="21"/>
                <w:highlight w:val="none"/>
              </w:rPr>
              <w:t>m</w:t>
            </w:r>
            <w:r>
              <w:rPr>
                <w:rFonts w:hint="eastAsia"/>
                <w:color w:val="auto"/>
                <w:sz w:val="21"/>
                <w:highlight w:val="none"/>
                <w:vertAlign w:val="superscript"/>
              </w:rPr>
              <w:t>3</w:t>
            </w:r>
            <w:r>
              <w:rPr>
                <w:rFonts w:hint="eastAsia"/>
                <w:color w:val="auto"/>
                <w:sz w:val="21"/>
                <w:highlight w:val="none"/>
              </w:rPr>
              <w:t>）。</w:t>
            </w:r>
          </w:p>
          <w:p w14:paraId="476967EB">
            <w:pPr>
              <w:pStyle w:val="3"/>
              <w:ind w:firstLine="420"/>
              <w:rPr>
                <w:color w:val="auto"/>
                <w:sz w:val="21"/>
                <w:highlight w:val="none"/>
              </w:rPr>
            </w:pPr>
            <w:r>
              <w:rPr>
                <w:rFonts w:hint="eastAsia"/>
                <w:color w:val="auto"/>
                <w:sz w:val="21"/>
                <w:highlight w:val="none"/>
              </w:rPr>
              <w:t>根据《社会区域类环境影响评价》（中国环境科学出版社，2007年）给出的计算参数，柴油机污染物排放系数为：颗粒物为0.714g/L，NOx为2.56g/L，总烃为1.489g/L。消耗1kg柴油按照产生20Nm</w:t>
            </w:r>
            <w:r>
              <w:rPr>
                <w:rFonts w:hint="eastAsia"/>
                <w:color w:val="auto"/>
                <w:sz w:val="21"/>
                <w:highlight w:val="none"/>
                <w:vertAlign w:val="superscript"/>
              </w:rPr>
              <w:t>3</w:t>
            </w:r>
            <w:r>
              <w:rPr>
                <w:rFonts w:hint="eastAsia"/>
                <w:color w:val="auto"/>
                <w:sz w:val="21"/>
                <w:highlight w:val="none"/>
              </w:rPr>
              <w:t>废气进行核算，则产生的废气量共</w:t>
            </w:r>
            <w:r>
              <w:rPr>
                <w:rFonts w:hint="eastAsia"/>
                <w:color w:val="auto"/>
                <w:sz w:val="21"/>
                <w:highlight w:val="none"/>
                <w:lang w:val="en-US" w:eastAsia="zh-CN"/>
              </w:rPr>
              <w:t>1.864</w:t>
            </w:r>
            <w:r>
              <w:rPr>
                <w:rFonts w:hint="eastAsia"/>
                <w:color w:val="auto"/>
                <w:sz w:val="21"/>
                <w:highlight w:val="none"/>
              </w:rPr>
              <w:t>×10</w:t>
            </w:r>
            <w:r>
              <w:rPr>
                <w:rFonts w:hint="eastAsia"/>
                <w:color w:val="auto"/>
                <w:sz w:val="21"/>
                <w:highlight w:val="none"/>
                <w:vertAlign w:val="superscript"/>
              </w:rPr>
              <w:t>7</w:t>
            </w:r>
            <w:r>
              <w:rPr>
                <w:rFonts w:hint="eastAsia"/>
                <w:color w:val="auto"/>
                <w:sz w:val="21"/>
                <w:highlight w:val="none"/>
              </w:rPr>
              <w:t>Nm</w:t>
            </w:r>
            <w:r>
              <w:rPr>
                <w:rFonts w:hint="eastAsia"/>
                <w:color w:val="auto"/>
                <w:sz w:val="21"/>
                <w:highlight w:val="none"/>
                <w:vertAlign w:val="superscript"/>
              </w:rPr>
              <w:t>3</w:t>
            </w:r>
            <w:r>
              <w:rPr>
                <w:rFonts w:hint="eastAsia"/>
                <w:color w:val="auto"/>
                <w:sz w:val="21"/>
                <w:highlight w:val="none"/>
              </w:rPr>
              <w:t>。</w:t>
            </w:r>
          </w:p>
          <w:p w14:paraId="31C48F3E">
            <w:pPr>
              <w:pStyle w:val="3"/>
              <w:ind w:firstLine="420"/>
              <w:rPr>
                <w:color w:val="auto"/>
                <w:sz w:val="21"/>
                <w:highlight w:val="none"/>
              </w:rPr>
            </w:pPr>
            <w:r>
              <w:rPr>
                <w:rFonts w:hint="eastAsia"/>
                <w:color w:val="auto"/>
                <w:sz w:val="21"/>
                <w:highlight w:val="none"/>
              </w:rPr>
              <w:t>根据《车用柴油》（GB 19147-2016/XG1-2018）中表3车用柴油（Ⅵ）技术要求和试验方法可知，车用柴油（Ⅵ）中硫含量不大于10mg/kg，即SO</w:t>
            </w:r>
            <w:r>
              <w:rPr>
                <w:rFonts w:hint="eastAsia"/>
                <w:color w:val="auto"/>
                <w:sz w:val="21"/>
                <w:highlight w:val="none"/>
                <w:vertAlign w:val="subscript"/>
              </w:rPr>
              <w:t>2</w:t>
            </w:r>
            <w:r>
              <w:rPr>
                <w:rFonts w:hint="eastAsia"/>
                <w:color w:val="auto"/>
                <w:sz w:val="21"/>
                <w:highlight w:val="none"/>
              </w:rPr>
              <w:t>排放系数为20g/t。</w:t>
            </w:r>
          </w:p>
          <w:p w14:paraId="5CB81470">
            <w:pPr>
              <w:pStyle w:val="3"/>
              <w:ind w:firstLine="420"/>
              <w:rPr>
                <w:color w:val="auto"/>
                <w:sz w:val="21"/>
                <w:highlight w:val="none"/>
              </w:rPr>
            </w:pPr>
            <w:r>
              <w:rPr>
                <w:rFonts w:hint="eastAsia"/>
                <w:color w:val="auto"/>
                <w:sz w:val="21"/>
                <w:highlight w:val="none"/>
              </w:rPr>
              <w:t>柴油密度按照0.85t/m</w:t>
            </w:r>
            <w:r>
              <w:rPr>
                <w:rFonts w:hint="eastAsia"/>
                <w:color w:val="auto"/>
                <w:sz w:val="21"/>
                <w:highlight w:val="none"/>
                <w:vertAlign w:val="superscript"/>
              </w:rPr>
              <w:t>3</w:t>
            </w:r>
            <w:r>
              <w:rPr>
                <w:rFonts w:hint="eastAsia"/>
                <w:color w:val="auto"/>
                <w:sz w:val="21"/>
                <w:highlight w:val="none"/>
              </w:rPr>
              <w:t>计算，则排入大气中的污染物排放量见</w:t>
            </w:r>
            <w:r>
              <w:rPr>
                <w:rFonts w:hint="eastAsia"/>
                <w:color w:val="auto"/>
                <w:sz w:val="21"/>
                <w:highlight w:val="none"/>
              </w:rPr>
              <w:fldChar w:fldCharType="begin"/>
            </w:r>
            <w:r>
              <w:rPr>
                <w:color w:val="auto"/>
                <w:highlight w:val="none"/>
              </w:rPr>
              <w:instrText xml:space="preserve"> REF _Ref6087 \h  \* MERGEFORMAT</w:instrText>
            </w:r>
            <w:r>
              <w:rPr>
                <w:rFonts w:hint="eastAsia"/>
                <w:color w:val="auto"/>
                <w:sz w:val="21"/>
                <w:highlight w:val="none"/>
              </w:rPr>
              <w:fldChar w:fldCharType="separate"/>
            </w:r>
            <w:r>
              <w:rPr>
                <w:rFonts w:hint="eastAsia"/>
                <w:color w:val="auto"/>
                <w:sz w:val="21"/>
                <w:highlight w:val="none"/>
              </w:rPr>
              <w:t>表 27</w:t>
            </w:r>
            <w:r>
              <w:rPr>
                <w:rFonts w:hint="eastAsia"/>
                <w:color w:val="auto"/>
                <w:sz w:val="21"/>
                <w:highlight w:val="none"/>
              </w:rPr>
              <w:fldChar w:fldCharType="end"/>
            </w:r>
            <w:r>
              <w:rPr>
                <w:rFonts w:hint="eastAsia"/>
                <w:color w:val="auto"/>
                <w:sz w:val="21"/>
                <w:highlight w:val="none"/>
              </w:rPr>
              <w:t>，施工期间排放的大气污染物将随施工的结束而消失。</w:t>
            </w:r>
          </w:p>
          <w:p w14:paraId="1CF50181">
            <w:pPr>
              <w:pStyle w:val="13"/>
              <w:bidi w:val="0"/>
              <w:rPr>
                <w:color w:val="auto"/>
                <w:highlight w:val="none"/>
              </w:rPr>
            </w:pPr>
            <w:bookmarkStart w:id="55" w:name="_Ref6087"/>
            <w:r>
              <w:rPr>
                <w:rFonts w:hint="eastAsia"/>
                <w:color w:val="auto"/>
                <w:highlight w:val="none"/>
              </w:rPr>
              <w:t xml:space="preserve">表 </w:t>
            </w:r>
            <w:r>
              <w:rPr>
                <w:rFonts w:hint="eastAsia"/>
                <w:color w:val="auto"/>
                <w:highlight w:val="none"/>
              </w:rPr>
              <w:fldChar w:fldCharType="begin"/>
            </w:r>
            <w:r>
              <w:rPr>
                <w:rFonts w:hint="eastAsia"/>
                <w:color w:val="auto"/>
                <w:highlight w:val="none"/>
              </w:rPr>
              <w:instrText xml:space="preserve"> SEQ 表 \* ARABIC </w:instrText>
            </w:r>
            <w:r>
              <w:rPr>
                <w:rFonts w:hint="eastAsia"/>
                <w:color w:val="auto"/>
                <w:highlight w:val="none"/>
              </w:rPr>
              <w:fldChar w:fldCharType="separate"/>
            </w:r>
            <w:r>
              <w:rPr>
                <w:rFonts w:hint="eastAsia"/>
                <w:color w:val="auto"/>
                <w:highlight w:val="none"/>
              </w:rPr>
              <w:t>27</w:t>
            </w:r>
            <w:r>
              <w:rPr>
                <w:rFonts w:hint="eastAsia"/>
                <w:color w:val="auto"/>
                <w:highlight w:val="none"/>
              </w:rPr>
              <w:fldChar w:fldCharType="end"/>
            </w:r>
            <w:bookmarkEnd w:id="55"/>
            <w:r>
              <w:rPr>
                <w:rFonts w:hint="eastAsia"/>
                <w:color w:val="auto"/>
                <w:highlight w:val="none"/>
              </w:rPr>
              <w:t xml:space="preserve"> </w:t>
            </w:r>
            <w:bookmarkStart w:id="56" w:name="_Ref18414696"/>
            <w:r>
              <w:rPr>
                <w:rFonts w:hint="eastAsia"/>
                <w:color w:val="auto"/>
                <w:highlight w:val="none"/>
              </w:rPr>
              <w:t>施工期柴油机尾气排放情况一览表</w:t>
            </w:r>
            <w:bookmarkEnd w:id="56"/>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5"/>
              <w:gridCol w:w="1038"/>
              <w:gridCol w:w="1458"/>
              <w:gridCol w:w="1458"/>
              <w:gridCol w:w="1043"/>
            </w:tblGrid>
            <w:tr w14:paraId="6BA8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35" w:type="pct"/>
                  <w:shd w:val="clear" w:color="auto" w:fill="auto"/>
                  <w:vAlign w:val="center"/>
                </w:tcPr>
                <w:p w14:paraId="7E476C27">
                  <w:pPr>
                    <w:pStyle w:val="41"/>
                    <w:rPr>
                      <w:rFonts w:cs="宋体"/>
                      <w:color w:val="auto"/>
                      <w:kern w:val="0"/>
                      <w:szCs w:val="18"/>
                      <w:highlight w:val="none"/>
                    </w:rPr>
                  </w:pPr>
                  <w:r>
                    <w:rPr>
                      <w:rFonts w:hint="eastAsia" w:cs="宋体"/>
                      <w:color w:val="auto"/>
                      <w:kern w:val="0"/>
                      <w:szCs w:val="18"/>
                      <w:highlight w:val="none"/>
                    </w:rPr>
                    <w:t>污染物名称</w:t>
                  </w:r>
                </w:p>
              </w:tc>
              <w:tc>
                <w:tcPr>
                  <w:tcW w:w="678" w:type="pct"/>
                  <w:shd w:val="clear" w:color="auto" w:fill="auto"/>
                  <w:vAlign w:val="center"/>
                </w:tcPr>
                <w:p w14:paraId="150D2083">
                  <w:pPr>
                    <w:pStyle w:val="41"/>
                    <w:rPr>
                      <w:rFonts w:cs="宋体"/>
                      <w:color w:val="auto"/>
                      <w:kern w:val="0"/>
                      <w:szCs w:val="18"/>
                      <w:highlight w:val="none"/>
                    </w:rPr>
                  </w:pPr>
                  <w:r>
                    <w:rPr>
                      <w:rFonts w:hint="eastAsia" w:cs="宋体"/>
                      <w:color w:val="auto"/>
                      <w:kern w:val="0"/>
                      <w:szCs w:val="18"/>
                      <w:highlight w:val="none"/>
                    </w:rPr>
                    <w:t>总烃</w:t>
                  </w:r>
                </w:p>
              </w:tc>
              <w:tc>
                <w:tcPr>
                  <w:tcW w:w="953" w:type="pct"/>
                  <w:shd w:val="clear" w:color="auto" w:fill="auto"/>
                  <w:vAlign w:val="center"/>
                </w:tcPr>
                <w:p w14:paraId="33A4FD4F">
                  <w:pPr>
                    <w:pStyle w:val="41"/>
                    <w:rPr>
                      <w:rFonts w:cs="宋体"/>
                      <w:color w:val="auto"/>
                      <w:kern w:val="0"/>
                      <w:szCs w:val="18"/>
                      <w:highlight w:val="none"/>
                    </w:rPr>
                  </w:pPr>
                  <w:r>
                    <w:rPr>
                      <w:rFonts w:hint="eastAsia" w:cs="宋体"/>
                      <w:color w:val="auto"/>
                      <w:kern w:val="0"/>
                      <w:szCs w:val="18"/>
                      <w:highlight w:val="none"/>
                    </w:rPr>
                    <w:t>氮氧化物</w:t>
                  </w:r>
                </w:p>
              </w:tc>
              <w:tc>
                <w:tcPr>
                  <w:tcW w:w="953" w:type="pct"/>
                  <w:shd w:val="clear" w:color="auto" w:fill="auto"/>
                  <w:vAlign w:val="center"/>
                </w:tcPr>
                <w:p w14:paraId="5B96909F">
                  <w:pPr>
                    <w:pStyle w:val="41"/>
                    <w:rPr>
                      <w:rFonts w:cs="宋体"/>
                      <w:color w:val="auto"/>
                      <w:kern w:val="0"/>
                      <w:szCs w:val="18"/>
                      <w:highlight w:val="none"/>
                    </w:rPr>
                  </w:pPr>
                  <w:r>
                    <w:rPr>
                      <w:rFonts w:hint="eastAsia" w:cs="宋体"/>
                      <w:color w:val="auto"/>
                      <w:kern w:val="0"/>
                      <w:szCs w:val="18"/>
                      <w:highlight w:val="none"/>
                    </w:rPr>
                    <w:t>二氧化硫</w:t>
                  </w:r>
                </w:p>
              </w:tc>
              <w:tc>
                <w:tcPr>
                  <w:tcW w:w="678" w:type="pct"/>
                  <w:shd w:val="clear" w:color="auto" w:fill="auto"/>
                  <w:vAlign w:val="center"/>
                </w:tcPr>
                <w:p w14:paraId="3A370432">
                  <w:pPr>
                    <w:pStyle w:val="41"/>
                    <w:rPr>
                      <w:rFonts w:cs="宋体"/>
                      <w:color w:val="auto"/>
                      <w:kern w:val="0"/>
                      <w:szCs w:val="18"/>
                      <w:highlight w:val="none"/>
                    </w:rPr>
                  </w:pPr>
                  <w:r>
                    <w:rPr>
                      <w:rFonts w:hint="eastAsia" w:cs="宋体"/>
                      <w:color w:val="auto"/>
                      <w:kern w:val="0"/>
                      <w:szCs w:val="18"/>
                      <w:highlight w:val="none"/>
                    </w:rPr>
                    <w:t>烟尘</w:t>
                  </w:r>
                </w:p>
              </w:tc>
            </w:tr>
            <w:tr w14:paraId="57C2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35" w:type="pct"/>
                  <w:shd w:val="clear" w:color="auto" w:fill="auto"/>
                  <w:vAlign w:val="center"/>
                </w:tcPr>
                <w:p w14:paraId="4456C32B">
                  <w:pPr>
                    <w:pStyle w:val="41"/>
                    <w:rPr>
                      <w:rFonts w:cs="宋体"/>
                      <w:color w:val="auto"/>
                      <w:kern w:val="0"/>
                      <w:szCs w:val="18"/>
                      <w:highlight w:val="none"/>
                    </w:rPr>
                  </w:pPr>
                  <w:r>
                    <w:rPr>
                      <w:rFonts w:hint="eastAsia" w:cs="宋体"/>
                      <w:color w:val="auto"/>
                      <w:kern w:val="0"/>
                      <w:szCs w:val="18"/>
                      <w:highlight w:val="none"/>
                    </w:rPr>
                    <w:t>排放量（t）</w:t>
                  </w:r>
                </w:p>
              </w:tc>
              <w:tc>
                <w:tcPr>
                  <w:tcW w:w="678" w:type="pct"/>
                  <w:shd w:val="clear" w:color="auto" w:fill="auto"/>
                  <w:vAlign w:val="center"/>
                </w:tcPr>
                <w:p w14:paraId="4F8A1187">
                  <w:pPr>
                    <w:pStyle w:val="41"/>
                    <w:rPr>
                      <w:rFonts w:hint="default" w:eastAsia="宋体" w:cs="宋体"/>
                      <w:color w:val="auto"/>
                      <w:kern w:val="0"/>
                      <w:szCs w:val="18"/>
                      <w:highlight w:val="none"/>
                      <w:lang w:val="en-US" w:eastAsia="zh-CN"/>
                    </w:rPr>
                  </w:pPr>
                  <w:r>
                    <w:rPr>
                      <w:rFonts w:hint="eastAsia" w:cs="宋体"/>
                      <w:color w:val="auto"/>
                      <w:kern w:val="0"/>
                      <w:szCs w:val="18"/>
                      <w:highlight w:val="none"/>
                      <w:lang w:val="en-US" w:eastAsia="zh-CN"/>
                    </w:rPr>
                    <w:t>1.633</w:t>
                  </w:r>
                </w:p>
              </w:tc>
              <w:tc>
                <w:tcPr>
                  <w:tcW w:w="953" w:type="pct"/>
                  <w:shd w:val="clear" w:color="auto" w:fill="auto"/>
                  <w:vAlign w:val="center"/>
                </w:tcPr>
                <w:p w14:paraId="6E9B3E3B">
                  <w:pPr>
                    <w:pStyle w:val="41"/>
                    <w:rPr>
                      <w:rFonts w:hint="default" w:eastAsia="宋体" w:cs="宋体"/>
                      <w:color w:val="auto"/>
                      <w:kern w:val="0"/>
                      <w:szCs w:val="18"/>
                      <w:highlight w:val="none"/>
                      <w:lang w:val="en-US" w:eastAsia="zh-CN"/>
                    </w:rPr>
                  </w:pPr>
                  <w:r>
                    <w:rPr>
                      <w:rFonts w:hint="eastAsia" w:cs="宋体"/>
                      <w:color w:val="auto"/>
                      <w:kern w:val="0"/>
                      <w:szCs w:val="18"/>
                      <w:highlight w:val="none"/>
                      <w:lang w:val="en-US" w:eastAsia="zh-CN"/>
                    </w:rPr>
                    <w:t>2.087</w:t>
                  </w:r>
                </w:p>
              </w:tc>
              <w:tc>
                <w:tcPr>
                  <w:tcW w:w="953" w:type="pct"/>
                  <w:shd w:val="clear" w:color="auto" w:fill="auto"/>
                  <w:vAlign w:val="center"/>
                </w:tcPr>
                <w:p w14:paraId="54AF4A27">
                  <w:pPr>
                    <w:pStyle w:val="41"/>
                    <w:rPr>
                      <w:rFonts w:hint="default" w:eastAsia="宋体" w:cs="宋体"/>
                      <w:color w:val="auto"/>
                      <w:kern w:val="0"/>
                      <w:szCs w:val="18"/>
                      <w:highlight w:val="none"/>
                      <w:lang w:val="en-US" w:eastAsia="zh-CN"/>
                    </w:rPr>
                  </w:pPr>
                  <w:r>
                    <w:rPr>
                      <w:rFonts w:hint="eastAsia" w:cs="宋体"/>
                      <w:color w:val="auto"/>
                      <w:kern w:val="0"/>
                      <w:szCs w:val="18"/>
                      <w:highlight w:val="none"/>
                      <w:lang w:val="en-US" w:eastAsia="zh-CN"/>
                    </w:rPr>
                    <w:t>0.019</w:t>
                  </w:r>
                </w:p>
              </w:tc>
              <w:tc>
                <w:tcPr>
                  <w:tcW w:w="678" w:type="pct"/>
                  <w:shd w:val="clear" w:color="auto" w:fill="auto"/>
                  <w:vAlign w:val="center"/>
                </w:tcPr>
                <w:p w14:paraId="63BCA996">
                  <w:pPr>
                    <w:pStyle w:val="41"/>
                    <w:rPr>
                      <w:rFonts w:hint="default" w:eastAsia="宋体" w:cs="宋体"/>
                      <w:color w:val="auto"/>
                      <w:kern w:val="0"/>
                      <w:szCs w:val="18"/>
                      <w:highlight w:val="none"/>
                      <w:lang w:val="en-US" w:eastAsia="zh-CN"/>
                    </w:rPr>
                  </w:pPr>
                  <w:r>
                    <w:rPr>
                      <w:rFonts w:hint="eastAsia" w:cs="宋体"/>
                      <w:color w:val="auto"/>
                      <w:kern w:val="0"/>
                      <w:szCs w:val="18"/>
                      <w:highlight w:val="none"/>
                      <w:lang w:val="en-US" w:eastAsia="zh-CN"/>
                    </w:rPr>
                    <w:t>0.783</w:t>
                  </w:r>
                </w:p>
              </w:tc>
            </w:tr>
            <w:tr w14:paraId="7EB7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35" w:type="pct"/>
                  <w:shd w:val="clear" w:color="auto" w:fill="auto"/>
                  <w:vAlign w:val="center"/>
                </w:tcPr>
                <w:p w14:paraId="64DF5CF4">
                  <w:pPr>
                    <w:pStyle w:val="41"/>
                    <w:rPr>
                      <w:rFonts w:cs="宋体"/>
                      <w:color w:val="auto"/>
                      <w:kern w:val="0"/>
                      <w:szCs w:val="18"/>
                      <w:highlight w:val="none"/>
                    </w:rPr>
                  </w:pPr>
                  <w:r>
                    <w:rPr>
                      <w:rFonts w:hint="eastAsia" w:cs="宋体"/>
                      <w:color w:val="auto"/>
                      <w:kern w:val="0"/>
                      <w:szCs w:val="18"/>
                      <w:highlight w:val="none"/>
                    </w:rPr>
                    <w:t>排放浓度（mg/m</w:t>
                  </w:r>
                  <w:r>
                    <w:rPr>
                      <w:rFonts w:hint="eastAsia" w:cs="宋体"/>
                      <w:color w:val="auto"/>
                      <w:kern w:val="0"/>
                      <w:szCs w:val="18"/>
                      <w:highlight w:val="none"/>
                      <w:vertAlign w:val="superscript"/>
                    </w:rPr>
                    <w:t>3</w:t>
                  </w:r>
                  <w:r>
                    <w:rPr>
                      <w:rFonts w:hint="eastAsia" w:cs="宋体"/>
                      <w:color w:val="auto"/>
                      <w:kern w:val="0"/>
                      <w:szCs w:val="18"/>
                      <w:highlight w:val="none"/>
                    </w:rPr>
                    <w:t>）</w:t>
                  </w:r>
                </w:p>
              </w:tc>
              <w:tc>
                <w:tcPr>
                  <w:tcW w:w="678" w:type="pct"/>
                  <w:shd w:val="clear" w:color="auto" w:fill="auto"/>
                  <w:vAlign w:val="center"/>
                </w:tcPr>
                <w:p w14:paraId="67FDEA09">
                  <w:pPr>
                    <w:pStyle w:val="41"/>
                    <w:rPr>
                      <w:rFonts w:cs="宋体"/>
                      <w:color w:val="auto"/>
                      <w:kern w:val="0"/>
                      <w:szCs w:val="18"/>
                      <w:highlight w:val="none"/>
                    </w:rPr>
                  </w:pPr>
                  <w:r>
                    <w:rPr>
                      <w:rFonts w:hint="eastAsia" w:cs="宋体"/>
                      <w:color w:val="auto"/>
                      <w:kern w:val="0"/>
                      <w:szCs w:val="18"/>
                      <w:highlight w:val="none"/>
                    </w:rPr>
                    <w:t>87.59</w:t>
                  </w:r>
                </w:p>
              </w:tc>
              <w:tc>
                <w:tcPr>
                  <w:tcW w:w="953" w:type="pct"/>
                  <w:shd w:val="clear" w:color="auto" w:fill="auto"/>
                  <w:vAlign w:val="center"/>
                </w:tcPr>
                <w:p w14:paraId="13083C9B">
                  <w:pPr>
                    <w:pStyle w:val="41"/>
                    <w:rPr>
                      <w:rFonts w:cs="宋体"/>
                      <w:color w:val="auto"/>
                      <w:kern w:val="0"/>
                      <w:szCs w:val="18"/>
                      <w:highlight w:val="none"/>
                    </w:rPr>
                  </w:pPr>
                  <w:r>
                    <w:rPr>
                      <w:rFonts w:hint="eastAsia" w:cs="宋体"/>
                      <w:color w:val="auto"/>
                      <w:kern w:val="0"/>
                      <w:szCs w:val="18"/>
                      <w:highlight w:val="none"/>
                    </w:rPr>
                    <w:t>150.59</w:t>
                  </w:r>
                </w:p>
              </w:tc>
              <w:tc>
                <w:tcPr>
                  <w:tcW w:w="953" w:type="pct"/>
                  <w:shd w:val="clear" w:color="auto" w:fill="auto"/>
                  <w:vAlign w:val="center"/>
                </w:tcPr>
                <w:p w14:paraId="3E09B7E9">
                  <w:pPr>
                    <w:pStyle w:val="41"/>
                    <w:rPr>
                      <w:rFonts w:cs="宋体"/>
                      <w:color w:val="auto"/>
                      <w:kern w:val="0"/>
                      <w:szCs w:val="18"/>
                      <w:highlight w:val="none"/>
                    </w:rPr>
                  </w:pPr>
                  <w:r>
                    <w:rPr>
                      <w:rFonts w:hint="eastAsia" w:cs="宋体"/>
                      <w:color w:val="auto"/>
                      <w:kern w:val="0"/>
                      <w:szCs w:val="18"/>
                      <w:highlight w:val="none"/>
                    </w:rPr>
                    <w:t>1.00</w:t>
                  </w:r>
                </w:p>
              </w:tc>
              <w:tc>
                <w:tcPr>
                  <w:tcW w:w="678" w:type="pct"/>
                  <w:shd w:val="clear" w:color="auto" w:fill="auto"/>
                  <w:vAlign w:val="center"/>
                </w:tcPr>
                <w:p w14:paraId="15E148ED">
                  <w:pPr>
                    <w:pStyle w:val="41"/>
                    <w:rPr>
                      <w:rFonts w:cs="宋体"/>
                      <w:color w:val="auto"/>
                      <w:kern w:val="0"/>
                      <w:szCs w:val="18"/>
                      <w:highlight w:val="none"/>
                    </w:rPr>
                  </w:pPr>
                  <w:r>
                    <w:rPr>
                      <w:rFonts w:hint="eastAsia" w:cs="宋体"/>
                      <w:color w:val="auto"/>
                      <w:kern w:val="0"/>
                      <w:szCs w:val="18"/>
                      <w:highlight w:val="none"/>
                    </w:rPr>
                    <w:t>42.00</w:t>
                  </w:r>
                </w:p>
              </w:tc>
            </w:tr>
            <w:tr w14:paraId="16E6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35" w:type="pct"/>
                  <w:shd w:val="clear" w:color="auto" w:fill="auto"/>
                  <w:vAlign w:val="center"/>
                </w:tcPr>
                <w:p w14:paraId="5FBA0F75">
                  <w:pPr>
                    <w:pStyle w:val="41"/>
                    <w:rPr>
                      <w:rFonts w:cs="宋体"/>
                      <w:color w:val="auto"/>
                      <w:kern w:val="0"/>
                      <w:szCs w:val="18"/>
                      <w:highlight w:val="none"/>
                    </w:rPr>
                  </w:pPr>
                  <w:r>
                    <w:rPr>
                      <w:rFonts w:hint="eastAsia" w:cs="宋体"/>
                      <w:color w:val="auto"/>
                      <w:kern w:val="0"/>
                      <w:szCs w:val="18"/>
                      <w:highlight w:val="none"/>
                    </w:rPr>
                    <w:t>标准限值</w:t>
                  </w:r>
                </w:p>
              </w:tc>
              <w:tc>
                <w:tcPr>
                  <w:tcW w:w="678" w:type="pct"/>
                  <w:shd w:val="clear" w:color="auto" w:fill="auto"/>
                  <w:vAlign w:val="center"/>
                </w:tcPr>
                <w:p w14:paraId="7FEFD2A4">
                  <w:pPr>
                    <w:pStyle w:val="41"/>
                    <w:rPr>
                      <w:rFonts w:cs="宋体"/>
                      <w:color w:val="auto"/>
                      <w:kern w:val="0"/>
                      <w:szCs w:val="18"/>
                      <w:highlight w:val="none"/>
                    </w:rPr>
                  </w:pPr>
                  <w:r>
                    <w:rPr>
                      <w:rFonts w:hint="eastAsia" w:cs="宋体"/>
                      <w:color w:val="auto"/>
                      <w:kern w:val="0"/>
                      <w:szCs w:val="18"/>
                      <w:highlight w:val="none"/>
                    </w:rPr>
                    <w:t>120mg/m</w:t>
                  </w:r>
                  <w:r>
                    <w:rPr>
                      <w:rFonts w:hint="eastAsia" w:cs="宋体"/>
                      <w:color w:val="auto"/>
                      <w:kern w:val="0"/>
                      <w:szCs w:val="18"/>
                      <w:highlight w:val="none"/>
                      <w:vertAlign w:val="superscript"/>
                    </w:rPr>
                    <w:t>3</w:t>
                  </w:r>
                </w:p>
              </w:tc>
              <w:tc>
                <w:tcPr>
                  <w:tcW w:w="953" w:type="pct"/>
                  <w:shd w:val="clear" w:color="auto" w:fill="auto"/>
                  <w:vAlign w:val="center"/>
                </w:tcPr>
                <w:p w14:paraId="0884B451">
                  <w:pPr>
                    <w:pStyle w:val="41"/>
                    <w:rPr>
                      <w:rStyle w:val="33"/>
                      <w:rFonts w:cs="宋体"/>
                      <w:color w:val="auto"/>
                      <w:sz w:val="18"/>
                      <w:szCs w:val="18"/>
                      <w:highlight w:val="none"/>
                    </w:rPr>
                  </w:pPr>
                  <w:r>
                    <w:rPr>
                      <w:rStyle w:val="33"/>
                      <w:rFonts w:hint="eastAsia" w:cs="宋体"/>
                      <w:color w:val="auto"/>
                      <w:sz w:val="18"/>
                      <w:szCs w:val="18"/>
                      <w:highlight w:val="none"/>
                    </w:rPr>
                    <w:t>240mg/m</w:t>
                  </w:r>
                  <w:r>
                    <w:rPr>
                      <w:rStyle w:val="33"/>
                      <w:rFonts w:hint="eastAsia" w:cs="宋体"/>
                      <w:color w:val="auto"/>
                      <w:sz w:val="18"/>
                      <w:szCs w:val="18"/>
                      <w:highlight w:val="none"/>
                      <w:vertAlign w:val="superscript"/>
                    </w:rPr>
                    <w:t>3</w:t>
                  </w:r>
                </w:p>
              </w:tc>
              <w:tc>
                <w:tcPr>
                  <w:tcW w:w="953" w:type="pct"/>
                  <w:shd w:val="clear" w:color="auto" w:fill="auto"/>
                  <w:vAlign w:val="center"/>
                </w:tcPr>
                <w:p w14:paraId="3C66230E">
                  <w:pPr>
                    <w:pStyle w:val="41"/>
                    <w:rPr>
                      <w:rFonts w:cs="宋体"/>
                      <w:color w:val="auto"/>
                      <w:kern w:val="0"/>
                      <w:szCs w:val="18"/>
                      <w:highlight w:val="none"/>
                    </w:rPr>
                  </w:pPr>
                  <w:r>
                    <w:rPr>
                      <w:rFonts w:hint="eastAsia" w:cs="宋体"/>
                      <w:color w:val="auto"/>
                      <w:kern w:val="0"/>
                      <w:szCs w:val="18"/>
                      <w:highlight w:val="none"/>
                    </w:rPr>
                    <w:t>550mg/m</w:t>
                  </w:r>
                  <w:r>
                    <w:rPr>
                      <w:rFonts w:hint="eastAsia" w:cs="宋体"/>
                      <w:color w:val="auto"/>
                      <w:kern w:val="0"/>
                      <w:szCs w:val="18"/>
                      <w:highlight w:val="none"/>
                      <w:vertAlign w:val="superscript"/>
                    </w:rPr>
                    <w:t>3</w:t>
                  </w:r>
                </w:p>
              </w:tc>
              <w:tc>
                <w:tcPr>
                  <w:tcW w:w="678" w:type="pct"/>
                  <w:shd w:val="clear" w:color="auto" w:fill="auto"/>
                  <w:vAlign w:val="center"/>
                </w:tcPr>
                <w:p w14:paraId="355B9EC3">
                  <w:pPr>
                    <w:pStyle w:val="41"/>
                    <w:rPr>
                      <w:rFonts w:cs="宋体"/>
                      <w:color w:val="auto"/>
                      <w:kern w:val="0"/>
                      <w:szCs w:val="18"/>
                      <w:highlight w:val="none"/>
                    </w:rPr>
                  </w:pPr>
                  <w:r>
                    <w:rPr>
                      <w:rFonts w:hint="eastAsia" w:cs="宋体"/>
                      <w:color w:val="auto"/>
                      <w:kern w:val="0"/>
                      <w:szCs w:val="18"/>
                      <w:highlight w:val="none"/>
                    </w:rPr>
                    <w:t>120mg/m</w:t>
                  </w:r>
                  <w:r>
                    <w:rPr>
                      <w:rFonts w:hint="eastAsia" w:cs="宋体"/>
                      <w:color w:val="auto"/>
                      <w:kern w:val="0"/>
                      <w:szCs w:val="18"/>
                      <w:highlight w:val="none"/>
                      <w:vertAlign w:val="superscript"/>
                    </w:rPr>
                    <w:t>3</w:t>
                  </w:r>
                </w:p>
              </w:tc>
            </w:tr>
            <w:tr w14:paraId="3F45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35" w:type="pct"/>
                  <w:shd w:val="clear" w:color="auto" w:fill="auto"/>
                  <w:vAlign w:val="center"/>
                </w:tcPr>
                <w:p w14:paraId="21184F40">
                  <w:pPr>
                    <w:pStyle w:val="41"/>
                    <w:rPr>
                      <w:rFonts w:cs="宋体"/>
                      <w:color w:val="auto"/>
                      <w:kern w:val="0"/>
                      <w:szCs w:val="18"/>
                      <w:highlight w:val="none"/>
                    </w:rPr>
                  </w:pPr>
                  <w:r>
                    <w:rPr>
                      <w:rFonts w:hint="eastAsia" w:cs="宋体"/>
                      <w:color w:val="auto"/>
                      <w:kern w:val="0"/>
                      <w:szCs w:val="18"/>
                      <w:highlight w:val="none"/>
                    </w:rPr>
                    <w:t>达标情况</w:t>
                  </w:r>
                </w:p>
              </w:tc>
              <w:tc>
                <w:tcPr>
                  <w:tcW w:w="678" w:type="pct"/>
                  <w:shd w:val="clear" w:color="auto" w:fill="auto"/>
                  <w:vAlign w:val="center"/>
                </w:tcPr>
                <w:p w14:paraId="3CA50704">
                  <w:pPr>
                    <w:pStyle w:val="41"/>
                    <w:rPr>
                      <w:rFonts w:cs="宋体"/>
                      <w:color w:val="auto"/>
                      <w:kern w:val="0"/>
                      <w:szCs w:val="18"/>
                      <w:highlight w:val="none"/>
                    </w:rPr>
                  </w:pPr>
                  <w:r>
                    <w:rPr>
                      <w:rFonts w:hint="eastAsia" w:cs="宋体"/>
                      <w:color w:val="auto"/>
                      <w:kern w:val="0"/>
                      <w:szCs w:val="18"/>
                      <w:highlight w:val="none"/>
                    </w:rPr>
                    <w:t>达标</w:t>
                  </w:r>
                </w:p>
              </w:tc>
              <w:tc>
                <w:tcPr>
                  <w:tcW w:w="953" w:type="pct"/>
                  <w:shd w:val="clear" w:color="auto" w:fill="auto"/>
                  <w:vAlign w:val="center"/>
                </w:tcPr>
                <w:p w14:paraId="220B0A35">
                  <w:pPr>
                    <w:pStyle w:val="41"/>
                    <w:rPr>
                      <w:rFonts w:cs="宋体"/>
                      <w:color w:val="auto"/>
                      <w:kern w:val="0"/>
                      <w:szCs w:val="18"/>
                      <w:highlight w:val="none"/>
                    </w:rPr>
                  </w:pPr>
                  <w:r>
                    <w:rPr>
                      <w:rFonts w:hint="eastAsia" w:cs="宋体"/>
                      <w:color w:val="auto"/>
                      <w:kern w:val="0"/>
                      <w:szCs w:val="18"/>
                      <w:highlight w:val="none"/>
                    </w:rPr>
                    <w:t>达标</w:t>
                  </w:r>
                </w:p>
              </w:tc>
              <w:tc>
                <w:tcPr>
                  <w:tcW w:w="953" w:type="pct"/>
                  <w:shd w:val="clear" w:color="auto" w:fill="auto"/>
                  <w:vAlign w:val="center"/>
                </w:tcPr>
                <w:p w14:paraId="1C93605C">
                  <w:pPr>
                    <w:pStyle w:val="41"/>
                    <w:rPr>
                      <w:rFonts w:cs="宋体"/>
                      <w:color w:val="auto"/>
                      <w:kern w:val="0"/>
                      <w:szCs w:val="18"/>
                      <w:highlight w:val="none"/>
                    </w:rPr>
                  </w:pPr>
                  <w:r>
                    <w:rPr>
                      <w:rFonts w:hint="eastAsia" w:cs="宋体"/>
                      <w:color w:val="auto"/>
                      <w:kern w:val="0"/>
                      <w:szCs w:val="18"/>
                      <w:highlight w:val="none"/>
                    </w:rPr>
                    <w:t>达标</w:t>
                  </w:r>
                </w:p>
              </w:tc>
              <w:tc>
                <w:tcPr>
                  <w:tcW w:w="678" w:type="pct"/>
                  <w:shd w:val="clear" w:color="auto" w:fill="auto"/>
                  <w:vAlign w:val="center"/>
                </w:tcPr>
                <w:p w14:paraId="5CE45960">
                  <w:pPr>
                    <w:pStyle w:val="41"/>
                    <w:rPr>
                      <w:rFonts w:cs="宋体"/>
                      <w:color w:val="auto"/>
                      <w:kern w:val="0"/>
                      <w:szCs w:val="18"/>
                      <w:highlight w:val="none"/>
                    </w:rPr>
                  </w:pPr>
                  <w:r>
                    <w:rPr>
                      <w:rFonts w:hint="eastAsia" w:cs="宋体"/>
                      <w:color w:val="auto"/>
                      <w:kern w:val="0"/>
                      <w:szCs w:val="18"/>
                      <w:highlight w:val="none"/>
                    </w:rPr>
                    <w:t>达标</w:t>
                  </w:r>
                </w:p>
              </w:tc>
            </w:tr>
            <w:tr w14:paraId="4DC6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5"/>
                  <w:shd w:val="clear" w:color="auto" w:fill="auto"/>
                  <w:vAlign w:val="center"/>
                </w:tcPr>
                <w:p w14:paraId="6C63DA99">
                  <w:pPr>
                    <w:pStyle w:val="41"/>
                    <w:jc w:val="both"/>
                    <w:rPr>
                      <w:rFonts w:cs="宋体"/>
                      <w:color w:val="auto"/>
                      <w:kern w:val="0"/>
                      <w:szCs w:val="18"/>
                      <w:highlight w:val="none"/>
                    </w:rPr>
                  </w:pPr>
                  <w:r>
                    <w:rPr>
                      <w:rFonts w:hint="eastAsia" w:cs="宋体"/>
                      <w:color w:val="auto"/>
                      <w:kern w:val="0"/>
                      <w:szCs w:val="18"/>
                      <w:highlight w:val="none"/>
                    </w:rPr>
                    <w:t>备注：本次按照1台发电机（360kW）同时使用考虑。</w:t>
                  </w:r>
                </w:p>
              </w:tc>
            </w:tr>
          </w:tbl>
          <w:p w14:paraId="405D2634">
            <w:pPr>
              <w:pStyle w:val="3"/>
              <w:ind w:firstLine="420"/>
              <w:rPr>
                <w:color w:val="auto"/>
                <w:sz w:val="21"/>
                <w:highlight w:val="none"/>
              </w:rPr>
            </w:pPr>
          </w:p>
          <w:p w14:paraId="508F7534">
            <w:pPr>
              <w:pStyle w:val="3"/>
              <w:ind w:firstLine="420"/>
              <w:rPr>
                <w:color w:val="auto"/>
                <w:sz w:val="21"/>
                <w:highlight w:val="none"/>
              </w:rPr>
            </w:pPr>
            <w:r>
              <w:rPr>
                <w:rFonts w:hint="eastAsia"/>
                <w:color w:val="auto"/>
                <w:sz w:val="21"/>
                <w:highlight w:val="none"/>
              </w:rPr>
              <w:t>柴油机组排放的SO</w:t>
            </w:r>
            <w:r>
              <w:rPr>
                <w:rFonts w:hint="eastAsia"/>
                <w:color w:val="auto"/>
                <w:sz w:val="21"/>
                <w:highlight w:val="none"/>
                <w:vertAlign w:val="subscript"/>
              </w:rPr>
              <w:t>2</w:t>
            </w:r>
            <w:r>
              <w:rPr>
                <w:rFonts w:hint="eastAsia"/>
                <w:color w:val="auto"/>
                <w:sz w:val="21"/>
                <w:highlight w:val="none"/>
              </w:rPr>
              <w:t>、NO</w:t>
            </w:r>
            <w:r>
              <w:rPr>
                <w:rFonts w:hint="eastAsia"/>
                <w:color w:val="auto"/>
                <w:sz w:val="21"/>
                <w:highlight w:val="none"/>
                <w:vertAlign w:val="subscript"/>
              </w:rPr>
              <w:t>X</w:t>
            </w:r>
            <w:r>
              <w:rPr>
                <w:rFonts w:hint="eastAsia"/>
                <w:color w:val="auto"/>
                <w:sz w:val="21"/>
                <w:highlight w:val="none"/>
              </w:rPr>
              <w:t>、烟尘能够满足《大气污染物综合排放标准》（GB 16297-1996）表2中的标准。NO</w:t>
            </w:r>
            <w:r>
              <w:rPr>
                <w:rFonts w:hint="eastAsia"/>
                <w:color w:val="auto"/>
                <w:sz w:val="21"/>
                <w:highlight w:val="none"/>
                <w:vertAlign w:val="subscript"/>
              </w:rPr>
              <w:t>X</w:t>
            </w:r>
            <w:r>
              <w:rPr>
                <w:rFonts w:hint="eastAsia"/>
                <w:color w:val="auto"/>
                <w:sz w:val="21"/>
                <w:highlight w:val="none"/>
              </w:rPr>
              <w:t>同时满足《非道路移动机械用柴油机排气污染物排放限值及测量方法（中国第三、四阶段）》（GB 20891-2014）表2中排放限值的要求。</w:t>
            </w:r>
          </w:p>
          <w:p w14:paraId="2A901D57">
            <w:pPr>
              <w:pStyle w:val="71"/>
              <w:numPr>
                <w:ilvl w:val="0"/>
                <w:numId w:val="32"/>
              </w:numPr>
              <w:spacing w:line="332" w:lineRule="auto"/>
              <w:ind w:firstLine="420" w:firstLineChars="200"/>
              <w:rPr>
                <w:color w:val="auto"/>
                <w:highlight w:val="none"/>
              </w:rPr>
            </w:pPr>
            <w:r>
              <w:rPr>
                <w:rFonts w:hint="eastAsia"/>
                <w:color w:val="auto"/>
                <w:highlight w:val="none"/>
              </w:rPr>
              <w:t>伴生气燃放废气的影响分析</w:t>
            </w:r>
          </w:p>
          <w:p w14:paraId="75C25716">
            <w:pPr>
              <w:pStyle w:val="3"/>
              <w:ind w:firstLine="420"/>
              <w:rPr>
                <w:color w:val="auto"/>
                <w:sz w:val="21"/>
                <w:highlight w:val="none"/>
              </w:rPr>
            </w:pPr>
            <w:r>
              <w:rPr>
                <w:rFonts w:hint="eastAsia"/>
                <w:color w:val="auto"/>
                <w:sz w:val="21"/>
                <w:highlight w:val="none"/>
              </w:rPr>
              <w:t>试油期，伴生气能满足点火条件的通过放喷管线引入放喷池燃烧，不满足点火条件的通过放喷管排放，属于阶段性排放，随着试油的结束而停止排放。伴生气燃放属短时偶发工况，且伴生气为天然气，燃烧后污染物较少，对环境影响小。伴生气排放标准参照《挥发性有机物无组织排放控制标准》（GB 37822-2019）及《陆上石油天然气开采工业大气污染物排放标准》（GB 39728-2020）中的无组织排放浓度限值（4.0mg/m</w:t>
            </w:r>
            <w:r>
              <w:rPr>
                <w:rFonts w:hint="eastAsia"/>
                <w:color w:val="auto"/>
                <w:sz w:val="21"/>
                <w:highlight w:val="none"/>
                <w:vertAlign w:val="superscript"/>
              </w:rPr>
              <w:t>3</w:t>
            </w:r>
            <w:r>
              <w:rPr>
                <w:rFonts w:hint="eastAsia"/>
                <w:color w:val="auto"/>
                <w:sz w:val="21"/>
                <w:highlight w:val="none"/>
              </w:rPr>
              <w:t>）执行。</w:t>
            </w:r>
          </w:p>
          <w:p w14:paraId="3B93E7F2">
            <w:pPr>
              <w:pStyle w:val="71"/>
              <w:numPr>
                <w:ilvl w:val="0"/>
                <w:numId w:val="32"/>
              </w:numPr>
              <w:spacing w:line="332" w:lineRule="auto"/>
              <w:ind w:firstLine="420" w:firstLineChars="200"/>
              <w:rPr>
                <w:color w:val="auto"/>
                <w:highlight w:val="none"/>
              </w:rPr>
            </w:pPr>
            <w:r>
              <w:rPr>
                <w:rFonts w:hint="eastAsia"/>
                <w:color w:val="auto"/>
                <w:highlight w:val="none"/>
              </w:rPr>
              <w:t>扬尘的影响分析</w:t>
            </w:r>
          </w:p>
          <w:p w14:paraId="3435F99E">
            <w:pPr>
              <w:pStyle w:val="3"/>
              <w:ind w:firstLine="420"/>
              <w:rPr>
                <w:color w:val="auto"/>
                <w:sz w:val="21"/>
                <w:highlight w:val="none"/>
              </w:rPr>
            </w:pPr>
            <w:r>
              <w:rPr>
                <w:rFonts w:hint="eastAsia"/>
                <w:color w:val="auto"/>
                <w:sz w:val="21"/>
                <w:highlight w:val="none"/>
              </w:rPr>
              <w:t>项目施工过程中，车辆运输及井场基础建设均会产生扬尘污染，施工现场采取洒水、围挡措施，物料集中堆放采取遮盖，车辆不要装载过满并采取密闭或者遮盖等措施后可以有效地抑制扬尘，对周围环境影响较小。</w:t>
            </w:r>
          </w:p>
          <w:p w14:paraId="336ACF9C">
            <w:pPr>
              <w:pStyle w:val="71"/>
              <w:numPr>
                <w:ilvl w:val="0"/>
                <w:numId w:val="32"/>
              </w:numPr>
              <w:spacing w:line="332" w:lineRule="auto"/>
              <w:ind w:firstLine="420" w:firstLineChars="200"/>
              <w:rPr>
                <w:color w:val="auto"/>
                <w:highlight w:val="none"/>
              </w:rPr>
            </w:pPr>
            <w:r>
              <w:rPr>
                <w:rFonts w:hint="eastAsia"/>
                <w:color w:val="auto"/>
                <w:highlight w:val="none"/>
              </w:rPr>
              <w:t>试油期无组织烃类废气影响分析</w:t>
            </w:r>
          </w:p>
          <w:p w14:paraId="02275B80">
            <w:pPr>
              <w:pStyle w:val="3"/>
              <w:ind w:firstLine="420"/>
              <w:rPr>
                <w:color w:val="auto"/>
                <w:sz w:val="21"/>
                <w:highlight w:val="none"/>
              </w:rPr>
            </w:pPr>
            <w:r>
              <w:rPr>
                <w:rFonts w:hint="eastAsia"/>
                <w:color w:val="auto"/>
                <w:sz w:val="21"/>
                <w:highlight w:val="none"/>
              </w:rPr>
              <w:t>项目试油过程如开采出工业油流，在采出液储存、转移、输送过程中会产生一定量的VOCs排放。对本工程而言，VOCs主要为非甲烷总烃。本工程试油井场无组织废气主要污染物为从阀门等部分逸散无组织非甲烷总烃，参照《污染源源强核算技术指南石油炼制工业》（HJ 982-2018）对本工程无组织废气进行核算。</w:t>
            </w:r>
          </w:p>
          <w:p w14:paraId="3AEDE669">
            <w:pPr>
              <w:pStyle w:val="3"/>
              <w:ind w:firstLine="420"/>
              <w:rPr>
                <w:color w:val="auto"/>
                <w:sz w:val="21"/>
                <w:highlight w:val="none"/>
              </w:rPr>
            </w:pPr>
            <w:r>
              <w:rPr>
                <w:rFonts w:hint="eastAsia"/>
                <w:color w:val="auto"/>
                <w:sz w:val="21"/>
                <w:highlight w:val="none"/>
              </w:rPr>
              <w:t>挥发性有机物流经的设备与管线组件密封点泄漏的挥发性有机物量按以下公式计算。</w:t>
            </w:r>
          </w:p>
          <w:p w14:paraId="53AD2ABB">
            <w:pPr>
              <w:pStyle w:val="3"/>
              <w:ind w:firstLine="0" w:firstLineChars="0"/>
              <w:jc w:val="center"/>
              <w:rPr>
                <w:color w:val="auto"/>
                <w:sz w:val="21"/>
                <w:highlight w:val="none"/>
              </w:rPr>
            </w:pPr>
            <w:r>
              <w:rPr>
                <w:color w:val="auto"/>
                <w:highlight w:val="none"/>
              </w:rPr>
              <w:drawing>
                <wp:inline distT="0" distB="0" distL="114300" distR="114300">
                  <wp:extent cx="2956560" cy="734060"/>
                  <wp:effectExtent l="0" t="0" r="2540" b="2540"/>
                  <wp:docPr id="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6"/>
                          <pic:cNvPicPr>
                            <a:picLocks noChangeAspect="1"/>
                          </pic:cNvPicPr>
                        </pic:nvPicPr>
                        <pic:blipFill>
                          <a:blip r:embed="rId16"/>
                          <a:stretch>
                            <a:fillRect/>
                          </a:stretch>
                        </pic:blipFill>
                        <pic:spPr>
                          <a:xfrm>
                            <a:off x="0" y="0"/>
                            <a:ext cx="2956560" cy="734060"/>
                          </a:xfrm>
                          <a:prstGeom prst="rect">
                            <a:avLst/>
                          </a:prstGeom>
                          <a:noFill/>
                          <a:ln>
                            <a:noFill/>
                          </a:ln>
                        </pic:spPr>
                      </pic:pic>
                    </a:graphicData>
                  </a:graphic>
                </wp:inline>
              </w:drawing>
            </w:r>
          </w:p>
          <w:p w14:paraId="354D1795">
            <w:pPr>
              <w:pStyle w:val="3"/>
              <w:ind w:firstLine="420"/>
              <w:rPr>
                <w:color w:val="auto"/>
                <w:sz w:val="21"/>
                <w:highlight w:val="none"/>
              </w:rPr>
            </w:pPr>
            <w:r>
              <w:rPr>
                <w:rFonts w:hint="eastAsia"/>
                <w:color w:val="auto"/>
                <w:sz w:val="21"/>
                <w:highlight w:val="none"/>
              </w:rPr>
              <w:t>式中：D</w:t>
            </w:r>
            <w:r>
              <w:rPr>
                <w:rFonts w:hint="eastAsia"/>
                <w:color w:val="auto"/>
                <w:sz w:val="21"/>
                <w:highlight w:val="none"/>
                <w:vertAlign w:val="subscript"/>
              </w:rPr>
              <w:t>设备</w:t>
            </w:r>
            <w:r>
              <w:rPr>
                <w:rFonts w:hint="eastAsia"/>
                <w:color w:val="auto"/>
                <w:sz w:val="21"/>
                <w:highlight w:val="none"/>
              </w:rPr>
              <w:t>--核算时段内设备与管线组件密封点泄漏的挥发性有机物的量，kg；</w:t>
            </w:r>
          </w:p>
          <w:p w14:paraId="698E8C30">
            <w:pPr>
              <w:pStyle w:val="3"/>
              <w:ind w:firstLine="1050" w:firstLineChars="500"/>
              <w:rPr>
                <w:color w:val="auto"/>
                <w:sz w:val="21"/>
                <w:highlight w:val="none"/>
              </w:rPr>
            </w:pPr>
            <w:r>
              <w:rPr>
                <w:rFonts w:hint="eastAsia"/>
                <w:color w:val="auto"/>
                <w:sz w:val="21"/>
                <w:highlight w:val="none"/>
              </w:rPr>
              <w:t>α--设备与管线组件密封点的泄漏比例；本次取值0.003；</w:t>
            </w:r>
          </w:p>
          <w:p w14:paraId="1CA4FE35">
            <w:pPr>
              <w:pStyle w:val="3"/>
              <w:ind w:firstLine="1050" w:firstLineChars="500"/>
              <w:rPr>
                <w:color w:val="auto"/>
                <w:sz w:val="21"/>
                <w:highlight w:val="none"/>
              </w:rPr>
            </w:pPr>
            <w:r>
              <w:rPr>
                <w:rFonts w:hint="eastAsia"/>
                <w:color w:val="auto"/>
                <w:sz w:val="21"/>
                <w:highlight w:val="none"/>
              </w:rPr>
              <w:t>n--挥发性有机物流经的设备与管线组件密封点数；</w:t>
            </w:r>
          </w:p>
          <w:p w14:paraId="00B8F8E5">
            <w:pPr>
              <w:pStyle w:val="3"/>
              <w:ind w:firstLine="1050" w:firstLineChars="500"/>
              <w:rPr>
                <w:color w:val="auto"/>
                <w:sz w:val="21"/>
                <w:highlight w:val="none"/>
              </w:rPr>
            </w:pPr>
            <w:r>
              <w:rPr>
                <w:rFonts w:hint="eastAsia"/>
                <w:color w:val="auto"/>
                <w:sz w:val="21"/>
                <w:highlight w:val="none"/>
              </w:rPr>
              <w:t>e</w:t>
            </w:r>
            <w:r>
              <w:rPr>
                <w:rFonts w:hint="eastAsia"/>
                <w:color w:val="auto"/>
                <w:sz w:val="21"/>
                <w:highlight w:val="none"/>
                <w:vertAlign w:val="subscript"/>
              </w:rPr>
              <w:t>TOC，i</w:t>
            </w:r>
            <w:r>
              <w:rPr>
                <w:rFonts w:hint="eastAsia"/>
                <w:color w:val="auto"/>
                <w:sz w:val="21"/>
                <w:highlight w:val="none"/>
              </w:rPr>
              <w:t>--密封点i的总有机碳（TOC）排放速率，kg/h,取值参见</w:t>
            </w:r>
            <w:r>
              <w:rPr>
                <w:rFonts w:hint="eastAsia"/>
                <w:color w:val="auto"/>
                <w:sz w:val="21"/>
                <w:highlight w:val="none"/>
              </w:rPr>
              <w:fldChar w:fldCharType="begin"/>
            </w:r>
            <w:r>
              <w:rPr>
                <w:color w:val="auto"/>
                <w:highlight w:val="none"/>
              </w:rPr>
              <w:instrText xml:space="preserve"> REF _Ref32230050 \h  \* MERGEFORMAT</w:instrText>
            </w:r>
            <w:r>
              <w:rPr>
                <w:rFonts w:hint="eastAsia"/>
                <w:color w:val="auto"/>
                <w:sz w:val="21"/>
                <w:highlight w:val="none"/>
              </w:rPr>
              <w:fldChar w:fldCharType="separate"/>
            </w:r>
            <w:r>
              <w:rPr>
                <w:rFonts w:hint="eastAsia"/>
                <w:color w:val="auto"/>
                <w:sz w:val="21"/>
                <w:highlight w:val="none"/>
              </w:rPr>
              <w:t>表28</w:t>
            </w:r>
            <w:r>
              <w:rPr>
                <w:rFonts w:hint="eastAsia"/>
                <w:color w:val="auto"/>
                <w:sz w:val="21"/>
                <w:highlight w:val="none"/>
              </w:rPr>
              <w:fldChar w:fldCharType="end"/>
            </w:r>
            <w:r>
              <w:rPr>
                <w:rFonts w:hint="eastAsia"/>
                <w:color w:val="auto"/>
                <w:sz w:val="21"/>
                <w:highlight w:val="none"/>
              </w:rPr>
              <w:t>；</w:t>
            </w:r>
          </w:p>
          <w:p w14:paraId="53312129">
            <w:pPr>
              <w:pStyle w:val="3"/>
              <w:ind w:firstLine="1050" w:firstLineChars="500"/>
              <w:rPr>
                <w:color w:val="auto"/>
                <w:sz w:val="21"/>
                <w:highlight w:val="none"/>
              </w:rPr>
            </w:pPr>
            <w:r>
              <w:rPr>
                <w:rFonts w:hint="eastAsia"/>
                <w:color w:val="auto"/>
                <w:sz w:val="21"/>
                <w:highlight w:val="none"/>
              </w:rPr>
              <w:t>WF</w:t>
            </w:r>
            <w:r>
              <w:rPr>
                <w:rFonts w:hint="eastAsia"/>
                <w:color w:val="auto"/>
                <w:sz w:val="21"/>
                <w:highlight w:val="none"/>
                <w:vertAlign w:val="subscript"/>
              </w:rPr>
              <w:t>VOCs，i</w:t>
            </w:r>
            <w:r>
              <w:rPr>
                <w:rFonts w:hint="eastAsia"/>
                <w:color w:val="auto"/>
                <w:sz w:val="21"/>
                <w:highlight w:val="none"/>
              </w:rPr>
              <w:t>--流经密封点i的物料中挥发性有机物的设计平均质量分数，%；</w:t>
            </w:r>
          </w:p>
          <w:p w14:paraId="1ED21609">
            <w:pPr>
              <w:pStyle w:val="3"/>
              <w:ind w:firstLine="1050" w:firstLineChars="500"/>
              <w:rPr>
                <w:color w:val="auto"/>
                <w:sz w:val="21"/>
                <w:highlight w:val="none"/>
              </w:rPr>
            </w:pPr>
            <w:r>
              <w:rPr>
                <w:rFonts w:hint="eastAsia"/>
                <w:color w:val="auto"/>
                <w:sz w:val="21"/>
                <w:highlight w:val="none"/>
              </w:rPr>
              <w:t>WF</w:t>
            </w:r>
            <w:r>
              <w:rPr>
                <w:rFonts w:hint="eastAsia"/>
                <w:color w:val="auto"/>
                <w:sz w:val="21"/>
                <w:highlight w:val="none"/>
                <w:vertAlign w:val="subscript"/>
              </w:rPr>
              <w:t>TOC，i</w:t>
            </w:r>
            <w:r>
              <w:rPr>
                <w:rFonts w:hint="eastAsia"/>
                <w:color w:val="auto"/>
                <w:sz w:val="21"/>
                <w:highlight w:val="none"/>
              </w:rPr>
              <w:t>--流经密封点i的物料中总有机碳（TOC）的设计平均质量分数，%；</w:t>
            </w:r>
          </w:p>
          <w:p w14:paraId="171224FC">
            <w:pPr>
              <w:pStyle w:val="3"/>
              <w:ind w:firstLine="1050" w:firstLineChars="500"/>
              <w:rPr>
                <w:rFonts w:hint="eastAsia"/>
                <w:color w:val="auto"/>
                <w:sz w:val="21"/>
                <w:highlight w:val="none"/>
              </w:rPr>
            </w:pPr>
            <w:r>
              <w:rPr>
                <w:rFonts w:hint="eastAsia"/>
                <w:color w:val="auto"/>
                <w:sz w:val="21"/>
                <w:highlight w:val="none"/>
              </w:rPr>
              <w:t>t--核算时段内密封点i的运行时间，h。</w:t>
            </w:r>
          </w:p>
          <w:p w14:paraId="4113FB52">
            <w:pPr>
              <w:pStyle w:val="13"/>
              <w:bidi w:val="0"/>
              <w:rPr>
                <w:color w:val="auto"/>
                <w:highlight w:val="none"/>
              </w:rPr>
            </w:pPr>
            <w:bookmarkStart w:id="57" w:name="_Ref32230050"/>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28</w:t>
            </w:r>
            <w:r>
              <w:rPr>
                <w:rFonts w:hint="eastAsia"/>
                <w:color w:val="auto"/>
                <w:highlight w:val="none"/>
              </w:rPr>
              <w:fldChar w:fldCharType="end"/>
            </w:r>
            <w:bookmarkEnd w:id="57"/>
            <w:r>
              <w:rPr>
                <w:rFonts w:hint="eastAsia"/>
                <w:color w:val="auto"/>
                <w:highlight w:val="none"/>
              </w:rPr>
              <w:t xml:space="preserve">  设备及管线组件eTOC，i取值参数表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6"/>
              <w:gridCol w:w="3515"/>
              <w:gridCol w:w="2551"/>
            </w:tblGrid>
            <w:tr w14:paraId="6D67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pct"/>
                  <w:tcMar>
                    <w:top w:w="57" w:type="dxa"/>
                    <w:left w:w="108" w:type="dxa"/>
                    <w:bottom w:w="57" w:type="dxa"/>
                    <w:right w:w="108" w:type="dxa"/>
                  </w:tcMar>
                  <w:vAlign w:val="center"/>
                </w:tcPr>
                <w:p w14:paraId="369D46CA">
                  <w:pPr>
                    <w:pStyle w:val="41"/>
                    <w:rPr>
                      <w:rFonts w:cs="宋体"/>
                      <w:color w:val="auto"/>
                      <w:kern w:val="0"/>
                      <w:szCs w:val="18"/>
                      <w:highlight w:val="none"/>
                    </w:rPr>
                  </w:pPr>
                  <w:r>
                    <w:rPr>
                      <w:rFonts w:hint="eastAsia" w:cs="宋体"/>
                      <w:color w:val="auto"/>
                      <w:kern w:val="0"/>
                      <w:szCs w:val="18"/>
                      <w:highlight w:val="none"/>
                    </w:rPr>
                    <w:t>序号</w:t>
                  </w:r>
                </w:p>
              </w:tc>
              <w:tc>
                <w:tcPr>
                  <w:tcW w:w="2296" w:type="pct"/>
                  <w:tcMar>
                    <w:top w:w="57" w:type="dxa"/>
                    <w:left w:w="108" w:type="dxa"/>
                    <w:bottom w:w="57" w:type="dxa"/>
                    <w:right w:w="108" w:type="dxa"/>
                  </w:tcMar>
                  <w:vAlign w:val="center"/>
                </w:tcPr>
                <w:p w14:paraId="4AB19098">
                  <w:pPr>
                    <w:pStyle w:val="41"/>
                    <w:rPr>
                      <w:rFonts w:cs="宋体"/>
                      <w:color w:val="auto"/>
                      <w:kern w:val="0"/>
                      <w:szCs w:val="18"/>
                      <w:highlight w:val="none"/>
                    </w:rPr>
                  </w:pPr>
                  <w:r>
                    <w:rPr>
                      <w:rFonts w:hint="eastAsia" w:cs="宋体"/>
                      <w:color w:val="auto"/>
                      <w:kern w:val="0"/>
                      <w:szCs w:val="18"/>
                      <w:highlight w:val="none"/>
                    </w:rPr>
                    <w:t>设备类型</w:t>
                  </w:r>
                </w:p>
              </w:tc>
              <w:tc>
                <w:tcPr>
                  <w:tcW w:w="1666" w:type="pct"/>
                  <w:tcMar>
                    <w:top w:w="57" w:type="dxa"/>
                    <w:left w:w="108" w:type="dxa"/>
                    <w:bottom w:w="57" w:type="dxa"/>
                    <w:right w:w="108" w:type="dxa"/>
                  </w:tcMar>
                  <w:vAlign w:val="center"/>
                </w:tcPr>
                <w:p w14:paraId="1904EF90">
                  <w:pPr>
                    <w:pStyle w:val="41"/>
                    <w:rPr>
                      <w:rFonts w:cs="宋体"/>
                      <w:color w:val="auto"/>
                      <w:kern w:val="0"/>
                      <w:szCs w:val="18"/>
                      <w:highlight w:val="none"/>
                    </w:rPr>
                  </w:pPr>
                  <w:r>
                    <w:rPr>
                      <w:rFonts w:hint="eastAsia" w:cs="宋体"/>
                      <w:color w:val="auto"/>
                      <w:kern w:val="0"/>
                      <w:szCs w:val="18"/>
                      <w:highlight w:val="none"/>
                    </w:rPr>
                    <w:t>排放系数（kg/h/排放源）</w:t>
                  </w:r>
                </w:p>
              </w:tc>
            </w:tr>
            <w:tr w14:paraId="1571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pct"/>
                  <w:tcMar>
                    <w:top w:w="57" w:type="dxa"/>
                    <w:left w:w="108" w:type="dxa"/>
                    <w:bottom w:w="57" w:type="dxa"/>
                    <w:right w:w="108" w:type="dxa"/>
                  </w:tcMar>
                  <w:vAlign w:val="center"/>
                </w:tcPr>
                <w:p w14:paraId="285E9ED7">
                  <w:pPr>
                    <w:pStyle w:val="41"/>
                    <w:rPr>
                      <w:rFonts w:cs="宋体"/>
                      <w:color w:val="auto"/>
                      <w:kern w:val="0"/>
                      <w:szCs w:val="18"/>
                      <w:highlight w:val="none"/>
                    </w:rPr>
                  </w:pPr>
                  <w:r>
                    <w:rPr>
                      <w:rFonts w:hint="eastAsia" w:cs="宋体"/>
                      <w:color w:val="auto"/>
                      <w:kern w:val="0"/>
                      <w:szCs w:val="18"/>
                      <w:highlight w:val="none"/>
                    </w:rPr>
                    <w:t>1</w:t>
                  </w:r>
                </w:p>
              </w:tc>
              <w:tc>
                <w:tcPr>
                  <w:tcW w:w="2296" w:type="pct"/>
                  <w:tcMar>
                    <w:top w:w="57" w:type="dxa"/>
                    <w:left w:w="108" w:type="dxa"/>
                    <w:bottom w:w="57" w:type="dxa"/>
                    <w:right w:w="108" w:type="dxa"/>
                  </w:tcMar>
                  <w:vAlign w:val="center"/>
                </w:tcPr>
                <w:p w14:paraId="510064E9">
                  <w:pPr>
                    <w:pStyle w:val="41"/>
                    <w:rPr>
                      <w:rFonts w:cs="宋体"/>
                      <w:color w:val="auto"/>
                      <w:kern w:val="0"/>
                      <w:szCs w:val="18"/>
                      <w:highlight w:val="none"/>
                    </w:rPr>
                  </w:pPr>
                  <w:r>
                    <w:rPr>
                      <w:rFonts w:hint="eastAsia" w:cs="宋体"/>
                      <w:color w:val="auto"/>
                      <w:kern w:val="0"/>
                      <w:szCs w:val="18"/>
                      <w:highlight w:val="none"/>
                    </w:rPr>
                    <w:t>连接件</w:t>
                  </w:r>
                </w:p>
              </w:tc>
              <w:tc>
                <w:tcPr>
                  <w:tcW w:w="1666" w:type="pct"/>
                  <w:tcMar>
                    <w:top w:w="57" w:type="dxa"/>
                    <w:left w:w="108" w:type="dxa"/>
                    <w:bottom w:w="57" w:type="dxa"/>
                    <w:right w:w="108" w:type="dxa"/>
                  </w:tcMar>
                  <w:vAlign w:val="center"/>
                </w:tcPr>
                <w:p w14:paraId="172C3170">
                  <w:pPr>
                    <w:pStyle w:val="41"/>
                    <w:rPr>
                      <w:rFonts w:cs="宋体"/>
                      <w:color w:val="auto"/>
                      <w:kern w:val="0"/>
                      <w:szCs w:val="18"/>
                      <w:highlight w:val="none"/>
                    </w:rPr>
                  </w:pPr>
                  <w:r>
                    <w:rPr>
                      <w:rFonts w:hint="eastAsia" w:cs="宋体"/>
                      <w:color w:val="auto"/>
                      <w:kern w:val="0"/>
                      <w:szCs w:val="18"/>
                      <w:highlight w:val="none"/>
                    </w:rPr>
                    <w:t>0.028</w:t>
                  </w:r>
                </w:p>
              </w:tc>
            </w:tr>
            <w:tr w14:paraId="0076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pct"/>
                  <w:tcMar>
                    <w:top w:w="57" w:type="dxa"/>
                    <w:left w:w="108" w:type="dxa"/>
                    <w:bottom w:w="57" w:type="dxa"/>
                    <w:right w:w="108" w:type="dxa"/>
                  </w:tcMar>
                  <w:vAlign w:val="center"/>
                </w:tcPr>
                <w:p w14:paraId="37A30FD3">
                  <w:pPr>
                    <w:pStyle w:val="41"/>
                    <w:rPr>
                      <w:rFonts w:cs="宋体"/>
                      <w:color w:val="auto"/>
                      <w:kern w:val="0"/>
                      <w:szCs w:val="18"/>
                      <w:highlight w:val="none"/>
                    </w:rPr>
                  </w:pPr>
                  <w:r>
                    <w:rPr>
                      <w:rFonts w:hint="eastAsia" w:cs="宋体"/>
                      <w:color w:val="auto"/>
                      <w:kern w:val="0"/>
                      <w:szCs w:val="18"/>
                      <w:highlight w:val="none"/>
                    </w:rPr>
                    <w:t>2</w:t>
                  </w:r>
                </w:p>
              </w:tc>
              <w:tc>
                <w:tcPr>
                  <w:tcW w:w="2296" w:type="pct"/>
                  <w:tcMar>
                    <w:top w:w="57" w:type="dxa"/>
                    <w:left w:w="108" w:type="dxa"/>
                    <w:bottom w:w="57" w:type="dxa"/>
                    <w:right w:w="108" w:type="dxa"/>
                  </w:tcMar>
                  <w:vAlign w:val="center"/>
                </w:tcPr>
                <w:p w14:paraId="05A2E98C">
                  <w:pPr>
                    <w:pStyle w:val="41"/>
                    <w:rPr>
                      <w:rFonts w:cs="宋体"/>
                      <w:color w:val="auto"/>
                      <w:kern w:val="0"/>
                      <w:szCs w:val="18"/>
                      <w:highlight w:val="none"/>
                    </w:rPr>
                  </w:pPr>
                  <w:r>
                    <w:rPr>
                      <w:rFonts w:hint="eastAsia" w:cs="宋体"/>
                      <w:color w:val="auto"/>
                      <w:kern w:val="0"/>
                      <w:szCs w:val="18"/>
                      <w:highlight w:val="none"/>
                    </w:rPr>
                    <w:t>开口阀或开口管线</w:t>
                  </w:r>
                </w:p>
              </w:tc>
              <w:tc>
                <w:tcPr>
                  <w:tcW w:w="1666" w:type="pct"/>
                  <w:tcMar>
                    <w:top w:w="57" w:type="dxa"/>
                    <w:left w:w="108" w:type="dxa"/>
                    <w:bottom w:w="57" w:type="dxa"/>
                    <w:right w:w="108" w:type="dxa"/>
                  </w:tcMar>
                  <w:vAlign w:val="center"/>
                </w:tcPr>
                <w:p w14:paraId="55E655CF">
                  <w:pPr>
                    <w:pStyle w:val="41"/>
                    <w:rPr>
                      <w:rFonts w:cs="宋体"/>
                      <w:color w:val="auto"/>
                      <w:kern w:val="0"/>
                      <w:szCs w:val="18"/>
                      <w:highlight w:val="none"/>
                    </w:rPr>
                  </w:pPr>
                  <w:r>
                    <w:rPr>
                      <w:rFonts w:hint="eastAsia" w:cs="宋体"/>
                      <w:color w:val="auto"/>
                      <w:kern w:val="0"/>
                      <w:szCs w:val="18"/>
                      <w:highlight w:val="none"/>
                    </w:rPr>
                    <w:t>0.03</w:t>
                  </w:r>
                </w:p>
              </w:tc>
            </w:tr>
            <w:tr w14:paraId="5A24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pct"/>
                  <w:tcMar>
                    <w:top w:w="57" w:type="dxa"/>
                    <w:left w:w="108" w:type="dxa"/>
                    <w:bottom w:w="57" w:type="dxa"/>
                    <w:right w:w="108" w:type="dxa"/>
                  </w:tcMar>
                  <w:vAlign w:val="center"/>
                </w:tcPr>
                <w:p w14:paraId="65701FCA">
                  <w:pPr>
                    <w:pStyle w:val="41"/>
                    <w:rPr>
                      <w:rFonts w:cs="宋体"/>
                      <w:color w:val="auto"/>
                      <w:kern w:val="0"/>
                      <w:szCs w:val="18"/>
                      <w:highlight w:val="none"/>
                    </w:rPr>
                  </w:pPr>
                  <w:r>
                    <w:rPr>
                      <w:rFonts w:hint="eastAsia" w:cs="宋体"/>
                      <w:color w:val="auto"/>
                      <w:kern w:val="0"/>
                      <w:szCs w:val="18"/>
                      <w:highlight w:val="none"/>
                    </w:rPr>
                    <w:t>3</w:t>
                  </w:r>
                </w:p>
              </w:tc>
              <w:tc>
                <w:tcPr>
                  <w:tcW w:w="2296" w:type="pct"/>
                  <w:tcMar>
                    <w:top w:w="57" w:type="dxa"/>
                    <w:left w:w="108" w:type="dxa"/>
                    <w:bottom w:w="57" w:type="dxa"/>
                    <w:right w:w="108" w:type="dxa"/>
                  </w:tcMar>
                  <w:vAlign w:val="center"/>
                </w:tcPr>
                <w:p w14:paraId="198062FA">
                  <w:pPr>
                    <w:pStyle w:val="41"/>
                    <w:rPr>
                      <w:rFonts w:cs="宋体"/>
                      <w:color w:val="auto"/>
                      <w:kern w:val="0"/>
                      <w:szCs w:val="18"/>
                      <w:highlight w:val="none"/>
                    </w:rPr>
                  </w:pPr>
                  <w:r>
                    <w:rPr>
                      <w:rFonts w:hint="eastAsia" w:cs="宋体"/>
                      <w:color w:val="auto"/>
                      <w:kern w:val="0"/>
                      <w:szCs w:val="18"/>
                      <w:highlight w:val="none"/>
                    </w:rPr>
                    <w:t>阀门</w:t>
                  </w:r>
                </w:p>
              </w:tc>
              <w:tc>
                <w:tcPr>
                  <w:tcW w:w="1666" w:type="pct"/>
                  <w:tcMar>
                    <w:top w:w="57" w:type="dxa"/>
                    <w:left w:w="108" w:type="dxa"/>
                    <w:bottom w:w="57" w:type="dxa"/>
                    <w:right w:w="108" w:type="dxa"/>
                  </w:tcMar>
                  <w:vAlign w:val="center"/>
                </w:tcPr>
                <w:p w14:paraId="6D61C08C">
                  <w:pPr>
                    <w:pStyle w:val="41"/>
                    <w:rPr>
                      <w:rFonts w:cs="宋体"/>
                      <w:color w:val="auto"/>
                      <w:kern w:val="0"/>
                      <w:szCs w:val="18"/>
                      <w:highlight w:val="none"/>
                    </w:rPr>
                  </w:pPr>
                  <w:r>
                    <w:rPr>
                      <w:rFonts w:hint="eastAsia" w:cs="宋体"/>
                      <w:color w:val="auto"/>
                      <w:kern w:val="0"/>
                      <w:szCs w:val="18"/>
                      <w:highlight w:val="none"/>
                    </w:rPr>
                    <w:t>0.064</w:t>
                  </w:r>
                </w:p>
              </w:tc>
            </w:tr>
            <w:tr w14:paraId="00B5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pct"/>
                  <w:tcMar>
                    <w:top w:w="57" w:type="dxa"/>
                    <w:left w:w="108" w:type="dxa"/>
                    <w:bottom w:w="57" w:type="dxa"/>
                    <w:right w:w="108" w:type="dxa"/>
                  </w:tcMar>
                  <w:vAlign w:val="center"/>
                </w:tcPr>
                <w:p w14:paraId="4C771A03">
                  <w:pPr>
                    <w:pStyle w:val="41"/>
                    <w:rPr>
                      <w:rFonts w:cs="宋体"/>
                      <w:color w:val="auto"/>
                      <w:kern w:val="0"/>
                      <w:szCs w:val="18"/>
                      <w:highlight w:val="none"/>
                    </w:rPr>
                  </w:pPr>
                  <w:r>
                    <w:rPr>
                      <w:rFonts w:hint="eastAsia" w:cs="宋体"/>
                      <w:color w:val="auto"/>
                      <w:kern w:val="0"/>
                      <w:szCs w:val="18"/>
                      <w:highlight w:val="none"/>
                    </w:rPr>
                    <w:t>4</w:t>
                  </w:r>
                </w:p>
              </w:tc>
              <w:tc>
                <w:tcPr>
                  <w:tcW w:w="2296" w:type="pct"/>
                  <w:tcMar>
                    <w:top w:w="57" w:type="dxa"/>
                    <w:left w:w="108" w:type="dxa"/>
                    <w:bottom w:w="57" w:type="dxa"/>
                    <w:right w:w="108" w:type="dxa"/>
                  </w:tcMar>
                  <w:vAlign w:val="center"/>
                </w:tcPr>
                <w:p w14:paraId="102DC6F3">
                  <w:pPr>
                    <w:pStyle w:val="41"/>
                    <w:rPr>
                      <w:rFonts w:cs="宋体"/>
                      <w:color w:val="auto"/>
                      <w:kern w:val="0"/>
                      <w:szCs w:val="18"/>
                      <w:highlight w:val="none"/>
                    </w:rPr>
                  </w:pPr>
                  <w:r>
                    <w:rPr>
                      <w:rFonts w:hint="eastAsia" w:cs="宋体"/>
                      <w:color w:val="auto"/>
                      <w:kern w:val="0"/>
                      <w:szCs w:val="18"/>
                      <w:highlight w:val="none"/>
                    </w:rPr>
                    <w:t>压缩机、搅拌器、泄压设备</w:t>
                  </w:r>
                </w:p>
              </w:tc>
              <w:tc>
                <w:tcPr>
                  <w:tcW w:w="1666" w:type="pct"/>
                  <w:tcMar>
                    <w:top w:w="57" w:type="dxa"/>
                    <w:left w:w="108" w:type="dxa"/>
                    <w:bottom w:w="57" w:type="dxa"/>
                    <w:right w:w="108" w:type="dxa"/>
                  </w:tcMar>
                  <w:vAlign w:val="center"/>
                </w:tcPr>
                <w:p w14:paraId="4736144B">
                  <w:pPr>
                    <w:pStyle w:val="41"/>
                    <w:rPr>
                      <w:rFonts w:cs="宋体"/>
                      <w:color w:val="auto"/>
                      <w:kern w:val="0"/>
                      <w:szCs w:val="18"/>
                      <w:highlight w:val="none"/>
                    </w:rPr>
                  </w:pPr>
                  <w:r>
                    <w:rPr>
                      <w:rFonts w:hint="eastAsia" w:cs="宋体"/>
                      <w:color w:val="auto"/>
                      <w:kern w:val="0"/>
                      <w:szCs w:val="18"/>
                      <w:highlight w:val="none"/>
                    </w:rPr>
                    <w:t>0.073</w:t>
                  </w:r>
                </w:p>
              </w:tc>
            </w:tr>
            <w:tr w14:paraId="3876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pct"/>
                  <w:tcMar>
                    <w:top w:w="57" w:type="dxa"/>
                    <w:left w:w="108" w:type="dxa"/>
                    <w:bottom w:w="57" w:type="dxa"/>
                    <w:right w:w="108" w:type="dxa"/>
                  </w:tcMar>
                  <w:vAlign w:val="center"/>
                </w:tcPr>
                <w:p w14:paraId="4B4B6BF2">
                  <w:pPr>
                    <w:pStyle w:val="41"/>
                    <w:rPr>
                      <w:rFonts w:cs="宋体"/>
                      <w:color w:val="auto"/>
                      <w:kern w:val="0"/>
                      <w:szCs w:val="18"/>
                      <w:highlight w:val="none"/>
                    </w:rPr>
                  </w:pPr>
                  <w:r>
                    <w:rPr>
                      <w:rFonts w:hint="eastAsia" w:cs="宋体"/>
                      <w:color w:val="auto"/>
                      <w:kern w:val="0"/>
                      <w:szCs w:val="18"/>
                      <w:highlight w:val="none"/>
                    </w:rPr>
                    <w:t>5</w:t>
                  </w:r>
                </w:p>
              </w:tc>
              <w:tc>
                <w:tcPr>
                  <w:tcW w:w="2296" w:type="pct"/>
                  <w:tcMar>
                    <w:top w:w="57" w:type="dxa"/>
                    <w:left w:w="108" w:type="dxa"/>
                    <w:bottom w:w="57" w:type="dxa"/>
                    <w:right w:w="108" w:type="dxa"/>
                  </w:tcMar>
                  <w:vAlign w:val="center"/>
                </w:tcPr>
                <w:p w14:paraId="2778F57D">
                  <w:pPr>
                    <w:pStyle w:val="41"/>
                    <w:rPr>
                      <w:rFonts w:cs="宋体"/>
                      <w:color w:val="auto"/>
                      <w:kern w:val="0"/>
                      <w:szCs w:val="18"/>
                      <w:highlight w:val="none"/>
                    </w:rPr>
                  </w:pPr>
                  <w:r>
                    <w:rPr>
                      <w:rFonts w:hint="eastAsia" w:cs="宋体"/>
                      <w:color w:val="auto"/>
                      <w:kern w:val="0"/>
                      <w:szCs w:val="18"/>
                      <w:highlight w:val="none"/>
                    </w:rPr>
                    <w:t>泵</w:t>
                  </w:r>
                </w:p>
              </w:tc>
              <w:tc>
                <w:tcPr>
                  <w:tcW w:w="1666" w:type="pct"/>
                  <w:tcMar>
                    <w:top w:w="57" w:type="dxa"/>
                    <w:left w:w="108" w:type="dxa"/>
                    <w:bottom w:w="57" w:type="dxa"/>
                    <w:right w:w="108" w:type="dxa"/>
                  </w:tcMar>
                  <w:vAlign w:val="center"/>
                </w:tcPr>
                <w:p w14:paraId="666E81CB">
                  <w:pPr>
                    <w:pStyle w:val="41"/>
                    <w:rPr>
                      <w:rFonts w:cs="宋体"/>
                      <w:color w:val="auto"/>
                      <w:kern w:val="0"/>
                      <w:szCs w:val="18"/>
                      <w:highlight w:val="none"/>
                    </w:rPr>
                  </w:pPr>
                  <w:r>
                    <w:rPr>
                      <w:rFonts w:hint="eastAsia" w:cs="宋体"/>
                      <w:color w:val="auto"/>
                      <w:kern w:val="0"/>
                      <w:szCs w:val="18"/>
                      <w:highlight w:val="none"/>
                    </w:rPr>
                    <w:t>0.074</w:t>
                  </w:r>
                </w:p>
              </w:tc>
            </w:tr>
            <w:tr w14:paraId="1286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pct"/>
                  <w:tcMar>
                    <w:top w:w="57" w:type="dxa"/>
                    <w:left w:w="108" w:type="dxa"/>
                    <w:bottom w:w="57" w:type="dxa"/>
                    <w:right w:w="108" w:type="dxa"/>
                  </w:tcMar>
                  <w:vAlign w:val="center"/>
                </w:tcPr>
                <w:p w14:paraId="283ED8F9">
                  <w:pPr>
                    <w:pStyle w:val="41"/>
                    <w:rPr>
                      <w:rFonts w:cs="宋体"/>
                      <w:color w:val="auto"/>
                      <w:kern w:val="0"/>
                      <w:szCs w:val="18"/>
                      <w:highlight w:val="none"/>
                    </w:rPr>
                  </w:pPr>
                  <w:r>
                    <w:rPr>
                      <w:rFonts w:hint="eastAsia" w:cs="宋体"/>
                      <w:color w:val="auto"/>
                      <w:kern w:val="0"/>
                      <w:szCs w:val="18"/>
                      <w:highlight w:val="none"/>
                    </w:rPr>
                    <w:t>6</w:t>
                  </w:r>
                </w:p>
              </w:tc>
              <w:tc>
                <w:tcPr>
                  <w:tcW w:w="2296" w:type="pct"/>
                  <w:tcMar>
                    <w:top w:w="57" w:type="dxa"/>
                    <w:left w:w="108" w:type="dxa"/>
                    <w:bottom w:w="57" w:type="dxa"/>
                    <w:right w:w="108" w:type="dxa"/>
                  </w:tcMar>
                  <w:vAlign w:val="center"/>
                </w:tcPr>
                <w:p w14:paraId="0E16A380">
                  <w:pPr>
                    <w:pStyle w:val="41"/>
                    <w:rPr>
                      <w:rFonts w:cs="宋体"/>
                      <w:color w:val="auto"/>
                      <w:kern w:val="0"/>
                      <w:szCs w:val="18"/>
                      <w:highlight w:val="none"/>
                    </w:rPr>
                  </w:pPr>
                  <w:r>
                    <w:rPr>
                      <w:rFonts w:hint="eastAsia" w:cs="宋体"/>
                      <w:color w:val="auto"/>
                      <w:kern w:val="0"/>
                      <w:szCs w:val="18"/>
                      <w:highlight w:val="none"/>
                    </w:rPr>
                    <w:t>法兰</w:t>
                  </w:r>
                </w:p>
              </w:tc>
              <w:tc>
                <w:tcPr>
                  <w:tcW w:w="1666" w:type="pct"/>
                  <w:tcMar>
                    <w:top w:w="57" w:type="dxa"/>
                    <w:left w:w="108" w:type="dxa"/>
                    <w:bottom w:w="57" w:type="dxa"/>
                    <w:right w:w="108" w:type="dxa"/>
                  </w:tcMar>
                  <w:vAlign w:val="center"/>
                </w:tcPr>
                <w:p w14:paraId="158B0D37">
                  <w:pPr>
                    <w:pStyle w:val="41"/>
                    <w:rPr>
                      <w:rFonts w:cs="宋体"/>
                      <w:color w:val="auto"/>
                      <w:kern w:val="0"/>
                      <w:szCs w:val="18"/>
                      <w:highlight w:val="none"/>
                    </w:rPr>
                  </w:pPr>
                  <w:r>
                    <w:rPr>
                      <w:rFonts w:hint="eastAsia" w:cs="宋体"/>
                      <w:color w:val="auto"/>
                      <w:kern w:val="0"/>
                      <w:szCs w:val="18"/>
                      <w:highlight w:val="none"/>
                    </w:rPr>
                    <w:t>0.085</w:t>
                  </w:r>
                </w:p>
              </w:tc>
            </w:tr>
            <w:tr w14:paraId="02AE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pct"/>
                  <w:tcMar>
                    <w:top w:w="57" w:type="dxa"/>
                    <w:left w:w="108" w:type="dxa"/>
                    <w:bottom w:w="57" w:type="dxa"/>
                    <w:right w:w="108" w:type="dxa"/>
                  </w:tcMar>
                  <w:vAlign w:val="center"/>
                </w:tcPr>
                <w:p w14:paraId="54D2CA54">
                  <w:pPr>
                    <w:pStyle w:val="41"/>
                    <w:rPr>
                      <w:rFonts w:cs="宋体"/>
                      <w:color w:val="auto"/>
                      <w:kern w:val="0"/>
                      <w:szCs w:val="18"/>
                      <w:highlight w:val="none"/>
                    </w:rPr>
                  </w:pPr>
                  <w:r>
                    <w:rPr>
                      <w:rFonts w:hint="eastAsia" w:cs="宋体"/>
                      <w:color w:val="auto"/>
                      <w:kern w:val="0"/>
                      <w:szCs w:val="18"/>
                      <w:highlight w:val="none"/>
                    </w:rPr>
                    <w:t>7</w:t>
                  </w:r>
                </w:p>
              </w:tc>
              <w:tc>
                <w:tcPr>
                  <w:tcW w:w="2296" w:type="pct"/>
                  <w:tcMar>
                    <w:top w:w="57" w:type="dxa"/>
                    <w:left w:w="108" w:type="dxa"/>
                    <w:bottom w:w="57" w:type="dxa"/>
                    <w:right w:w="108" w:type="dxa"/>
                  </w:tcMar>
                  <w:vAlign w:val="center"/>
                </w:tcPr>
                <w:p w14:paraId="35A8D8A6">
                  <w:pPr>
                    <w:pStyle w:val="41"/>
                    <w:rPr>
                      <w:rFonts w:cs="宋体"/>
                      <w:color w:val="auto"/>
                      <w:kern w:val="0"/>
                      <w:szCs w:val="18"/>
                      <w:highlight w:val="none"/>
                    </w:rPr>
                  </w:pPr>
                  <w:r>
                    <w:rPr>
                      <w:rFonts w:hint="eastAsia" w:cs="宋体"/>
                      <w:color w:val="auto"/>
                      <w:kern w:val="0"/>
                      <w:szCs w:val="18"/>
                      <w:highlight w:val="none"/>
                    </w:rPr>
                    <w:t>其他</w:t>
                  </w:r>
                </w:p>
              </w:tc>
              <w:tc>
                <w:tcPr>
                  <w:tcW w:w="1666" w:type="pct"/>
                  <w:tcMar>
                    <w:top w:w="57" w:type="dxa"/>
                    <w:left w:w="108" w:type="dxa"/>
                    <w:bottom w:w="57" w:type="dxa"/>
                    <w:right w:w="108" w:type="dxa"/>
                  </w:tcMar>
                  <w:vAlign w:val="center"/>
                </w:tcPr>
                <w:p w14:paraId="298C33DE">
                  <w:pPr>
                    <w:pStyle w:val="41"/>
                    <w:rPr>
                      <w:rFonts w:cs="宋体"/>
                      <w:color w:val="auto"/>
                      <w:kern w:val="0"/>
                      <w:szCs w:val="18"/>
                      <w:highlight w:val="none"/>
                    </w:rPr>
                  </w:pPr>
                  <w:r>
                    <w:rPr>
                      <w:rFonts w:hint="eastAsia" w:cs="宋体"/>
                      <w:color w:val="auto"/>
                      <w:kern w:val="0"/>
                      <w:szCs w:val="18"/>
                      <w:highlight w:val="none"/>
                    </w:rPr>
                    <w:t>0.073</w:t>
                  </w:r>
                </w:p>
              </w:tc>
            </w:tr>
          </w:tbl>
          <w:p w14:paraId="00DBC06A">
            <w:pPr>
              <w:pStyle w:val="3"/>
              <w:ind w:firstLine="0" w:firstLineChars="0"/>
              <w:rPr>
                <w:color w:val="auto"/>
                <w:sz w:val="21"/>
                <w:highlight w:val="none"/>
              </w:rPr>
            </w:pPr>
          </w:p>
          <w:p w14:paraId="097152FE">
            <w:pPr>
              <w:pStyle w:val="3"/>
              <w:ind w:firstLine="420"/>
              <w:rPr>
                <w:color w:val="auto"/>
                <w:sz w:val="21"/>
                <w:highlight w:val="none"/>
              </w:rPr>
            </w:pPr>
            <w:r>
              <w:rPr>
                <w:rFonts w:hint="eastAsia"/>
                <w:color w:val="auto"/>
                <w:sz w:val="21"/>
                <w:highlight w:val="none"/>
              </w:rPr>
              <w:t>参照《石化行业VOCs污染源排查工作指南》，若未提供TOC中VOCs的质量分数，则保守取1进行核算，则本工程采出液中WF</w:t>
            </w:r>
            <w:r>
              <w:rPr>
                <w:rFonts w:hint="eastAsia"/>
                <w:color w:val="auto"/>
                <w:sz w:val="21"/>
                <w:highlight w:val="none"/>
                <w:vertAlign w:val="subscript"/>
              </w:rPr>
              <w:t>VOCs，i</w:t>
            </w:r>
            <w:r>
              <w:rPr>
                <w:rFonts w:hint="eastAsia"/>
                <w:color w:val="auto"/>
                <w:sz w:val="21"/>
                <w:highlight w:val="none"/>
              </w:rPr>
              <w:t>和WF</w:t>
            </w:r>
            <w:r>
              <w:rPr>
                <w:rFonts w:hint="eastAsia"/>
                <w:color w:val="auto"/>
                <w:sz w:val="21"/>
                <w:highlight w:val="none"/>
                <w:vertAlign w:val="subscript"/>
              </w:rPr>
              <w:t>TOC，i</w:t>
            </w:r>
            <w:r>
              <w:rPr>
                <w:rFonts w:hint="eastAsia"/>
                <w:color w:val="auto"/>
                <w:sz w:val="21"/>
                <w:highlight w:val="none"/>
              </w:rPr>
              <w:t>比值取1；根据设计单位提供的数据，项目试油期井场阀组涉及阀门、法兰数量及核算结果见</w:t>
            </w:r>
            <w:r>
              <w:rPr>
                <w:rFonts w:hint="eastAsia"/>
                <w:color w:val="auto"/>
                <w:sz w:val="21"/>
                <w:highlight w:val="none"/>
              </w:rPr>
              <w:fldChar w:fldCharType="begin"/>
            </w:r>
            <w:r>
              <w:rPr>
                <w:color w:val="auto"/>
                <w:highlight w:val="none"/>
              </w:rPr>
              <w:instrText xml:space="preserve"> REF _Ref33776294 \h  \* MERGEFORMAT</w:instrText>
            </w:r>
            <w:r>
              <w:rPr>
                <w:rFonts w:hint="eastAsia"/>
                <w:color w:val="auto"/>
                <w:sz w:val="21"/>
                <w:highlight w:val="none"/>
              </w:rPr>
              <w:fldChar w:fldCharType="separate"/>
            </w:r>
            <w:r>
              <w:rPr>
                <w:rFonts w:hint="eastAsia"/>
                <w:color w:val="auto"/>
                <w:sz w:val="21"/>
                <w:highlight w:val="none"/>
              </w:rPr>
              <w:t>表29</w:t>
            </w:r>
            <w:r>
              <w:rPr>
                <w:rFonts w:hint="eastAsia"/>
                <w:color w:val="auto"/>
                <w:sz w:val="21"/>
                <w:highlight w:val="none"/>
              </w:rPr>
              <w:fldChar w:fldCharType="end"/>
            </w:r>
            <w:r>
              <w:rPr>
                <w:rFonts w:hint="eastAsia"/>
                <w:color w:val="auto"/>
                <w:sz w:val="21"/>
                <w:highlight w:val="none"/>
              </w:rPr>
              <w:t>。</w:t>
            </w:r>
          </w:p>
          <w:p w14:paraId="5B899263">
            <w:pPr>
              <w:pStyle w:val="13"/>
              <w:bidi w:val="0"/>
              <w:rPr>
                <w:color w:val="auto"/>
                <w:highlight w:val="none"/>
              </w:rPr>
            </w:pPr>
            <w:bookmarkStart w:id="58" w:name="_Ref33776294"/>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29</w:t>
            </w:r>
            <w:r>
              <w:rPr>
                <w:rFonts w:hint="eastAsia"/>
                <w:color w:val="auto"/>
                <w:highlight w:val="none"/>
              </w:rPr>
              <w:fldChar w:fldCharType="end"/>
            </w:r>
            <w:bookmarkEnd w:id="58"/>
            <w:r>
              <w:rPr>
                <w:rFonts w:hint="eastAsia"/>
                <w:color w:val="auto"/>
                <w:highlight w:val="none"/>
              </w:rPr>
              <w:t xml:space="preserve">  试油期井场无组织废气非甲烷总烃核算一览表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504"/>
              <w:gridCol w:w="1094"/>
              <w:gridCol w:w="1093"/>
              <w:gridCol w:w="1097"/>
              <w:gridCol w:w="1093"/>
              <w:gridCol w:w="1093"/>
            </w:tblGrid>
            <w:tr w14:paraId="0CF1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 w:type="pct"/>
                  <w:tcMar>
                    <w:top w:w="57" w:type="dxa"/>
                    <w:left w:w="108" w:type="dxa"/>
                    <w:bottom w:w="57" w:type="dxa"/>
                    <w:right w:w="108" w:type="dxa"/>
                  </w:tcMar>
                  <w:vAlign w:val="center"/>
                </w:tcPr>
                <w:p w14:paraId="47C1CEEA">
                  <w:pPr>
                    <w:pStyle w:val="41"/>
                    <w:rPr>
                      <w:rFonts w:cs="宋体"/>
                      <w:color w:val="auto"/>
                      <w:kern w:val="0"/>
                      <w:szCs w:val="18"/>
                      <w:highlight w:val="none"/>
                    </w:rPr>
                  </w:pPr>
                  <w:r>
                    <w:rPr>
                      <w:rFonts w:hint="eastAsia" w:cs="宋体"/>
                      <w:color w:val="auto"/>
                      <w:kern w:val="0"/>
                      <w:szCs w:val="18"/>
                      <w:highlight w:val="none"/>
                    </w:rPr>
                    <w:t>序号</w:t>
                  </w:r>
                </w:p>
              </w:tc>
              <w:tc>
                <w:tcPr>
                  <w:tcW w:w="1698" w:type="pct"/>
                  <w:gridSpan w:val="2"/>
                  <w:tcMar>
                    <w:top w:w="57" w:type="dxa"/>
                    <w:left w:w="108" w:type="dxa"/>
                    <w:bottom w:w="57" w:type="dxa"/>
                    <w:right w:w="108" w:type="dxa"/>
                  </w:tcMar>
                  <w:vAlign w:val="center"/>
                </w:tcPr>
                <w:p w14:paraId="712BC916">
                  <w:pPr>
                    <w:pStyle w:val="41"/>
                    <w:rPr>
                      <w:rFonts w:cs="宋体"/>
                      <w:color w:val="auto"/>
                      <w:kern w:val="0"/>
                      <w:szCs w:val="18"/>
                      <w:highlight w:val="none"/>
                    </w:rPr>
                  </w:pPr>
                  <w:r>
                    <w:rPr>
                      <w:rFonts w:hint="eastAsia" w:cs="宋体"/>
                      <w:color w:val="auto"/>
                      <w:kern w:val="0"/>
                      <w:szCs w:val="18"/>
                      <w:highlight w:val="none"/>
                    </w:rPr>
                    <w:t>设备名称</w:t>
                  </w:r>
                </w:p>
              </w:tc>
              <w:tc>
                <w:tcPr>
                  <w:tcW w:w="714" w:type="pct"/>
                  <w:shd w:val="clear" w:color="auto" w:fill="auto"/>
                  <w:tcMar>
                    <w:top w:w="57" w:type="dxa"/>
                    <w:left w:w="108" w:type="dxa"/>
                    <w:bottom w:w="57" w:type="dxa"/>
                    <w:right w:w="108" w:type="dxa"/>
                  </w:tcMar>
                  <w:vAlign w:val="center"/>
                </w:tcPr>
                <w:p w14:paraId="37CE4847">
                  <w:pPr>
                    <w:pStyle w:val="41"/>
                    <w:rPr>
                      <w:rFonts w:cs="宋体"/>
                      <w:color w:val="auto"/>
                      <w:kern w:val="0"/>
                      <w:szCs w:val="18"/>
                      <w:highlight w:val="none"/>
                    </w:rPr>
                  </w:pPr>
                  <w:r>
                    <w:rPr>
                      <w:rFonts w:hint="eastAsia" w:cs="宋体"/>
                      <w:color w:val="auto"/>
                      <w:kern w:val="0"/>
                      <w:szCs w:val="18"/>
                      <w:highlight w:val="none"/>
                    </w:rPr>
                    <w:t>设备数量（个）</w:t>
                  </w:r>
                </w:p>
              </w:tc>
              <w:tc>
                <w:tcPr>
                  <w:tcW w:w="715" w:type="pct"/>
                  <w:shd w:val="clear" w:color="auto" w:fill="auto"/>
                  <w:tcMar>
                    <w:top w:w="57" w:type="dxa"/>
                    <w:left w:w="108" w:type="dxa"/>
                    <w:bottom w:w="57" w:type="dxa"/>
                    <w:right w:w="108" w:type="dxa"/>
                  </w:tcMar>
                  <w:vAlign w:val="center"/>
                </w:tcPr>
                <w:p w14:paraId="7FB7AC39">
                  <w:pPr>
                    <w:pStyle w:val="41"/>
                    <w:rPr>
                      <w:rFonts w:cs="宋体"/>
                      <w:color w:val="auto"/>
                      <w:kern w:val="0"/>
                      <w:szCs w:val="18"/>
                      <w:highlight w:val="none"/>
                    </w:rPr>
                  </w:pPr>
                  <w:r>
                    <w:rPr>
                      <w:rFonts w:hint="eastAsia" w:cs="宋体"/>
                      <w:color w:val="auto"/>
                      <w:kern w:val="0"/>
                      <w:szCs w:val="18"/>
                      <w:highlight w:val="none"/>
                    </w:rPr>
                    <w:t>排放速率（kg/h）</w:t>
                  </w:r>
                </w:p>
              </w:tc>
              <w:tc>
                <w:tcPr>
                  <w:tcW w:w="714" w:type="pct"/>
                  <w:shd w:val="clear" w:color="auto" w:fill="auto"/>
                  <w:tcMar>
                    <w:top w:w="57" w:type="dxa"/>
                    <w:left w:w="108" w:type="dxa"/>
                    <w:bottom w:w="57" w:type="dxa"/>
                    <w:right w:w="108" w:type="dxa"/>
                  </w:tcMar>
                  <w:vAlign w:val="center"/>
                </w:tcPr>
                <w:p w14:paraId="4456FE25">
                  <w:pPr>
                    <w:pStyle w:val="41"/>
                    <w:rPr>
                      <w:rFonts w:cs="宋体"/>
                      <w:color w:val="auto"/>
                      <w:kern w:val="0"/>
                      <w:szCs w:val="18"/>
                      <w:highlight w:val="none"/>
                    </w:rPr>
                  </w:pPr>
                  <w:r>
                    <w:rPr>
                      <w:rFonts w:hint="eastAsia" w:cs="宋体"/>
                      <w:color w:val="auto"/>
                      <w:kern w:val="0"/>
                      <w:szCs w:val="18"/>
                      <w:highlight w:val="none"/>
                    </w:rPr>
                    <w:t>运行时间（h）</w:t>
                  </w:r>
                </w:p>
              </w:tc>
              <w:tc>
                <w:tcPr>
                  <w:tcW w:w="714" w:type="pct"/>
                  <w:shd w:val="clear" w:color="auto" w:fill="auto"/>
                  <w:tcMar>
                    <w:top w:w="57" w:type="dxa"/>
                    <w:left w:w="108" w:type="dxa"/>
                    <w:bottom w:w="57" w:type="dxa"/>
                    <w:right w:w="108" w:type="dxa"/>
                  </w:tcMar>
                  <w:vAlign w:val="center"/>
                </w:tcPr>
                <w:p w14:paraId="58609999">
                  <w:pPr>
                    <w:pStyle w:val="41"/>
                    <w:rPr>
                      <w:rFonts w:cs="宋体"/>
                      <w:color w:val="auto"/>
                      <w:kern w:val="0"/>
                      <w:szCs w:val="18"/>
                      <w:highlight w:val="none"/>
                    </w:rPr>
                  </w:pPr>
                  <w:r>
                    <w:rPr>
                      <w:rFonts w:hint="eastAsia" w:cs="宋体"/>
                      <w:color w:val="auto"/>
                      <w:kern w:val="0"/>
                      <w:szCs w:val="18"/>
                      <w:highlight w:val="none"/>
                    </w:rPr>
                    <w:t>排放量（t）</w:t>
                  </w:r>
                </w:p>
              </w:tc>
            </w:tr>
            <w:tr w14:paraId="067C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 w:type="pct"/>
                  <w:tcMar>
                    <w:top w:w="57" w:type="dxa"/>
                    <w:left w:w="108" w:type="dxa"/>
                    <w:bottom w:w="57" w:type="dxa"/>
                    <w:right w:w="108" w:type="dxa"/>
                  </w:tcMar>
                  <w:vAlign w:val="center"/>
                </w:tcPr>
                <w:p w14:paraId="21FD9236">
                  <w:pPr>
                    <w:pStyle w:val="41"/>
                    <w:rPr>
                      <w:rFonts w:cs="宋体"/>
                      <w:color w:val="auto"/>
                      <w:kern w:val="0"/>
                      <w:szCs w:val="18"/>
                      <w:highlight w:val="none"/>
                    </w:rPr>
                  </w:pPr>
                  <w:r>
                    <w:rPr>
                      <w:rFonts w:hint="eastAsia" w:cs="宋体"/>
                      <w:color w:val="auto"/>
                      <w:kern w:val="0"/>
                      <w:szCs w:val="18"/>
                      <w:highlight w:val="none"/>
                    </w:rPr>
                    <w:t>1</w:t>
                  </w:r>
                </w:p>
              </w:tc>
              <w:tc>
                <w:tcPr>
                  <w:tcW w:w="983" w:type="pct"/>
                  <w:vMerge w:val="restart"/>
                  <w:tcMar>
                    <w:top w:w="57" w:type="dxa"/>
                    <w:left w:w="108" w:type="dxa"/>
                    <w:bottom w:w="57" w:type="dxa"/>
                    <w:right w:w="108" w:type="dxa"/>
                  </w:tcMar>
                  <w:vAlign w:val="center"/>
                </w:tcPr>
                <w:p w14:paraId="17DEE428">
                  <w:pPr>
                    <w:pStyle w:val="41"/>
                    <w:rPr>
                      <w:rFonts w:cs="宋体"/>
                      <w:color w:val="auto"/>
                      <w:kern w:val="0"/>
                      <w:szCs w:val="18"/>
                      <w:highlight w:val="none"/>
                    </w:rPr>
                  </w:pPr>
                  <w:r>
                    <w:rPr>
                      <w:rFonts w:hint="eastAsia" w:cs="宋体"/>
                      <w:color w:val="auto"/>
                      <w:kern w:val="0"/>
                      <w:szCs w:val="18"/>
                      <w:highlight w:val="none"/>
                    </w:rPr>
                    <w:t>井场（试油期）</w:t>
                  </w:r>
                </w:p>
              </w:tc>
              <w:tc>
                <w:tcPr>
                  <w:tcW w:w="714" w:type="pct"/>
                  <w:tcMar>
                    <w:top w:w="57" w:type="dxa"/>
                    <w:left w:w="108" w:type="dxa"/>
                    <w:bottom w:w="57" w:type="dxa"/>
                    <w:right w:w="108" w:type="dxa"/>
                  </w:tcMar>
                  <w:vAlign w:val="center"/>
                </w:tcPr>
                <w:p w14:paraId="5CE39165">
                  <w:pPr>
                    <w:pStyle w:val="41"/>
                    <w:rPr>
                      <w:rFonts w:cs="宋体"/>
                      <w:color w:val="auto"/>
                      <w:kern w:val="0"/>
                      <w:szCs w:val="18"/>
                      <w:highlight w:val="none"/>
                    </w:rPr>
                  </w:pPr>
                  <w:r>
                    <w:rPr>
                      <w:rFonts w:hint="eastAsia" w:cs="宋体"/>
                      <w:color w:val="auto"/>
                      <w:kern w:val="0"/>
                      <w:szCs w:val="18"/>
                      <w:highlight w:val="none"/>
                    </w:rPr>
                    <w:t>阀</w:t>
                  </w:r>
                </w:p>
              </w:tc>
              <w:tc>
                <w:tcPr>
                  <w:tcW w:w="714" w:type="pct"/>
                  <w:tcMar>
                    <w:top w:w="57" w:type="dxa"/>
                    <w:left w:w="108" w:type="dxa"/>
                    <w:bottom w:w="57" w:type="dxa"/>
                    <w:right w:w="108" w:type="dxa"/>
                  </w:tcMar>
                  <w:vAlign w:val="center"/>
                </w:tcPr>
                <w:p w14:paraId="214DB8BE">
                  <w:pPr>
                    <w:pStyle w:val="41"/>
                    <w:rPr>
                      <w:rFonts w:cs="宋体"/>
                      <w:color w:val="auto"/>
                      <w:kern w:val="0"/>
                      <w:szCs w:val="18"/>
                      <w:highlight w:val="none"/>
                    </w:rPr>
                  </w:pPr>
                  <w:r>
                    <w:rPr>
                      <w:rFonts w:hint="eastAsia" w:cs="宋体"/>
                      <w:color w:val="auto"/>
                      <w:kern w:val="0"/>
                      <w:szCs w:val="18"/>
                      <w:highlight w:val="none"/>
                    </w:rPr>
                    <w:t>10</w:t>
                  </w:r>
                </w:p>
              </w:tc>
              <w:tc>
                <w:tcPr>
                  <w:tcW w:w="715" w:type="pct"/>
                  <w:tcMar>
                    <w:top w:w="57" w:type="dxa"/>
                    <w:left w:w="108" w:type="dxa"/>
                    <w:bottom w:w="57" w:type="dxa"/>
                    <w:right w:w="108" w:type="dxa"/>
                  </w:tcMar>
                  <w:vAlign w:val="center"/>
                </w:tcPr>
                <w:p w14:paraId="3DB51DD3">
                  <w:pPr>
                    <w:pStyle w:val="41"/>
                    <w:rPr>
                      <w:rFonts w:cs="宋体"/>
                      <w:color w:val="auto"/>
                      <w:kern w:val="0"/>
                      <w:szCs w:val="18"/>
                      <w:highlight w:val="none"/>
                    </w:rPr>
                  </w:pPr>
                  <w:r>
                    <w:rPr>
                      <w:rFonts w:hint="eastAsia" w:cs="宋体"/>
                      <w:color w:val="auto"/>
                      <w:kern w:val="0"/>
                      <w:szCs w:val="18"/>
                      <w:highlight w:val="none"/>
                    </w:rPr>
                    <w:t>0.00192</w:t>
                  </w:r>
                </w:p>
              </w:tc>
              <w:tc>
                <w:tcPr>
                  <w:tcW w:w="714" w:type="pct"/>
                  <w:tcMar>
                    <w:top w:w="57" w:type="dxa"/>
                    <w:left w:w="108" w:type="dxa"/>
                    <w:bottom w:w="57" w:type="dxa"/>
                    <w:right w:w="108" w:type="dxa"/>
                  </w:tcMar>
                  <w:vAlign w:val="center"/>
                </w:tcPr>
                <w:p w14:paraId="68460875">
                  <w:pPr>
                    <w:pStyle w:val="41"/>
                    <w:rPr>
                      <w:rFonts w:hint="default" w:eastAsia="宋体" w:cs="宋体"/>
                      <w:color w:val="auto"/>
                      <w:kern w:val="0"/>
                      <w:szCs w:val="18"/>
                      <w:highlight w:val="none"/>
                      <w:lang w:val="en-US" w:eastAsia="zh-CN"/>
                    </w:rPr>
                  </w:pPr>
                  <w:r>
                    <w:rPr>
                      <w:rFonts w:hint="eastAsia" w:cs="宋体"/>
                      <w:color w:val="auto"/>
                      <w:kern w:val="0"/>
                      <w:szCs w:val="18"/>
                      <w:highlight w:val="none"/>
                      <w:lang w:val="en-US" w:eastAsia="zh-CN"/>
                    </w:rPr>
                    <w:t>4320</w:t>
                  </w:r>
                </w:p>
              </w:tc>
              <w:tc>
                <w:tcPr>
                  <w:tcW w:w="714" w:type="pct"/>
                  <w:tcMar>
                    <w:top w:w="57" w:type="dxa"/>
                    <w:left w:w="108" w:type="dxa"/>
                    <w:bottom w:w="57" w:type="dxa"/>
                    <w:right w:w="108" w:type="dxa"/>
                  </w:tcMar>
                  <w:vAlign w:val="center"/>
                </w:tcPr>
                <w:p w14:paraId="61BF646B">
                  <w:pPr>
                    <w:pStyle w:val="41"/>
                    <w:rPr>
                      <w:rFonts w:hint="default" w:eastAsia="宋体" w:cs="宋体"/>
                      <w:color w:val="auto"/>
                      <w:kern w:val="0"/>
                      <w:szCs w:val="18"/>
                      <w:highlight w:val="none"/>
                      <w:lang w:val="en-US" w:eastAsia="zh-CN"/>
                    </w:rPr>
                  </w:pPr>
                  <w:r>
                    <w:rPr>
                      <w:rFonts w:hint="eastAsia" w:cs="宋体"/>
                      <w:color w:val="auto"/>
                      <w:kern w:val="0"/>
                      <w:szCs w:val="18"/>
                      <w:highlight w:val="none"/>
                    </w:rPr>
                    <w:t>0.00</w:t>
                  </w:r>
                  <w:r>
                    <w:rPr>
                      <w:rFonts w:hint="eastAsia" w:cs="宋体"/>
                      <w:color w:val="auto"/>
                      <w:kern w:val="0"/>
                      <w:szCs w:val="18"/>
                      <w:highlight w:val="none"/>
                      <w:lang w:val="en-US" w:eastAsia="zh-CN"/>
                    </w:rPr>
                    <w:t>83</w:t>
                  </w:r>
                </w:p>
              </w:tc>
            </w:tr>
            <w:tr w14:paraId="473B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 w:type="pct"/>
                  <w:tcMar>
                    <w:top w:w="57" w:type="dxa"/>
                    <w:left w:w="108" w:type="dxa"/>
                    <w:bottom w:w="57" w:type="dxa"/>
                    <w:right w:w="108" w:type="dxa"/>
                  </w:tcMar>
                  <w:vAlign w:val="center"/>
                </w:tcPr>
                <w:p w14:paraId="6648D5EB">
                  <w:pPr>
                    <w:pStyle w:val="41"/>
                    <w:rPr>
                      <w:rFonts w:cs="宋体"/>
                      <w:color w:val="auto"/>
                      <w:kern w:val="0"/>
                      <w:szCs w:val="18"/>
                      <w:highlight w:val="none"/>
                    </w:rPr>
                  </w:pPr>
                  <w:r>
                    <w:rPr>
                      <w:rFonts w:hint="eastAsia" w:cs="宋体"/>
                      <w:color w:val="auto"/>
                      <w:kern w:val="0"/>
                      <w:szCs w:val="18"/>
                      <w:highlight w:val="none"/>
                    </w:rPr>
                    <w:t>2</w:t>
                  </w:r>
                </w:p>
              </w:tc>
              <w:tc>
                <w:tcPr>
                  <w:tcW w:w="983" w:type="pct"/>
                  <w:vMerge w:val="continue"/>
                  <w:tcMar>
                    <w:top w:w="57" w:type="dxa"/>
                    <w:left w:w="108" w:type="dxa"/>
                    <w:bottom w:w="57" w:type="dxa"/>
                    <w:right w:w="108" w:type="dxa"/>
                  </w:tcMar>
                  <w:vAlign w:val="center"/>
                </w:tcPr>
                <w:p w14:paraId="134375E2">
                  <w:pPr>
                    <w:pStyle w:val="41"/>
                    <w:rPr>
                      <w:rFonts w:cs="宋体"/>
                      <w:color w:val="auto"/>
                      <w:kern w:val="0"/>
                      <w:szCs w:val="18"/>
                      <w:highlight w:val="none"/>
                    </w:rPr>
                  </w:pPr>
                </w:p>
              </w:tc>
              <w:tc>
                <w:tcPr>
                  <w:tcW w:w="714" w:type="pct"/>
                  <w:tcMar>
                    <w:top w:w="57" w:type="dxa"/>
                    <w:left w:w="108" w:type="dxa"/>
                    <w:bottom w:w="57" w:type="dxa"/>
                    <w:right w:w="108" w:type="dxa"/>
                  </w:tcMar>
                  <w:vAlign w:val="center"/>
                </w:tcPr>
                <w:p w14:paraId="1E0E2CF4">
                  <w:pPr>
                    <w:pStyle w:val="41"/>
                    <w:rPr>
                      <w:rFonts w:cs="宋体"/>
                      <w:color w:val="auto"/>
                      <w:kern w:val="0"/>
                      <w:szCs w:val="18"/>
                      <w:highlight w:val="none"/>
                    </w:rPr>
                  </w:pPr>
                  <w:r>
                    <w:rPr>
                      <w:rFonts w:hint="eastAsia" w:cs="宋体"/>
                      <w:color w:val="auto"/>
                      <w:kern w:val="0"/>
                      <w:szCs w:val="18"/>
                      <w:highlight w:val="none"/>
                    </w:rPr>
                    <w:t>法兰</w:t>
                  </w:r>
                </w:p>
              </w:tc>
              <w:tc>
                <w:tcPr>
                  <w:tcW w:w="714" w:type="pct"/>
                  <w:tcMar>
                    <w:top w:w="57" w:type="dxa"/>
                    <w:left w:w="108" w:type="dxa"/>
                    <w:bottom w:w="57" w:type="dxa"/>
                    <w:right w:w="108" w:type="dxa"/>
                  </w:tcMar>
                  <w:vAlign w:val="center"/>
                </w:tcPr>
                <w:p w14:paraId="20DF5BEB">
                  <w:pPr>
                    <w:pStyle w:val="41"/>
                    <w:rPr>
                      <w:rFonts w:cs="宋体"/>
                      <w:color w:val="auto"/>
                      <w:kern w:val="0"/>
                      <w:szCs w:val="18"/>
                      <w:highlight w:val="none"/>
                    </w:rPr>
                  </w:pPr>
                  <w:r>
                    <w:rPr>
                      <w:rFonts w:hint="eastAsia" w:cs="宋体"/>
                      <w:color w:val="auto"/>
                      <w:kern w:val="0"/>
                      <w:szCs w:val="18"/>
                      <w:highlight w:val="none"/>
                    </w:rPr>
                    <w:t>20</w:t>
                  </w:r>
                </w:p>
              </w:tc>
              <w:tc>
                <w:tcPr>
                  <w:tcW w:w="715" w:type="pct"/>
                  <w:tcMar>
                    <w:top w:w="57" w:type="dxa"/>
                    <w:left w:w="108" w:type="dxa"/>
                    <w:bottom w:w="57" w:type="dxa"/>
                    <w:right w:w="108" w:type="dxa"/>
                  </w:tcMar>
                  <w:vAlign w:val="center"/>
                </w:tcPr>
                <w:p w14:paraId="33D60097">
                  <w:pPr>
                    <w:pStyle w:val="41"/>
                    <w:rPr>
                      <w:rFonts w:cs="宋体"/>
                      <w:color w:val="auto"/>
                      <w:kern w:val="0"/>
                      <w:szCs w:val="18"/>
                      <w:highlight w:val="none"/>
                    </w:rPr>
                  </w:pPr>
                  <w:r>
                    <w:rPr>
                      <w:rFonts w:hint="eastAsia" w:cs="宋体"/>
                      <w:color w:val="auto"/>
                      <w:kern w:val="0"/>
                      <w:szCs w:val="18"/>
                      <w:highlight w:val="none"/>
                    </w:rPr>
                    <w:t>0.0051</w:t>
                  </w:r>
                </w:p>
              </w:tc>
              <w:tc>
                <w:tcPr>
                  <w:tcW w:w="714" w:type="pct"/>
                  <w:tcMar>
                    <w:top w:w="57" w:type="dxa"/>
                    <w:left w:w="108" w:type="dxa"/>
                    <w:bottom w:w="57" w:type="dxa"/>
                    <w:right w:w="108" w:type="dxa"/>
                  </w:tcMar>
                  <w:vAlign w:val="center"/>
                </w:tcPr>
                <w:p w14:paraId="33E17FDE">
                  <w:pPr>
                    <w:pStyle w:val="41"/>
                    <w:rPr>
                      <w:rFonts w:hint="default" w:eastAsia="宋体" w:cs="宋体"/>
                      <w:color w:val="auto"/>
                      <w:kern w:val="0"/>
                      <w:szCs w:val="18"/>
                      <w:highlight w:val="none"/>
                      <w:lang w:val="en-US" w:eastAsia="zh-CN"/>
                    </w:rPr>
                  </w:pPr>
                  <w:r>
                    <w:rPr>
                      <w:rFonts w:hint="eastAsia" w:cs="宋体"/>
                      <w:color w:val="auto"/>
                      <w:kern w:val="0"/>
                      <w:szCs w:val="18"/>
                      <w:highlight w:val="none"/>
                      <w:lang w:val="en-US" w:eastAsia="zh-CN"/>
                    </w:rPr>
                    <w:t>4320</w:t>
                  </w:r>
                </w:p>
              </w:tc>
              <w:tc>
                <w:tcPr>
                  <w:tcW w:w="714" w:type="pct"/>
                  <w:tcMar>
                    <w:top w:w="57" w:type="dxa"/>
                    <w:left w:w="108" w:type="dxa"/>
                    <w:bottom w:w="57" w:type="dxa"/>
                    <w:right w:w="108" w:type="dxa"/>
                  </w:tcMar>
                  <w:vAlign w:val="center"/>
                </w:tcPr>
                <w:p w14:paraId="6CF32769">
                  <w:pPr>
                    <w:pStyle w:val="41"/>
                    <w:rPr>
                      <w:rFonts w:hint="default" w:eastAsia="宋体" w:cs="宋体"/>
                      <w:color w:val="auto"/>
                      <w:kern w:val="0"/>
                      <w:szCs w:val="18"/>
                      <w:highlight w:val="none"/>
                      <w:lang w:val="en-US" w:eastAsia="zh-CN"/>
                    </w:rPr>
                  </w:pPr>
                  <w:r>
                    <w:rPr>
                      <w:rFonts w:hint="eastAsia" w:cs="宋体"/>
                      <w:color w:val="auto"/>
                      <w:kern w:val="0"/>
                      <w:szCs w:val="18"/>
                      <w:highlight w:val="none"/>
                    </w:rPr>
                    <w:t>0.0</w:t>
                  </w:r>
                  <w:r>
                    <w:rPr>
                      <w:rFonts w:hint="eastAsia" w:cs="宋体"/>
                      <w:color w:val="auto"/>
                      <w:kern w:val="0"/>
                      <w:szCs w:val="18"/>
                      <w:highlight w:val="none"/>
                      <w:lang w:val="en-US" w:eastAsia="zh-CN"/>
                    </w:rPr>
                    <w:t>22</w:t>
                  </w:r>
                </w:p>
              </w:tc>
            </w:tr>
            <w:tr w14:paraId="3A33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1" w:type="pct"/>
                  <w:gridSpan w:val="5"/>
                  <w:tcMar>
                    <w:top w:w="57" w:type="dxa"/>
                    <w:left w:w="108" w:type="dxa"/>
                    <w:bottom w:w="57" w:type="dxa"/>
                    <w:right w:w="108" w:type="dxa"/>
                  </w:tcMar>
                  <w:vAlign w:val="center"/>
                </w:tcPr>
                <w:p w14:paraId="5DB74F37">
                  <w:pPr>
                    <w:pStyle w:val="41"/>
                    <w:rPr>
                      <w:rFonts w:cs="宋体"/>
                      <w:color w:val="auto"/>
                      <w:kern w:val="0"/>
                      <w:szCs w:val="18"/>
                      <w:highlight w:val="none"/>
                    </w:rPr>
                  </w:pPr>
                  <w:r>
                    <w:rPr>
                      <w:rFonts w:hint="eastAsia" w:cs="宋体"/>
                      <w:color w:val="auto"/>
                      <w:kern w:val="0"/>
                      <w:szCs w:val="18"/>
                      <w:highlight w:val="none"/>
                    </w:rPr>
                    <w:t>合计</w:t>
                  </w:r>
                </w:p>
              </w:tc>
              <w:tc>
                <w:tcPr>
                  <w:tcW w:w="714" w:type="pct"/>
                  <w:tcMar>
                    <w:top w:w="57" w:type="dxa"/>
                    <w:left w:w="108" w:type="dxa"/>
                    <w:bottom w:w="57" w:type="dxa"/>
                    <w:right w:w="108" w:type="dxa"/>
                  </w:tcMar>
                  <w:vAlign w:val="center"/>
                </w:tcPr>
                <w:p w14:paraId="5C66E438">
                  <w:pPr>
                    <w:pStyle w:val="41"/>
                    <w:rPr>
                      <w:rFonts w:cs="宋体"/>
                      <w:color w:val="auto"/>
                      <w:kern w:val="0"/>
                      <w:szCs w:val="18"/>
                      <w:highlight w:val="none"/>
                    </w:rPr>
                  </w:pPr>
                  <w:r>
                    <w:rPr>
                      <w:rFonts w:hint="eastAsia" w:cs="宋体"/>
                      <w:color w:val="auto"/>
                      <w:kern w:val="0"/>
                      <w:szCs w:val="18"/>
                      <w:highlight w:val="none"/>
                    </w:rPr>
                    <w:t>/</w:t>
                  </w:r>
                </w:p>
              </w:tc>
              <w:tc>
                <w:tcPr>
                  <w:tcW w:w="714" w:type="pct"/>
                  <w:tcMar>
                    <w:top w:w="57" w:type="dxa"/>
                    <w:left w:w="108" w:type="dxa"/>
                    <w:bottom w:w="57" w:type="dxa"/>
                    <w:right w:w="108" w:type="dxa"/>
                  </w:tcMar>
                  <w:vAlign w:val="center"/>
                </w:tcPr>
                <w:p w14:paraId="724E201E">
                  <w:pPr>
                    <w:pStyle w:val="41"/>
                    <w:rPr>
                      <w:rFonts w:hint="default" w:eastAsia="宋体" w:cs="宋体"/>
                      <w:color w:val="auto"/>
                      <w:kern w:val="0"/>
                      <w:szCs w:val="18"/>
                      <w:highlight w:val="none"/>
                      <w:lang w:val="en-US" w:eastAsia="zh-CN"/>
                    </w:rPr>
                  </w:pPr>
                  <w:r>
                    <w:rPr>
                      <w:rFonts w:hint="eastAsia" w:cs="宋体"/>
                      <w:color w:val="auto"/>
                      <w:kern w:val="0"/>
                      <w:szCs w:val="18"/>
                      <w:highlight w:val="none"/>
                    </w:rPr>
                    <w:t>0.0</w:t>
                  </w:r>
                  <w:r>
                    <w:rPr>
                      <w:rFonts w:hint="eastAsia" w:cs="宋体"/>
                      <w:color w:val="auto"/>
                      <w:kern w:val="0"/>
                      <w:szCs w:val="18"/>
                      <w:highlight w:val="none"/>
                      <w:lang w:val="en-US" w:eastAsia="zh-CN"/>
                    </w:rPr>
                    <w:t>303</w:t>
                  </w:r>
                </w:p>
              </w:tc>
            </w:tr>
          </w:tbl>
          <w:p w14:paraId="53C77670">
            <w:pPr>
              <w:pStyle w:val="3"/>
              <w:ind w:firstLine="0" w:firstLineChars="0"/>
              <w:rPr>
                <w:color w:val="auto"/>
                <w:sz w:val="21"/>
                <w:highlight w:val="none"/>
              </w:rPr>
            </w:pPr>
          </w:p>
          <w:p w14:paraId="2617943C">
            <w:pPr>
              <w:pStyle w:val="3"/>
              <w:ind w:firstLine="420"/>
              <w:rPr>
                <w:color w:val="auto"/>
                <w:sz w:val="21"/>
                <w:highlight w:val="none"/>
              </w:rPr>
            </w:pPr>
            <w:r>
              <w:rPr>
                <w:rFonts w:hint="eastAsia"/>
                <w:color w:val="auto"/>
                <w:sz w:val="21"/>
                <w:highlight w:val="none"/>
              </w:rPr>
              <w:t>综上，由分析可知，本项目试油期井场无组织排放的非甲烷总烃量为0.0</w:t>
            </w:r>
            <w:r>
              <w:rPr>
                <w:rFonts w:hint="eastAsia"/>
                <w:color w:val="auto"/>
                <w:sz w:val="21"/>
                <w:highlight w:val="none"/>
                <w:lang w:val="en-US" w:eastAsia="zh-CN"/>
              </w:rPr>
              <w:t>303</w:t>
            </w:r>
            <w:r>
              <w:rPr>
                <w:rFonts w:hint="eastAsia"/>
                <w:color w:val="auto"/>
                <w:sz w:val="21"/>
                <w:highlight w:val="none"/>
              </w:rPr>
              <w:t>t。</w:t>
            </w:r>
          </w:p>
          <w:p w14:paraId="1604DF24">
            <w:pPr>
              <w:pStyle w:val="3"/>
              <w:ind w:firstLine="420"/>
              <w:rPr>
                <w:rFonts w:hint="eastAsia"/>
                <w:color w:val="auto"/>
                <w:sz w:val="21"/>
                <w:highlight w:val="none"/>
              </w:rPr>
            </w:pPr>
            <w:r>
              <w:rPr>
                <w:rFonts w:hint="eastAsia"/>
                <w:color w:val="auto"/>
                <w:sz w:val="21"/>
                <w:highlight w:val="none"/>
              </w:rPr>
              <w:t>本次评价参考《中石化新疆新春石油开发有限责任公司春风油田环境影响后评价报告书》（审批部门:新疆维吾尔自治区生态环境厅，审批时间：2022年3月24日，审批文号：新环环评函[2022]221号）中对现有开发区块单井拉油点无组织挥发非甲烷总烃的监测数据，单井拉油点设有采出液（主要成分为原油）储罐，具有可类比性，监测数据详见</w:t>
            </w:r>
            <w:r>
              <w:rPr>
                <w:rFonts w:hint="eastAsia"/>
                <w:color w:val="auto"/>
                <w:sz w:val="21"/>
                <w:highlight w:val="none"/>
              </w:rPr>
              <w:fldChar w:fldCharType="begin"/>
            </w:r>
            <w:r>
              <w:rPr>
                <w:color w:val="auto"/>
                <w:highlight w:val="none"/>
              </w:rPr>
              <w:instrText xml:space="preserve"> REF _Ref43070565 \h  \* MERGEFORMAT</w:instrText>
            </w:r>
            <w:r>
              <w:rPr>
                <w:rFonts w:hint="eastAsia"/>
                <w:color w:val="auto"/>
                <w:sz w:val="21"/>
                <w:highlight w:val="none"/>
              </w:rPr>
              <w:fldChar w:fldCharType="separate"/>
            </w:r>
            <w:r>
              <w:rPr>
                <w:rFonts w:hint="eastAsia"/>
                <w:color w:val="auto"/>
                <w:sz w:val="21"/>
                <w:highlight w:val="none"/>
              </w:rPr>
              <w:t>表30</w:t>
            </w:r>
            <w:r>
              <w:rPr>
                <w:rFonts w:hint="eastAsia"/>
                <w:color w:val="auto"/>
                <w:sz w:val="21"/>
                <w:highlight w:val="none"/>
              </w:rPr>
              <w:fldChar w:fldCharType="end"/>
            </w:r>
            <w:r>
              <w:rPr>
                <w:rFonts w:hint="eastAsia"/>
                <w:color w:val="auto"/>
                <w:sz w:val="21"/>
                <w:highlight w:val="none"/>
              </w:rPr>
              <w:t>。</w:t>
            </w:r>
          </w:p>
          <w:p w14:paraId="6A3BEB1D">
            <w:pPr>
              <w:pStyle w:val="13"/>
              <w:bidi w:val="0"/>
              <w:rPr>
                <w:color w:val="auto"/>
                <w:highlight w:val="none"/>
              </w:rPr>
            </w:pPr>
            <w:bookmarkStart w:id="59" w:name="_Ref43070565"/>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30</w:t>
            </w:r>
            <w:r>
              <w:rPr>
                <w:rFonts w:hint="eastAsia"/>
                <w:color w:val="auto"/>
                <w:highlight w:val="none"/>
              </w:rPr>
              <w:fldChar w:fldCharType="end"/>
            </w:r>
            <w:bookmarkEnd w:id="59"/>
            <w:r>
              <w:rPr>
                <w:rFonts w:hint="eastAsia"/>
                <w:color w:val="auto"/>
                <w:highlight w:val="none"/>
              </w:rPr>
              <w:t xml:space="preserve">  单井拉油点无组织废气监测结果一览表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0"/>
              <w:gridCol w:w="2550"/>
              <w:gridCol w:w="2552"/>
            </w:tblGrid>
            <w:tr w14:paraId="6751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shd w:val="clear" w:color="auto" w:fill="auto"/>
                  <w:tcMar>
                    <w:top w:w="57" w:type="dxa"/>
                    <w:left w:w="108" w:type="dxa"/>
                    <w:bottom w:w="57" w:type="dxa"/>
                    <w:right w:w="108" w:type="dxa"/>
                  </w:tcMar>
                  <w:vAlign w:val="center"/>
                </w:tcPr>
                <w:p w14:paraId="17B79B91">
                  <w:pPr>
                    <w:pStyle w:val="41"/>
                    <w:rPr>
                      <w:rFonts w:cs="宋体"/>
                      <w:color w:val="auto"/>
                      <w:kern w:val="0"/>
                      <w:szCs w:val="18"/>
                      <w:highlight w:val="none"/>
                    </w:rPr>
                  </w:pPr>
                  <w:r>
                    <w:rPr>
                      <w:rFonts w:hint="eastAsia" w:cs="宋体"/>
                      <w:color w:val="auto"/>
                      <w:kern w:val="0"/>
                      <w:szCs w:val="18"/>
                      <w:highlight w:val="none"/>
                    </w:rPr>
                    <w:t>点位</w:t>
                  </w:r>
                </w:p>
              </w:tc>
              <w:tc>
                <w:tcPr>
                  <w:tcW w:w="3333" w:type="pct"/>
                  <w:gridSpan w:val="2"/>
                  <w:shd w:val="clear" w:color="auto" w:fill="auto"/>
                  <w:tcMar>
                    <w:top w:w="57" w:type="dxa"/>
                    <w:left w:w="108" w:type="dxa"/>
                    <w:bottom w:w="57" w:type="dxa"/>
                    <w:right w:w="108" w:type="dxa"/>
                  </w:tcMar>
                  <w:vAlign w:val="center"/>
                </w:tcPr>
                <w:p w14:paraId="79D7CFF5">
                  <w:pPr>
                    <w:pStyle w:val="41"/>
                    <w:rPr>
                      <w:rFonts w:cs="宋体"/>
                      <w:color w:val="auto"/>
                      <w:kern w:val="0"/>
                      <w:szCs w:val="18"/>
                      <w:highlight w:val="none"/>
                    </w:rPr>
                  </w:pPr>
                  <w:r>
                    <w:rPr>
                      <w:rFonts w:hint="eastAsia" w:cs="宋体"/>
                      <w:color w:val="auto"/>
                      <w:kern w:val="0"/>
                      <w:szCs w:val="18"/>
                      <w:highlight w:val="none"/>
                    </w:rPr>
                    <w:t>非甲烷总烃监测浓度（mg/m</w:t>
                  </w:r>
                  <w:r>
                    <w:rPr>
                      <w:rFonts w:hint="eastAsia" w:cs="宋体"/>
                      <w:color w:val="auto"/>
                      <w:kern w:val="0"/>
                      <w:szCs w:val="18"/>
                      <w:highlight w:val="none"/>
                      <w:vertAlign w:val="superscript"/>
                    </w:rPr>
                    <w:t>3</w:t>
                  </w:r>
                  <w:r>
                    <w:rPr>
                      <w:rFonts w:hint="eastAsia" w:cs="宋体"/>
                      <w:color w:val="auto"/>
                      <w:kern w:val="0"/>
                      <w:szCs w:val="18"/>
                      <w:highlight w:val="none"/>
                    </w:rPr>
                    <w:t>）</w:t>
                  </w:r>
                </w:p>
              </w:tc>
            </w:tr>
            <w:tr w14:paraId="1010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restart"/>
                  <w:tcMar>
                    <w:top w:w="57" w:type="dxa"/>
                    <w:left w:w="108" w:type="dxa"/>
                    <w:bottom w:w="57" w:type="dxa"/>
                    <w:right w:w="108" w:type="dxa"/>
                  </w:tcMar>
                  <w:vAlign w:val="center"/>
                </w:tcPr>
                <w:p w14:paraId="4900AE20">
                  <w:pPr>
                    <w:pStyle w:val="41"/>
                    <w:rPr>
                      <w:rFonts w:cs="宋体"/>
                      <w:color w:val="auto"/>
                      <w:kern w:val="0"/>
                      <w:szCs w:val="18"/>
                      <w:highlight w:val="none"/>
                    </w:rPr>
                  </w:pPr>
                  <w:r>
                    <w:rPr>
                      <w:rFonts w:cs="宋体"/>
                      <w:color w:val="auto"/>
                      <w:kern w:val="0"/>
                      <w:szCs w:val="18"/>
                      <w:highlight w:val="none"/>
                    </w:rPr>
                    <w:t>单井拉油点P66-P16</w:t>
                  </w:r>
                </w:p>
              </w:tc>
              <w:tc>
                <w:tcPr>
                  <w:tcW w:w="1666" w:type="pct"/>
                  <w:tcMar>
                    <w:top w:w="57" w:type="dxa"/>
                    <w:left w:w="108" w:type="dxa"/>
                    <w:bottom w:w="57" w:type="dxa"/>
                    <w:right w:w="108" w:type="dxa"/>
                  </w:tcMar>
                  <w:vAlign w:val="center"/>
                </w:tcPr>
                <w:p w14:paraId="3A24E821">
                  <w:pPr>
                    <w:pStyle w:val="41"/>
                    <w:rPr>
                      <w:rFonts w:cs="宋体"/>
                      <w:color w:val="auto"/>
                      <w:kern w:val="0"/>
                      <w:szCs w:val="18"/>
                      <w:highlight w:val="none"/>
                    </w:rPr>
                  </w:pPr>
                  <w:r>
                    <w:rPr>
                      <w:rFonts w:hint="eastAsia" w:cs="宋体"/>
                      <w:color w:val="auto"/>
                      <w:kern w:val="0"/>
                      <w:szCs w:val="18"/>
                      <w:highlight w:val="none"/>
                    </w:rPr>
                    <w:t>上风向</w:t>
                  </w:r>
                </w:p>
              </w:tc>
              <w:tc>
                <w:tcPr>
                  <w:tcW w:w="1666" w:type="pct"/>
                  <w:tcMar>
                    <w:top w:w="57" w:type="dxa"/>
                    <w:left w:w="108" w:type="dxa"/>
                    <w:bottom w:w="57" w:type="dxa"/>
                    <w:right w:w="108" w:type="dxa"/>
                  </w:tcMar>
                  <w:vAlign w:val="center"/>
                </w:tcPr>
                <w:p w14:paraId="34EA000C">
                  <w:pPr>
                    <w:pStyle w:val="41"/>
                    <w:rPr>
                      <w:rFonts w:cs="宋体"/>
                      <w:color w:val="auto"/>
                      <w:kern w:val="0"/>
                      <w:szCs w:val="18"/>
                      <w:highlight w:val="none"/>
                    </w:rPr>
                  </w:pPr>
                  <w:r>
                    <w:rPr>
                      <w:rFonts w:hint="eastAsia" w:cs="宋体"/>
                      <w:color w:val="auto"/>
                      <w:kern w:val="0"/>
                      <w:szCs w:val="18"/>
                      <w:highlight w:val="none"/>
                    </w:rPr>
                    <w:t>0.50～0.54</w:t>
                  </w:r>
                </w:p>
              </w:tc>
            </w:tr>
            <w:tr w14:paraId="6543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tcMar>
                    <w:top w:w="57" w:type="dxa"/>
                    <w:left w:w="108" w:type="dxa"/>
                    <w:bottom w:w="57" w:type="dxa"/>
                    <w:right w:w="108" w:type="dxa"/>
                  </w:tcMar>
                  <w:vAlign w:val="center"/>
                </w:tcPr>
                <w:p w14:paraId="68D06F31">
                  <w:pPr>
                    <w:pStyle w:val="41"/>
                    <w:rPr>
                      <w:rFonts w:cs="宋体"/>
                      <w:color w:val="auto"/>
                      <w:kern w:val="0"/>
                      <w:szCs w:val="18"/>
                      <w:highlight w:val="none"/>
                    </w:rPr>
                  </w:pPr>
                </w:p>
              </w:tc>
              <w:tc>
                <w:tcPr>
                  <w:tcW w:w="1666" w:type="pct"/>
                  <w:tcMar>
                    <w:top w:w="57" w:type="dxa"/>
                    <w:left w:w="108" w:type="dxa"/>
                    <w:bottom w:w="57" w:type="dxa"/>
                    <w:right w:w="108" w:type="dxa"/>
                  </w:tcMar>
                  <w:vAlign w:val="center"/>
                </w:tcPr>
                <w:p w14:paraId="1F468936">
                  <w:pPr>
                    <w:pStyle w:val="41"/>
                    <w:rPr>
                      <w:rFonts w:cs="宋体"/>
                      <w:color w:val="auto"/>
                      <w:kern w:val="0"/>
                      <w:szCs w:val="18"/>
                      <w:highlight w:val="none"/>
                    </w:rPr>
                  </w:pPr>
                  <w:r>
                    <w:rPr>
                      <w:rFonts w:hint="eastAsia" w:cs="宋体"/>
                      <w:color w:val="auto"/>
                      <w:kern w:val="0"/>
                      <w:szCs w:val="18"/>
                      <w:highlight w:val="none"/>
                    </w:rPr>
                    <w:t>下风向1</w:t>
                  </w:r>
                </w:p>
              </w:tc>
              <w:tc>
                <w:tcPr>
                  <w:tcW w:w="1666" w:type="pct"/>
                  <w:tcMar>
                    <w:top w:w="57" w:type="dxa"/>
                    <w:left w:w="108" w:type="dxa"/>
                    <w:bottom w:w="57" w:type="dxa"/>
                    <w:right w:w="108" w:type="dxa"/>
                  </w:tcMar>
                  <w:vAlign w:val="center"/>
                </w:tcPr>
                <w:p w14:paraId="700AB15C">
                  <w:pPr>
                    <w:pStyle w:val="41"/>
                    <w:rPr>
                      <w:rFonts w:cs="宋体"/>
                      <w:color w:val="auto"/>
                      <w:kern w:val="0"/>
                      <w:szCs w:val="18"/>
                      <w:highlight w:val="none"/>
                    </w:rPr>
                  </w:pPr>
                  <w:r>
                    <w:rPr>
                      <w:rFonts w:hint="eastAsia" w:cs="宋体"/>
                      <w:color w:val="auto"/>
                      <w:kern w:val="0"/>
                      <w:szCs w:val="18"/>
                      <w:highlight w:val="none"/>
                    </w:rPr>
                    <w:t>0.56～0.60</w:t>
                  </w:r>
                </w:p>
              </w:tc>
            </w:tr>
            <w:tr w14:paraId="7939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tcMar>
                    <w:top w:w="57" w:type="dxa"/>
                    <w:left w:w="108" w:type="dxa"/>
                    <w:bottom w:w="57" w:type="dxa"/>
                    <w:right w:w="108" w:type="dxa"/>
                  </w:tcMar>
                  <w:vAlign w:val="center"/>
                </w:tcPr>
                <w:p w14:paraId="56890F52">
                  <w:pPr>
                    <w:pStyle w:val="41"/>
                    <w:rPr>
                      <w:rFonts w:cs="宋体"/>
                      <w:color w:val="auto"/>
                      <w:kern w:val="0"/>
                      <w:szCs w:val="18"/>
                      <w:highlight w:val="none"/>
                    </w:rPr>
                  </w:pPr>
                </w:p>
              </w:tc>
              <w:tc>
                <w:tcPr>
                  <w:tcW w:w="1666" w:type="pct"/>
                  <w:tcMar>
                    <w:top w:w="57" w:type="dxa"/>
                    <w:left w:w="108" w:type="dxa"/>
                    <w:bottom w:w="57" w:type="dxa"/>
                    <w:right w:w="108" w:type="dxa"/>
                  </w:tcMar>
                  <w:vAlign w:val="center"/>
                </w:tcPr>
                <w:p w14:paraId="631DA5D6">
                  <w:pPr>
                    <w:pStyle w:val="41"/>
                    <w:rPr>
                      <w:rFonts w:cs="宋体"/>
                      <w:color w:val="auto"/>
                      <w:kern w:val="0"/>
                      <w:szCs w:val="18"/>
                      <w:highlight w:val="none"/>
                    </w:rPr>
                  </w:pPr>
                  <w:r>
                    <w:rPr>
                      <w:rFonts w:hint="eastAsia" w:cs="宋体"/>
                      <w:color w:val="auto"/>
                      <w:kern w:val="0"/>
                      <w:szCs w:val="18"/>
                      <w:highlight w:val="none"/>
                    </w:rPr>
                    <w:t>下风向2</w:t>
                  </w:r>
                </w:p>
              </w:tc>
              <w:tc>
                <w:tcPr>
                  <w:tcW w:w="1666" w:type="pct"/>
                  <w:tcMar>
                    <w:top w:w="57" w:type="dxa"/>
                    <w:left w:w="108" w:type="dxa"/>
                    <w:bottom w:w="57" w:type="dxa"/>
                    <w:right w:w="108" w:type="dxa"/>
                  </w:tcMar>
                  <w:vAlign w:val="center"/>
                </w:tcPr>
                <w:p w14:paraId="036FF5E9">
                  <w:pPr>
                    <w:pStyle w:val="41"/>
                    <w:rPr>
                      <w:rFonts w:cs="宋体"/>
                      <w:color w:val="auto"/>
                      <w:kern w:val="0"/>
                      <w:szCs w:val="18"/>
                      <w:highlight w:val="none"/>
                    </w:rPr>
                  </w:pPr>
                  <w:r>
                    <w:rPr>
                      <w:rFonts w:hint="eastAsia" w:cs="宋体"/>
                      <w:color w:val="auto"/>
                      <w:kern w:val="0"/>
                      <w:szCs w:val="18"/>
                      <w:highlight w:val="none"/>
                    </w:rPr>
                    <w:t>0.54～0.58</w:t>
                  </w:r>
                </w:p>
              </w:tc>
            </w:tr>
            <w:tr w14:paraId="7979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tcMar>
                    <w:top w:w="57" w:type="dxa"/>
                    <w:left w:w="108" w:type="dxa"/>
                    <w:bottom w:w="57" w:type="dxa"/>
                    <w:right w:w="108" w:type="dxa"/>
                  </w:tcMar>
                  <w:vAlign w:val="center"/>
                </w:tcPr>
                <w:p w14:paraId="33A58DE8">
                  <w:pPr>
                    <w:pStyle w:val="41"/>
                    <w:rPr>
                      <w:rFonts w:cs="宋体"/>
                      <w:color w:val="auto"/>
                      <w:kern w:val="0"/>
                      <w:szCs w:val="18"/>
                      <w:highlight w:val="none"/>
                    </w:rPr>
                  </w:pPr>
                </w:p>
              </w:tc>
              <w:tc>
                <w:tcPr>
                  <w:tcW w:w="1666" w:type="pct"/>
                  <w:tcMar>
                    <w:top w:w="57" w:type="dxa"/>
                    <w:left w:w="108" w:type="dxa"/>
                    <w:bottom w:w="57" w:type="dxa"/>
                    <w:right w:w="108" w:type="dxa"/>
                  </w:tcMar>
                  <w:vAlign w:val="center"/>
                </w:tcPr>
                <w:p w14:paraId="7141D71E">
                  <w:pPr>
                    <w:pStyle w:val="41"/>
                    <w:rPr>
                      <w:rFonts w:cs="宋体"/>
                      <w:color w:val="auto"/>
                      <w:kern w:val="0"/>
                      <w:szCs w:val="18"/>
                      <w:highlight w:val="none"/>
                    </w:rPr>
                  </w:pPr>
                  <w:r>
                    <w:rPr>
                      <w:rFonts w:hint="eastAsia" w:cs="宋体"/>
                      <w:color w:val="auto"/>
                      <w:kern w:val="0"/>
                      <w:szCs w:val="18"/>
                      <w:highlight w:val="none"/>
                    </w:rPr>
                    <w:t>下风向3</w:t>
                  </w:r>
                </w:p>
              </w:tc>
              <w:tc>
                <w:tcPr>
                  <w:tcW w:w="1666" w:type="pct"/>
                  <w:tcMar>
                    <w:top w:w="57" w:type="dxa"/>
                    <w:left w:w="108" w:type="dxa"/>
                    <w:bottom w:w="57" w:type="dxa"/>
                    <w:right w:w="108" w:type="dxa"/>
                  </w:tcMar>
                  <w:vAlign w:val="center"/>
                </w:tcPr>
                <w:p w14:paraId="05E691F0">
                  <w:pPr>
                    <w:pStyle w:val="41"/>
                    <w:rPr>
                      <w:rFonts w:cs="宋体"/>
                      <w:color w:val="auto"/>
                      <w:kern w:val="0"/>
                      <w:szCs w:val="18"/>
                      <w:highlight w:val="none"/>
                    </w:rPr>
                  </w:pPr>
                  <w:r>
                    <w:rPr>
                      <w:rFonts w:hint="eastAsia" w:cs="宋体"/>
                      <w:color w:val="auto"/>
                      <w:kern w:val="0"/>
                      <w:szCs w:val="18"/>
                      <w:highlight w:val="none"/>
                    </w:rPr>
                    <w:t>0.53～0.56</w:t>
                  </w:r>
                </w:p>
              </w:tc>
            </w:tr>
            <w:tr w14:paraId="1AF3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restart"/>
                  <w:tcMar>
                    <w:top w:w="57" w:type="dxa"/>
                    <w:left w:w="108" w:type="dxa"/>
                    <w:bottom w:w="57" w:type="dxa"/>
                    <w:right w:w="108" w:type="dxa"/>
                  </w:tcMar>
                  <w:vAlign w:val="center"/>
                </w:tcPr>
                <w:p w14:paraId="3F1966F3">
                  <w:pPr>
                    <w:pStyle w:val="41"/>
                    <w:rPr>
                      <w:rFonts w:cs="宋体"/>
                      <w:color w:val="auto"/>
                      <w:kern w:val="0"/>
                      <w:szCs w:val="18"/>
                      <w:highlight w:val="none"/>
                    </w:rPr>
                  </w:pPr>
                  <w:r>
                    <w:rPr>
                      <w:rFonts w:hint="eastAsia" w:cs="宋体"/>
                      <w:color w:val="auto"/>
                      <w:kern w:val="0"/>
                      <w:szCs w:val="18"/>
                      <w:highlight w:val="none"/>
                    </w:rPr>
                    <w:t>单井拉油点P66-P20</w:t>
                  </w:r>
                </w:p>
              </w:tc>
              <w:tc>
                <w:tcPr>
                  <w:tcW w:w="1666" w:type="pct"/>
                  <w:shd w:val="clear" w:color="auto" w:fill="auto"/>
                  <w:tcMar>
                    <w:top w:w="57" w:type="dxa"/>
                    <w:left w:w="108" w:type="dxa"/>
                    <w:bottom w:w="57" w:type="dxa"/>
                    <w:right w:w="108" w:type="dxa"/>
                  </w:tcMar>
                  <w:vAlign w:val="center"/>
                </w:tcPr>
                <w:p w14:paraId="4C8F3BF0">
                  <w:pPr>
                    <w:pStyle w:val="41"/>
                    <w:rPr>
                      <w:rFonts w:cs="宋体"/>
                      <w:color w:val="auto"/>
                      <w:kern w:val="0"/>
                      <w:szCs w:val="18"/>
                      <w:highlight w:val="none"/>
                    </w:rPr>
                  </w:pPr>
                  <w:r>
                    <w:rPr>
                      <w:rFonts w:hint="eastAsia" w:cs="宋体"/>
                      <w:color w:val="auto"/>
                      <w:kern w:val="0"/>
                      <w:szCs w:val="18"/>
                      <w:highlight w:val="none"/>
                    </w:rPr>
                    <w:t>上风向</w:t>
                  </w:r>
                </w:p>
              </w:tc>
              <w:tc>
                <w:tcPr>
                  <w:tcW w:w="1666" w:type="pct"/>
                  <w:tcMar>
                    <w:top w:w="57" w:type="dxa"/>
                    <w:left w:w="108" w:type="dxa"/>
                    <w:bottom w:w="57" w:type="dxa"/>
                    <w:right w:w="108" w:type="dxa"/>
                  </w:tcMar>
                  <w:vAlign w:val="center"/>
                </w:tcPr>
                <w:p w14:paraId="2DFB40DA">
                  <w:pPr>
                    <w:pStyle w:val="41"/>
                    <w:rPr>
                      <w:rFonts w:cs="宋体"/>
                      <w:color w:val="auto"/>
                      <w:kern w:val="0"/>
                      <w:szCs w:val="18"/>
                      <w:highlight w:val="none"/>
                    </w:rPr>
                  </w:pPr>
                  <w:r>
                    <w:rPr>
                      <w:rFonts w:hint="eastAsia" w:cs="宋体"/>
                      <w:color w:val="auto"/>
                      <w:kern w:val="0"/>
                      <w:szCs w:val="18"/>
                      <w:highlight w:val="none"/>
                    </w:rPr>
                    <w:t>0.48～0.52</w:t>
                  </w:r>
                </w:p>
              </w:tc>
            </w:tr>
            <w:tr w14:paraId="5A22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tcMar>
                    <w:top w:w="57" w:type="dxa"/>
                    <w:left w:w="108" w:type="dxa"/>
                    <w:bottom w:w="57" w:type="dxa"/>
                    <w:right w:w="108" w:type="dxa"/>
                  </w:tcMar>
                  <w:vAlign w:val="center"/>
                </w:tcPr>
                <w:p w14:paraId="139E8A2C">
                  <w:pPr>
                    <w:pStyle w:val="41"/>
                    <w:rPr>
                      <w:rFonts w:cs="宋体"/>
                      <w:color w:val="auto"/>
                      <w:kern w:val="0"/>
                      <w:szCs w:val="18"/>
                      <w:highlight w:val="none"/>
                    </w:rPr>
                  </w:pPr>
                </w:p>
              </w:tc>
              <w:tc>
                <w:tcPr>
                  <w:tcW w:w="1666" w:type="pct"/>
                  <w:shd w:val="clear" w:color="auto" w:fill="auto"/>
                  <w:tcMar>
                    <w:top w:w="57" w:type="dxa"/>
                    <w:left w:w="108" w:type="dxa"/>
                    <w:bottom w:w="57" w:type="dxa"/>
                    <w:right w:w="108" w:type="dxa"/>
                  </w:tcMar>
                  <w:vAlign w:val="center"/>
                </w:tcPr>
                <w:p w14:paraId="442765F8">
                  <w:pPr>
                    <w:pStyle w:val="41"/>
                    <w:rPr>
                      <w:rFonts w:cs="宋体"/>
                      <w:color w:val="auto"/>
                      <w:kern w:val="0"/>
                      <w:szCs w:val="18"/>
                      <w:highlight w:val="none"/>
                    </w:rPr>
                  </w:pPr>
                  <w:r>
                    <w:rPr>
                      <w:rFonts w:hint="eastAsia" w:cs="宋体"/>
                      <w:color w:val="auto"/>
                      <w:kern w:val="0"/>
                      <w:szCs w:val="18"/>
                      <w:highlight w:val="none"/>
                    </w:rPr>
                    <w:t>下风向1</w:t>
                  </w:r>
                </w:p>
              </w:tc>
              <w:tc>
                <w:tcPr>
                  <w:tcW w:w="1666" w:type="pct"/>
                  <w:tcMar>
                    <w:top w:w="57" w:type="dxa"/>
                    <w:left w:w="108" w:type="dxa"/>
                    <w:bottom w:w="57" w:type="dxa"/>
                    <w:right w:w="108" w:type="dxa"/>
                  </w:tcMar>
                  <w:vAlign w:val="center"/>
                </w:tcPr>
                <w:p w14:paraId="367FA679">
                  <w:pPr>
                    <w:pStyle w:val="41"/>
                    <w:rPr>
                      <w:rFonts w:cs="宋体"/>
                      <w:color w:val="auto"/>
                      <w:kern w:val="0"/>
                      <w:szCs w:val="18"/>
                      <w:highlight w:val="none"/>
                    </w:rPr>
                  </w:pPr>
                  <w:r>
                    <w:rPr>
                      <w:rFonts w:hint="eastAsia" w:cs="宋体"/>
                      <w:color w:val="auto"/>
                      <w:kern w:val="0"/>
                      <w:szCs w:val="18"/>
                      <w:highlight w:val="none"/>
                    </w:rPr>
                    <w:t>0.49～0.63</w:t>
                  </w:r>
                </w:p>
              </w:tc>
            </w:tr>
            <w:tr w14:paraId="2ED2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tcMar>
                    <w:top w:w="57" w:type="dxa"/>
                    <w:left w:w="108" w:type="dxa"/>
                    <w:bottom w:w="57" w:type="dxa"/>
                    <w:right w:w="108" w:type="dxa"/>
                  </w:tcMar>
                  <w:vAlign w:val="center"/>
                </w:tcPr>
                <w:p w14:paraId="6EE93AA0">
                  <w:pPr>
                    <w:pStyle w:val="41"/>
                    <w:rPr>
                      <w:rFonts w:cs="宋体"/>
                      <w:color w:val="auto"/>
                      <w:kern w:val="0"/>
                      <w:szCs w:val="18"/>
                      <w:highlight w:val="none"/>
                    </w:rPr>
                  </w:pPr>
                </w:p>
              </w:tc>
              <w:tc>
                <w:tcPr>
                  <w:tcW w:w="1666" w:type="pct"/>
                  <w:shd w:val="clear" w:color="auto" w:fill="auto"/>
                  <w:tcMar>
                    <w:top w:w="57" w:type="dxa"/>
                    <w:left w:w="108" w:type="dxa"/>
                    <w:bottom w:w="57" w:type="dxa"/>
                    <w:right w:w="108" w:type="dxa"/>
                  </w:tcMar>
                  <w:vAlign w:val="center"/>
                </w:tcPr>
                <w:p w14:paraId="047B0523">
                  <w:pPr>
                    <w:pStyle w:val="41"/>
                    <w:rPr>
                      <w:rFonts w:cs="宋体"/>
                      <w:color w:val="auto"/>
                      <w:kern w:val="0"/>
                      <w:szCs w:val="18"/>
                      <w:highlight w:val="none"/>
                    </w:rPr>
                  </w:pPr>
                  <w:r>
                    <w:rPr>
                      <w:rFonts w:hint="eastAsia" w:cs="宋体"/>
                      <w:color w:val="auto"/>
                      <w:kern w:val="0"/>
                      <w:szCs w:val="18"/>
                      <w:highlight w:val="none"/>
                    </w:rPr>
                    <w:t>下风向2</w:t>
                  </w:r>
                </w:p>
              </w:tc>
              <w:tc>
                <w:tcPr>
                  <w:tcW w:w="1666" w:type="pct"/>
                  <w:tcMar>
                    <w:top w:w="57" w:type="dxa"/>
                    <w:left w:w="108" w:type="dxa"/>
                    <w:bottom w:w="57" w:type="dxa"/>
                    <w:right w:w="108" w:type="dxa"/>
                  </w:tcMar>
                  <w:vAlign w:val="center"/>
                </w:tcPr>
                <w:p w14:paraId="7E80D0AD">
                  <w:pPr>
                    <w:pStyle w:val="41"/>
                    <w:rPr>
                      <w:rFonts w:cs="宋体"/>
                      <w:color w:val="auto"/>
                      <w:kern w:val="0"/>
                      <w:szCs w:val="18"/>
                      <w:highlight w:val="none"/>
                    </w:rPr>
                  </w:pPr>
                  <w:r>
                    <w:rPr>
                      <w:rFonts w:hint="eastAsia" w:cs="宋体"/>
                      <w:color w:val="auto"/>
                      <w:kern w:val="0"/>
                      <w:szCs w:val="18"/>
                      <w:highlight w:val="none"/>
                    </w:rPr>
                    <w:t>0.51～0.53</w:t>
                  </w:r>
                </w:p>
              </w:tc>
            </w:tr>
            <w:tr w14:paraId="14B6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tcMar>
                    <w:top w:w="57" w:type="dxa"/>
                    <w:left w:w="108" w:type="dxa"/>
                    <w:bottom w:w="57" w:type="dxa"/>
                    <w:right w:w="108" w:type="dxa"/>
                  </w:tcMar>
                  <w:vAlign w:val="center"/>
                </w:tcPr>
                <w:p w14:paraId="591A6FD1">
                  <w:pPr>
                    <w:pStyle w:val="41"/>
                    <w:rPr>
                      <w:rFonts w:cs="宋体"/>
                      <w:color w:val="auto"/>
                      <w:kern w:val="0"/>
                      <w:szCs w:val="18"/>
                      <w:highlight w:val="none"/>
                    </w:rPr>
                  </w:pPr>
                </w:p>
              </w:tc>
              <w:tc>
                <w:tcPr>
                  <w:tcW w:w="1666" w:type="pct"/>
                  <w:shd w:val="clear" w:color="auto" w:fill="auto"/>
                  <w:tcMar>
                    <w:top w:w="57" w:type="dxa"/>
                    <w:left w:w="108" w:type="dxa"/>
                    <w:bottom w:w="57" w:type="dxa"/>
                    <w:right w:w="108" w:type="dxa"/>
                  </w:tcMar>
                  <w:vAlign w:val="center"/>
                </w:tcPr>
                <w:p w14:paraId="664077CB">
                  <w:pPr>
                    <w:pStyle w:val="41"/>
                    <w:rPr>
                      <w:rFonts w:cs="宋体"/>
                      <w:color w:val="auto"/>
                      <w:kern w:val="0"/>
                      <w:szCs w:val="18"/>
                      <w:highlight w:val="none"/>
                    </w:rPr>
                  </w:pPr>
                  <w:r>
                    <w:rPr>
                      <w:rFonts w:hint="eastAsia" w:cs="宋体"/>
                      <w:color w:val="auto"/>
                      <w:kern w:val="0"/>
                      <w:szCs w:val="18"/>
                      <w:highlight w:val="none"/>
                    </w:rPr>
                    <w:t>下风向3</w:t>
                  </w:r>
                </w:p>
              </w:tc>
              <w:tc>
                <w:tcPr>
                  <w:tcW w:w="1666" w:type="pct"/>
                  <w:tcMar>
                    <w:top w:w="57" w:type="dxa"/>
                    <w:left w:w="108" w:type="dxa"/>
                    <w:bottom w:w="57" w:type="dxa"/>
                    <w:right w:w="108" w:type="dxa"/>
                  </w:tcMar>
                  <w:vAlign w:val="center"/>
                </w:tcPr>
                <w:p w14:paraId="5240A2E7">
                  <w:pPr>
                    <w:pStyle w:val="41"/>
                    <w:rPr>
                      <w:rFonts w:cs="宋体"/>
                      <w:color w:val="auto"/>
                      <w:kern w:val="0"/>
                      <w:szCs w:val="18"/>
                      <w:highlight w:val="none"/>
                    </w:rPr>
                  </w:pPr>
                  <w:r>
                    <w:rPr>
                      <w:rFonts w:hint="eastAsia" w:cs="宋体"/>
                      <w:color w:val="auto"/>
                      <w:kern w:val="0"/>
                      <w:szCs w:val="18"/>
                      <w:highlight w:val="none"/>
                    </w:rPr>
                    <w:t>0.57～0.65</w:t>
                  </w:r>
                </w:p>
              </w:tc>
            </w:tr>
            <w:tr w14:paraId="6468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restart"/>
                  <w:tcMar>
                    <w:top w:w="57" w:type="dxa"/>
                    <w:left w:w="108" w:type="dxa"/>
                    <w:bottom w:w="57" w:type="dxa"/>
                    <w:right w:w="108" w:type="dxa"/>
                  </w:tcMar>
                  <w:vAlign w:val="center"/>
                </w:tcPr>
                <w:p w14:paraId="314BB292">
                  <w:pPr>
                    <w:pStyle w:val="41"/>
                    <w:rPr>
                      <w:rFonts w:cs="宋体"/>
                      <w:color w:val="auto"/>
                      <w:kern w:val="0"/>
                      <w:szCs w:val="18"/>
                      <w:highlight w:val="none"/>
                    </w:rPr>
                  </w:pPr>
                  <w:r>
                    <w:rPr>
                      <w:rFonts w:hint="eastAsia" w:cs="宋体"/>
                      <w:color w:val="auto"/>
                      <w:kern w:val="0"/>
                      <w:szCs w:val="18"/>
                      <w:highlight w:val="none"/>
                    </w:rPr>
                    <w:t>单井拉油点P66-P19</w:t>
                  </w:r>
                </w:p>
              </w:tc>
              <w:tc>
                <w:tcPr>
                  <w:tcW w:w="1666" w:type="pct"/>
                  <w:shd w:val="clear" w:color="auto" w:fill="auto"/>
                  <w:tcMar>
                    <w:top w:w="57" w:type="dxa"/>
                    <w:left w:w="108" w:type="dxa"/>
                    <w:bottom w:w="57" w:type="dxa"/>
                    <w:right w:w="108" w:type="dxa"/>
                  </w:tcMar>
                  <w:vAlign w:val="center"/>
                </w:tcPr>
                <w:p w14:paraId="400E6B66">
                  <w:pPr>
                    <w:pStyle w:val="41"/>
                    <w:rPr>
                      <w:rFonts w:cs="宋体"/>
                      <w:color w:val="auto"/>
                      <w:kern w:val="0"/>
                      <w:szCs w:val="18"/>
                      <w:highlight w:val="none"/>
                    </w:rPr>
                  </w:pPr>
                  <w:r>
                    <w:rPr>
                      <w:rFonts w:hint="eastAsia" w:cs="宋体"/>
                      <w:color w:val="auto"/>
                      <w:kern w:val="0"/>
                      <w:szCs w:val="18"/>
                      <w:highlight w:val="none"/>
                    </w:rPr>
                    <w:t>上风向</w:t>
                  </w:r>
                </w:p>
              </w:tc>
              <w:tc>
                <w:tcPr>
                  <w:tcW w:w="1666" w:type="pct"/>
                  <w:tcMar>
                    <w:top w:w="57" w:type="dxa"/>
                    <w:left w:w="108" w:type="dxa"/>
                    <w:bottom w:w="57" w:type="dxa"/>
                    <w:right w:w="108" w:type="dxa"/>
                  </w:tcMar>
                  <w:vAlign w:val="center"/>
                </w:tcPr>
                <w:p w14:paraId="043AF22A">
                  <w:pPr>
                    <w:pStyle w:val="41"/>
                    <w:rPr>
                      <w:rFonts w:cs="宋体"/>
                      <w:color w:val="auto"/>
                      <w:kern w:val="0"/>
                      <w:szCs w:val="18"/>
                      <w:highlight w:val="none"/>
                    </w:rPr>
                  </w:pPr>
                  <w:r>
                    <w:rPr>
                      <w:rFonts w:hint="eastAsia" w:cs="宋体"/>
                      <w:color w:val="auto"/>
                      <w:kern w:val="0"/>
                      <w:szCs w:val="18"/>
                      <w:highlight w:val="none"/>
                    </w:rPr>
                    <w:t>0.50～0.52</w:t>
                  </w:r>
                </w:p>
              </w:tc>
            </w:tr>
            <w:tr w14:paraId="2823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tcMar>
                    <w:top w:w="57" w:type="dxa"/>
                    <w:left w:w="108" w:type="dxa"/>
                    <w:bottom w:w="57" w:type="dxa"/>
                    <w:right w:w="108" w:type="dxa"/>
                  </w:tcMar>
                  <w:vAlign w:val="center"/>
                </w:tcPr>
                <w:p w14:paraId="25A73DA3">
                  <w:pPr>
                    <w:pStyle w:val="41"/>
                    <w:rPr>
                      <w:rFonts w:cs="宋体"/>
                      <w:color w:val="auto"/>
                      <w:kern w:val="0"/>
                      <w:szCs w:val="18"/>
                      <w:highlight w:val="none"/>
                    </w:rPr>
                  </w:pPr>
                </w:p>
              </w:tc>
              <w:tc>
                <w:tcPr>
                  <w:tcW w:w="1666" w:type="pct"/>
                  <w:shd w:val="clear" w:color="auto" w:fill="auto"/>
                  <w:tcMar>
                    <w:top w:w="57" w:type="dxa"/>
                    <w:left w:w="108" w:type="dxa"/>
                    <w:bottom w:w="57" w:type="dxa"/>
                    <w:right w:w="108" w:type="dxa"/>
                  </w:tcMar>
                  <w:vAlign w:val="center"/>
                </w:tcPr>
                <w:p w14:paraId="1BF4627F">
                  <w:pPr>
                    <w:pStyle w:val="41"/>
                    <w:rPr>
                      <w:rFonts w:cs="宋体"/>
                      <w:color w:val="auto"/>
                      <w:kern w:val="0"/>
                      <w:szCs w:val="18"/>
                      <w:highlight w:val="none"/>
                    </w:rPr>
                  </w:pPr>
                  <w:r>
                    <w:rPr>
                      <w:rFonts w:hint="eastAsia" w:cs="宋体"/>
                      <w:color w:val="auto"/>
                      <w:kern w:val="0"/>
                      <w:szCs w:val="18"/>
                      <w:highlight w:val="none"/>
                    </w:rPr>
                    <w:t>下风向1</w:t>
                  </w:r>
                </w:p>
              </w:tc>
              <w:tc>
                <w:tcPr>
                  <w:tcW w:w="1666" w:type="pct"/>
                  <w:tcMar>
                    <w:top w:w="57" w:type="dxa"/>
                    <w:left w:w="108" w:type="dxa"/>
                    <w:bottom w:w="57" w:type="dxa"/>
                    <w:right w:w="108" w:type="dxa"/>
                  </w:tcMar>
                  <w:vAlign w:val="center"/>
                </w:tcPr>
                <w:p w14:paraId="0973522B">
                  <w:pPr>
                    <w:pStyle w:val="41"/>
                    <w:rPr>
                      <w:rFonts w:cs="宋体"/>
                      <w:color w:val="auto"/>
                      <w:kern w:val="0"/>
                      <w:szCs w:val="18"/>
                      <w:highlight w:val="none"/>
                    </w:rPr>
                  </w:pPr>
                  <w:r>
                    <w:rPr>
                      <w:rFonts w:hint="eastAsia" w:cs="宋体"/>
                      <w:color w:val="auto"/>
                      <w:kern w:val="0"/>
                      <w:szCs w:val="18"/>
                      <w:highlight w:val="none"/>
                    </w:rPr>
                    <w:t>0.51～0.56</w:t>
                  </w:r>
                </w:p>
              </w:tc>
            </w:tr>
            <w:tr w14:paraId="5B57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tcMar>
                    <w:top w:w="57" w:type="dxa"/>
                    <w:left w:w="108" w:type="dxa"/>
                    <w:bottom w:w="57" w:type="dxa"/>
                    <w:right w:w="108" w:type="dxa"/>
                  </w:tcMar>
                  <w:vAlign w:val="center"/>
                </w:tcPr>
                <w:p w14:paraId="0813A72D">
                  <w:pPr>
                    <w:pStyle w:val="41"/>
                    <w:rPr>
                      <w:rFonts w:cs="宋体"/>
                      <w:color w:val="auto"/>
                      <w:kern w:val="0"/>
                      <w:szCs w:val="18"/>
                      <w:highlight w:val="none"/>
                    </w:rPr>
                  </w:pPr>
                </w:p>
              </w:tc>
              <w:tc>
                <w:tcPr>
                  <w:tcW w:w="1666" w:type="pct"/>
                  <w:shd w:val="clear" w:color="auto" w:fill="auto"/>
                  <w:tcMar>
                    <w:top w:w="57" w:type="dxa"/>
                    <w:left w:w="108" w:type="dxa"/>
                    <w:bottom w:w="57" w:type="dxa"/>
                    <w:right w:w="108" w:type="dxa"/>
                  </w:tcMar>
                  <w:vAlign w:val="center"/>
                </w:tcPr>
                <w:p w14:paraId="75012656">
                  <w:pPr>
                    <w:pStyle w:val="41"/>
                    <w:rPr>
                      <w:rFonts w:cs="宋体"/>
                      <w:color w:val="auto"/>
                      <w:kern w:val="0"/>
                      <w:szCs w:val="18"/>
                      <w:highlight w:val="none"/>
                    </w:rPr>
                  </w:pPr>
                  <w:r>
                    <w:rPr>
                      <w:rFonts w:hint="eastAsia" w:cs="宋体"/>
                      <w:color w:val="auto"/>
                      <w:kern w:val="0"/>
                      <w:szCs w:val="18"/>
                      <w:highlight w:val="none"/>
                    </w:rPr>
                    <w:t>下风向2</w:t>
                  </w:r>
                </w:p>
              </w:tc>
              <w:tc>
                <w:tcPr>
                  <w:tcW w:w="1666" w:type="pct"/>
                  <w:tcMar>
                    <w:top w:w="57" w:type="dxa"/>
                    <w:left w:w="108" w:type="dxa"/>
                    <w:bottom w:w="57" w:type="dxa"/>
                    <w:right w:w="108" w:type="dxa"/>
                  </w:tcMar>
                  <w:vAlign w:val="center"/>
                </w:tcPr>
                <w:p w14:paraId="4828ABE6">
                  <w:pPr>
                    <w:pStyle w:val="41"/>
                    <w:rPr>
                      <w:rFonts w:cs="宋体"/>
                      <w:color w:val="auto"/>
                      <w:kern w:val="0"/>
                      <w:szCs w:val="18"/>
                      <w:highlight w:val="none"/>
                    </w:rPr>
                  </w:pPr>
                  <w:r>
                    <w:rPr>
                      <w:rFonts w:hint="eastAsia" w:cs="宋体"/>
                      <w:color w:val="auto"/>
                      <w:kern w:val="0"/>
                      <w:szCs w:val="18"/>
                      <w:highlight w:val="none"/>
                    </w:rPr>
                    <w:t>0.54～0.57</w:t>
                  </w:r>
                </w:p>
              </w:tc>
            </w:tr>
            <w:tr w14:paraId="33E5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tcMar>
                    <w:top w:w="57" w:type="dxa"/>
                    <w:left w:w="108" w:type="dxa"/>
                    <w:bottom w:w="57" w:type="dxa"/>
                    <w:right w:w="108" w:type="dxa"/>
                  </w:tcMar>
                  <w:vAlign w:val="center"/>
                </w:tcPr>
                <w:p w14:paraId="467F4D58">
                  <w:pPr>
                    <w:pStyle w:val="41"/>
                    <w:rPr>
                      <w:rFonts w:cs="宋体"/>
                      <w:color w:val="auto"/>
                      <w:kern w:val="0"/>
                      <w:szCs w:val="18"/>
                      <w:highlight w:val="none"/>
                    </w:rPr>
                  </w:pPr>
                </w:p>
              </w:tc>
              <w:tc>
                <w:tcPr>
                  <w:tcW w:w="1666" w:type="pct"/>
                  <w:shd w:val="clear" w:color="auto" w:fill="auto"/>
                  <w:tcMar>
                    <w:top w:w="57" w:type="dxa"/>
                    <w:left w:w="108" w:type="dxa"/>
                    <w:bottom w:w="57" w:type="dxa"/>
                    <w:right w:w="108" w:type="dxa"/>
                  </w:tcMar>
                  <w:vAlign w:val="center"/>
                </w:tcPr>
                <w:p w14:paraId="1CC6FDB7">
                  <w:pPr>
                    <w:pStyle w:val="41"/>
                    <w:rPr>
                      <w:rFonts w:cs="宋体"/>
                      <w:color w:val="auto"/>
                      <w:kern w:val="0"/>
                      <w:szCs w:val="18"/>
                      <w:highlight w:val="none"/>
                    </w:rPr>
                  </w:pPr>
                  <w:r>
                    <w:rPr>
                      <w:rFonts w:hint="eastAsia" w:cs="宋体"/>
                      <w:color w:val="auto"/>
                      <w:kern w:val="0"/>
                      <w:szCs w:val="18"/>
                      <w:highlight w:val="none"/>
                    </w:rPr>
                    <w:t>下风向3</w:t>
                  </w:r>
                </w:p>
              </w:tc>
              <w:tc>
                <w:tcPr>
                  <w:tcW w:w="1666" w:type="pct"/>
                  <w:tcMar>
                    <w:top w:w="57" w:type="dxa"/>
                    <w:left w:w="108" w:type="dxa"/>
                    <w:bottom w:w="57" w:type="dxa"/>
                    <w:right w:w="108" w:type="dxa"/>
                  </w:tcMar>
                  <w:vAlign w:val="center"/>
                </w:tcPr>
                <w:p w14:paraId="190019AB">
                  <w:pPr>
                    <w:pStyle w:val="41"/>
                    <w:rPr>
                      <w:rFonts w:cs="宋体"/>
                      <w:color w:val="auto"/>
                      <w:kern w:val="0"/>
                      <w:szCs w:val="18"/>
                      <w:highlight w:val="none"/>
                    </w:rPr>
                  </w:pPr>
                  <w:r>
                    <w:rPr>
                      <w:rFonts w:hint="eastAsia" w:cs="宋体"/>
                      <w:color w:val="auto"/>
                      <w:kern w:val="0"/>
                      <w:szCs w:val="18"/>
                      <w:highlight w:val="none"/>
                    </w:rPr>
                    <w:t>0.52～0.57</w:t>
                  </w:r>
                </w:p>
              </w:tc>
            </w:tr>
          </w:tbl>
          <w:p w14:paraId="0499B3DC">
            <w:pPr>
              <w:pStyle w:val="3"/>
              <w:ind w:firstLine="0" w:firstLineChars="0"/>
              <w:rPr>
                <w:color w:val="auto"/>
                <w:sz w:val="21"/>
                <w:highlight w:val="none"/>
              </w:rPr>
            </w:pPr>
          </w:p>
          <w:p w14:paraId="1795AD9B">
            <w:pPr>
              <w:pStyle w:val="3"/>
              <w:ind w:firstLine="420"/>
              <w:rPr>
                <w:color w:val="auto"/>
                <w:sz w:val="21"/>
                <w:highlight w:val="none"/>
              </w:rPr>
            </w:pPr>
            <w:r>
              <w:rPr>
                <w:rFonts w:hint="eastAsia"/>
                <w:color w:val="auto"/>
                <w:sz w:val="21"/>
                <w:highlight w:val="none"/>
              </w:rPr>
              <w:t>通过</w:t>
            </w:r>
            <w:r>
              <w:rPr>
                <w:rFonts w:hint="eastAsia"/>
                <w:color w:val="auto"/>
                <w:sz w:val="21"/>
                <w:highlight w:val="none"/>
                <w:lang w:val="en-US" w:eastAsia="zh-CN"/>
              </w:rPr>
              <w:t>上述实际检测</w:t>
            </w:r>
            <w:r>
              <w:rPr>
                <w:rFonts w:hint="eastAsia"/>
                <w:color w:val="auto"/>
                <w:sz w:val="21"/>
                <w:highlight w:val="none"/>
              </w:rPr>
              <w:t>数据可知，本项目施工期试油井场的厂界非甲烷总烃浓度能够满足《陆上石油天然气开采工业大气污染物排放标准》（GB 39728-2020）中的无组织排放浓度限值（4.0mg/m</w:t>
            </w:r>
            <w:r>
              <w:rPr>
                <w:rFonts w:hint="eastAsia"/>
                <w:color w:val="auto"/>
                <w:sz w:val="21"/>
                <w:highlight w:val="none"/>
                <w:vertAlign w:val="superscript"/>
              </w:rPr>
              <w:t>3</w:t>
            </w:r>
            <w:r>
              <w:rPr>
                <w:rFonts w:hint="eastAsia"/>
                <w:color w:val="auto"/>
                <w:sz w:val="21"/>
                <w:highlight w:val="none"/>
              </w:rPr>
              <w:t>），对周边环境影响较小。该废气非持续性排放废气，随着试油过程的结束即停止排放。因此，在保证设施正常运行，采用密闭流程，加强管理的前提下，试油期无组织烃类废气不会对区域环境空气产生明显影响。</w:t>
            </w:r>
          </w:p>
          <w:p w14:paraId="6431CD00">
            <w:pPr>
              <w:pStyle w:val="3"/>
              <w:numPr>
                <w:ilvl w:val="0"/>
                <w:numId w:val="0"/>
              </w:numPr>
              <w:spacing w:line="332" w:lineRule="auto"/>
              <w:ind w:firstLine="420" w:firstLineChars="200"/>
              <w:rPr>
                <w:color w:val="auto"/>
                <w:sz w:val="21"/>
                <w:highlight w:val="none"/>
              </w:rPr>
            </w:pPr>
            <w:r>
              <w:rPr>
                <w:rFonts w:ascii="宋体" w:hAnsi="宋体" w:eastAsia="宋体" w:cstheme="minorBidi"/>
                <w:color w:val="auto"/>
                <w:kern w:val="2"/>
                <w:sz w:val="21"/>
                <w:szCs w:val="24"/>
                <w:highlight w:val="none"/>
                <w:lang w:val="en-US" w:eastAsia="zh-CN" w:bidi="ar-SA"/>
              </w:rPr>
              <w:t>3、</w:t>
            </w:r>
            <w:r>
              <w:rPr>
                <w:rFonts w:hint="eastAsia"/>
                <w:color w:val="auto"/>
                <w:sz w:val="21"/>
                <w:highlight w:val="none"/>
              </w:rPr>
              <w:t>施工期水环境影响分析</w:t>
            </w:r>
          </w:p>
          <w:p w14:paraId="659273F5">
            <w:pPr>
              <w:pStyle w:val="73"/>
              <w:numPr>
                <w:ilvl w:val="1"/>
                <w:numId w:val="33"/>
              </w:numPr>
              <w:rPr>
                <w:color w:val="auto"/>
                <w:highlight w:val="none"/>
              </w:rPr>
            </w:pPr>
            <w:r>
              <w:rPr>
                <w:rFonts w:hint="eastAsia"/>
                <w:color w:val="auto"/>
                <w:highlight w:val="none"/>
              </w:rPr>
              <w:t>地表水环境影响分析</w:t>
            </w:r>
          </w:p>
          <w:p w14:paraId="3E775A9E">
            <w:pPr>
              <w:pStyle w:val="73"/>
              <w:numPr>
                <w:ilvl w:val="0"/>
                <w:numId w:val="34"/>
              </w:numPr>
              <w:ind w:firstLine="420" w:firstLineChars="200"/>
              <w:rPr>
                <w:color w:val="auto"/>
                <w:highlight w:val="none"/>
              </w:rPr>
            </w:pPr>
            <w:r>
              <w:rPr>
                <w:rFonts w:hint="eastAsia"/>
                <w:color w:val="auto"/>
                <w:highlight w:val="none"/>
              </w:rPr>
              <w:t>生活污水</w:t>
            </w:r>
          </w:p>
          <w:p w14:paraId="4C324A52">
            <w:pPr>
              <w:pStyle w:val="3"/>
              <w:ind w:firstLine="420"/>
              <w:rPr>
                <w:color w:val="auto"/>
                <w:sz w:val="21"/>
                <w:highlight w:val="none"/>
              </w:rPr>
            </w:pPr>
            <w:r>
              <w:rPr>
                <w:rFonts w:hint="eastAsia"/>
                <w:color w:val="auto"/>
                <w:sz w:val="21"/>
                <w:highlight w:val="none"/>
              </w:rPr>
              <w:t>由前文计算可知，本项目生活污水产生量为</w:t>
            </w:r>
            <w:r>
              <w:rPr>
                <w:rFonts w:hint="eastAsia"/>
                <w:color w:val="auto"/>
                <w:sz w:val="21"/>
                <w:highlight w:val="none"/>
                <w:lang w:eastAsia="zh-CN"/>
              </w:rPr>
              <w:t>316.8</w:t>
            </w:r>
            <w:r>
              <w:rPr>
                <w:rFonts w:hint="eastAsia"/>
                <w:color w:val="auto"/>
                <w:sz w:val="21"/>
                <w:highlight w:val="none"/>
              </w:rPr>
              <w:t>m</w:t>
            </w:r>
            <w:r>
              <w:rPr>
                <w:rFonts w:hint="eastAsia"/>
                <w:color w:val="auto"/>
                <w:sz w:val="21"/>
                <w:highlight w:val="none"/>
                <w:vertAlign w:val="superscript"/>
              </w:rPr>
              <w:t>3</w:t>
            </w:r>
            <w:r>
              <w:rPr>
                <w:rFonts w:hint="eastAsia"/>
                <w:color w:val="auto"/>
                <w:sz w:val="21"/>
                <w:highlight w:val="none"/>
              </w:rPr>
              <w:t>。生活区设置1座环保厕所（有效纳污容积6m</w:t>
            </w:r>
            <w:r>
              <w:rPr>
                <w:rFonts w:hint="eastAsia"/>
                <w:color w:val="auto"/>
                <w:sz w:val="21"/>
                <w:highlight w:val="none"/>
                <w:vertAlign w:val="superscript"/>
              </w:rPr>
              <w:t>3</w:t>
            </w:r>
            <w:r>
              <w:rPr>
                <w:rFonts w:hint="eastAsia"/>
                <w:color w:val="auto"/>
                <w:sz w:val="21"/>
                <w:highlight w:val="none"/>
              </w:rPr>
              <w:t>）和1座50m</w:t>
            </w:r>
            <w:r>
              <w:rPr>
                <w:rFonts w:hint="eastAsia"/>
                <w:color w:val="auto"/>
                <w:sz w:val="21"/>
                <w:highlight w:val="none"/>
                <w:vertAlign w:val="superscript"/>
              </w:rPr>
              <w:t>3</w:t>
            </w:r>
            <w:r>
              <w:rPr>
                <w:rFonts w:hint="eastAsia"/>
                <w:color w:val="auto"/>
                <w:sz w:val="21"/>
                <w:highlight w:val="none"/>
              </w:rPr>
              <w:t>生活污水收集罐，生活污水排入环保厕所</w:t>
            </w:r>
            <w:r>
              <w:rPr>
                <w:rFonts w:hint="eastAsia"/>
                <w:color w:val="auto"/>
                <w:sz w:val="21"/>
                <w:highlight w:val="none"/>
                <w:lang w:val="en-US" w:eastAsia="zh-CN"/>
              </w:rPr>
              <w:t>和</w:t>
            </w:r>
            <w:r>
              <w:rPr>
                <w:rFonts w:hint="eastAsia"/>
                <w:color w:val="auto"/>
                <w:sz w:val="21"/>
                <w:highlight w:val="none"/>
              </w:rPr>
              <w:t>生活污水收集罐</w:t>
            </w:r>
            <w:r>
              <w:rPr>
                <w:rFonts w:hint="eastAsia"/>
                <w:color w:val="auto"/>
                <w:sz w:val="21"/>
                <w:highlight w:val="none"/>
                <w:lang w:val="en-US" w:eastAsia="zh-CN"/>
              </w:rPr>
              <w:t>，</w:t>
            </w:r>
            <w:r>
              <w:rPr>
                <w:rFonts w:hint="eastAsia"/>
                <w:color w:val="auto"/>
                <w:sz w:val="21"/>
                <w:highlight w:val="none"/>
              </w:rPr>
              <w:t>定期由新疆熙祥运输公司拉运至五家渠城华市政六运湖分公司</w:t>
            </w:r>
            <w:r>
              <w:rPr>
                <w:rFonts w:hint="eastAsia"/>
                <w:color w:val="auto"/>
                <w:sz w:val="21"/>
                <w:highlight w:val="none"/>
                <w:lang w:val="en-US" w:eastAsia="zh-CN"/>
              </w:rPr>
              <w:t>污水处理厂</w:t>
            </w:r>
            <w:r>
              <w:rPr>
                <w:rFonts w:hint="eastAsia"/>
                <w:color w:val="auto"/>
                <w:sz w:val="21"/>
                <w:highlight w:val="none"/>
              </w:rPr>
              <w:t>处理</w:t>
            </w:r>
            <w:r>
              <w:rPr>
                <w:rFonts w:hint="eastAsia"/>
                <w:color w:val="auto"/>
                <w:sz w:val="21"/>
                <w:highlight w:val="none"/>
                <w:lang w:eastAsia="zh-CN"/>
              </w:rPr>
              <w:t>，</w:t>
            </w:r>
            <w:r>
              <w:rPr>
                <w:rFonts w:hint="eastAsia"/>
                <w:color w:val="auto"/>
                <w:sz w:val="21"/>
                <w:highlight w:val="none"/>
              </w:rPr>
              <w:t>项目生活污水不会对环境造成明显影响。</w:t>
            </w:r>
          </w:p>
          <w:p w14:paraId="405A0EB2">
            <w:pPr>
              <w:pStyle w:val="73"/>
              <w:numPr>
                <w:ilvl w:val="0"/>
                <w:numId w:val="34"/>
              </w:numPr>
              <w:ind w:firstLine="420" w:firstLineChars="200"/>
              <w:rPr>
                <w:color w:val="auto"/>
                <w:highlight w:val="none"/>
              </w:rPr>
            </w:pPr>
            <w:r>
              <w:rPr>
                <w:rFonts w:hint="eastAsia"/>
                <w:color w:val="auto"/>
                <w:highlight w:val="none"/>
              </w:rPr>
              <w:t>井下作业废液、压裂返排液</w:t>
            </w:r>
          </w:p>
          <w:p w14:paraId="59F29383">
            <w:pPr>
              <w:pStyle w:val="3"/>
              <w:ind w:firstLine="420"/>
              <w:rPr>
                <w:color w:val="auto"/>
                <w:sz w:val="21"/>
                <w:highlight w:val="none"/>
              </w:rPr>
            </w:pPr>
            <w:r>
              <w:rPr>
                <w:rFonts w:hint="eastAsia"/>
                <w:color w:val="auto"/>
                <w:sz w:val="21"/>
                <w:highlight w:val="none"/>
              </w:rPr>
              <w:t>由前文计算可知，本项目井下作业废液产生量为</w:t>
            </w:r>
            <w:r>
              <w:rPr>
                <w:rFonts w:hint="eastAsia"/>
                <w:color w:val="auto"/>
                <w:sz w:val="21"/>
                <w:highlight w:val="none"/>
                <w:lang w:val="en-US" w:eastAsia="zh-CN"/>
              </w:rPr>
              <w:t>135.7</w:t>
            </w:r>
            <w:r>
              <w:rPr>
                <w:rFonts w:hint="eastAsia"/>
                <w:color w:val="auto"/>
                <w:sz w:val="21"/>
                <w:highlight w:val="none"/>
              </w:rPr>
              <w:t>m</w:t>
            </w:r>
            <w:r>
              <w:rPr>
                <w:rFonts w:hint="eastAsia"/>
                <w:color w:val="auto"/>
                <w:sz w:val="21"/>
                <w:highlight w:val="none"/>
                <w:vertAlign w:val="superscript"/>
              </w:rPr>
              <w:t>3</w:t>
            </w:r>
            <w:r>
              <w:rPr>
                <w:rFonts w:hint="eastAsia"/>
                <w:color w:val="auto"/>
                <w:sz w:val="21"/>
                <w:highlight w:val="none"/>
              </w:rPr>
              <w:t>，井下作业废液先在井场</w:t>
            </w:r>
            <w:r>
              <w:rPr>
                <w:rFonts w:hint="eastAsia"/>
                <w:color w:val="auto"/>
                <w:sz w:val="21"/>
                <w:highlight w:val="none"/>
                <w:lang w:val="en-US" w:eastAsia="zh-CN"/>
              </w:rPr>
              <w:t>试油废液</w:t>
            </w:r>
            <w:r>
              <w:rPr>
                <w:rFonts w:hint="eastAsia"/>
                <w:color w:val="auto"/>
                <w:sz w:val="21"/>
                <w:highlight w:val="none"/>
              </w:rPr>
              <w:t>储罐（有效容积40m</w:t>
            </w:r>
            <w:r>
              <w:rPr>
                <w:rFonts w:hint="eastAsia"/>
                <w:color w:val="auto"/>
                <w:sz w:val="21"/>
                <w:highlight w:val="none"/>
                <w:vertAlign w:val="superscript"/>
              </w:rPr>
              <w:t>3</w:t>
            </w:r>
            <w:r>
              <w:rPr>
                <w:rFonts w:hint="eastAsia"/>
                <w:color w:val="auto"/>
                <w:sz w:val="21"/>
                <w:highlight w:val="none"/>
              </w:rPr>
              <w:t>）内暂存，定期由罐车拉运至</w:t>
            </w:r>
            <w:r>
              <w:rPr>
                <w:rFonts w:hint="eastAsia"/>
                <w:color w:val="auto"/>
                <w:sz w:val="21"/>
                <w:highlight w:val="none"/>
                <w:lang w:eastAsia="zh-CN"/>
              </w:rPr>
              <w:t>春风联合站</w:t>
            </w:r>
            <w:r>
              <w:rPr>
                <w:rFonts w:hint="eastAsia"/>
                <w:color w:val="auto"/>
                <w:sz w:val="21"/>
                <w:highlight w:val="none"/>
              </w:rPr>
              <w:t>采出水处理系统处理，最终用于回注水开发利用，不外排。回注水须满足《碎屑岩油藏注水水质指标技术要求及分析方法》（SY/T 5329-2022）对应储层空气渗透率下的水质主要控制指标。</w:t>
            </w:r>
          </w:p>
          <w:p w14:paraId="4A11E20E">
            <w:pPr>
              <w:pStyle w:val="3"/>
              <w:ind w:firstLine="420"/>
              <w:rPr>
                <w:color w:val="auto"/>
                <w:sz w:val="21"/>
                <w:highlight w:val="none"/>
              </w:rPr>
            </w:pPr>
            <w:r>
              <w:rPr>
                <w:rFonts w:hint="eastAsia"/>
                <w:color w:val="auto"/>
                <w:sz w:val="21"/>
                <w:highlight w:val="none"/>
              </w:rPr>
              <w:t>由前文计算可知，本项目压裂液返排量约为1080m</w:t>
            </w:r>
            <w:r>
              <w:rPr>
                <w:rFonts w:hint="eastAsia"/>
                <w:color w:val="auto"/>
                <w:sz w:val="21"/>
                <w:highlight w:val="none"/>
                <w:vertAlign w:val="superscript"/>
              </w:rPr>
              <w:t>3</w:t>
            </w:r>
            <w:r>
              <w:rPr>
                <w:rFonts w:hint="eastAsia"/>
                <w:color w:val="auto"/>
                <w:sz w:val="21"/>
                <w:highlight w:val="none"/>
              </w:rPr>
              <w:t>。压裂施工后返排的废液成分较为简单，压裂阶段结束后由罐车拉运至</w:t>
            </w:r>
            <w:r>
              <w:rPr>
                <w:rFonts w:hint="eastAsia"/>
                <w:color w:val="auto"/>
                <w:sz w:val="21"/>
                <w:highlight w:val="none"/>
                <w:lang w:eastAsia="zh-CN"/>
              </w:rPr>
              <w:t>春风联合站</w:t>
            </w:r>
            <w:r>
              <w:rPr>
                <w:rFonts w:hint="eastAsia"/>
                <w:color w:val="auto"/>
                <w:sz w:val="21"/>
                <w:highlight w:val="none"/>
              </w:rPr>
              <w:t>采出水处理系统处理，最终用于回注水开发利用，不外排。回注水须满足《碎屑岩油藏注水水质指标技术要求及分析方法》（SY/T 5329-2022）对应储层空气渗透率下的水质主要控制指标。</w:t>
            </w:r>
          </w:p>
          <w:p w14:paraId="6B08384E">
            <w:pPr>
              <w:pStyle w:val="3"/>
              <w:ind w:firstLine="420"/>
              <w:rPr>
                <w:rFonts w:hint="eastAsia"/>
                <w:color w:val="auto"/>
                <w:sz w:val="21"/>
                <w:highlight w:val="none"/>
              </w:rPr>
            </w:pPr>
            <w:r>
              <w:rPr>
                <w:rFonts w:hint="eastAsia"/>
                <w:color w:val="auto"/>
                <w:sz w:val="21"/>
                <w:highlight w:val="none"/>
              </w:rPr>
              <w:t>依托可行性分析：</w:t>
            </w:r>
          </w:p>
          <w:p w14:paraId="54BBB3C7">
            <w:pPr>
              <w:pStyle w:val="3"/>
              <w:ind w:firstLine="420"/>
              <w:rPr>
                <w:rFonts w:hint="default"/>
                <w:color w:val="auto"/>
                <w:sz w:val="21"/>
                <w:highlight w:val="none"/>
                <w:lang w:val="en-US" w:eastAsia="zh-CN"/>
              </w:rPr>
            </w:pPr>
            <w:r>
              <w:rPr>
                <w:rFonts w:hint="eastAsia"/>
                <w:color w:val="auto"/>
                <w:sz w:val="21"/>
                <w:highlight w:val="none"/>
                <w:lang w:val="en-US" w:eastAsia="zh-CN"/>
              </w:rPr>
              <w:t>①废水衔接方案可行性</w:t>
            </w:r>
          </w:p>
          <w:p w14:paraId="2B4B8856">
            <w:pPr>
              <w:pStyle w:val="3"/>
              <w:ind w:firstLine="420"/>
              <w:rPr>
                <w:rFonts w:hint="eastAsia"/>
                <w:color w:val="auto"/>
                <w:sz w:val="21"/>
                <w:highlight w:val="none"/>
                <w:lang w:val="en-US" w:eastAsia="zh-CN"/>
              </w:rPr>
            </w:pPr>
            <w:r>
              <w:rPr>
                <w:rFonts w:hint="eastAsia"/>
                <w:color w:val="auto"/>
                <w:sz w:val="21"/>
                <w:highlight w:val="none"/>
                <w:lang w:val="en-US" w:eastAsia="zh-CN"/>
              </w:rPr>
              <w:t>本项目为油气勘探预探井，具有作业周期短、废水产生呈间歇性且试油结果存在不确定性的特点。因此，现阶段修建固定的废水输送管网不具备技术和经济可行性。本项目与</w:t>
            </w:r>
            <w:r>
              <w:rPr>
                <w:rFonts w:hint="eastAsia"/>
                <w:color w:val="auto"/>
                <w:sz w:val="21"/>
                <w:highlight w:val="none"/>
                <w:lang w:eastAsia="zh-CN"/>
              </w:rPr>
              <w:t>春风联合站</w:t>
            </w:r>
            <w:r>
              <w:rPr>
                <w:rFonts w:hint="eastAsia"/>
                <w:color w:val="auto"/>
                <w:sz w:val="21"/>
                <w:highlight w:val="none"/>
                <w:lang w:val="en-US" w:eastAsia="zh-CN"/>
              </w:rPr>
              <w:t>的废水衔接方案为“密闭防渗专用罐车拉运”：施工期产生的洗井废水和压裂返排液（总量约1215.7m³)首先由专用密闭防渗方罐在井场进行收集暂存，随后采用防渗防漏的专用罐车，每日高频次拉运至</w:t>
            </w:r>
            <w:r>
              <w:rPr>
                <w:rFonts w:hint="eastAsia"/>
                <w:color w:val="auto"/>
                <w:sz w:val="21"/>
                <w:highlight w:val="none"/>
                <w:lang w:eastAsia="zh-CN"/>
              </w:rPr>
              <w:t>春风联合站</w:t>
            </w:r>
            <w:r>
              <w:rPr>
                <w:rFonts w:hint="eastAsia"/>
                <w:color w:val="auto"/>
                <w:sz w:val="21"/>
                <w:highlight w:val="none"/>
                <w:lang w:val="en-US" w:eastAsia="zh-CN"/>
              </w:rPr>
              <w:t>。运输全过程密闭，坚决杜绝跑冒滴漏现象 ，确保废水安全、接入脱水站处理系统。</w:t>
            </w:r>
          </w:p>
          <w:p w14:paraId="283DDABA">
            <w:pPr>
              <w:pStyle w:val="3"/>
              <w:ind w:firstLine="420"/>
              <w:rPr>
                <w:rFonts w:hint="default" w:eastAsia="宋体"/>
                <w:color w:val="auto"/>
                <w:sz w:val="21"/>
                <w:highlight w:val="none"/>
                <w:lang w:val="en-US" w:eastAsia="zh-CN"/>
              </w:rPr>
            </w:pPr>
            <w:r>
              <w:rPr>
                <w:rFonts w:hint="eastAsia"/>
                <w:color w:val="auto"/>
                <w:sz w:val="21"/>
                <w:highlight w:val="none"/>
                <w:lang w:val="en-US" w:eastAsia="zh-CN"/>
              </w:rPr>
              <w:t>②依托废水处理工艺及规模可行性性</w:t>
            </w:r>
          </w:p>
          <w:p w14:paraId="2B1A0848">
            <w:pPr>
              <w:pStyle w:val="3"/>
              <w:ind w:firstLine="420"/>
              <w:rPr>
                <w:color w:val="auto"/>
                <w:sz w:val="21"/>
                <w:highlight w:val="none"/>
              </w:rPr>
            </w:pPr>
            <w:r>
              <w:rPr>
                <w:rFonts w:hint="eastAsia"/>
                <w:color w:val="auto"/>
                <w:sz w:val="21"/>
                <w:highlight w:val="none"/>
                <w:lang w:eastAsia="zh-CN"/>
              </w:rPr>
              <w:t>春风联合站</w:t>
            </w:r>
            <w:r>
              <w:rPr>
                <w:rFonts w:hint="eastAsia"/>
                <w:color w:val="auto"/>
                <w:sz w:val="21"/>
                <w:highlight w:val="none"/>
              </w:rPr>
              <w:t>采出水处理系统采用“混凝沉降+过滤”的处理工艺，即“采油系统来水+一次除油罐+调节+加药+二次沉降罐+缓冲罐+污水提升泵+多介质过滤器+回注系统”。混凝沉降+过滤工艺是通过向废水中投加混凝剂，使废水中的胶体粒子和微小悬浮物聚集成较大的絮凝体，然后通过重力沉降的方式将这些絮凝体从废水中分离出来的过程，废水处理过程混凝剂的投加以及过滤可以有效去除压裂返排液中的胍胶类物质，因此压裂返排液依托</w:t>
            </w:r>
            <w:r>
              <w:rPr>
                <w:rFonts w:hint="eastAsia"/>
                <w:color w:val="auto"/>
                <w:sz w:val="21"/>
                <w:highlight w:val="none"/>
                <w:lang w:eastAsia="zh-CN"/>
              </w:rPr>
              <w:t>春风联合站</w:t>
            </w:r>
            <w:r>
              <w:rPr>
                <w:rFonts w:hint="eastAsia"/>
                <w:color w:val="auto"/>
                <w:sz w:val="21"/>
                <w:highlight w:val="none"/>
              </w:rPr>
              <w:t>采出水处理系统处理可行。</w:t>
            </w:r>
          </w:p>
          <w:p w14:paraId="20BC79CA">
            <w:pPr>
              <w:pStyle w:val="3"/>
              <w:ind w:firstLine="420"/>
              <w:rPr>
                <w:color w:val="auto"/>
                <w:sz w:val="21"/>
                <w:highlight w:val="none"/>
              </w:rPr>
            </w:pPr>
            <w:r>
              <w:rPr>
                <w:rFonts w:hint="eastAsia"/>
                <w:color w:val="auto"/>
                <w:sz w:val="21"/>
                <w:highlight w:val="none"/>
                <w:lang w:eastAsia="zh-CN"/>
              </w:rPr>
              <w:t>春风联合站</w:t>
            </w:r>
            <w:r>
              <w:rPr>
                <w:rFonts w:hint="eastAsia"/>
                <w:color w:val="auto"/>
                <w:sz w:val="21"/>
                <w:highlight w:val="none"/>
              </w:rPr>
              <w:t>采出水系统设计处理规模为5400m</w:t>
            </w:r>
            <w:r>
              <w:rPr>
                <w:rFonts w:hint="eastAsia"/>
                <w:color w:val="auto"/>
                <w:sz w:val="21"/>
                <w:highlight w:val="none"/>
                <w:vertAlign w:val="superscript"/>
              </w:rPr>
              <w:t>3</w:t>
            </w:r>
            <w:r>
              <w:rPr>
                <w:rFonts w:hint="eastAsia"/>
                <w:color w:val="auto"/>
                <w:sz w:val="21"/>
                <w:highlight w:val="none"/>
              </w:rPr>
              <w:t>/d，目前实际处理量为3800m</w:t>
            </w:r>
            <w:r>
              <w:rPr>
                <w:rFonts w:hint="eastAsia"/>
                <w:color w:val="auto"/>
                <w:sz w:val="21"/>
                <w:highlight w:val="none"/>
                <w:vertAlign w:val="superscript"/>
              </w:rPr>
              <w:t>3</w:t>
            </w:r>
            <w:r>
              <w:rPr>
                <w:rFonts w:hint="eastAsia"/>
                <w:color w:val="auto"/>
                <w:sz w:val="21"/>
                <w:highlight w:val="none"/>
              </w:rPr>
              <w:t>/d，能够满足本项目需求。从以上情况可以看出，本项目若抽汲出的地层水中含油，定期拉运至中石化新疆新春石油开发有限责任公司春风油田</w:t>
            </w:r>
            <w:r>
              <w:rPr>
                <w:rFonts w:hint="eastAsia"/>
                <w:color w:val="auto"/>
                <w:sz w:val="21"/>
                <w:highlight w:val="none"/>
                <w:lang w:eastAsia="zh-CN"/>
              </w:rPr>
              <w:t>春风联合站</w:t>
            </w:r>
            <w:r>
              <w:rPr>
                <w:rFonts w:hint="eastAsia"/>
                <w:color w:val="auto"/>
                <w:sz w:val="21"/>
                <w:highlight w:val="none"/>
              </w:rPr>
              <w:t>处理是可行的。</w:t>
            </w:r>
          </w:p>
          <w:p w14:paraId="799906BB">
            <w:pPr>
              <w:pStyle w:val="3"/>
              <w:ind w:firstLine="420"/>
              <w:rPr>
                <w:color w:val="auto"/>
                <w:sz w:val="21"/>
                <w:highlight w:val="none"/>
              </w:rPr>
            </w:pPr>
            <w:r>
              <w:rPr>
                <w:rFonts w:hint="eastAsia"/>
                <w:color w:val="auto"/>
                <w:sz w:val="21"/>
                <w:highlight w:val="none"/>
              </w:rPr>
              <w:t>经现场调研，</w:t>
            </w:r>
            <w:r>
              <w:rPr>
                <w:rFonts w:hint="eastAsia"/>
                <w:color w:val="auto"/>
                <w:sz w:val="21"/>
                <w:highlight w:val="none"/>
                <w:lang w:eastAsia="zh-CN"/>
              </w:rPr>
              <w:t>春风联合站</w:t>
            </w:r>
            <w:r>
              <w:rPr>
                <w:rFonts w:hint="eastAsia"/>
                <w:color w:val="auto"/>
                <w:sz w:val="21"/>
                <w:highlight w:val="none"/>
              </w:rPr>
              <w:t>采出水处理系统中各设施正常运行，在实际生产中加强人员值守、完善台账记录、采出水规范处理、落实环保制度，通过有效监管，确保</w:t>
            </w:r>
            <w:r>
              <w:rPr>
                <w:rFonts w:hint="eastAsia"/>
                <w:color w:val="auto"/>
                <w:sz w:val="21"/>
                <w:highlight w:val="none"/>
                <w:lang w:eastAsia="zh-CN"/>
              </w:rPr>
              <w:t>春风联合站</w:t>
            </w:r>
            <w:r>
              <w:rPr>
                <w:rFonts w:hint="eastAsia"/>
                <w:color w:val="auto"/>
                <w:sz w:val="21"/>
                <w:highlight w:val="none"/>
              </w:rPr>
              <w:t>采出水处理系统长期稳定运行和达标，说明</w:t>
            </w:r>
            <w:r>
              <w:rPr>
                <w:rFonts w:hint="eastAsia"/>
                <w:color w:val="auto"/>
                <w:sz w:val="21"/>
                <w:highlight w:val="none"/>
                <w:lang w:eastAsia="zh-CN"/>
              </w:rPr>
              <w:t>春风联合站</w:t>
            </w:r>
            <w:r>
              <w:rPr>
                <w:rFonts w:hint="eastAsia"/>
                <w:color w:val="auto"/>
                <w:sz w:val="21"/>
                <w:highlight w:val="none"/>
              </w:rPr>
              <w:t>采出水处理系统采取的采出水处理措施在技术上具有可行性。综合以上可知，油田回注用水的采出水处理系统处置措施基本有效，本项目若抽汲出的地层水中含油，定期拉运至</w:t>
            </w:r>
            <w:r>
              <w:rPr>
                <w:rFonts w:hint="eastAsia"/>
                <w:color w:val="auto"/>
                <w:sz w:val="21"/>
                <w:highlight w:val="none"/>
                <w:lang w:eastAsia="zh-CN"/>
              </w:rPr>
              <w:t>春风联合站</w:t>
            </w:r>
            <w:r>
              <w:rPr>
                <w:rFonts w:hint="eastAsia"/>
                <w:color w:val="auto"/>
                <w:sz w:val="21"/>
                <w:highlight w:val="none"/>
              </w:rPr>
              <w:t>处理是可行的。</w:t>
            </w:r>
          </w:p>
          <w:p w14:paraId="06E3A04F">
            <w:pPr>
              <w:pStyle w:val="3"/>
              <w:ind w:firstLine="420"/>
              <w:rPr>
                <w:rFonts w:hint="eastAsia"/>
                <w:color w:val="auto"/>
                <w:sz w:val="21"/>
                <w:highlight w:val="none"/>
              </w:rPr>
            </w:pPr>
            <w:r>
              <w:rPr>
                <w:rFonts w:hint="eastAsia"/>
                <w:color w:val="auto"/>
                <w:sz w:val="21"/>
                <w:highlight w:val="none"/>
              </w:rPr>
              <w:t>本项目位于</w:t>
            </w:r>
            <w:r>
              <w:rPr>
                <w:rFonts w:hint="eastAsia"/>
                <w:color w:val="auto"/>
                <w:sz w:val="21"/>
                <w:highlight w:val="none"/>
                <w:lang w:eastAsia="zh-CN"/>
              </w:rPr>
              <w:t>春风联合站</w:t>
            </w:r>
            <w:r>
              <w:rPr>
                <w:rFonts w:hint="eastAsia"/>
                <w:color w:val="auto"/>
                <w:sz w:val="21"/>
                <w:highlight w:val="none"/>
              </w:rPr>
              <w:t>东南方向，运送路线详见</w:t>
            </w:r>
            <w:r>
              <w:rPr>
                <w:color w:val="auto"/>
                <w:highlight w:val="none"/>
              </w:rPr>
              <w:fldChar w:fldCharType="begin"/>
            </w:r>
            <w:r>
              <w:rPr>
                <w:color w:val="auto"/>
                <w:highlight w:val="none"/>
              </w:rPr>
              <w:instrText xml:space="preserve"> REF _Ref326778995 \r  \* MERGEFORMAT</w:instrText>
            </w:r>
            <w:r>
              <w:rPr>
                <w:color w:val="auto"/>
                <w:highlight w:val="none"/>
              </w:rPr>
              <w:fldChar w:fldCharType="separate"/>
            </w:r>
            <w:r>
              <w:rPr>
                <w:rFonts w:hint="eastAsia"/>
                <w:color w:val="auto"/>
                <w:sz w:val="21"/>
                <w:highlight w:val="none"/>
              </w:rPr>
              <w:t>图4</w:t>
            </w:r>
            <w:r>
              <w:rPr>
                <w:rFonts w:hint="eastAsia"/>
                <w:color w:val="auto"/>
                <w:sz w:val="21"/>
                <w:highlight w:val="none"/>
              </w:rPr>
              <w:fldChar w:fldCharType="end"/>
            </w:r>
            <w:r>
              <w:rPr>
                <w:rFonts w:hint="eastAsia"/>
                <w:color w:val="auto"/>
                <w:sz w:val="21"/>
                <w:highlight w:val="none"/>
              </w:rPr>
              <w:t>。本项目井下作业废液、压裂返排液定期拉运至</w:t>
            </w:r>
            <w:r>
              <w:rPr>
                <w:rFonts w:hint="eastAsia"/>
                <w:color w:val="auto"/>
                <w:sz w:val="21"/>
                <w:highlight w:val="none"/>
                <w:lang w:eastAsia="zh-CN"/>
              </w:rPr>
              <w:t>春风联合站</w:t>
            </w:r>
            <w:r>
              <w:rPr>
                <w:rFonts w:hint="eastAsia"/>
                <w:color w:val="auto"/>
                <w:sz w:val="21"/>
                <w:highlight w:val="none"/>
              </w:rPr>
              <w:t>处理是可行的。</w:t>
            </w:r>
          </w:p>
          <w:p w14:paraId="2CE52769">
            <w:pPr>
              <w:pStyle w:val="3"/>
              <w:ind w:firstLine="420"/>
              <w:rPr>
                <w:rFonts w:hint="eastAsia"/>
                <w:color w:val="auto"/>
                <w:sz w:val="21"/>
                <w:highlight w:val="none"/>
              </w:rPr>
            </w:pPr>
          </w:p>
          <w:p w14:paraId="1C65ED76">
            <w:pPr>
              <w:pStyle w:val="3"/>
              <w:ind w:firstLine="420"/>
              <w:rPr>
                <w:rFonts w:hint="eastAsia"/>
                <w:color w:val="auto"/>
                <w:sz w:val="21"/>
                <w:highlight w:val="none"/>
              </w:rPr>
            </w:pPr>
          </w:p>
          <w:p w14:paraId="7623DAEA">
            <w:pPr>
              <w:pStyle w:val="3"/>
              <w:ind w:firstLine="420"/>
              <w:rPr>
                <w:rFonts w:hint="eastAsia"/>
                <w:color w:val="auto"/>
                <w:sz w:val="21"/>
                <w:highlight w:val="none"/>
              </w:rPr>
            </w:pPr>
          </w:p>
          <w:p w14:paraId="572B372C">
            <w:pPr>
              <w:pStyle w:val="3"/>
              <w:ind w:firstLine="420"/>
              <w:rPr>
                <w:rFonts w:hint="eastAsia"/>
                <w:color w:val="auto"/>
                <w:sz w:val="21"/>
                <w:highlight w:val="none"/>
              </w:rPr>
            </w:pPr>
          </w:p>
          <w:p w14:paraId="7CF80E74">
            <w:pPr>
              <w:pStyle w:val="3"/>
              <w:ind w:firstLine="0" w:firstLineChars="0"/>
              <w:jc w:val="center"/>
              <w:rPr>
                <w:color w:val="auto"/>
                <w:sz w:val="21"/>
                <w:highlight w:val="none"/>
              </w:rPr>
            </w:pPr>
            <w:r>
              <w:rPr>
                <w:color w:val="auto"/>
                <w:highlight w:val="none"/>
              </w:rPr>
              <w:drawing>
                <wp:inline distT="0" distB="0" distL="114300" distR="114300">
                  <wp:extent cx="5093970" cy="2829560"/>
                  <wp:effectExtent l="0" t="0" r="11430" b="8890"/>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17"/>
                          <a:stretch>
                            <a:fillRect/>
                          </a:stretch>
                        </pic:blipFill>
                        <pic:spPr>
                          <a:xfrm>
                            <a:off x="0" y="0"/>
                            <a:ext cx="5093970" cy="2829560"/>
                          </a:xfrm>
                          <a:prstGeom prst="rect">
                            <a:avLst/>
                          </a:prstGeom>
                          <a:noFill/>
                          <a:ln>
                            <a:noFill/>
                          </a:ln>
                        </pic:spPr>
                      </pic:pic>
                    </a:graphicData>
                  </a:graphic>
                </wp:inline>
              </w:drawing>
            </w:r>
          </w:p>
          <w:p w14:paraId="534F8408">
            <w:pPr>
              <w:pStyle w:val="13"/>
              <w:bidi w:val="0"/>
              <w:rPr>
                <w:color w:val="auto"/>
                <w:highlight w:val="none"/>
              </w:rPr>
            </w:pPr>
            <w:bookmarkStart w:id="60" w:name="_Ref326778995"/>
            <w:r>
              <w:rPr>
                <w:rFonts w:hint="eastAsia"/>
                <w:color w:val="auto"/>
                <w:highlight w:val="none"/>
              </w:rPr>
              <w:t xml:space="preserve">图4 </w:t>
            </w:r>
            <w:r>
              <w:rPr>
                <w:color w:val="auto"/>
                <w:highlight w:val="none"/>
              </w:rPr>
              <w:t xml:space="preserve"> </w:t>
            </w:r>
            <w:r>
              <w:rPr>
                <w:rFonts w:hint="eastAsia"/>
                <w:color w:val="auto"/>
                <w:highlight w:val="none"/>
              </w:rPr>
              <w:t>本项目废水、废液输送路线示意图</w:t>
            </w:r>
            <w:bookmarkEnd w:id="60"/>
          </w:p>
          <w:p w14:paraId="2C89058B">
            <w:pPr>
              <w:pStyle w:val="3"/>
              <w:spacing w:line="332" w:lineRule="auto"/>
              <w:ind w:firstLine="420"/>
              <w:rPr>
                <w:color w:val="auto"/>
                <w:sz w:val="21"/>
                <w:highlight w:val="none"/>
              </w:rPr>
            </w:pPr>
          </w:p>
          <w:p w14:paraId="1FA668C9">
            <w:pPr>
              <w:pStyle w:val="3"/>
              <w:spacing w:line="332" w:lineRule="auto"/>
              <w:ind w:firstLine="420"/>
              <w:rPr>
                <w:color w:val="auto"/>
                <w:sz w:val="21"/>
                <w:highlight w:val="none"/>
              </w:rPr>
            </w:pPr>
            <w:r>
              <w:rPr>
                <w:rFonts w:hint="eastAsia"/>
                <w:color w:val="auto"/>
                <w:sz w:val="21"/>
                <w:highlight w:val="none"/>
              </w:rPr>
              <w:t>本次评价提出如下要求：</w:t>
            </w:r>
          </w:p>
          <w:p w14:paraId="4E0E9ED7">
            <w:pPr>
              <w:pStyle w:val="3"/>
              <w:spacing w:line="332" w:lineRule="auto"/>
              <w:ind w:firstLine="420"/>
              <w:rPr>
                <w:color w:val="auto"/>
                <w:sz w:val="21"/>
                <w:highlight w:val="none"/>
              </w:rPr>
            </w:pPr>
            <w:r>
              <w:rPr>
                <w:rFonts w:hint="eastAsia"/>
                <w:color w:val="auto"/>
                <w:sz w:val="21"/>
                <w:highlight w:val="none"/>
              </w:rPr>
              <w:t>①做好井下作业废液罐防渗和维护工作，坚决避免跑、冒、滴、漏现象的发生，防止井下作业废液泄漏。</w:t>
            </w:r>
          </w:p>
          <w:p w14:paraId="21F0844F">
            <w:pPr>
              <w:pStyle w:val="3"/>
              <w:spacing w:line="332" w:lineRule="auto"/>
              <w:ind w:firstLine="420"/>
              <w:rPr>
                <w:color w:val="auto"/>
                <w:sz w:val="21"/>
                <w:highlight w:val="none"/>
              </w:rPr>
            </w:pPr>
            <w:r>
              <w:rPr>
                <w:rFonts w:hint="eastAsia"/>
                <w:color w:val="auto"/>
                <w:sz w:val="21"/>
                <w:highlight w:val="none"/>
              </w:rPr>
              <w:t>②在运输过程中，一旦发生意外，在采取应急处理的同时，迅速报告公安机关和环保等有关部门，疏散群众，防止事态进一步扩大，并积极协助前来救助的公安、交通和消防人员抢救伤者和物资，使损失降低到最小范围。</w:t>
            </w:r>
          </w:p>
          <w:p w14:paraId="23109B40">
            <w:pPr>
              <w:pStyle w:val="3"/>
              <w:spacing w:line="332" w:lineRule="auto"/>
              <w:ind w:firstLine="420"/>
              <w:rPr>
                <w:color w:val="auto"/>
                <w:sz w:val="21"/>
                <w:highlight w:val="none"/>
              </w:rPr>
            </w:pPr>
            <w:r>
              <w:rPr>
                <w:rFonts w:hint="eastAsia"/>
                <w:color w:val="auto"/>
                <w:sz w:val="21"/>
                <w:highlight w:val="none"/>
              </w:rPr>
              <w:t>③车辆驾驶员，在出车前必须检查防护用品和检查是否携带齐全有效，在运输途中发现泄漏时应主动采取处理措施，防止事态进一步扩大，在切断泄漏源后，应将情况及时向当地公安机关和有关部门报告，若处理不了，应立即报告当地公安机关和有关部门，请求支援。</w:t>
            </w:r>
          </w:p>
          <w:p w14:paraId="4F20A3D7">
            <w:pPr>
              <w:pStyle w:val="3"/>
              <w:spacing w:line="332" w:lineRule="auto"/>
              <w:ind w:firstLine="420"/>
              <w:rPr>
                <w:color w:val="auto"/>
                <w:sz w:val="21"/>
                <w:highlight w:val="none"/>
              </w:rPr>
            </w:pPr>
            <w:r>
              <w:rPr>
                <w:rFonts w:hint="eastAsia"/>
                <w:color w:val="auto"/>
                <w:sz w:val="21"/>
                <w:highlight w:val="none"/>
              </w:rPr>
              <w:t>④运输时运输车辆应配备相应品种和数量的消防器材及泄漏应急处理设备。公路运输时要按规定路线行驶，勿在居民区和人口稠密区停留。运输废水的车辆应按照规定安装卫星定位装置，并按照规定时间、路线行驶。</w:t>
            </w:r>
          </w:p>
          <w:p w14:paraId="323A54C9">
            <w:pPr>
              <w:pStyle w:val="73"/>
              <w:numPr>
                <w:ilvl w:val="1"/>
                <w:numId w:val="33"/>
              </w:numPr>
              <w:rPr>
                <w:color w:val="auto"/>
                <w:highlight w:val="none"/>
              </w:rPr>
            </w:pPr>
            <w:r>
              <w:rPr>
                <w:rFonts w:hint="eastAsia"/>
                <w:color w:val="auto"/>
                <w:highlight w:val="none"/>
              </w:rPr>
              <w:t>地下水影响分析</w:t>
            </w:r>
          </w:p>
          <w:p w14:paraId="02D36928">
            <w:pPr>
              <w:pStyle w:val="73"/>
              <w:numPr>
                <w:ilvl w:val="0"/>
                <w:numId w:val="35"/>
              </w:numPr>
              <w:ind w:firstLine="420" w:firstLineChars="200"/>
              <w:rPr>
                <w:color w:val="auto"/>
                <w:highlight w:val="none"/>
              </w:rPr>
            </w:pPr>
            <w:r>
              <w:rPr>
                <w:rFonts w:hint="eastAsia"/>
                <w:color w:val="auto"/>
                <w:highlight w:val="none"/>
              </w:rPr>
              <w:t>地下水评价级别</w:t>
            </w:r>
          </w:p>
          <w:p w14:paraId="0375D79C">
            <w:pPr>
              <w:pStyle w:val="71"/>
              <w:numPr>
                <w:ilvl w:val="0"/>
                <w:numId w:val="0"/>
              </w:numPr>
              <w:spacing w:line="332" w:lineRule="auto"/>
              <w:ind w:firstLine="420" w:firstLineChars="200"/>
              <w:rPr>
                <w:color w:val="auto"/>
                <w:highlight w:val="none"/>
              </w:rPr>
            </w:pPr>
            <w:r>
              <w:rPr>
                <w:rFonts w:hint="eastAsia"/>
                <w:color w:val="auto"/>
                <w:highlight w:val="none"/>
              </w:rPr>
              <w:t>根据《环境影响评价技术导则 地下水环境》（HJ 610-2016）附录A 地下水环境影响评价行业分类表，本项目行业类别为：C 地质勘查，24、矿产资源地质勘查（包括勘探活动），地下水环境影响评价项目类别为Ⅳ类。根据《环境影响评价技术导则 地下水环境》（HJ 610-2016），Ⅳ类建设项目不需要开展地下水环境影响评价。</w:t>
            </w:r>
          </w:p>
          <w:p w14:paraId="5ADD385D">
            <w:pPr>
              <w:pStyle w:val="71"/>
              <w:numPr>
                <w:ilvl w:val="0"/>
                <w:numId w:val="0"/>
              </w:numPr>
              <w:spacing w:line="332" w:lineRule="auto"/>
              <w:ind w:firstLine="420" w:firstLineChars="200"/>
              <w:rPr>
                <w:color w:val="auto"/>
                <w:highlight w:val="none"/>
              </w:rPr>
            </w:pPr>
            <w:r>
              <w:rPr>
                <w:rFonts w:hint="eastAsia"/>
                <w:color w:val="auto"/>
                <w:highlight w:val="none"/>
              </w:rPr>
              <w:t>本项目无废水排入外环境，同时本次钻井过程中采用套管与地层隔离开，并在套管与地层之间注入水泥进行固井，水泥浆返至地面，封隔疏松地层和水层。套管的深度远远超出本区域地下水含水层深度，有效隔断了油井与含水层之间的联系，可保护地下水环境不受污染。试油目的层与地下水处于不同层系，在施工过程中确保套管下入指定深度，保证固井质量合格，可以有效控制钻井液在地层中的漏失，减轻对地下水环境的影响。本项目表层套管的深度可满足本项目的地下水保护需要，可有效地保护地下水环境不受污染。本项目推广使用清洁无害的泥浆，同时严格要求套管下入深度等措施，可以有效控制钻井液在地层中的漏失，减轻对地下水环境的影响。由于本项目采油目的层与地下水处于不同层系，远超出本区域地下水含水层深度。本项目在施工过程中采用下套管注水泥固井完井方式进行了水泥固井，对含水层进行了固封处理，有效保护地下水层。项目在钻井过程中产生的废水不与当地水体发生水力联系，同时对产生的废水排放进行严格管理。因此，基本不会对所在区域地下水产生影响。本项目区域气候干旱少雨，不存在大量降水的淋滤作用。</w:t>
            </w:r>
          </w:p>
          <w:p w14:paraId="73C83D8F">
            <w:pPr>
              <w:pStyle w:val="73"/>
              <w:numPr>
                <w:ilvl w:val="0"/>
                <w:numId w:val="35"/>
              </w:numPr>
              <w:ind w:firstLine="420" w:firstLineChars="200"/>
              <w:rPr>
                <w:color w:val="auto"/>
                <w:highlight w:val="none"/>
              </w:rPr>
            </w:pPr>
            <w:r>
              <w:rPr>
                <w:rFonts w:hint="eastAsia"/>
                <w:color w:val="auto"/>
                <w:highlight w:val="none"/>
              </w:rPr>
              <w:t>分区防渗措施</w:t>
            </w:r>
          </w:p>
          <w:p w14:paraId="63EE9C8B">
            <w:pPr>
              <w:pStyle w:val="71"/>
              <w:numPr>
                <w:ilvl w:val="0"/>
                <w:numId w:val="0"/>
              </w:numPr>
              <w:spacing w:line="332" w:lineRule="auto"/>
              <w:ind w:firstLine="420" w:firstLineChars="200"/>
              <w:rPr>
                <w:color w:val="auto"/>
                <w:highlight w:val="none"/>
              </w:rPr>
            </w:pPr>
            <w:r>
              <w:rPr>
                <w:rFonts w:hint="eastAsia"/>
                <w:color w:val="auto"/>
                <w:highlight w:val="none"/>
              </w:rPr>
              <w:t>根据《环境影响评价技术导则 陆地石油天然气开发建设项目》（HJ 349-2023）、《环境影响评价技术导则 地下水环境》（HJ 610-2016），本项目通过采取分区防渗措施，加强井场防渗等级，避免钻井工程污染物入渗土壤及地下水环境。按照相关要求，本项目分为重点防渗区、一般防渗区。</w:t>
            </w:r>
          </w:p>
          <w:p w14:paraId="53F87B9A">
            <w:pPr>
              <w:pStyle w:val="71"/>
              <w:numPr>
                <w:ilvl w:val="0"/>
                <w:numId w:val="0"/>
              </w:numPr>
              <w:spacing w:line="332" w:lineRule="auto"/>
              <w:ind w:firstLine="420" w:firstLineChars="200"/>
              <w:rPr>
                <w:color w:val="auto"/>
                <w:highlight w:val="none"/>
              </w:rPr>
            </w:pPr>
            <w:r>
              <w:rPr>
                <w:rFonts w:hint="eastAsia"/>
                <w:color w:val="auto"/>
                <w:highlight w:val="none"/>
              </w:rPr>
              <w:t>①重点防渗区</w:t>
            </w:r>
          </w:p>
          <w:p w14:paraId="7EAAAD7D">
            <w:pPr>
              <w:pStyle w:val="71"/>
              <w:numPr>
                <w:ilvl w:val="0"/>
                <w:numId w:val="0"/>
              </w:numPr>
              <w:spacing w:line="332" w:lineRule="auto"/>
              <w:ind w:firstLine="420" w:firstLineChars="200"/>
              <w:rPr>
                <w:color w:val="auto"/>
                <w:highlight w:val="none"/>
              </w:rPr>
            </w:pPr>
            <w:r>
              <w:rPr>
                <w:rFonts w:hint="eastAsia"/>
                <w:color w:val="auto"/>
                <w:highlight w:val="none"/>
              </w:rPr>
              <w:t>重点防渗区主要包括钻井工程基础区域（井口区域）、钻井液循环系统（“泥浆不落地”设备）、危废贮存点以及柴油罐区、发电机房区、放喷池、</w:t>
            </w:r>
            <w:r>
              <w:rPr>
                <w:rFonts w:hint="eastAsia"/>
                <w:color w:val="auto"/>
                <w:highlight w:val="none"/>
                <w:lang w:val="en-US" w:eastAsia="zh-CN"/>
              </w:rPr>
              <w:t>试油</w:t>
            </w:r>
            <w:r>
              <w:rPr>
                <w:rFonts w:hint="eastAsia"/>
                <w:color w:val="auto"/>
                <w:highlight w:val="none"/>
              </w:rPr>
              <w:t>废液储罐等；防渗具体要求为地面夯实硬化，采用环保型HDPE防渗布（渗透系数≤10</w:t>
            </w:r>
            <w:r>
              <w:rPr>
                <w:rFonts w:hint="eastAsia"/>
                <w:color w:val="auto"/>
                <w:highlight w:val="none"/>
                <w:vertAlign w:val="superscript"/>
              </w:rPr>
              <w:t>-10</w:t>
            </w:r>
            <w:r>
              <w:rPr>
                <w:rFonts w:hint="eastAsia"/>
                <w:color w:val="auto"/>
                <w:highlight w:val="none"/>
              </w:rPr>
              <w:t>cm/s）防渗。</w:t>
            </w:r>
          </w:p>
          <w:p w14:paraId="74CE9FD9">
            <w:pPr>
              <w:pStyle w:val="71"/>
              <w:numPr>
                <w:ilvl w:val="0"/>
                <w:numId w:val="0"/>
              </w:numPr>
              <w:spacing w:line="332" w:lineRule="auto"/>
              <w:ind w:firstLine="420" w:firstLineChars="200"/>
              <w:rPr>
                <w:color w:val="auto"/>
                <w:highlight w:val="none"/>
              </w:rPr>
            </w:pPr>
            <w:r>
              <w:rPr>
                <w:rFonts w:hint="eastAsia"/>
                <w:color w:val="auto"/>
                <w:highlight w:val="none"/>
              </w:rPr>
              <w:t>②一般防渗区</w:t>
            </w:r>
          </w:p>
          <w:p w14:paraId="35D74962">
            <w:pPr>
              <w:pStyle w:val="71"/>
              <w:numPr>
                <w:ilvl w:val="0"/>
                <w:numId w:val="0"/>
              </w:numPr>
              <w:spacing w:line="332" w:lineRule="auto"/>
              <w:ind w:firstLine="420" w:firstLineChars="200"/>
              <w:rPr>
                <w:color w:val="auto"/>
                <w:highlight w:val="none"/>
              </w:rPr>
            </w:pPr>
            <w:r>
              <w:rPr>
                <w:rFonts w:hint="eastAsia"/>
                <w:color w:val="auto"/>
                <w:highlight w:val="none"/>
              </w:rPr>
              <w:t>一般防渗区主要包括泥浆房、生活污水收集池；防渗具体要求为采用环保型HDPE防渗膜防渗处理，达到等效黏土防渗层Mb≥1.5m（渗透系数≤10</w:t>
            </w:r>
            <w:r>
              <w:rPr>
                <w:rFonts w:hint="eastAsia"/>
                <w:color w:val="auto"/>
                <w:highlight w:val="none"/>
                <w:vertAlign w:val="superscript"/>
              </w:rPr>
              <w:t>-7</w:t>
            </w:r>
            <w:r>
              <w:rPr>
                <w:rFonts w:hint="eastAsia"/>
                <w:color w:val="auto"/>
                <w:highlight w:val="none"/>
              </w:rPr>
              <w:t>cm/s），原土夯实达到防渗的目的。</w:t>
            </w:r>
          </w:p>
          <w:p w14:paraId="1F2710B1">
            <w:pPr>
              <w:pStyle w:val="71"/>
              <w:numPr>
                <w:ilvl w:val="0"/>
                <w:numId w:val="0"/>
              </w:numPr>
              <w:spacing w:line="332" w:lineRule="auto"/>
              <w:ind w:firstLine="420" w:firstLineChars="200"/>
              <w:rPr>
                <w:color w:val="auto"/>
                <w:highlight w:val="none"/>
              </w:rPr>
            </w:pPr>
            <w:r>
              <w:rPr>
                <w:rFonts w:hint="eastAsia"/>
                <w:color w:val="auto"/>
                <w:highlight w:val="none"/>
              </w:rPr>
              <w:t>本项目钻井时严格落实套管下入深度合格和固井质量合格，对产生的废水排放进行严格管理，采取相应的防渗措施，基本不会对所在区域地下水产生影响。本项目区域气候干旱少雨，不存在大量降水的淋滤作用。正常生产状况下，油田钻井和试油期的废水对地下水环境不会产生不利影响。</w:t>
            </w:r>
          </w:p>
          <w:p w14:paraId="38B812D8">
            <w:pPr>
              <w:pStyle w:val="3"/>
              <w:numPr>
                <w:ilvl w:val="0"/>
                <w:numId w:val="0"/>
              </w:numPr>
              <w:spacing w:line="332" w:lineRule="auto"/>
              <w:ind w:firstLine="420" w:firstLineChars="200"/>
              <w:rPr>
                <w:color w:val="auto"/>
                <w:sz w:val="21"/>
                <w:highlight w:val="none"/>
              </w:rPr>
            </w:pPr>
            <w:r>
              <w:rPr>
                <w:rFonts w:ascii="宋体" w:hAnsi="宋体" w:eastAsia="宋体" w:cstheme="minorBidi"/>
                <w:color w:val="auto"/>
                <w:kern w:val="2"/>
                <w:sz w:val="21"/>
                <w:szCs w:val="24"/>
                <w:highlight w:val="none"/>
                <w:lang w:val="en-US" w:eastAsia="zh-CN" w:bidi="ar-SA"/>
              </w:rPr>
              <w:t>4、</w:t>
            </w:r>
            <w:r>
              <w:rPr>
                <w:rFonts w:hint="eastAsia"/>
                <w:color w:val="auto"/>
                <w:sz w:val="21"/>
                <w:highlight w:val="none"/>
              </w:rPr>
              <w:t>固体废物影响分析</w:t>
            </w:r>
          </w:p>
          <w:p w14:paraId="08B7B952">
            <w:pPr>
              <w:pStyle w:val="3"/>
              <w:ind w:firstLine="420"/>
              <w:rPr>
                <w:color w:val="auto"/>
                <w:sz w:val="21"/>
                <w:highlight w:val="none"/>
              </w:rPr>
            </w:pPr>
            <w:r>
              <w:rPr>
                <w:rFonts w:hint="eastAsia"/>
                <w:color w:val="auto"/>
                <w:sz w:val="21"/>
                <w:highlight w:val="none"/>
              </w:rPr>
              <w:t>钻井废弃泥浆、钻井岩屑、废防渗材料、废润滑油、废润滑油桶、废弃包装物、废弃的含油抹布、劳保用品及生活垃圾是施工过程中产生的主要固体废物。</w:t>
            </w:r>
          </w:p>
          <w:p w14:paraId="0B4D31E5">
            <w:pPr>
              <w:pStyle w:val="73"/>
              <w:numPr>
                <w:ilvl w:val="1"/>
                <w:numId w:val="36"/>
              </w:numPr>
              <w:rPr>
                <w:color w:val="auto"/>
                <w:highlight w:val="none"/>
              </w:rPr>
            </w:pPr>
            <w:r>
              <w:rPr>
                <w:rFonts w:hint="eastAsia"/>
                <w:color w:val="auto"/>
                <w:highlight w:val="none"/>
              </w:rPr>
              <w:t>钻井废弃泥浆与岩屑</w:t>
            </w:r>
          </w:p>
          <w:p w14:paraId="2B7FCD06">
            <w:pPr>
              <w:pStyle w:val="3"/>
              <w:ind w:firstLine="420"/>
              <w:rPr>
                <w:color w:val="auto"/>
                <w:sz w:val="21"/>
                <w:szCs w:val="21"/>
                <w:highlight w:val="none"/>
              </w:rPr>
            </w:pPr>
            <w:r>
              <w:rPr>
                <w:rFonts w:hint="eastAsia"/>
                <w:color w:val="auto"/>
                <w:sz w:val="21"/>
                <w:szCs w:val="21"/>
                <w:highlight w:val="none"/>
              </w:rPr>
              <w:t>钻井固废主要包括钻井中废弃泥浆和钻进产生的岩屑，本项目施工期钻井采用“泥浆不落地”工艺，从源头杜绝泥浆对土壤的污染。</w:t>
            </w:r>
          </w:p>
          <w:p w14:paraId="56DA1AAA">
            <w:pPr>
              <w:pStyle w:val="3"/>
              <w:ind w:firstLine="420"/>
              <w:rPr>
                <w:rFonts w:hint="eastAsia"/>
                <w:color w:val="auto"/>
                <w:sz w:val="21"/>
                <w:szCs w:val="21"/>
                <w:highlight w:val="none"/>
              </w:rPr>
            </w:pPr>
            <w:r>
              <w:rPr>
                <w:rFonts w:hint="eastAsia"/>
                <w:color w:val="auto"/>
                <w:sz w:val="21"/>
                <w:szCs w:val="21"/>
                <w:highlight w:val="none"/>
              </w:rPr>
              <w:t>本项目一开、二开采用水基钻井液</w:t>
            </w:r>
            <w:r>
              <w:rPr>
                <w:rFonts w:hint="eastAsia"/>
                <w:color w:val="auto"/>
                <w:sz w:val="21"/>
                <w:szCs w:val="21"/>
                <w:highlight w:val="none"/>
                <w:lang w:eastAsia="zh-CN"/>
              </w:rPr>
              <w:t>（</w:t>
            </w:r>
            <w:r>
              <w:rPr>
                <w:rFonts w:hint="eastAsia"/>
                <w:color w:val="auto"/>
                <w:sz w:val="21"/>
                <w:szCs w:val="21"/>
                <w:highlight w:val="none"/>
                <w:lang w:val="en-US" w:eastAsia="zh-CN"/>
              </w:rPr>
              <w:t>不涉及磺化泥浆</w:t>
            </w:r>
            <w:r>
              <w:rPr>
                <w:rFonts w:hint="eastAsia"/>
                <w:color w:val="auto"/>
                <w:sz w:val="21"/>
                <w:szCs w:val="21"/>
                <w:highlight w:val="none"/>
                <w:lang w:eastAsia="zh-CN"/>
              </w:rPr>
              <w:t>）</w:t>
            </w:r>
            <w:r>
              <w:rPr>
                <w:rFonts w:hint="eastAsia"/>
                <w:color w:val="auto"/>
                <w:sz w:val="21"/>
                <w:highlight w:val="none"/>
              </w:rPr>
              <w:t>，根据《危险废物排除管理清单（2026年版）》（公告2026年第2号），满足清单中“石油和天然气开采过程中，使用清水、聚合物钻井泥浆（未加入沥青类药剂和液体润滑剂类药剂）钻井时产生的废弃钻井泥浆和岩屑，或者使用聚合物、聚磺/磺化泥浆钻井时随钻破胶压滤系统产生的废弃钻井岩屑（压滤泥饼）”要求。因此，本项目产生的废弃水基钻井泥浆及岩屑不属于危险废物，属于一般工业固体废物。</w:t>
            </w:r>
            <w:r>
              <w:rPr>
                <w:rFonts w:hint="eastAsia"/>
                <w:color w:val="auto"/>
                <w:sz w:val="21"/>
                <w:szCs w:val="21"/>
                <w:highlight w:val="none"/>
              </w:rPr>
              <w:t>期间产生的废弃泥浆和岩屑属于一般工业固废，集中拉运至</w:t>
            </w:r>
            <w:r>
              <w:rPr>
                <w:rFonts w:hint="eastAsia"/>
                <w:color w:val="auto"/>
                <w:sz w:val="21"/>
                <w:szCs w:val="21"/>
                <w:highlight w:val="none"/>
                <w:lang w:eastAsia="zh-CN"/>
              </w:rPr>
              <w:t>山东奥友环保工程有限责任公司乌苏分公司</w:t>
            </w:r>
            <w:r>
              <w:rPr>
                <w:rFonts w:hint="eastAsia"/>
                <w:color w:val="auto"/>
                <w:sz w:val="21"/>
                <w:szCs w:val="21"/>
                <w:highlight w:val="none"/>
              </w:rPr>
              <w:t>处理</w:t>
            </w:r>
            <w:r>
              <w:rPr>
                <w:rFonts w:hint="eastAsia"/>
                <w:color w:val="auto"/>
                <w:sz w:val="21"/>
                <w:szCs w:val="21"/>
                <w:highlight w:val="none"/>
                <w:lang w:eastAsia="zh-CN"/>
              </w:rPr>
              <w:t>，</w:t>
            </w:r>
            <w:r>
              <w:rPr>
                <w:rFonts w:hint="eastAsia"/>
                <w:color w:val="auto"/>
                <w:kern w:val="0"/>
                <w:sz w:val="21"/>
                <w:szCs w:val="21"/>
                <w:highlight w:val="none"/>
              </w:rPr>
              <w:t>处理后满足《油气田钻井固体废物综合利用污染控制要求》（</w:t>
            </w:r>
            <w:r>
              <w:rPr>
                <w:color w:val="auto"/>
                <w:kern w:val="0"/>
                <w:sz w:val="21"/>
                <w:szCs w:val="21"/>
                <w:highlight w:val="none"/>
              </w:rPr>
              <w:t>DB65/T 3997-2017</w:t>
            </w:r>
            <w:r>
              <w:rPr>
                <w:rFonts w:hint="eastAsia"/>
                <w:color w:val="auto"/>
                <w:kern w:val="0"/>
                <w:sz w:val="21"/>
                <w:szCs w:val="21"/>
                <w:highlight w:val="none"/>
              </w:rPr>
              <w:t>）标准污染物限值的钻井固体废物作为可利用资源，用于中石化新疆新春石油开发有限责任公司春风油田区块内其他项目的基建工程，用于修路、铺垫井场</w:t>
            </w:r>
            <w:r>
              <w:rPr>
                <w:rFonts w:hint="eastAsia"/>
                <w:color w:val="auto"/>
                <w:sz w:val="21"/>
                <w:szCs w:val="21"/>
                <w:highlight w:val="none"/>
              </w:rPr>
              <w:t>。</w:t>
            </w:r>
          </w:p>
          <w:p w14:paraId="60E926CF">
            <w:pPr>
              <w:pStyle w:val="3"/>
              <w:ind w:firstLine="420"/>
              <w:rPr>
                <w:color w:val="auto"/>
                <w:sz w:val="21"/>
                <w:szCs w:val="21"/>
                <w:highlight w:val="none"/>
              </w:rPr>
            </w:pPr>
            <w:r>
              <w:rPr>
                <w:rFonts w:hint="eastAsia"/>
                <w:color w:val="auto"/>
                <w:sz w:val="21"/>
                <w:szCs w:val="21"/>
                <w:highlight w:val="none"/>
              </w:rPr>
              <w:t>三开使用合成基钻井液，期间产生的废弃泥浆和岩屑属于危险废物，危废代码为HW08 071-002-08，委托有资质单位清运处置。</w:t>
            </w:r>
          </w:p>
          <w:p w14:paraId="6B82C5E9">
            <w:pPr>
              <w:pStyle w:val="3"/>
              <w:ind w:firstLine="420"/>
              <w:rPr>
                <w:color w:val="auto"/>
                <w:sz w:val="21"/>
                <w:szCs w:val="21"/>
                <w:highlight w:val="none"/>
              </w:rPr>
            </w:pPr>
            <w:r>
              <w:rPr>
                <w:rFonts w:hint="eastAsia"/>
                <w:color w:val="auto"/>
                <w:sz w:val="21"/>
                <w:szCs w:val="21"/>
                <w:highlight w:val="none"/>
              </w:rPr>
              <w:t>根据中石化新疆新春石油开发有限公司近4年对项目所在区域的统计数据，每百米进尺产生一般固废约110t/100m、产生危险废物75t/100m。本项目钻井岩屑及泥浆产生情况详见</w:t>
            </w:r>
            <w:r>
              <w:rPr>
                <w:rFonts w:hint="eastAsia"/>
                <w:color w:val="auto"/>
                <w:sz w:val="21"/>
                <w:szCs w:val="21"/>
                <w:highlight w:val="none"/>
              </w:rPr>
              <w:fldChar w:fldCharType="begin"/>
            </w:r>
            <w:r>
              <w:rPr>
                <w:color w:val="auto"/>
                <w:highlight w:val="none"/>
              </w:rPr>
              <w:instrText xml:space="preserve"> REF _Ref341333857 \h  \* MERGEFORMAT</w:instrText>
            </w:r>
            <w:r>
              <w:rPr>
                <w:rFonts w:hint="eastAsia"/>
                <w:color w:val="auto"/>
                <w:sz w:val="21"/>
                <w:szCs w:val="21"/>
                <w:highlight w:val="none"/>
              </w:rPr>
              <w:fldChar w:fldCharType="separate"/>
            </w:r>
            <w:r>
              <w:rPr>
                <w:rFonts w:hint="eastAsia"/>
                <w:color w:val="auto"/>
                <w:sz w:val="21"/>
                <w:szCs w:val="21"/>
                <w:highlight w:val="none"/>
              </w:rPr>
              <w:t>表31</w:t>
            </w:r>
            <w:r>
              <w:rPr>
                <w:rFonts w:hint="eastAsia"/>
                <w:color w:val="auto"/>
                <w:sz w:val="21"/>
                <w:szCs w:val="21"/>
                <w:highlight w:val="none"/>
              </w:rPr>
              <w:fldChar w:fldCharType="end"/>
            </w:r>
            <w:r>
              <w:rPr>
                <w:rFonts w:hint="eastAsia"/>
                <w:color w:val="auto"/>
                <w:sz w:val="21"/>
                <w:szCs w:val="21"/>
                <w:highlight w:val="none"/>
              </w:rPr>
              <w:t>。</w:t>
            </w:r>
          </w:p>
          <w:p w14:paraId="12EF7F5F">
            <w:pPr>
              <w:pStyle w:val="13"/>
              <w:bidi w:val="0"/>
              <w:rPr>
                <w:color w:val="auto"/>
                <w:highlight w:val="none"/>
              </w:rPr>
            </w:pPr>
            <w:bookmarkStart w:id="61" w:name="_Ref341333857"/>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31</w:t>
            </w:r>
            <w:r>
              <w:rPr>
                <w:rFonts w:hint="eastAsia"/>
                <w:color w:val="auto"/>
                <w:highlight w:val="none"/>
              </w:rPr>
              <w:fldChar w:fldCharType="end"/>
            </w:r>
            <w:bookmarkEnd w:id="61"/>
            <w:r>
              <w:rPr>
                <w:rFonts w:hint="eastAsia"/>
                <w:color w:val="auto"/>
                <w:highlight w:val="none"/>
              </w:rPr>
              <w:t xml:space="preserve">  钻井岩屑及泥浆产生情况</w:t>
            </w:r>
          </w:p>
          <w:tbl>
            <w:tblPr>
              <w:tblStyle w:val="6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859"/>
              <w:gridCol w:w="1225"/>
              <w:gridCol w:w="1334"/>
              <w:gridCol w:w="908"/>
              <w:gridCol w:w="2542"/>
            </w:tblGrid>
            <w:tr w14:paraId="40E7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2" w:type="pct"/>
                  <w:shd w:val="clear" w:color="auto" w:fill="auto"/>
                  <w:tcMar>
                    <w:top w:w="57" w:type="dxa"/>
                    <w:left w:w="108" w:type="dxa"/>
                    <w:bottom w:w="57" w:type="dxa"/>
                    <w:right w:w="108" w:type="dxa"/>
                  </w:tcMar>
                  <w:vAlign w:val="center"/>
                </w:tcPr>
                <w:p w14:paraId="08F61F94">
                  <w:pPr>
                    <w:pStyle w:val="3"/>
                    <w:spacing w:line="240" w:lineRule="auto"/>
                    <w:ind w:firstLine="0" w:firstLineChars="0"/>
                    <w:jc w:val="center"/>
                    <w:rPr>
                      <w:color w:val="auto"/>
                      <w:sz w:val="18"/>
                      <w:szCs w:val="18"/>
                      <w:highlight w:val="none"/>
                    </w:rPr>
                  </w:pPr>
                  <w:r>
                    <w:rPr>
                      <w:rFonts w:hint="eastAsia"/>
                      <w:color w:val="auto"/>
                      <w:sz w:val="18"/>
                      <w:szCs w:val="18"/>
                      <w:highlight w:val="none"/>
                    </w:rPr>
                    <w:t>井号</w:t>
                  </w:r>
                </w:p>
              </w:tc>
              <w:tc>
                <w:tcPr>
                  <w:tcW w:w="561" w:type="pct"/>
                  <w:shd w:val="clear" w:color="auto" w:fill="auto"/>
                  <w:tcMar>
                    <w:top w:w="57" w:type="dxa"/>
                    <w:left w:w="108" w:type="dxa"/>
                    <w:bottom w:w="57" w:type="dxa"/>
                    <w:right w:w="108" w:type="dxa"/>
                  </w:tcMar>
                  <w:vAlign w:val="center"/>
                </w:tcPr>
                <w:p w14:paraId="0506BC27">
                  <w:pPr>
                    <w:pStyle w:val="3"/>
                    <w:spacing w:line="240" w:lineRule="auto"/>
                    <w:ind w:firstLine="0" w:firstLineChars="0"/>
                    <w:jc w:val="center"/>
                    <w:rPr>
                      <w:color w:val="auto"/>
                      <w:sz w:val="18"/>
                      <w:szCs w:val="18"/>
                      <w:highlight w:val="none"/>
                    </w:rPr>
                  </w:pPr>
                  <w:r>
                    <w:rPr>
                      <w:rFonts w:hint="eastAsia"/>
                      <w:color w:val="auto"/>
                      <w:sz w:val="18"/>
                      <w:szCs w:val="18"/>
                      <w:highlight w:val="none"/>
                    </w:rPr>
                    <w:t>进尺深度（m）</w:t>
                  </w:r>
                </w:p>
              </w:tc>
              <w:tc>
                <w:tcPr>
                  <w:tcW w:w="800" w:type="pct"/>
                  <w:shd w:val="clear" w:color="auto" w:fill="auto"/>
                  <w:tcMar>
                    <w:top w:w="57" w:type="dxa"/>
                    <w:left w:w="108" w:type="dxa"/>
                    <w:bottom w:w="57" w:type="dxa"/>
                    <w:right w:w="108" w:type="dxa"/>
                  </w:tcMar>
                  <w:vAlign w:val="center"/>
                </w:tcPr>
                <w:p w14:paraId="6E6CE49B">
                  <w:pPr>
                    <w:pStyle w:val="3"/>
                    <w:spacing w:line="240" w:lineRule="auto"/>
                    <w:ind w:firstLine="0" w:firstLineChars="0"/>
                    <w:jc w:val="center"/>
                    <w:rPr>
                      <w:color w:val="auto"/>
                      <w:sz w:val="18"/>
                      <w:szCs w:val="18"/>
                      <w:highlight w:val="none"/>
                    </w:rPr>
                  </w:pPr>
                  <w:r>
                    <w:rPr>
                      <w:rFonts w:hint="eastAsia"/>
                      <w:color w:val="auto"/>
                      <w:sz w:val="18"/>
                      <w:szCs w:val="18"/>
                      <w:highlight w:val="none"/>
                    </w:rPr>
                    <w:t>产生系数</w:t>
                  </w:r>
                </w:p>
                <w:p w14:paraId="628AF03D">
                  <w:pPr>
                    <w:pStyle w:val="3"/>
                    <w:spacing w:line="240" w:lineRule="auto"/>
                    <w:ind w:firstLine="0" w:firstLineChars="0"/>
                    <w:jc w:val="center"/>
                    <w:rPr>
                      <w:color w:val="auto"/>
                      <w:sz w:val="18"/>
                      <w:szCs w:val="18"/>
                      <w:highlight w:val="none"/>
                    </w:rPr>
                  </w:pPr>
                  <w:r>
                    <w:rPr>
                      <w:rFonts w:hint="eastAsia"/>
                      <w:color w:val="auto"/>
                      <w:sz w:val="18"/>
                      <w:szCs w:val="18"/>
                      <w:highlight w:val="none"/>
                    </w:rPr>
                    <w:t>（t/100m）</w:t>
                  </w:r>
                </w:p>
              </w:tc>
              <w:tc>
                <w:tcPr>
                  <w:tcW w:w="871" w:type="pct"/>
                  <w:shd w:val="clear" w:color="auto" w:fill="auto"/>
                  <w:tcMar>
                    <w:top w:w="57" w:type="dxa"/>
                    <w:left w:w="108" w:type="dxa"/>
                    <w:bottom w:w="57" w:type="dxa"/>
                    <w:right w:w="108" w:type="dxa"/>
                  </w:tcMar>
                  <w:vAlign w:val="center"/>
                </w:tcPr>
                <w:p w14:paraId="072F3D97">
                  <w:pPr>
                    <w:pStyle w:val="3"/>
                    <w:spacing w:line="240" w:lineRule="auto"/>
                    <w:ind w:firstLine="0" w:firstLineChars="0"/>
                    <w:jc w:val="center"/>
                    <w:rPr>
                      <w:color w:val="auto"/>
                      <w:sz w:val="18"/>
                      <w:szCs w:val="18"/>
                      <w:highlight w:val="none"/>
                    </w:rPr>
                  </w:pPr>
                  <w:r>
                    <w:rPr>
                      <w:rFonts w:hint="eastAsia"/>
                      <w:color w:val="auto"/>
                      <w:sz w:val="18"/>
                      <w:szCs w:val="18"/>
                      <w:highlight w:val="none"/>
                    </w:rPr>
                    <w:t>钻井固废</w:t>
                  </w:r>
                </w:p>
                <w:p w14:paraId="3A5A6CC6">
                  <w:pPr>
                    <w:pStyle w:val="3"/>
                    <w:spacing w:line="240" w:lineRule="auto"/>
                    <w:ind w:firstLine="0" w:firstLineChars="0"/>
                    <w:jc w:val="center"/>
                    <w:rPr>
                      <w:color w:val="auto"/>
                      <w:sz w:val="18"/>
                      <w:szCs w:val="18"/>
                      <w:highlight w:val="none"/>
                    </w:rPr>
                  </w:pPr>
                  <w:r>
                    <w:rPr>
                      <w:rFonts w:hint="eastAsia"/>
                      <w:color w:val="auto"/>
                      <w:sz w:val="18"/>
                      <w:szCs w:val="18"/>
                      <w:highlight w:val="none"/>
                    </w:rPr>
                    <w:t>（泥浆+岩屑）</w:t>
                  </w:r>
                </w:p>
                <w:p w14:paraId="3A0BB422">
                  <w:pPr>
                    <w:pStyle w:val="3"/>
                    <w:spacing w:line="240" w:lineRule="auto"/>
                    <w:ind w:firstLine="0" w:firstLineChars="0"/>
                    <w:jc w:val="center"/>
                    <w:rPr>
                      <w:color w:val="auto"/>
                      <w:sz w:val="18"/>
                      <w:szCs w:val="18"/>
                      <w:highlight w:val="none"/>
                    </w:rPr>
                  </w:pPr>
                  <w:r>
                    <w:rPr>
                      <w:rFonts w:hint="eastAsia"/>
                      <w:color w:val="auto"/>
                      <w:sz w:val="18"/>
                      <w:szCs w:val="18"/>
                      <w:highlight w:val="none"/>
                    </w:rPr>
                    <w:t>合计（t）</w:t>
                  </w:r>
                </w:p>
              </w:tc>
              <w:tc>
                <w:tcPr>
                  <w:tcW w:w="593" w:type="pct"/>
                  <w:shd w:val="clear" w:color="auto" w:fill="auto"/>
                  <w:tcMar>
                    <w:top w:w="57" w:type="dxa"/>
                    <w:left w:w="108" w:type="dxa"/>
                    <w:bottom w:w="57" w:type="dxa"/>
                    <w:right w:w="108" w:type="dxa"/>
                  </w:tcMar>
                  <w:vAlign w:val="center"/>
                </w:tcPr>
                <w:p w14:paraId="6E0A4BC6">
                  <w:pPr>
                    <w:pStyle w:val="3"/>
                    <w:spacing w:line="240" w:lineRule="auto"/>
                    <w:ind w:firstLine="0" w:firstLineChars="0"/>
                    <w:jc w:val="center"/>
                    <w:rPr>
                      <w:color w:val="auto"/>
                      <w:sz w:val="18"/>
                      <w:szCs w:val="18"/>
                      <w:highlight w:val="none"/>
                    </w:rPr>
                  </w:pPr>
                  <w:r>
                    <w:rPr>
                      <w:rFonts w:hint="eastAsia"/>
                      <w:color w:val="auto"/>
                      <w:sz w:val="18"/>
                      <w:szCs w:val="18"/>
                      <w:highlight w:val="none"/>
                    </w:rPr>
                    <w:t>固废类别</w:t>
                  </w:r>
                </w:p>
              </w:tc>
              <w:tc>
                <w:tcPr>
                  <w:tcW w:w="1660" w:type="pct"/>
                  <w:shd w:val="clear" w:color="auto" w:fill="auto"/>
                  <w:tcMar>
                    <w:top w:w="57" w:type="dxa"/>
                    <w:left w:w="108" w:type="dxa"/>
                    <w:bottom w:w="57" w:type="dxa"/>
                    <w:right w:w="108" w:type="dxa"/>
                  </w:tcMar>
                  <w:vAlign w:val="center"/>
                </w:tcPr>
                <w:p w14:paraId="1C09D974">
                  <w:pPr>
                    <w:pStyle w:val="3"/>
                    <w:spacing w:line="240" w:lineRule="auto"/>
                    <w:ind w:firstLine="0" w:firstLineChars="0"/>
                    <w:jc w:val="center"/>
                    <w:rPr>
                      <w:color w:val="auto"/>
                      <w:sz w:val="18"/>
                      <w:szCs w:val="18"/>
                      <w:highlight w:val="none"/>
                    </w:rPr>
                  </w:pPr>
                  <w:r>
                    <w:rPr>
                      <w:rFonts w:hint="eastAsia"/>
                      <w:color w:val="auto"/>
                      <w:sz w:val="18"/>
                      <w:szCs w:val="18"/>
                      <w:highlight w:val="none"/>
                    </w:rPr>
                    <w:t>去向</w:t>
                  </w:r>
                </w:p>
              </w:tc>
            </w:tr>
            <w:tr w14:paraId="5244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vMerge w:val="restart"/>
                  <w:shd w:val="clear" w:color="auto" w:fill="auto"/>
                  <w:tcMar>
                    <w:top w:w="57" w:type="dxa"/>
                    <w:left w:w="108" w:type="dxa"/>
                    <w:bottom w:w="57" w:type="dxa"/>
                    <w:right w:w="108" w:type="dxa"/>
                  </w:tcMar>
                  <w:vAlign w:val="center"/>
                </w:tcPr>
                <w:p w14:paraId="1BAD863F">
                  <w:pPr>
                    <w:pStyle w:val="3"/>
                    <w:spacing w:line="240" w:lineRule="auto"/>
                    <w:ind w:firstLine="0" w:firstLineChars="0"/>
                    <w:jc w:val="center"/>
                    <w:rPr>
                      <w:color w:val="auto"/>
                      <w:sz w:val="18"/>
                      <w:szCs w:val="18"/>
                      <w:highlight w:val="none"/>
                    </w:rPr>
                  </w:pPr>
                  <w:r>
                    <w:rPr>
                      <w:rFonts w:hint="eastAsia"/>
                      <w:color w:val="auto"/>
                      <w:sz w:val="18"/>
                      <w:szCs w:val="18"/>
                      <w:highlight w:val="none"/>
                    </w:rPr>
                    <w:t>董深斜2井</w:t>
                  </w:r>
                </w:p>
              </w:tc>
              <w:tc>
                <w:tcPr>
                  <w:tcW w:w="561" w:type="pct"/>
                  <w:shd w:val="clear" w:color="auto" w:fill="auto"/>
                  <w:tcMar>
                    <w:top w:w="57" w:type="dxa"/>
                    <w:left w:w="108" w:type="dxa"/>
                    <w:bottom w:w="57" w:type="dxa"/>
                    <w:right w:w="108" w:type="dxa"/>
                  </w:tcMar>
                  <w:vAlign w:val="center"/>
                </w:tcPr>
                <w:p w14:paraId="6B03DD4D">
                  <w:pPr>
                    <w:pStyle w:val="3"/>
                    <w:spacing w:line="240" w:lineRule="auto"/>
                    <w:ind w:firstLine="0" w:firstLineChars="0"/>
                    <w:jc w:val="center"/>
                    <w:rPr>
                      <w:color w:val="auto"/>
                      <w:sz w:val="18"/>
                      <w:szCs w:val="18"/>
                      <w:highlight w:val="none"/>
                    </w:rPr>
                  </w:pPr>
                  <w:r>
                    <w:rPr>
                      <w:rFonts w:hint="eastAsia" w:cs="宋体"/>
                      <w:color w:val="auto"/>
                      <w:sz w:val="18"/>
                      <w:szCs w:val="18"/>
                      <w:highlight w:val="none"/>
                    </w:rPr>
                    <w:t>4732</w:t>
                  </w:r>
                </w:p>
              </w:tc>
              <w:tc>
                <w:tcPr>
                  <w:tcW w:w="800" w:type="pct"/>
                  <w:shd w:val="clear" w:color="auto" w:fill="auto"/>
                  <w:tcMar>
                    <w:top w:w="57" w:type="dxa"/>
                    <w:left w:w="108" w:type="dxa"/>
                    <w:bottom w:w="57" w:type="dxa"/>
                    <w:right w:w="108" w:type="dxa"/>
                  </w:tcMar>
                  <w:vAlign w:val="center"/>
                </w:tcPr>
                <w:p w14:paraId="0E4DB894">
                  <w:pPr>
                    <w:pStyle w:val="3"/>
                    <w:spacing w:line="240" w:lineRule="auto"/>
                    <w:ind w:firstLine="0" w:firstLineChars="0"/>
                    <w:jc w:val="center"/>
                    <w:rPr>
                      <w:color w:val="auto"/>
                      <w:sz w:val="18"/>
                      <w:szCs w:val="18"/>
                      <w:highlight w:val="none"/>
                    </w:rPr>
                  </w:pPr>
                  <w:r>
                    <w:rPr>
                      <w:rFonts w:hint="eastAsia"/>
                      <w:color w:val="auto"/>
                      <w:sz w:val="18"/>
                      <w:szCs w:val="18"/>
                      <w:highlight w:val="none"/>
                    </w:rPr>
                    <w:t>110</w:t>
                  </w:r>
                </w:p>
              </w:tc>
              <w:tc>
                <w:tcPr>
                  <w:tcW w:w="871" w:type="pct"/>
                  <w:shd w:val="clear" w:color="auto" w:fill="auto"/>
                  <w:tcMar>
                    <w:top w:w="57" w:type="dxa"/>
                    <w:left w:w="108" w:type="dxa"/>
                    <w:bottom w:w="57" w:type="dxa"/>
                    <w:right w:w="108" w:type="dxa"/>
                  </w:tcMar>
                  <w:vAlign w:val="center"/>
                </w:tcPr>
                <w:p w14:paraId="56AEC4EE">
                  <w:pPr>
                    <w:pStyle w:val="3"/>
                    <w:spacing w:line="240" w:lineRule="auto"/>
                    <w:ind w:firstLine="0" w:firstLineChars="0"/>
                    <w:jc w:val="center"/>
                    <w:rPr>
                      <w:color w:val="auto"/>
                      <w:sz w:val="18"/>
                      <w:szCs w:val="18"/>
                      <w:highlight w:val="none"/>
                    </w:rPr>
                  </w:pPr>
                  <w:r>
                    <w:rPr>
                      <w:rFonts w:hint="eastAsia"/>
                      <w:color w:val="auto"/>
                      <w:sz w:val="18"/>
                      <w:szCs w:val="18"/>
                      <w:highlight w:val="none"/>
                    </w:rPr>
                    <w:t>5205</w:t>
                  </w:r>
                </w:p>
              </w:tc>
              <w:tc>
                <w:tcPr>
                  <w:tcW w:w="593" w:type="pct"/>
                  <w:shd w:val="clear" w:color="auto" w:fill="auto"/>
                  <w:tcMar>
                    <w:top w:w="57" w:type="dxa"/>
                    <w:left w:w="108" w:type="dxa"/>
                    <w:bottom w:w="57" w:type="dxa"/>
                    <w:right w:w="108" w:type="dxa"/>
                  </w:tcMar>
                  <w:vAlign w:val="center"/>
                </w:tcPr>
                <w:p w14:paraId="09C5BD06">
                  <w:pPr>
                    <w:pStyle w:val="3"/>
                    <w:spacing w:line="240" w:lineRule="auto"/>
                    <w:ind w:firstLine="0" w:firstLineChars="0"/>
                    <w:jc w:val="center"/>
                    <w:rPr>
                      <w:color w:val="auto"/>
                      <w:sz w:val="18"/>
                      <w:szCs w:val="18"/>
                      <w:highlight w:val="none"/>
                    </w:rPr>
                  </w:pPr>
                  <w:r>
                    <w:rPr>
                      <w:rFonts w:hint="eastAsia"/>
                      <w:color w:val="auto"/>
                      <w:sz w:val="18"/>
                      <w:szCs w:val="18"/>
                      <w:highlight w:val="none"/>
                    </w:rPr>
                    <w:t>一般固废</w:t>
                  </w:r>
                </w:p>
              </w:tc>
              <w:tc>
                <w:tcPr>
                  <w:tcW w:w="1660" w:type="pct"/>
                  <w:shd w:val="clear" w:color="auto" w:fill="auto"/>
                  <w:tcMar>
                    <w:top w:w="57" w:type="dxa"/>
                    <w:left w:w="108" w:type="dxa"/>
                    <w:bottom w:w="57" w:type="dxa"/>
                    <w:right w:w="108" w:type="dxa"/>
                  </w:tcMar>
                  <w:vAlign w:val="center"/>
                </w:tcPr>
                <w:p w14:paraId="20EA2972">
                  <w:pPr>
                    <w:pStyle w:val="3"/>
                    <w:spacing w:line="240" w:lineRule="auto"/>
                    <w:ind w:firstLine="0" w:firstLineChars="0"/>
                    <w:jc w:val="center"/>
                    <w:rPr>
                      <w:color w:val="auto"/>
                      <w:sz w:val="18"/>
                      <w:szCs w:val="18"/>
                      <w:highlight w:val="none"/>
                    </w:rPr>
                  </w:pPr>
                  <w:r>
                    <w:rPr>
                      <w:color w:val="auto"/>
                      <w:sz w:val="18"/>
                      <w:szCs w:val="18"/>
                      <w:highlight w:val="none"/>
                    </w:rPr>
                    <w:t>集中拉运至</w:t>
                  </w:r>
                  <w:r>
                    <w:rPr>
                      <w:rFonts w:hint="eastAsia"/>
                      <w:color w:val="auto"/>
                      <w:sz w:val="18"/>
                      <w:szCs w:val="18"/>
                      <w:highlight w:val="none"/>
                      <w:lang w:eastAsia="zh-CN"/>
                    </w:rPr>
                    <w:t>山东奥友环保工程有限责任公司乌苏分公司</w:t>
                  </w:r>
                  <w:r>
                    <w:rPr>
                      <w:color w:val="auto"/>
                      <w:sz w:val="18"/>
                      <w:szCs w:val="18"/>
                      <w:highlight w:val="none"/>
                    </w:rPr>
                    <w:t>处理</w:t>
                  </w:r>
                </w:p>
              </w:tc>
            </w:tr>
            <w:tr w14:paraId="44EA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vMerge w:val="continue"/>
                  <w:shd w:val="clear" w:color="auto" w:fill="auto"/>
                  <w:tcMar>
                    <w:top w:w="57" w:type="dxa"/>
                    <w:left w:w="108" w:type="dxa"/>
                    <w:bottom w:w="57" w:type="dxa"/>
                    <w:right w:w="108" w:type="dxa"/>
                  </w:tcMar>
                  <w:vAlign w:val="center"/>
                </w:tcPr>
                <w:p w14:paraId="319BD7D0">
                  <w:pPr>
                    <w:pStyle w:val="3"/>
                    <w:spacing w:line="240" w:lineRule="auto"/>
                    <w:ind w:firstLine="0" w:firstLineChars="0"/>
                    <w:jc w:val="center"/>
                    <w:rPr>
                      <w:color w:val="auto"/>
                      <w:sz w:val="18"/>
                      <w:szCs w:val="18"/>
                      <w:highlight w:val="none"/>
                    </w:rPr>
                  </w:pPr>
                </w:p>
              </w:tc>
              <w:tc>
                <w:tcPr>
                  <w:tcW w:w="561" w:type="pct"/>
                  <w:shd w:val="clear" w:color="auto" w:fill="auto"/>
                  <w:tcMar>
                    <w:top w:w="57" w:type="dxa"/>
                    <w:left w:w="108" w:type="dxa"/>
                    <w:bottom w:w="57" w:type="dxa"/>
                    <w:right w:w="108" w:type="dxa"/>
                  </w:tcMar>
                  <w:vAlign w:val="center"/>
                </w:tcPr>
                <w:p w14:paraId="42B30FB1">
                  <w:pPr>
                    <w:pStyle w:val="3"/>
                    <w:spacing w:line="240" w:lineRule="auto"/>
                    <w:ind w:firstLine="0" w:firstLineChars="0"/>
                    <w:jc w:val="center"/>
                    <w:rPr>
                      <w:color w:val="auto"/>
                      <w:sz w:val="18"/>
                      <w:szCs w:val="18"/>
                      <w:highlight w:val="none"/>
                    </w:rPr>
                  </w:pPr>
                  <w:r>
                    <w:rPr>
                      <w:rFonts w:hint="eastAsia"/>
                      <w:color w:val="auto"/>
                      <w:sz w:val="18"/>
                      <w:szCs w:val="18"/>
                      <w:highlight w:val="none"/>
                    </w:rPr>
                    <w:t>3746.84</w:t>
                  </w:r>
                </w:p>
              </w:tc>
              <w:tc>
                <w:tcPr>
                  <w:tcW w:w="800" w:type="pct"/>
                  <w:shd w:val="clear" w:color="auto" w:fill="auto"/>
                  <w:tcMar>
                    <w:top w:w="57" w:type="dxa"/>
                    <w:left w:w="108" w:type="dxa"/>
                    <w:bottom w:w="57" w:type="dxa"/>
                    <w:right w:w="108" w:type="dxa"/>
                  </w:tcMar>
                  <w:vAlign w:val="center"/>
                </w:tcPr>
                <w:p w14:paraId="6A6DDDED">
                  <w:pPr>
                    <w:pStyle w:val="3"/>
                    <w:spacing w:line="240" w:lineRule="auto"/>
                    <w:ind w:firstLine="0" w:firstLineChars="0"/>
                    <w:jc w:val="center"/>
                    <w:rPr>
                      <w:color w:val="auto"/>
                      <w:sz w:val="18"/>
                      <w:szCs w:val="18"/>
                      <w:highlight w:val="none"/>
                    </w:rPr>
                  </w:pPr>
                  <w:r>
                    <w:rPr>
                      <w:rFonts w:hint="eastAsia"/>
                      <w:color w:val="auto"/>
                      <w:sz w:val="18"/>
                      <w:szCs w:val="18"/>
                      <w:highlight w:val="none"/>
                    </w:rPr>
                    <w:t>75</w:t>
                  </w:r>
                </w:p>
              </w:tc>
              <w:tc>
                <w:tcPr>
                  <w:tcW w:w="871" w:type="pct"/>
                  <w:shd w:val="clear" w:color="auto" w:fill="auto"/>
                  <w:tcMar>
                    <w:top w:w="57" w:type="dxa"/>
                    <w:left w:w="108" w:type="dxa"/>
                    <w:bottom w:w="57" w:type="dxa"/>
                    <w:right w:w="108" w:type="dxa"/>
                  </w:tcMar>
                  <w:vAlign w:val="center"/>
                </w:tcPr>
                <w:p w14:paraId="13E7CB21">
                  <w:pPr>
                    <w:pStyle w:val="3"/>
                    <w:spacing w:line="240" w:lineRule="auto"/>
                    <w:ind w:firstLine="0" w:firstLineChars="0"/>
                    <w:jc w:val="center"/>
                    <w:rPr>
                      <w:color w:val="auto"/>
                      <w:sz w:val="18"/>
                      <w:szCs w:val="18"/>
                      <w:highlight w:val="none"/>
                    </w:rPr>
                  </w:pPr>
                  <w:r>
                    <w:rPr>
                      <w:rFonts w:hint="eastAsia"/>
                      <w:color w:val="auto"/>
                      <w:sz w:val="18"/>
                      <w:szCs w:val="18"/>
                      <w:highlight w:val="none"/>
                    </w:rPr>
                    <w:t>2810.13</w:t>
                  </w:r>
                </w:p>
              </w:tc>
              <w:tc>
                <w:tcPr>
                  <w:tcW w:w="593" w:type="pct"/>
                  <w:shd w:val="clear" w:color="auto" w:fill="auto"/>
                  <w:tcMar>
                    <w:top w:w="57" w:type="dxa"/>
                    <w:left w:w="108" w:type="dxa"/>
                    <w:bottom w:w="57" w:type="dxa"/>
                    <w:right w:w="108" w:type="dxa"/>
                  </w:tcMar>
                  <w:vAlign w:val="center"/>
                </w:tcPr>
                <w:p w14:paraId="3E687865">
                  <w:pPr>
                    <w:pStyle w:val="3"/>
                    <w:spacing w:line="240" w:lineRule="auto"/>
                    <w:ind w:firstLine="0" w:firstLineChars="0"/>
                    <w:jc w:val="center"/>
                    <w:rPr>
                      <w:color w:val="auto"/>
                      <w:sz w:val="18"/>
                      <w:szCs w:val="18"/>
                      <w:highlight w:val="none"/>
                    </w:rPr>
                  </w:pPr>
                  <w:r>
                    <w:rPr>
                      <w:rFonts w:hint="eastAsia"/>
                      <w:color w:val="auto"/>
                      <w:sz w:val="18"/>
                      <w:szCs w:val="18"/>
                      <w:highlight w:val="none"/>
                    </w:rPr>
                    <w:t>危险废物</w:t>
                  </w:r>
                </w:p>
              </w:tc>
              <w:tc>
                <w:tcPr>
                  <w:tcW w:w="1660" w:type="pct"/>
                  <w:shd w:val="clear" w:color="auto" w:fill="auto"/>
                  <w:tcMar>
                    <w:top w:w="57" w:type="dxa"/>
                    <w:left w:w="108" w:type="dxa"/>
                    <w:bottom w:w="57" w:type="dxa"/>
                    <w:right w:w="108" w:type="dxa"/>
                  </w:tcMar>
                  <w:vAlign w:val="center"/>
                </w:tcPr>
                <w:p w14:paraId="48DF9880">
                  <w:pPr>
                    <w:pStyle w:val="3"/>
                    <w:spacing w:line="240" w:lineRule="auto"/>
                    <w:ind w:firstLine="0" w:firstLineChars="0"/>
                    <w:jc w:val="center"/>
                    <w:rPr>
                      <w:color w:val="auto"/>
                      <w:sz w:val="18"/>
                      <w:szCs w:val="18"/>
                      <w:highlight w:val="none"/>
                    </w:rPr>
                  </w:pPr>
                  <w:r>
                    <w:rPr>
                      <w:color w:val="auto"/>
                      <w:sz w:val="18"/>
                      <w:szCs w:val="18"/>
                      <w:highlight w:val="none"/>
                    </w:rPr>
                    <w:t>委托</w:t>
                  </w:r>
                  <w:r>
                    <w:rPr>
                      <w:rFonts w:hint="eastAsia"/>
                      <w:color w:val="auto"/>
                      <w:sz w:val="18"/>
                      <w:szCs w:val="18"/>
                      <w:highlight w:val="none"/>
                    </w:rPr>
                    <w:t>有</w:t>
                  </w:r>
                  <w:r>
                    <w:rPr>
                      <w:color w:val="auto"/>
                      <w:sz w:val="18"/>
                      <w:szCs w:val="18"/>
                      <w:highlight w:val="none"/>
                    </w:rPr>
                    <w:t>资质单位清运处置</w:t>
                  </w:r>
                </w:p>
              </w:tc>
            </w:tr>
          </w:tbl>
          <w:p w14:paraId="6C147FDC">
            <w:pPr>
              <w:pStyle w:val="3"/>
              <w:ind w:firstLine="420"/>
              <w:rPr>
                <w:color w:val="auto"/>
                <w:sz w:val="21"/>
                <w:highlight w:val="none"/>
              </w:rPr>
            </w:pPr>
          </w:p>
          <w:p w14:paraId="6979FD00">
            <w:pPr>
              <w:pStyle w:val="73"/>
              <w:numPr>
                <w:ilvl w:val="0"/>
                <w:numId w:val="37"/>
              </w:numPr>
              <w:ind w:firstLine="420" w:firstLineChars="200"/>
              <w:rPr>
                <w:color w:val="auto"/>
                <w:highlight w:val="none"/>
              </w:rPr>
            </w:pPr>
            <w:r>
              <w:rPr>
                <w:rFonts w:hint="eastAsia"/>
                <w:color w:val="auto"/>
                <w:highlight w:val="none"/>
              </w:rPr>
              <w:t>钻井泥浆不落地系统</w:t>
            </w:r>
          </w:p>
          <w:p w14:paraId="07EBE05D">
            <w:pPr>
              <w:pStyle w:val="3"/>
              <w:ind w:firstLine="420"/>
              <w:rPr>
                <w:color w:val="auto"/>
                <w:sz w:val="21"/>
                <w:highlight w:val="none"/>
              </w:rPr>
            </w:pPr>
            <w:r>
              <w:rPr>
                <w:rFonts w:hint="eastAsia"/>
                <w:color w:val="auto"/>
                <w:sz w:val="21"/>
                <w:highlight w:val="none"/>
              </w:rPr>
              <w:t>钻井泥浆循环与“不落地”系统工艺原理见图5。钻井过程中井口返排泥浆被收集至钻机配套的循环系统，按照振动筛选、除砂、除泥、离心的工艺顺序依次将返排泥浆进行固液分离，离心机分离出的液相泥浆进入泥浆罐暂存并调节后回用，振动筛、除砂器、除泥器、离心机等分离出来岩屑和泥浆即为钻井固废，排入罐(槽)中暂存，交由专业单位进行无害化处理。钻井泥浆循环与“不落地”系统配套钻机工作运转，一般跟随钻进过程连续运行(无固定运行周期)，装置运行期间钻井固废连续产生、间断清运。</w:t>
            </w:r>
          </w:p>
          <w:p w14:paraId="0CC255E7">
            <w:pPr>
              <w:pStyle w:val="3"/>
              <w:ind w:firstLine="420"/>
              <w:rPr>
                <w:color w:val="auto"/>
                <w:sz w:val="21"/>
                <w:highlight w:val="none"/>
              </w:rPr>
            </w:pPr>
          </w:p>
          <w:p w14:paraId="66913B9A">
            <w:pPr>
              <w:pStyle w:val="3"/>
              <w:ind w:firstLine="0" w:firstLineChars="0"/>
              <w:rPr>
                <w:color w:val="auto"/>
                <w:sz w:val="21"/>
                <w:highlight w:val="none"/>
              </w:rPr>
            </w:pPr>
            <w:r>
              <w:rPr>
                <w:color w:val="auto"/>
                <w:highlight w:val="none"/>
              </w:rPr>
              <w:drawing>
                <wp:inline distT="0" distB="0" distL="0" distR="0">
                  <wp:extent cx="4368165" cy="2706370"/>
                  <wp:effectExtent l="0" t="0" r="13335" b="1778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8"/>
                          <a:stretch>
                            <a:fillRect/>
                          </a:stretch>
                        </pic:blipFill>
                        <pic:spPr>
                          <a:xfrm>
                            <a:off x="0" y="0"/>
                            <a:ext cx="4368165" cy="2706370"/>
                          </a:xfrm>
                          <a:prstGeom prst="rect">
                            <a:avLst/>
                          </a:prstGeom>
                        </pic:spPr>
                      </pic:pic>
                    </a:graphicData>
                  </a:graphic>
                </wp:inline>
              </w:drawing>
            </w:r>
          </w:p>
          <w:p w14:paraId="6CA871C3">
            <w:pPr>
              <w:pStyle w:val="13"/>
              <w:bidi w:val="0"/>
              <w:rPr>
                <w:color w:val="auto"/>
                <w:highlight w:val="none"/>
              </w:rPr>
            </w:pPr>
            <w:r>
              <w:rPr>
                <w:rFonts w:hint="eastAsia"/>
                <w:color w:val="auto"/>
                <w:highlight w:val="none"/>
              </w:rPr>
              <w:t xml:space="preserve">图5  </w:t>
            </w:r>
            <w:r>
              <w:rPr>
                <w:rFonts w:hint="default"/>
                <w:color w:val="auto"/>
                <w:highlight w:val="none"/>
                <w:lang w:val="en-US" w:eastAsia="zh-CN"/>
              </w:rPr>
              <w:t>“</w:t>
            </w:r>
            <w:r>
              <w:rPr>
                <w:rFonts w:hint="eastAsia"/>
                <w:color w:val="auto"/>
                <w:highlight w:val="none"/>
              </w:rPr>
              <w:t>钻井泥浆不落地”系统工艺原理示意图</w:t>
            </w:r>
          </w:p>
          <w:p w14:paraId="1521387C">
            <w:pPr>
              <w:pStyle w:val="3"/>
              <w:ind w:firstLine="0" w:firstLineChars="0"/>
              <w:rPr>
                <w:color w:val="auto"/>
                <w:sz w:val="21"/>
                <w:highlight w:val="none"/>
              </w:rPr>
            </w:pPr>
          </w:p>
          <w:p w14:paraId="36809D3A">
            <w:pPr>
              <w:pStyle w:val="73"/>
              <w:numPr>
                <w:ilvl w:val="0"/>
                <w:numId w:val="37"/>
              </w:numPr>
              <w:ind w:firstLine="420" w:firstLineChars="200"/>
              <w:rPr>
                <w:color w:val="auto"/>
                <w:highlight w:val="none"/>
              </w:rPr>
            </w:pPr>
            <w:r>
              <w:rPr>
                <w:rFonts w:hint="eastAsia"/>
                <w:color w:val="auto"/>
                <w:highlight w:val="none"/>
              </w:rPr>
              <w:t>依托可行性分析</w:t>
            </w:r>
          </w:p>
          <w:p w14:paraId="0EDC11E2">
            <w:pPr>
              <w:pStyle w:val="3"/>
              <w:ind w:firstLine="420"/>
              <w:rPr>
                <w:color w:val="auto"/>
                <w:sz w:val="21"/>
                <w:highlight w:val="none"/>
              </w:rPr>
            </w:pPr>
            <w:r>
              <w:rPr>
                <w:rFonts w:hint="eastAsia"/>
                <w:color w:val="auto"/>
                <w:sz w:val="21"/>
                <w:highlight w:val="none"/>
              </w:rPr>
              <w:t>由前文计算可知，本项目一般工业固体废物</w:t>
            </w:r>
            <w:r>
              <w:rPr>
                <w:rFonts w:hint="eastAsia"/>
                <w:color w:val="auto"/>
                <w:sz w:val="21"/>
                <w:highlight w:val="none"/>
                <w:lang w:val="en-US" w:eastAsia="zh-CN"/>
              </w:rPr>
              <w:t>钻井固废产生量为</w:t>
            </w:r>
            <w:r>
              <w:rPr>
                <w:rFonts w:hint="eastAsia"/>
                <w:color w:val="auto"/>
                <w:sz w:val="21"/>
                <w:highlight w:val="none"/>
              </w:rPr>
              <w:t>5205</w:t>
            </w:r>
            <w:r>
              <w:rPr>
                <w:rFonts w:hint="eastAsia"/>
                <w:color w:val="auto"/>
                <w:sz w:val="21"/>
                <w:highlight w:val="none"/>
                <w:lang w:val="en-US" w:eastAsia="zh-CN"/>
              </w:rPr>
              <w:t>吨，</w:t>
            </w:r>
            <w:r>
              <w:rPr>
                <w:rFonts w:hint="eastAsia"/>
                <w:color w:val="auto"/>
                <w:sz w:val="21"/>
                <w:highlight w:val="none"/>
              </w:rPr>
              <w:t>钻井固废分批次运送至依托</w:t>
            </w:r>
            <w:r>
              <w:rPr>
                <w:rFonts w:hint="eastAsia"/>
                <w:color w:val="auto"/>
                <w:sz w:val="21"/>
                <w:highlight w:val="none"/>
                <w:lang w:eastAsia="zh-CN"/>
              </w:rPr>
              <w:t>山东奥友环保工程有限责任公司乌苏分公司</w:t>
            </w:r>
            <w:r>
              <w:rPr>
                <w:rFonts w:hint="eastAsia"/>
                <w:color w:val="auto"/>
                <w:sz w:val="21"/>
                <w:highlight w:val="none"/>
              </w:rPr>
              <w:t>。</w:t>
            </w:r>
          </w:p>
          <w:p w14:paraId="1D520E8F">
            <w:pPr>
              <w:pStyle w:val="3"/>
              <w:ind w:firstLine="420"/>
              <w:rPr>
                <w:rFonts w:hint="eastAsia"/>
                <w:color w:val="auto"/>
                <w:sz w:val="21"/>
                <w:highlight w:val="none"/>
              </w:rPr>
            </w:pPr>
            <w:r>
              <w:rPr>
                <w:rFonts w:hint="eastAsia"/>
                <w:color w:val="auto"/>
                <w:sz w:val="21"/>
                <w:highlight w:val="none"/>
                <w:lang w:eastAsia="zh-CN"/>
              </w:rPr>
              <w:t>山东奥友环保工程有限责任公司乌苏分公司</w:t>
            </w:r>
            <w:r>
              <w:rPr>
                <w:rFonts w:hint="eastAsia"/>
                <w:color w:val="auto"/>
                <w:sz w:val="21"/>
                <w:highlight w:val="none"/>
                <w:lang w:val="en-US" w:eastAsia="zh-CN"/>
              </w:rPr>
              <w:t>建设有</w:t>
            </w:r>
            <w:r>
              <w:rPr>
                <w:rFonts w:hint="eastAsia"/>
                <w:color w:val="auto"/>
                <w:sz w:val="21"/>
                <w:highlight w:val="none"/>
                <w:lang w:eastAsia="zh-CN"/>
              </w:rPr>
              <w:t>钻井泥浆废弃液不落地处理项目，</w:t>
            </w:r>
            <w:r>
              <w:rPr>
                <w:rFonts w:hint="eastAsia"/>
                <w:color w:val="auto"/>
                <w:sz w:val="21"/>
                <w:highlight w:val="none"/>
                <w:lang w:val="en-US" w:eastAsia="zh-CN"/>
              </w:rPr>
              <w:t>其主要处理流程为：</w:t>
            </w:r>
            <w:r>
              <w:rPr>
                <w:rFonts w:hint="eastAsia"/>
                <w:color w:val="auto"/>
                <w:sz w:val="21"/>
                <w:highlight w:val="none"/>
              </w:rPr>
              <w:t>水基钻井废弃物</w:t>
            </w:r>
            <w:r>
              <w:rPr>
                <w:rFonts w:hint="eastAsia"/>
                <w:color w:val="auto"/>
                <w:sz w:val="21"/>
                <w:highlight w:val="none"/>
                <w:lang w:val="en-US" w:eastAsia="zh-CN"/>
              </w:rPr>
              <w:t>经“化学脱稳+压滤离心+混凝沉降”处理后，经临时储存后，作为铺垫井场、垫路基的材料，设计处理规模为10</w:t>
            </w:r>
            <w:r>
              <w:rPr>
                <w:rFonts w:hint="eastAsia"/>
                <w:color w:val="auto"/>
                <w:sz w:val="21"/>
                <w:highlight w:val="none"/>
              </w:rPr>
              <w:t>万</w:t>
            </w:r>
            <w:r>
              <w:rPr>
                <w:rFonts w:hint="eastAsia"/>
                <w:color w:val="auto"/>
                <w:sz w:val="21"/>
                <w:highlight w:val="none"/>
                <w:lang w:val="en-US" w:eastAsia="zh-CN"/>
              </w:rPr>
              <w:t>m³/年</w:t>
            </w:r>
            <w:r>
              <w:rPr>
                <w:rFonts w:hint="eastAsia"/>
                <w:color w:val="auto"/>
                <w:sz w:val="21"/>
                <w:highlight w:val="none"/>
              </w:rPr>
              <w:t>，</w:t>
            </w:r>
            <w:r>
              <w:rPr>
                <w:rFonts w:hint="eastAsia"/>
                <w:color w:val="auto"/>
                <w:sz w:val="21"/>
                <w:highlight w:val="none"/>
                <w:lang w:val="en-US" w:eastAsia="zh-CN"/>
              </w:rPr>
              <w:t>因此，钻井固废在</w:t>
            </w:r>
            <w:r>
              <w:rPr>
                <w:rFonts w:hint="eastAsia"/>
                <w:color w:val="auto"/>
                <w:sz w:val="21"/>
                <w:highlight w:val="none"/>
              </w:rPr>
              <w:t>处理措施技术</w:t>
            </w:r>
            <w:r>
              <w:rPr>
                <w:rFonts w:hint="eastAsia"/>
                <w:color w:val="auto"/>
                <w:sz w:val="21"/>
                <w:highlight w:val="none"/>
                <w:lang w:val="en-US" w:eastAsia="zh-CN"/>
              </w:rPr>
              <w:t>及处理规模</w:t>
            </w:r>
            <w:r>
              <w:rPr>
                <w:rFonts w:hint="eastAsia"/>
                <w:color w:val="auto"/>
                <w:sz w:val="21"/>
                <w:highlight w:val="none"/>
              </w:rPr>
              <w:t>上具有可行性。</w:t>
            </w:r>
          </w:p>
          <w:p w14:paraId="52C083D2">
            <w:pPr>
              <w:pStyle w:val="3"/>
              <w:ind w:firstLine="420"/>
              <w:rPr>
                <w:rFonts w:hint="eastAsia"/>
                <w:color w:val="auto"/>
                <w:szCs w:val="18"/>
                <w:highlight w:val="none"/>
              </w:rPr>
            </w:pPr>
            <w:r>
              <w:rPr>
                <w:rFonts w:hint="eastAsia"/>
                <w:color w:val="auto"/>
                <w:sz w:val="21"/>
                <w:highlight w:val="none"/>
                <w:lang w:val="en-US" w:eastAsia="zh-CN"/>
              </w:rPr>
              <w:t>本项目与钻井固废处理单位位置关系见下图</w:t>
            </w:r>
            <w:r>
              <w:rPr>
                <w:rFonts w:hint="eastAsia"/>
                <w:color w:val="auto"/>
                <w:sz w:val="21"/>
                <w:highlight w:val="none"/>
              </w:rPr>
              <w:t>。</w:t>
            </w:r>
          </w:p>
          <w:p w14:paraId="16CA37F1">
            <w:pPr>
              <w:pStyle w:val="41"/>
              <w:rPr>
                <w:rFonts w:hint="eastAsia"/>
                <w:color w:val="auto"/>
                <w:szCs w:val="18"/>
                <w:highlight w:val="none"/>
              </w:rPr>
            </w:pPr>
            <w:r>
              <w:rPr>
                <w:color w:val="auto"/>
                <w:highlight w:val="none"/>
              </w:rPr>
              <w:drawing>
                <wp:inline distT="0" distB="0" distL="114300" distR="114300">
                  <wp:extent cx="4383405" cy="2792095"/>
                  <wp:effectExtent l="0" t="0" r="17145" b="8255"/>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19"/>
                          <a:stretch>
                            <a:fillRect/>
                          </a:stretch>
                        </pic:blipFill>
                        <pic:spPr>
                          <a:xfrm>
                            <a:off x="0" y="0"/>
                            <a:ext cx="4383405" cy="2792095"/>
                          </a:xfrm>
                          <a:prstGeom prst="rect">
                            <a:avLst/>
                          </a:prstGeom>
                          <a:noFill/>
                          <a:ln>
                            <a:noFill/>
                          </a:ln>
                        </pic:spPr>
                      </pic:pic>
                    </a:graphicData>
                  </a:graphic>
                </wp:inline>
              </w:drawing>
            </w:r>
          </w:p>
          <w:p w14:paraId="59B446DB">
            <w:pPr>
              <w:pStyle w:val="13"/>
              <w:bidi w:val="0"/>
              <w:rPr>
                <w:rFonts w:hint="default"/>
                <w:color w:val="auto"/>
                <w:highlight w:val="none"/>
                <w:lang w:val="en-US" w:eastAsia="zh-CN"/>
              </w:rPr>
            </w:pPr>
            <w:r>
              <w:rPr>
                <w:rFonts w:hint="eastAsia"/>
                <w:color w:val="auto"/>
                <w:highlight w:val="none"/>
              </w:rPr>
              <w:t>图</w:t>
            </w:r>
            <w:r>
              <w:rPr>
                <w:rFonts w:hint="eastAsia"/>
                <w:color w:val="auto"/>
                <w:highlight w:val="none"/>
                <w:lang w:val="en-US" w:eastAsia="zh-CN"/>
              </w:rPr>
              <w:t>6</w:t>
            </w:r>
            <w:r>
              <w:rPr>
                <w:rFonts w:hint="eastAsia"/>
                <w:color w:val="auto"/>
                <w:highlight w:val="none"/>
              </w:rPr>
              <w:t xml:space="preserve"> </w:t>
            </w:r>
            <w:r>
              <w:rPr>
                <w:color w:val="auto"/>
                <w:highlight w:val="none"/>
              </w:rPr>
              <w:t xml:space="preserve"> </w:t>
            </w:r>
            <w:r>
              <w:rPr>
                <w:rFonts w:hint="eastAsia"/>
                <w:color w:val="auto"/>
                <w:highlight w:val="none"/>
              </w:rPr>
              <w:t>本项目钻井泥浆输送路线示意图</w:t>
            </w:r>
            <w:r>
              <w:rPr>
                <w:rFonts w:hint="eastAsia"/>
                <w:color w:val="auto"/>
                <w:highlight w:val="none"/>
                <w:lang w:eastAsia="zh-CN"/>
              </w:rPr>
              <w:t>（山东奥友环保工程有限责任公司乌苏分公司）</w:t>
            </w:r>
          </w:p>
          <w:p w14:paraId="5B580AEF">
            <w:pPr>
              <w:pStyle w:val="41"/>
              <w:jc w:val="both"/>
              <w:rPr>
                <w:color w:val="auto"/>
                <w:highlight w:val="none"/>
              </w:rPr>
            </w:pPr>
          </w:p>
          <w:p w14:paraId="5CF5D126">
            <w:pPr>
              <w:pStyle w:val="73"/>
              <w:numPr>
                <w:ilvl w:val="1"/>
                <w:numId w:val="36"/>
              </w:numPr>
              <w:rPr>
                <w:color w:val="auto"/>
                <w:highlight w:val="none"/>
              </w:rPr>
            </w:pPr>
            <w:r>
              <w:rPr>
                <w:rFonts w:hint="eastAsia"/>
                <w:color w:val="auto"/>
                <w:highlight w:val="none"/>
              </w:rPr>
              <w:t>废防渗材料</w:t>
            </w:r>
          </w:p>
          <w:p w14:paraId="5D658C80">
            <w:pPr>
              <w:pStyle w:val="3"/>
              <w:ind w:firstLine="420"/>
              <w:rPr>
                <w:color w:val="auto"/>
                <w:sz w:val="21"/>
                <w:highlight w:val="none"/>
              </w:rPr>
            </w:pPr>
            <w:r>
              <w:rPr>
                <w:rFonts w:hint="eastAsia"/>
                <w:color w:val="auto"/>
                <w:sz w:val="21"/>
                <w:highlight w:val="none"/>
              </w:rPr>
              <w:t>根据中石化新疆新春石油开发有限责任公司环境保护管理制度规定，不允许产生落地油。本工程试油作业时采用船型围堰，防止产生落地原油；本项目在重点污染防治区（含柴油罐区、发电机房区、“泥浆不落地”设备、放喷池、危险废物贮存点等）铺设防渗材料，若防渗材料不沾油则回收循环利用；使用过程中如产生不可利用的废防渗材料（HW08 900-249-08），需委托有资质单位处置，通过</w:t>
            </w:r>
            <w:r>
              <w:rPr>
                <w:rFonts w:hint="eastAsia"/>
                <w:color w:val="auto"/>
                <w:sz w:val="21"/>
                <w:highlight w:val="none"/>
                <w:lang w:val="en-US" w:eastAsia="zh-CN"/>
              </w:rPr>
              <w:t>油田钻井经验数据统计，</w:t>
            </w:r>
            <w:r>
              <w:rPr>
                <w:rFonts w:hint="eastAsia"/>
                <w:color w:val="auto"/>
                <w:sz w:val="21"/>
                <w:highlight w:val="none"/>
              </w:rPr>
              <w:t>废防渗材料产生量约为0.5t。</w:t>
            </w:r>
          </w:p>
          <w:p w14:paraId="1BCBE158">
            <w:pPr>
              <w:pStyle w:val="3"/>
              <w:ind w:firstLine="420"/>
              <w:rPr>
                <w:color w:val="auto"/>
                <w:sz w:val="21"/>
                <w:highlight w:val="none"/>
              </w:rPr>
            </w:pPr>
            <w:r>
              <w:rPr>
                <w:rFonts w:hint="eastAsia"/>
                <w:color w:val="auto"/>
                <w:sz w:val="21"/>
                <w:highlight w:val="none"/>
              </w:rPr>
              <w:t>根据《国家危险废物名录（2025年版）》（生态环境部 国家发展和改革委员会 公安部 交通运输部 国家卫生健康委员会 2024年 部令 第36号），废防渗材料为危险废物（HW08 900-249-08），产生后不在井场危险废物贮存点暂存，委托具有危险废物运输及处理资质的单位拉运处理。</w:t>
            </w:r>
          </w:p>
          <w:p w14:paraId="7790B473">
            <w:pPr>
              <w:pStyle w:val="73"/>
              <w:numPr>
                <w:ilvl w:val="1"/>
                <w:numId w:val="36"/>
              </w:numPr>
              <w:rPr>
                <w:color w:val="auto"/>
                <w:highlight w:val="none"/>
              </w:rPr>
            </w:pPr>
            <w:r>
              <w:rPr>
                <w:rFonts w:hint="eastAsia"/>
                <w:color w:val="auto"/>
                <w:highlight w:val="none"/>
              </w:rPr>
              <w:t>废润滑油</w:t>
            </w:r>
          </w:p>
          <w:p w14:paraId="0567848F">
            <w:pPr>
              <w:pStyle w:val="3"/>
              <w:ind w:firstLine="420"/>
              <w:rPr>
                <w:color w:val="auto"/>
                <w:sz w:val="21"/>
                <w:highlight w:val="none"/>
              </w:rPr>
            </w:pPr>
            <w:r>
              <w:rPr>
                <w:rFonts w:hint="eastAsia"/>
                <w:color w:val="auto"/>
                <w:sz w:val="21"/>
                <w:highlight w:val="none"/>
              </w:rPr>
              <w:t>施工期间使用的机械设备运行过程中需进行维护、保养、维修等工作，以使其能正常运转，此过程中将产生少量的废润滑油。根据《国家危险废物名录（2025年版）》（生态环境部 国家发展和改革委员会 公安部 交通运输部 国家卫生健康委员会 2024年 部令 第36号），废润滑油属于危险废物（HW08 900-217-08）。通过</w:t>
            </w:r>
            <w:r>
              <w:rPr>
                <w:rFonts w:hint="eastAsia"/>
                <w:color w:val="auto"/>
                <w:sz w:val="21"/>
                <w:highlight w:val="none"/>
                <w:lang w:val="en-US" w:eastAsia="zh-CN"/>
              </w:rPr>
              <w:t>油田钻井经验数据统计</w:t>
            </w:r>
            <w:r>
              <w:rPr>
                <w:rFonts w:hint="eastAsia"/>
                <w:color w:val="auto"/>
                <w:sz w:val="21"/>
                <w:highlight w:val="none"/>
              </w:rPr>
              <w:t>产生量约0.05t，产生后在井场危险废物贮存点内暂存，委托具有危险废物运输及处理资质的单位拉运处理。</w:t>
            </w:r>
          </w:p>
          <w:p w14:paraId="6F552143">
            <w:pPr>
              <w:pStyle w:val="73"/>
              <w:numPr>
                <w:ilvl w:val="1"/>
                <w:numId w:val="36"/>
              </w:numPr>
              <w:rPr>
                <w:color w:val="auto"/>
                <w:highlight w:val="none"/>
              </w:rPr>
            </w:pPr>
            <w:r>
              <w:rPr>
                <w:rFonts w:hint="eastAsia"/>
                <w:color w:val="auto"/>
                <w:highlight w:val="none"/>
              </w:rPr>
              <w:t>废润滑油桶</w:t>
            </w:r>
          </w:p>
          <w:p w14:paraId="2FE9F3D6">
            <w:pPr>
              <w:pStyle w:val="3"/>
              <w:ind w:firstLine="420"/>
              <w:rPr>
                <w:color w:val="auto"/>
                <w:sz w:val="21"/>
                <w:highlight w:val="none"/>
              </w:rPr>
            </w:pPr>
            <w:r>
              <w:rPr>
                <w:rFonts w:hint="eastAsia"/>
                <w:color w:val="auto"/>
                <w:sz w:val="21"/>
                <w:highlight w:val="none"/>
              </w:rPr>
              <w:t>维护、保养、维修产生的废润滑油使用油桶收集，根据《国家危险废物名录（2025年版）》（生态环境部 国家发展和改革委员会 公安部 交通运输部 国家卫生健康委员会 2024年 部令 第36号），废润滑油桶属于危险废物（HW08 900-249-08）。通过</w:t>
            </w:r>
            <w:r>
              <w:rPr>
                <w:rFonts w:hint="eastAsia"/>
                <w:color w:val="auto"/>
                <w:sz w:val="21"/>
                <w:highlight w:val="none"/>
                <w:lang w:val="en-US" w:eastAsia="zh-CN"/>
              </w:rPr>
              <w:t>油田钻井经验数据统计</w:t>
            </w:r>
            <w:r>
              <w:rPr>
                <w:rFonts w:hint="eastAsia"/>
                <w:color w:val="auto"/>
                <w:sz w:val="21"/>
                <w:highlight w:val="none"/>
              </w:rPr>
              <w:t>产生量约0.02t，产生后在井场危险废物贮存点内暂存，委托具有危险废物运输及处理资质的单位拉运处理。</w:t>
            </w:r>
          </w:p>
          <w:p w14:paraId="3D3C332E">
            <w:pPr>
              <w:pStyle w:val="73"/>
              <w:numPr>
                <w:ilvl w:val="1"/>
                <w:numId w:val="36"/>
              </w:numPr>
              <w:rPr>
                <w:color w:val="auto"/>
                <w:highlight w:val="none"/>
              </w:rPr>
            </w:pPr>
            <w:r>
              <w:rPr>
                <w:rFonts w:hint="eastAsia"/>
                <w:color w:val="auto"/>
                <w:highlight w:val="none"/>
              </w:rPr>
              <w:t>废弃包装物</w:t>
            </w:r>
          </w:p>
          <w:p w14:paraId="57102222">
            <w:pPr>
              <w:pStyle w:val="3"/>
              <w:ind w:firstLine="420"/>
              <w:rPr>
                <w:color w:val="auto"/>
                <w:sz w:val="21"/>
                <w:highlight w:val="none"/>
              </w:rPr>
            </w:pPr>
            <w:r>
              <w:rPr>
                <w:rFonts w:hint="eastAsia"/>
                <w:color w:val="auto"/>
                <w:sz w:val="21"/>
                <w:highlight w:val="none"/>
              </w:rPr>
              <w:t>本项目施工阶段钻井液</w:t>
            </w:r>
            <w:r>
              <w:rPr>
                <w:rFonts w:hint="eastAsia"/>
                <w:color w:val="auto"/>
                <w:sz w:val="21"/>
                <w:highlight w:val="none"/>
                <w:lang w:eastAsia="zh-CN"/>
              </w:rPr>
              <w:t>配制</w:t>
            </w:r>
            <w:r>
              <w:rPr>
                <w:rFonts w:hint="eastAsia"/>
                <w:color w:val="auto"/>
                <w:sz w:val="21"/>
                <w:highlight w:val="none"/>
              </w:rPr>
              <w:t>过程需要使用部分袋装及桶装生产原料，其在配置使用完成后会产生一定量的废包装物。部分废弃包装物沾染化学品，根据《国家危险废物名录(2025年版)》(2025年1月1日)，该类沾染化学品的废弃包装物属于危险废物(HW49:900-041-49 含有或沾染毒性、感染性危险废物的废弃包装物、容器、过滤吸附介质)。通过</w:t>
            </w:r>
            <w:r>
              <w:rPr>
                <w:rFonts w:hint="eastAsia"/>
                <w:color w:val="auto"/>
                <w:sz w:val="21"/>
                <w:highlight w:val="none"/>
                <w:lang w:val="en-US" w:eastAsia="zh-CN"/>
              </w:rPr>
              <w:t>油田钻井经验数据统计</w:t>
            </w:r>
            <w:r>
              <w:rPr>
                <w:rFonts w:hint="eastAsia"/>
                <w:color w:val="auto"/>
                <w:sz w:val="21"/>
                <w:highlight w:val="none"/>
              </w:rPr>
              <w:t>属于危险废物的废弃包装物产生量约 0.5t,产生后在井场危废贮存点内暂存,委托具有危险废物运输及处理资质的单位拉运处理</w:t>
            </w:r>
            <w:r>
              <w:rPr>
                <w:rFonts w:hint="eastAsia"/>
                <w:color w:val="auto"/>
                <w:sz w:val="21"/>
                <w:highlight w:val="none"/>
                <w:lang w:eastAsia="zh-CN"/>
              </w:rPr>
              <w:t>；</w:t>
            </w:r>
            <w:r>
              <w:rPr>
                <w:rFonts w:hint="eastAsia"/>
                <w:color w:val="auto"/>
                <w:sz w:val="21"/>
                <w:highlight w:val="none"/>
              </w:rPr>
              <w:t>属于一般固废的废弃包装物产生量约1.5t，由供货厂家直接回收利用。</w:t>
            </w:r>
          </w:p>
          <w:p w14:paraId="20FA484C">
            <w:pPr>
              <w:pStyle w:val="73"/>
              <w:numPr>
                <w:ilvl w:val="1"/>
                <w:numId w:val="36"/>
              </w:numPr>
              <w:rPr>
                <w:color w:val="auto"/>
                <w:highlight w:val="none"/>
              </w:rPr>
            </w:pPr>
            <w:r>
              <w:rPr>
                <w:rFonts w:hint="eastAsia"/>
                <w:color w:val="auto"/>
                <w:highlight w:val="none"/>
              </w:rPr>
              <w:t>废弃的含油抹布、劳保用品</w:t>
            </w:r>
          </w:p>
          <w:p w14:paraId="3CB44C33">
            <w:pPr>
              <w:pStyle w:val="3"/>
              <w:ind w:firstLine="420"/>
              <w:rPr>
                <w:color w:val="auto"/>
                <w:sz w:val="21"/>
                <w:highlight w:val="none"/>
              </w:rPr>
            </w:pPr>
            <w:r>
              <w:rPr>
                <w:rFonts w:hint="eastAsia"/>
                <w:color w:val="auto"/>
                <w:sz w:val="21"/>
                <w:highlight w:val="none"/>
              </w:rPr>
              <w:t>维护、保养、维修产生的废弃的含油抹布、劳保用品属于危险废物（HW49 900-041-49）。通过</w:t>
            </w:r>
            <w:r>
              <w:rPr>
                <w:rFonts w:hint="eastAsia"/>
                <w:color w:val="auto"/>
                <w:sz w:val="21"/>
                <w:highlight w:val="none"/>
                <w:lang w:val="en-US" w:eastAsia="zh-CN"/>
              </w:rPr>
              <w:t>油田钻井经验数据统计</w:t>
            </w:r>
            <w:r>
              <w:rPr>
                <w:rFonts w:hint="eastAsia"/>
                <w:color w:val="auto"/>
                <w:sz w:val="21"/>
                <w:highlight w:val="none"/>
              </w:rPr>
              <w:t>产生量约0.005t，产生后在井场危险废物贮存点内暂存，委托具有危险废物运输及处理资质的单位拉运处理。</w:t>
            </w:r>
          </w:p>
          <w:p w14:paraId="6BDC0A08">
            <w:pPr>
              <w:pStyle w:val="3"/>
              <w:ind w:firstLine="420"/>
              <w:rPr>
                <w:color w:val="auto"/>
                <w:sz w:val="21"/>
                <w:highlight w:val="none"/>
              </w:rPr>
            </w:pPr>
            <w:r>
              <w:rPr>
                <w:rFonts w:hint="eastAsia"/>
                <w:color w:val="auto"/>
                <w:sz w:val="21"/>
                <w:highlight w:val="none"/>
              </w:rPr>
              <w:t>本项目危险废物的收集、贮存及运输过程中应按照《危险废物收集、贮存、运输技术规范》（HJ 2025-2012）的要求进行管理；转移过程按照《危险废物转移管理办法》（生态环境部、公安部、交通运输 2021年部令第23号）办理危险废物转移联单。</w:t>
            </w:r>
          </w:p>
          <w:p w14:paraId="7379B603">
            <w:pPr>
              <w:pStyle w:val="3"/>
              <w:ind w:firstLine="420"/>
              <w:rPr>
                <w:color w:val="auto"/>
                <w:sz w:val="21"/>
                <w:highlight w:val="none"/>
              </w:rPr>
            </w:pPr>
            <w:r>
              <w:rPr>
                <w:rFonts w:hint="eastAsia"/>
                <w:color w:val="auto"/>
                <w:sz w:val="21"/>
                <w:highlight w:val="none"/>
              </w:rPr>
              <w:t>建设单位应建立档案制度，详细记录固体废物的种类和数量等信息，长期保存，以供查阅；危险废物转运前应注册登记，做好记录，记录上须注明危险废物的名称、来源、数量、特性和包装容器的类别、产生日期、存放位置、废物转运日期及接收单位名称。运输过程应满足以下要求：</w:t>
            </w:r>
          </w:p>
          <w:p w14:paraId="1F487A84">
            <w:pPr>
              <w:pStyle w:val="73"/>
              <w:numPr>
                <w:ilvl w:val="0"/>
                <w:numId w:val="38"/>
              </w:numPr>
              <w:ind w:firstLine="420" w:firstLineChars="200"/>
              <w:rPr>
                <w:color w:val="auto"/>
                <w:highlight w:val="none"/>
              </w:rPr>
            </w:pPr>
            <w:r>
              <w:rPr>
                <w:rFonts w:hint="eastAsia"/>
                <w:color w:val="auto"/>
                <w:highlight w:val="none"/>
              </w:rPr>
              <w:t>运输线路应避开敏感水域和区域，防止危险废物泄漏造成的污染；</w:t>
            </w:r>
          </w:p>
          <w:p w14:paraId="3A90E34F">
            <w:pPr>
              <w:pStyle w:val="73"/>
              <w:numPr>
                <w:ilvl w:val="0"/>
                <w:numId w:val="38"/>
              </w:numPr>
              <w:ind w:firstLine="420" w:firstLineChars="200"/>
              <w:rPr>
                <w:color w:val="auto"/>
                <w:highlight w:val="none"/>
              </w:rPr>
            </w:pPr>
            <w:r>
              <w:rPr>
                <w:rFonts w:hint="eastAsia"/>
                <w:color w:val="auto"/>
                <w:highlight w:val="none"/>
              </w:rPr>
              <w:t>委托专业运输单位进行运输，采用罐车运输，防止扬散和洒漏；</w:t>
            </w:r>
          </w:p>
          <w:p w14:paraId="636D20DE">
            <w:pPr>
              <w:pStyle w:val="73"/>
              <w:numPr>
                <w:ilvl w:val="0"/>
                <w:numId w:val="38"/>
              </w:numPr>
              <w:ind w:firstLine="420" w:firstLineChars="200"/>
              <w:rPr>
                <w:color w:val="auto"/>
                <w:highlight w:val="none"/>
              </w:rPr>
            </w:pPr>
            <w:r>
              <w:rPr>
                <w:rFonts w:hint="eastAsia"/>
                <w:color w:val="auto"/>
                <w:highlight w:val="none"/>
              </w:rPr>
              <w:t>加强危险废物运输设施和设备的管理和维修维护，保证其正常运营和使用；</w:t>
            </w:r>
          </w:p>
          <w:p w14:paraId="6C92D650">
            <w:pPr>
              <w:pStyle w:val="73"/>
              <w:numPr>
                <w:ilvl w:val="0"/>
                <w:numId w:val="38"/>
              </w:numPr>
              <w:ind w:firstLine="420" w:firstLineChars="200"/>
              <w:rPr>
                <w:color w:val="auto"/>
                <w:highlight w:val="none"/>
              </w:rPr>
            </w:pPr>
            <w:r>
              <w:rPr>
                <w:rFonts w:hint="eastAsia"/>
                <w:color w:val="auto"/>
                <w:highlight w:val="none"/>
              </w:rPr>
              <w:t>在运输过程中不能混合性质不相容而又未经安全处置的废物；</w:t>
            </w:r>
          </w:p>
          <w:p w14:paraId="5834A9F5">
            <w:pPr>
              <w:pStyle w:val="73"/>
              <w:numPr>
                <w:ilvl w:val="0"/>
                <w:numId w:val="38"/>
              </w:numPr>
              <w:ind w:firstLine="420" w:firstLineChars="200"/>
              <w:rPr>
                <w:color w:val="auto"/>
                <w:highlight w:val="none"/>
              </w:rPr>
            </w:pPr>
            <w:r>
              <w:rPr>
                <w:rFonts w:hint="eastAsia"/>
                <w:color w:val="auto"/>
                <w:highlight w:val="none"/>
              </w:rPr>
              <w:t>转移危险废物应填写危险废物转移联单，并向当地人民政府生态环境主管部门报告；</w:t>
            </w:r>
          </w:p>
          <w:p w14:paraId="7768EF3F">
            <w:pPr>
              <w:pStyle w:val="73"/>
              <w:numPr>
                <w:ilvl w:val="0"/>
                <w:numId w:val="38"/>
              </w:numPr>
              <w:ind w:firstLine="420" w:firstLineChars="200"/>
              <w:rPr>
                <w:color w:val="auto"/>
                <w:highlight w:val="none"/>
              </w:rPr>
            </w:pPr>
            <w:r>
              <w:rPr>
                <w:rFonts w:hint="eastAsia"/>
                <w:color w:val="auto"/>
                <w:highlight w:val="none"/>
              </w:rPr>
              <w:t>运输危险废物的人员，应当接受专业培训，经考核合格后，方可从事运输危险废物的工作；</w:t>
            </w:r>
          </w:p>
          <w:p w14:paraId="0FAF3C86">
            <w:pPr>
              <w:pStyle w:val="73"/>
              <w:numPr>
                <w:ilvl w:val="0"/>
                <w:numId w:val="38"/>
              </w:numPr>
              <w:ind w:firstLine="420" w:firstLineChars="200"/>
              <w:rPr>
                <w:color w:val="auto"/>
                <w:highlight w:val="none"/>
              </w:rPr>
            </w:pPr>
            <w:r>
              <w:rPr>
                <w:rFonts w:hint="eastAsia"/>
                <w:color w:val="auto"/>
                <w:highlight w:val="none"/>
              </w:rPr>
              <w:t>运输危险废物的单位应当制定在发生意外事故时采取的应急措施和防范措施；</w:t>
            </w:r>
          </w:p>
          <w:p w14:paraId="50B1A53D">
            <w:pPr>
              <w:pStyle w:val="73"/>
              <w:numPr>
                <w:ilvl w:val="0"/>
                <w:numId w:val="38"/>
              </w:numPr>
              <w:ind w:firstLine="420" w:firstLineChars="200"/>
              <w:rPr>
                <w:color w:val="auto"/>
                <w:highlight w:val="none"/>
              </w:rPr>
            </w:pPr>
            <w:r>
              <w:rPr>
                <w:rFonts w:hint="eastAsia"/>
                <w:color w:val="auto"/>
                <w:highlight w:val="none"/>
              </w:rPr>
              <w:t>运输时，发生突发性事故必须立即采取措施消除或者减轻对环境的污染危害，及时通报给附近的单位和居民，并向事故发生地县级以上人民政府生态环境主管部门和有关部门报告，接受调查处理。</w:t>
            </w:r>
          </w:p>
          <w:p w14:paraId="4A1CF6B7">
            <w:pPr>
              <w:pStyle w:val="3"/>
              <w:ind w:firstLine="420"/>
              <w:rPr>
                <w:color w:val="auto"/>
                <w:sz w:val="21"/>
                <w:highlight w:val="none"/>
              </w:rPr>
            </w:pPr>
            <w:r>
              <w:rPr>
                <w:rFonts w:hint="eastAsia"/>
                <w:color w:val="auto"/>
                <w:sz w:val="21"/>
                <w:highlight w:val="none"/>
              </w:rPr>
              <w:t>严格落实上述要求后，危险废物对运输路线沿线环境敏感点的影响较小。</w:t>
            </w:r>
          </w:p>
          <w:p w14:paraId="5431B75A">
            <w:pPr>
              <w:pStyle w:val="73"/>
              <w:numPr>
                <w:ilvl w:val="1"/>
                <w:numId w:val="36"/>
              </w:numPr>
              <w:rPr>
                <w:color w:val="auto"/>
                <w:highlight w:val="none"/>
              </w:rPr>
            </w:pPr>
            <w:r>
              <w:rPr>
                <w:rFonts w:hint="eastAsia"/>
                <w:color w:val="auto"/>
                <w:highlight w:val="none"/>
              </w:rPr>
              <w:t>生活垃圾</w:t>
            </w:r>
          </w:p>
          <w:p w14:paraId="1253CE9E">
            <w:pPr>
              <w:pStyle w:val="3"/>
              <w:ind w:firstLine="420"/>
              <w:rPr>
                <w:color w:val="auto"/>
                <w:sz w:val="21"/>
                <w:szCs w:val="21"/>
                <w:highlight w:val="none"/>
              </w:rPr>
            </w:pPr>
            <w:r>
              <w:rPr>
                <w:rFonts w:hint="eastAsia"/>
                <w:color w:val="auto"/>
                <w:sz w:val="21"/>
                <w:szCs w:val="21"/>
                <w:highlight w:val="none"/>
              </w:rPr>
              <w:t>拟建项目钻井周期</w:t>
            </w:r>
            <w:r>
              <w:rPr>
                <w:rFonts w:hint="eastAsia"/>
                <w:color w:val="auto"/>
                <w:sz w:val="21"/>
                <w:szCs w:val="21"/>
                <w:highlight w:val="none"/>
                <w:lang w:eastAsia="zh-CN"/>
              </w:rPr>
              <w:t>180d</w:t>
            </w:r>
            <w:r>
              <w:rPr>
                <w:rFonts w:hint="eastAsia"/>
                <w:color w:val="auto"/>
                <w:sz w:val="21"/>
                <w:szCs w:val="21"/>
                <w:highlight w:val="none"/>
              </w:rPr>
              <w:t>，每天实际在岗人数24人，生活垃圾产生量以0.5kg/人·天计，则生活垃圾产生量为</w:t>
            </w:r>
            <w:r>
              <w:rPr>
                <w:rFonts w:hint="eastAsia"/>
                <w:color w:val="auto"/>
                <w:sz w:val="21"/>
                <w:szCs w:val="21"/>
                <w:highlight w:val="none"/>
                <w:lang w:val="en-US" w:eastAsia="zh-CN"/>
              </w:rPr>
              <w:t>2.16</w:t>
            </w:r>
            <w:r>
              <w:rPr>
                <w:rFonts w:hint="eastAsia"/>
                <w:color w:val="auto"/>
                <w:sz w:val="21"/>
                <w:szCs w:val="21"/>
                <w:highlight w:val="none"/>
              </w:rPr>
              <w:t>t。试油周期</w:t>
            </w:r>
            <w:r>
              <w:rPr>
                <w:rFonts w:hint="eastAsia"/>
                <w:color w:val="auto"/>
                <w:sz w:val="21"/>
                <w:szCs w:val="21"/>
                <w:highlight w:val="none"/>
                <w:lang w:val="en-US" w:eastAsia="zh-CN"/>
              </w:rPr>
              <w:t>180</w:t>
            </w:r>
            <w:r>
              <w:rPr>
                <w:rFonts w:hint="eastAsia"/>
                <w:color w:val="auto"/>
                <w:sz w:val="21"/>
                <w:szCs w:val="21"/>
                <w:highlight w:val="none"/>
              </w:rPr>
              <w:t>d，试油队劳动定员20人生活垃圾产生量以0.5kg/人·天计，则生活垃圾产生量为</w:t>
            </w:r>
            <w:r>
              <w:rPr>
                <w:rFonts w:hint="eastAsia"/>
                <w:color w:val="auto"/>
                <w:sz w:val="21"/>
                <w:szCs w:val="21"/>
                <w:highlight w:val="none"/>
                <w:lang w:val="en-US" w:eastAsia="zh-CN"/>
              </w:rPr>
              <w:t>1.8</w:t>
            </w:r>
            <w:r>
              <w:rPr>
                <w:rFonts w:hint="eastAsia"/>
                <w:color w:val="auto"/>
                <w:sz w:val="21"/>
                <w:szCs w:val="21"/>
                <w:highlight w:val="none"/>
              </w:rPr>
              <w:t>t。生活垃圾集中在生活垃圾收集箱内，定期拉运至</w:t>
            </w:r>
            <w:r>
              <w:rPr>
                <w:rFonts w:hint="eastAsia"/>
                <w:color w:val="auto"/>
                <w:sz w:val="21"/>
                <w:highlight w:val="none"/>
              </w:rPr>
              <w:t>阜康市</w:t>
            </w:r>
            <w:r>
              <w:rPr>
                <w:rFonts w:hint="eastAsia"/>
                <w:color w:val="auto"/>
                <w:sz w:val="21"/>
                <w:highlight w:val="none"/>
                <w:lang w:val="en-US" w:eastAsia="zh-CN"/>
              </w:rPr>
              <w:t>宏翔环境卫生服务有限公司阜康市生活垃圾填埋场</w:t>
            </w:r>
            <w:r>
              <w:rPr>
                <w:rFonts w:hint="eastAsia"/>
                <w:color w:val="auto"/>
                <w:sz w:val="21"/>
                <w:szCs w:val="21"/>
                <w:highlight w:val="none"/>
              </w:rPr>
              <w:t>处理，产生量合计约为</w:t>
            </w:r>
            <w:r>
              <w:rPr>
                <w:rFonts w:hint="eastAsia"/>
                <w:color w:val="auto"/>
                <w:sz w:val="21"/>
                <w:szCs w:val="21"/>
                <w:highlight w:val="none"/>
                <w:lang w:eastAsia="zh-CN"/>
              </w:rPr>
              <w:t>3.96</w:t>
            </w:r>
            <w:r>
              <w:rPr>
                <w:rFonts w:hint="eastAsia"/>
                <w:color w:val="auto"/>
                <w:sz w:val="21"/>
                <w:szCs w:val="21"/>
                <w:highlight w:val="none"/>
              </w:rPr>
              <w:t>t，只要加强管理，对周围环境不会产生明显影响。</w:t>
            </w:r>
          </w:p>
          <w:p w14:paraId="7081D309">
            <w:pPr>
              <w:pStyle w:val="3"/>
              <w:ind w:firstLine="420"/>
              <w:rPr>
                <w:color w:val="auto"/>
                <w:sz w:val="21"/>
                <w:szCs w:val="21"/>
                <w:highlight w:val="none"/>
              </w:rPr>
            </w:pPr>
            <w:r>
              <w:rPr>
                <w:rFonts w:hint="eastAsia"/>
                <w:color w:val="auto"/>
                <w:sz w:val="21"/>
                <w:szCs w:val="21"/>
                <w:highlight w:val="none"/>
              </w:rPr>
              <w:t>本工程所采取的固废处理措施是目前油田开发广泛采用的措施，且中石化新疆新春石油开发有限责任公司对油田产生的各类固体废物有严格的处理规定。通过采取以上措施，各类固体废物均能得到妥善的处置，对周围环境不会产生明显影响。本项目施工期危险废物产生情况详见</w:t>
            </w:r>
            <w:r>
              <w:rPr>
                <w:rFonts w:hint="eastAsia"/>
                <w:color w:val="auto"/>
                <w:sz w:val="21"/>
                <w:szCs w:val="21"/>
                <w:highlight w:val="none"/>
              </w:rPr>
              <w:fldChar w:fldCharType="begin"/>
            </w:r>
            <w:r>
              <w:rPr>
                <w:color w:val="auto"/>
                <w:highlight w:val="none"/>
              </w:rPr>
              <w:instrText xml:space="preserve"> REF _Ref361989660 \h  \* MERGEFORMAT</w:instrText>
            </w:r>
            <w:r>
              <w:rPr>
                <w:rFonts w:hint="eastAsia"/>
                <w:color w:val="auto"/>
                <w:sz w:val="21"/>
                <w:szCs w:val="21"/>
                <w:highlight w:val="none"/>
              </w:rPr>
              <w:fldChar w:fldCharType="separate"/>
            </w:r>
            <w:r>
              <w:rPr>
                <w:rFonts w:hint="eastAsia"/>
                <w:color w:val="auto"/>
                <w:sz w:val="21"/>
                <w:szCs w:val="21"/>
                <w:highlight w:val="none"/>
              </w:rPr>
              <w:t>表32</w:t>
            </w:r>
            <w:r>
              <w:rPr>
                <w:rFonts w:hint="eastAsia"/>
                <w:color w:val="auto"/>
                <w:sz w:val="21"/>
                <w:szCs w:val="21"/>
                <w:highlight w:val="none"/>
              </w:rPr>
              <w:fldChar w:fldCharType="end"/>
            </w:r>
            <w:r>
              <w:rPr>
                <w:rFonts w:hint="eastAsia"/>
                <w:color w:val="auto"/>
                <w:sz w:val="21"/>
                <w:szCs w:val="21"/>
                <w:highlight w:val="none"/>
              </w:rPr>
              <w:t>，危险废物贮存场所（设施）基本情况详见</w:t>
            </w:r>
            <w:r>
              <w:rPr>
                <w:rFonts w:hint="eastAsia"/>
                <w:color w:val="auto"/>
                <w:sz w:val="21"/>
                <w:szCs w:val="21"/>
                <w:highlight w:val="none"/>
              </w:rPr>
              <w:fldChar w:fldCharType="begin"/>
            </w:r>
            <w:r>
              <w:rPr>
                <w:color w:val="auto"/>
                <w:highlight w:val="none"/>
              </w:rPr>
              <w:instrText xml:space="preserve"> REF _Ref363149343 \h  \* MERGEFORMAT</w:instrText>
            </w:r>
            <w:r>
              <w:rPr>
                <w:rFonts w:hint="eastAsia"/>
                <w:color w:val="auto"/>
                <w:sz w:val="21"/>
                <w:szCs w:val="21"/>
                <w:highlight w:val="none"/>
              </w:rPr>
              <w:fldChar w:fldCharType="separate"/>
            </w:r>
            <w:r>
              <w:rPr>
                <w:rFonts w:hint="eastAsia"/>
                <w:color w:val="auto"/>
                <w:sz w:val="21"/>
                <w:szCs w:val="21"/>
                <w:highlight w:val="none"/>
              </w:rPr>
              <w:t>表33</w:t>
            </w:r>
            <w:r>
              <w:rPr>
                <w:rFonts w:hint="eastAsia"/>
                <w:color w:val="auto"/>
                <w:sz w:val="21"/>
                <w:szCs w:val="21"/>
                <w:highlight w:val="none"/>
              </w:rPr>
              <w:fldChar w:fldCharType="end"/>
            </w:r>
            <w:r>
              <w:rPr>
                <w:rFonts w:hint="eastAsia"/>
                <w:color w:val="auto"/>
                <w:sz w:val="21"/>
                <w:szCs w:val="21"/>
                <w:highlight w:val="none"/>
              </w:rPr>
              <w:t>，施工期固体废物产生情况详见</w:t>
            </w:r>
            <w:r>
              <w:rPr>
                <w:rFonts w:hint="eastAsia"/>
                <w:color w:val="auto"/>
                <w:sz w:val="21"/>
                <w:szCs w:val="21"/>
                <w:highlight w:val="none"/>
              </w:rPr>
              <w:fldChar w:fldCharType="begin"/>
            </w:r>
            <w:r>
              <w:rPr>
                <w:color w:val="auto"/>
                <w:highlight w:val="none"/>
              </w:rPr>
              <w:instrText xml:space="preserve"> REF _Ref363266992 \h  \* MERGEFORMAT</w:instrText>
            </w:r>
            <w:r>
              <w:rPr>
                <w:rFonts w:hint="eastAsia"/>
                <w:color w:val="auto"/>
                <w:sz w:val="21"/>
                <w:szCs w:val="21"/>
                <w:highlight w:val="none"/>
              </w:rPr>
              <w:fldChar w:fldCharType="separate"/>
            </w:r>
            <w:r>
              <w:rPr>
                <w:rFonts w:hint="eastAsia"/>
                <w:color w:val="auto"/>
                <w:sz w:val="21"/>
                <w:szCs w:val="21"/>
                <w:highlight w:val="none"/>
              </w:rPr>
              <w:t>表34</w:t>
            </w:r>
            <w:r>
              <w:rPr>
                <w:rFonts w:hint="eastAsia"/>
                <w:color w:val="auto"/>
                <w:sz w:val="21"/>
                <w:szCs w:val="21"/>
                <w:highlight w:val="none"/>
              </w:rPr>
              <w:fldChar w:fldCharType="end"/>
            </w:r>
            <w:r>
              <w:rPr>
                <w:rFonts w:hint="eastAsia"/>
                <w:color w:val="auto"/>
                <w:sz w:val="21"/>
                <w:szCs w:val="21"/>
                <w:highlight w:val="none"/>
              </w:rPr>
              <w:t>。</w:t>
            </w:r>
          </w:p>
          <w:p w14:paraId="50D314B4">
            <w:pPr>
              <w:pStyle w:val="13"/>
              <w:bidi w:val="0"/>
              <w:rPr>
                <w:color w:val="auto"/>
                <w:highlight w:val="none"/>
              </w:rPr>
            </w:pPr>
            <w:bookmarkStart w:id="62" w:name="_Ref361989660"/>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32</w:t>
            </w:r>
            <w:r>
              <w:rPr>
                <w:rFonts w:hint="eastAsia"/>
                <w:color w:val="auto"/>
                <w:highlight w:val="none"/>
              </w:rPr>
              <w:fldChar w:fldCharType="end"/>
            </w:r>
            <w:bookmarkEnd w:id="62"/>
            <w:r>
              <w:rPr>
                <w:rFonts w:hint="eastAsia"/>
                <w:color w:val="auto"/>
                <w:highlight w:val="none"/>
              </w:rPr>
              <w:t xml:space="preserve">  本项目施工期危险废物产生情况表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156"/>
              <w:gridCol w:w="1011"/>
              <w:gridCol w:w="1268"/>
              <w:gridCol w:w="1268"/>
              <w:gridCol w:w="1084"/>
              <w:gridCol w:w="1254"/>
            </w:tblGrid>
            <w:tr w14:paraId="506EB7CA">
              <w:tblPrEx>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CCE235E">
                  <w:pPr>
                    <w:pStyle w:val="41"/>
                    <w:rPr>
                      <w:color w:val="auto"/>
                      <w:kern w:val="0"/>
                      <w:szCs w:val="18"/>
                      <w:highlight w:val="none"/>
                    </w:rPr>
                  </w:pPr>
                  <w:r>
                    <w:rPr>
                      <w:rFonts w:hint="eastAsia"/>
                      <w:color w:val="auto"/>
                      <w:kern w:val="0"/>
                      <w:szCs w:val="18"/>
                      <w:highlight w:val="none"/>
                    </w:rPr>
                    <w:t>危险废物名称</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B2FAF28">
                  <w:pPr>
                    <w:pStyle w:val="41"/>
                    <w:rPr>
                      <w:color w:val="auto"/>
                      <w:kern w:val="0"/>
                      <w:szCs w:val="18"/>
                      <w:highlight w:val="none"/>
                    </w:rPr>
                  </w:pPr>
                  <w:r>
                    <w:rPr>
                      <w:rFonts w:hint="eastAsia"/>
                      <w:color w:val="auto"/>
                      <w:kern w:val="0"/>
                      <w:szCs w:val="18"/>
                      <w:highlight w:val="none"/>
                    </w:rPr>
                    <w:t>三开产生的钻井固废（废弃油基钻井泥浆、油基岩屑）</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F5F5B7D">
                  <w:pPr>
                    <w:pStyle w:val="41"/>
                    <w:rPr>
                      <w:color w:val="auto"/>
                      <w:kern w:val="0"/>
                      <w:szCs w:val="18"/>
                      <w:highlight w:val="none"/>
                    </w:rPr>
                  </w:pPr>
                  <w:r>
                    <w:rPr>
                      <w:rFonts w:hint="eastAsia"/>
                      <w:color w:val="auto"/>
                      <w:kern w:val="0"/>
                      <w:szCs w:val="18"/>
                      <w:highlight w:val="none"/>
                    </w:rPr>
                    <w:t>废防渗材料</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8458899">
                  <w:pPr>
                    <w:pStyle w:val="41"/>
                    <w:rPr>
                      <w:color w:val="auto"/>
                      <w:kern w:val="0"/>
                      <w:szCs w:val="18"/>
                      <w:highlight w:val="none"/>
                    </w:rPr>
                  </w:pPr>
                  <w:r>
                    <w:rPr>
                      <w:rFonts w:hint="eastAsia"/>
                      <w:color w:val="auto"/>
                      <w:kern w:val="0"/>
                      <w:szCs w:val="18"/>
                      <w:highlight w:val="none"/>
                    </w:rPr>
                    <w:t>废润滑油</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E964CA4">
                  <w:pPr>
                    <w:pStyle w:val="41"/>
                    <w:rPr>
                      <w:color w:val="auto"/>
                      <w:kern w:val="0"/>
                      <w:szCs w:val="18"/>
                      <w:highlight w:val="none"/>
                    </w:rPr>
                  </w:pPr>
                  <w:r>
                    <w:rPr>
                      <w:rFonts w:hint="eastAsia"/>
                      <w:color w:val="auto"/>
                      <w:kern w:val="0"/>
                      <w:szCs w:val="18"/>
                      <w:highlight w:val="none"/>
                    </w:rPr>
                    <w:t>废润滑油桶</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7072178">
                  <w:pPr>
                    <w:pStyle w:val="41"/>
                    <w:rPr>
                      <w:color w:val="auto"/>
                      <w:szCs w:val="18"/>
                      <w:highlight w:val="none"/>
                    </w:rPr>
                  </w:pPr>
                  <w:r>
                    <w:rPr>
                      <w:rFonts w:hint="eastAsia"/>
                      <w:color w:val="auto"/>
                      <w:sz w:val="18"/>
                      <w:szCs w:val="18"/>
                      <w:highlight w:val="none"/>
                    </w:rPr>
                    <w:t>废弃包装物</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79BD608">
                  <w:pPr>
                    <w:pStyle w:val="41"/>
                    <w:rPr>
                      <w:color w:val="auto"/>
                      <w:kern w:val="0"/>
                      <w:szCs w:val="18"/>
                      <w:highlight w:val="none"/>
                    </w:rPr>
                  </w:pPr>
                  <w:r>
                    <w:rPr>
                      <w:color w:val="auto"/>
                      <w:kern w:val="0"/>
                      <w:szCs w:val="18"/>
                      <w:highlight w:val="none"/>
                    </w:rPr>
                    <w:t>废弃的含油抹布、劳保用品</w:t>
                  </w:r>
                </w:p>
              </w:tc>
            </w:tr>
            <w:tr w14:paraId="76AA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28D93C7">
                  <w:pPr>
                    <w:pStyle w:val="41"/>
                    <w:rPr>
                      <w:color w:val="auto"/>
                      <w:kern w:val="0"/>
                      <w:szCs w:val="18"/>
                      <w:highlight w:val="none"/>
                    </w:rPr>
                  </w:pPr>
                  <w:r>
                    <w:rPr>
                      <w:rFonts w:hint="eastAsia"/>
                      <w:color w:val="auto"/>
                      <w:kern w:val="0"/>
                      <w:szCs w:val="18"/>
                      <w:highlight w:val="none"/>
                    </w:rPr>
                    <w:t>危险废物类别</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C6B1980">
                  <w:pPr>
                    <w:pStyle w:val="41"/>
                    <w:rPr>
                      <w:color w:val="auto"/>
                      <w:kern w:val="0"/>
                      <w:szCs w:val="18"/>
                      <w:highlight w:val="none"/>
                    </w:rPr>
                  </w:pPr>
                  <w:r>
                    <w:rPr>
                      <w:rFonts w:hint="eastAsia"/>
                      <w:color w:val="auto"/>
                      <w:kern w:val="0"/>
                      <w:szCs w:val="18"/>
                      <w:highlight w:val="none"/>
                    </w:rPr>
                    <w:t>HW08 废矿物油与含矿物油废物</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3BE2608">
                  <w:pPr>
                    <w:pStyle w:val="41"/>
                    <w:rPr>
                      <w:color w:val="auto"/>
                      <w:kern w:val="0"/>
                      <w:szCs w:val="18"/>
                      <w:highlight w:val="none"/>
                    </w:rPr>
                  </w:pPr>
                  <w:r>
                    <w:rPr>
                      <w:rFonts w:hint="eastAsia"/>
                      <w:color w:val="auto"/>
                      <w:kern w:val="0"/>
                      <w:szCs w:val="18"/>
                      <w:highlight w:val="none"/>
                    </w:rPr>
                    <w:t>HW08 废矿物油与含矿物油废物</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0C5D546">
                  <w:pPr>
                    <w:pStyle w:val="41"/>
                    <w:rPr>
                      <w:color w:val="auto"/>
                      <w:kern w:val="0"/>
                      <w:szCs w:val="18"/>
                      <w:highlight w:val="none"/>
                    </w:rPr>
                  </w:pPr>
                  <w:r>
                    <w:rPr>
                      <w:rFonts w:hint="eastAsia"/>
                      <w:color w:val="auto"/>
                      <w:kern w:val="0"/>
                      <w:szCs w:val="18"/>
                      <w:highlight w:val="none"/>
                    </w:rPr>
                    <w:t>HW08 废矿物油与含矿物油废物</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093CC7F">
                  <w:pPr>
                    <w:pStyle w:val="41"/>
                    <w:rPr>
                      <w:color w:val="auto"/>
                      <w:kern w:val="0"/>
                      <w:szCs w:val="18"/>
                      <w:highlight w:val="none"/>
                    </w:rPr>
                  </w:pPr>
                  <w:r>
                    <w:rPr>
                      <w:rFonts w:hint="eastAsia"/>
                      <w:color w:val="auto"/>
                      <w:kern w:val="0"/>
                      <w:szCs w:val="18"/>
                      <w:highlight w:val="none"/>
                    </w:rPr>
                    <w:t>HW08 废矿物油与含矿物油废物</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1191DE4">
                  <w:pPr>
                    <w:pStyle w:val="41"/>
                    <w:rPr>
                      <w:color w:val="auto"/>
                      <w:szCs w:val="18"/>
                      <w:highlight w:val="none"/>
                    </w:rPr>
                  </w:pPr>
                  <w:r>
                    <w:rPr>
                      <w:rFonts w:hint="eastAsia"/>
                      <w:color w:val="auto"/>
                      <w:szCs w:val="18"/>
                      <w:highlight w:val="none"/>
                    </w:rPr>
                    <w:t>HW49其他废物</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B9CBA79">
                  <w:pPr>
                    <w:pStyle w:val="41"/>
                    <w:rPr>
                      <w:color w:val="auto"/>
                      <w:kern w:val="0"/>
                      <w:szCs w:val="18"/>
                      <w:highlight w:val="none"/>
                    </w:rPr>
                  </w:pPr>
                  <w:r>
                    <w:rPr>
                      <w:rFonts w:hint="eastAsia"/>
                      <w:color w:val="auto"/>
                      <w:kern w:val="0"/>
                      <w:szCs w:val="18"/>
                      <w:highlight w:val="none"/>
                    </w:rPr>
                    <w:t>HW49其他废物</w:t>
                  </w:r>
                </w:p>
              </w:tc>
            </w:tr>
            <w:tr w14:paraId="3C83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A6A41B4">
                  <w:pPr>
                    <w:pStyle w:val="41"/>
                    <w:rPr>
                      <w:color w:val="auto"/>
                      <w:kern w:val="0"/>
                      <w:szCs w:val="18"/>
                      <w:highlight w:val="none"/>
                    </w:rPr>
                  </w:pPr>
                  <w:r>
                    <w:rPr>
                      <w:rFonts w:hint="eastAsia"/>
                      <w:color w:val="auto"/>
                      <w:kern w:val="0"/>
                      <w:szCs w:val="18"/>
                      <w:highlight w:val="none"/>
                    </w:rPr>
                    <w:t>危险废物代码</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9673B08">
                  <w:pPr>
                    <w:pStyle w:val="41"/>
                    <w:rPr>
                      <w:color w:val="auto"/>
                      <w:kern w:val="0"/>
                      <w:szCs w:val="18"/>
                      <w:highlight w:val="none"/>
                    </w:rPr>
                  </w:pPr>
                  <w:r>
                    <w:rPr>
                      <w:rFonts w:hint="eastAsia"/>
                      <w:color w:val="auto"/>
                      <w:kern w:val="0"/>
                      <w:szCs w:val="18"/>
                      <w:highlight w:val="none"/>
                    </w:rPr>
                    <w:t>071-002-08以矿物油为连续相配制钻井泥浆用于石油开采所产生的钻井岩屑和废弃钻井泥浆</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85074EC">
                  <w:pPr>
                    <w:pStyle w:val="41"/>
                    <w:rPr>
                      <w:color w:val="auto"/>
                      <w:kern w:val="0"/>
                      <w:szCs w:val="18"/>
                      <w:highlight w:val="none"/>
                    </w:rPr>
                  </w:pPr>
                  <w:r>
                    <w:rPr>
                      <w:rFonts w:hint="eastAsia"/>
                      <w:color w:val="auto"/>
                      <w:kern w:val="0"/>
                      <w:szCs w:val="18"/>
                      <w:highlight w:val="none"/>
                    </w:rPr>
                    <w:t>900-249-08其他生产、销售、使用过程中产生的废矿物油及沾染矿物油的废弃包装物</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1A28BD4">
                  <w:pPr>
                    <w:pStyle w:val="41"/>
                    <w:rPr>
                      <w:color w:val="auto"/>
                      <w:kern w:val="0"/>
                      <w:szCs w:val="18"/>
                      <w:highlight w:val="none"/>
                    </w:rPr>
                  </w:pPr>
                  <w:r>
                    <w:rPr>
                      <w:rFonts w:hint="eastAsia"/>
                      <w:color w:val="auto"/>
                      <w:kern w:val="0"/>
                      <w:szCs w:val="18"/>
                      <w:highlight w:val="none"/>
                    </w:rPr>
                    <w:t>900-249-08其他生产、销售、使用过程中产生的废矿物油及沾染矿物油的废弃包装物</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3DB14DE">
                  <w:pPr>
                    <w:pStyle w:val="41"/>
                    <w:rPr>
                      <w:color w:val="auto"/>
                      <w:kern w:val="0"/>
                      <w:szCs w:val="18"/>
                      <w:highlight w:val="none"/>
                    </w:rPr>
                  </w:pPr>
                  <w:r>
                    <w:rPr>
                      <w:rFonts w:hint="eastAsia"/>
                      <w:color w:val="auto"/>
                      <w:kern w:val="0"/>
                      <w:szCs w:val="18"/>
                      <w:highlight w:val="none"/>
                    </w:rPr>
                    <w:t>900-249-08其他生产、销售、使用过程中产生的废矿物油及沾染矿物油的废弃包装物</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6BC3BC0">
                  <w:pPr>
                    <w:pStyle w:val="41"/>
                    <w:rPr>
                      <w:color w:val="auto"/>
                      <w:szCs w:val="18"/>
                      <w:highlight w:val="none"/>
                    </w:rPr>
                  </w:pPr>
                  <w:r>
                    <w:rPr>
                      <w:rFonts w:hint="eastAsia"/>
                      <w:color w:val="auto"/>
                      <w:szCs w:val="18"/>
                      <w:highlight w:val="none"/>
                    </w:rPr>
                    <w:t>900-041-49含有或沾染毒性、感染性危险废物的废弃包装物、容器、过滤吸附介质</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E4D09F2">
                  <w:pPr>
                    <w:pStyle w:val="41"/>
                    <w:rPr>
                      <w:color w:val="auto"/>
                      <w:kern w:val="0"/>
                      <w:szCs w:val="18"/>
                      <w:highlight w:val="none"/>
                    </w:rPr>
                  </w:pPr>
                  <w:r>
                    <w:rPr>
                      <w:rFonts w:hint="eastAsia"/>
                      <w:color w:val="auto"/>
                      <w:kern w:val="0"/>
                      <w:szCs w:val="18"/>
                      <w:highlight w:val="none"/>
                    </w:rPr>
                    <w:t>900-041-49含有或沾染毒性、感染性危险废物的废弃包装物、容器、过滤吸附介质</w:t>
                  </w:r>
                </w:p>
              </w:tc>
            </w:tr>
            <w:tr w14:paraId="6BE9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4B5D737">
                  <w:pPr>
                    <w:pStyle w:val="41"/>
                    <w:rPr>
                      <w:color w:val="auto"/>
                      <w:kern w:val="0"/>
                      <w:szCs w:val="18"/>
                      <w:highlight w:val="none"/>
                    </w:rPr>
                  </w:pPr>
                  <w:r>
                    <w:rPr>
                      <w:rFonts w:hint="eastAsia"/>
                      <w:color w:val="auto"/>
                      <w:kern w:val="0"/>
                      <w:szCs w:val="18"/>
                      <w:highlight w:val="none"/>
                    </w:rPr>
                    <w:t>产生量</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F0E0FFB">
                  <w:pPr>
                    <w:pStyle w:val="41"/>
                    <w:rPr>
                      <w:color w:val="auto"/>
                      <w:kern w:val="0"/>
                      <w:szCs w:val="18"/>
                      <w:highlight w:val="none"/>
                    </w:rPr>
                  </w:pPr>
                  <w:r>
                    <w:rPr>
                      <w:rFonts w:hint="eastAsia"/>
                      <w:color w:val="auto"/>
                      <w:kern w:val="0"/>
                      <w:szCs w:val="18"/>
                      <w:highlight w:val="none"/>
                    </w:rPr>
                    <w:t>2810.13t</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987D018">
                  <w:pPr>
                    <w:pStyle w:val="41"/>
                    <w:rPr>
                      <w:color w:val="auto"/>
                      <w:kern w:val="0"/>
                      <w:szCs w:val="18"/>
                      <w:highlight w:val="none"/>
                    </w:rPr>
                  </w:pPr>
                  <w:r>
                    <w:rPr>
                      <w:color w:val="auto"/>
                      <w:kern w:val="0"/>
                      <w:szCs w:val="18"/>
                      <w:highlight w:val="none"/>
                    </w:rPr>
                    <w:t>0.5</w:t>
                  </w:r>
                  <w:r>
                    <w:rPr>
                      <w:rFonts w:hint="eastAsia"/>
                      <w:color w:val="auto"/>
                      <w:kern w:val="0"/>
                      <w:szCs w:val="18"/>
                      <w:highlight w:val="none"/>
                    </w:rPr>
                    <w:t>t</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A472699">
                  <w:pPr>
                    <w:pStyle w:val="41"/>
                    <w:rPr>
                      <w:color w:val="auto"/>
                      <w:kern w:val="0"/>
                      <w:szCs w:val="18"/>
                      <w:highlight w:val="none"/>
                    </w:rPr>
                  </w:pPr>
                  <w:r>
                    <w:rPr>
                      <w:color w:val="auto"/>
                      <w:kern w:val="0"/>
                      <w:szCs w:val="18"/>
                      <w:highlight w:val="none"/>
                    </w:rPr>
                    <w:t>0.05</w:t>
                  </w:r>
                  <w:r>
                    <w:rPr>
                      <w:rFonts w:hint="eastAsia"/>
                      <w:color w:val="auto"/>
                      <w:kern w:val="0"/>
                      <w:szCs w:val="18"/>
                      <w:highlight w:val="none"/>
                    </w:rPr>
                    <w:t>t</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6A09B6A">
                  <w:pPr>
                    <w:pStyle w:val="41"/>
                    <w:rPr>
                      <w:color w:val="auto"/>
                      <w:kern w:val="0"/>
                      <w:szCs w:val="18"/>
                      <w:highlight w:val="none"/>
                    </w:rPr>
                  </w:pPr>
                  <w:r>
                    <w:rPr>
                      <w:rFonts w:hint="eastAsia"/>
                      <w:color w:val="auto"/>
                      <w:kern w:val="0"/>
                      <w:szCs w:val="18"/>
                      <w:highlight w:val="none"/>
                    </w:rPr>
                    <w:t>0</w:t>
                  </w:r>
                  <w:r>
                    <w:rPr>
                      <w:color w:val="auto"/>
                      <w:kern w:val="0"/>
                      <w:szCs w:val="18"/>
                      <w:highlight w:val="none"/>
                    </w:rPr>
                    <w:t>.02</w:t>
                  </w:r>
                  <w:r>
                    <w:rPr>
                      <w:rFonts w:hint="eastAsia"/>
                      <w:color w:val="auto"/>
                      <w:kern w:val="0"/>
                      <w:szCs w:val="18"/>
                      <w:highlight w:val="none"/>
                    </w:rPr>
                    <w:t>t</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A771790">
                  <w:pPr>
                    <w:pStyle w:val="41"/>
                    <w:rPr>
                      <w:color w:val="auto"/>
                      <w:szCs w:val="18"/>
                      <w:highlight w:val="none"/>
                    </w:rPr>
                  </w:pPr>
                  <w:r>
                    <w:rPr>
                      <w:rFonts w:hint="eastAsia"/>
                      <w:color w:val="auto"/>
                      <w:szCs w:val="18"/>
                      <w:highlight w:val="none"/>
                    </w:rPr>
                    <w:t>0</w:t>
                  </w:r>
                  <w:r>
                    <w:rPr>
                      <w:color w:val="auto"/>
                      <w:szCs w:val="18"/>
                      <w:highlight w:val="none"/>
                    </w:rPr>
                    <w:t>.01</w:t>
                  </w:r>
                  <w:r>
                    <w:rPr>
                      <w:rFonts w:hint="eastAsia"/>
                      <w:color w:val="auto"/>
                      <w:szCs w:val="18"/>
                      <w:highlight w:val="none"/>
                    </w:rPr>
                    <w:t>t</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5CFB1EC">
                  <w:pPr>
                    <w:pStyle w:val="41"/>
                    <w:rPr>
                      <w:color w:val="auto"/>
                      <w:kern w:val="0"/>
                      <w:szCs w:val="18"/>
                      <w:highlight w:val="none"/>
                    </w:rPr>
                  </w:pPr>
                  <w:r>
                    <w:rPr>
                      <w:rFonts w:hint="eastAsia"/>
                      <w:color w:val="auto"/>
                      <w:kern w:val="0"/>
                      <w:szCs w:val="18"/>
                      <w:highlight w:val="none"/>
                    </w:rPr>
                    <w:t>0</w:t>
                  </w:r>
                  <w:r>
                    <w:rPr>
                      <w:color w:val="auto"/>
                      <w:kern w:val="0"/>
                      <w:szCs w:val="18"/>
                      <w:highlight w:val="none"/>
                    </w:rPr>
                    <w:t>.005</w:t>
                  </w:r>
                  <w:r>
                    <w:rPr>
                      <w:rFonts w:hint="eastAsia"/>
                      <w:color w:val="auto"/>
                      <w:kern w:val="0"/>
                      <w:szCs w:val="18"/>
                      <w:highlight w:val="none"/>
                    </w:rPr>
                    <w:t>t</w:t>
                  </w:r>
                </w:p>
              </w:tc>
            </w:tr>
            <w:tr w14:paraId="4C41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B500D63">
                  <w:pPr>
                    <w:pStyle w:val="41"/>
                    <w:rPr>
                      <w:color w:val="auto"/>
                      <w:kern w:val="0"/>
                      <w:szCs w:val="18"/>
                      <w:highlight w:val="none"/>
                    </w:rPr>
                  </w:pPr>
                  <w:r>
                    <w:rPr>
                      <w:rFonts w:hint="eastAsia"/>
                      <w:color w:val="auto"/>
                      <w:kern w:val="0"/>
                      <w:szCs w:val="18"/>
                      <w:highlight w:val="none"/>
                    </w:rPr>
                    <w:t>产生工序及装置</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91E8294">
                  <w:pPr>
                    <w:pStyle w:val="41"/>
                    <w:rPr>
                      <w:color w:val="auto"/>
                      <w:kern w:val="0"/>
                      <w:szCs w:val="18"/>
                      <w:highlight w:val="none"/>
                    </w:rPr>
                  </w:pPr>
                  <w:r>
                    <w:rPr>
                      <w:rFonts w:hint="eastAsia"/>
                      <w:color w:val="auto"/>
                      <w:kern w:val="0"/>
                      <w:szCs w:val="18"/>
                      <w:highlight w:val="none"/>
                    </w:rPr>
                    <w:t>钻井产生</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2844C19">
                  <w:pPr>
                    <w:pStyle w:val="41"/>
                    <w:rPr>
                      <w:color w:val="auto"/>
                      <w:kern w:val="0"/>
                      <w:szCs w:val="18"/>
                      <w:highlight w:val="none"/>
                    </w:rPr>
                  </w:pPr>
                  <w:r>
                    <w:rPr>
                      <w:rFonts w:hint="eastAsia"/>
                      <w:color w:val="auto"/>
                      <w:kern w:val="0"/>
                      <w:szCs w:val="18"/>
                      <w:highlight w:val="none"/>
                    </w:rPr>
                    <w:t>井场防渗</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86816E1">
                  <w:pPr>
                    <w:pStyle w:val="41"/>
                    <w:rPr>
                      <w:color w:val="auto"/>
                      <w:kern w:val="0"/>
                      <w:szCs w:val="18"/>
                      <w:highlight w:val="none"/>
                    </w:rPr>
                  </w:pPr>
                  <w:r>
                    <w:rPr>
                      <w:rFonts w:hint="eastAsia"/>
                      <w:color w:val="auto"/>
                      <w:kern w:val="0"/>
                      <w:szCs w:val="18"/>
                      <w:highlight w:val="none"/>
                    </w:rPr>
                    <w:t>设备维护、保养、维修过程中</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C426743">
                  <w:pPr>
                    <w:pStyle w:val="41"/>
                    <w:rPr>
                      <w:color w:val="auto"/>
                      <w:kern w:val="0"/>
                      <w:szCs w:val="18"/>
                      <w:highlight w:val="none"/>
                    </w:rPr>
                  </w:pPr>
                  <w:r>
                    <w:rPr>
                      <w:rFonts w:hint="eastAsia"/>
                      <w:color w:val="auto"/>
                      <w:kern w:val="0"/>
                      <w:szCs w:val="18"/>
                      <w:highlight w:val="none"/>
                    </w:rPr>
                    <w:t>设备维护、保养、维修过程中</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A807804">
                  <w:pPr>
                    <w:pStyle w:val="41"/>
                    <w:rPr>
                      <w:color w:val="auto"/>
                      <w:szCs w:val="18"/>
                      <w:highlight w:val="none"/>
                    </w:rPr>
                  </w:pPr>
                  <w:r>
                    <w:rPr>
                      <w:rFonts w:hint="eastAsia"/>
                      <w:color w:val="auto"/>
                      <w:szCs w:val="18"/>
                      <w:highlight w:val="none"/>
                    </w:rPr>
                    <w:t>钻井液材料使用中</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D8902E7">
                  <w:pPr>
                    <w:pStyle w:val="41"/>
                    <w:rPr>
                      <w:color w:val="auto"/>
                      <w:kern w:val="0"/>
                      <w:szCs w:val="18"/>
                      <w:highlight w:val="none"/>
                    </w:rPr>
                  </w:pPr>
                  <w:r>
                    <w:rPr>
                      <w:rFonts w:hint="eastAsia"/>
                      <w:color w:val="auto"/>
                      <w:kern w:val="0"/>
                      <w:szCs w:val="18"/>
                      <w:highlight w:val="none"/>
                    </w:rPr>
                    <w:t>设备维护、保养、维修过程中</w:t>
                  </w:r>
                </w:p>
              </w:tc>
            </w:tr>
            <w:tr w14:paraId="16AD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8EB7601">
                  <w:pPr>
                    <w:pStyle w:val="41"/>
                    <w:rPr>
                      <w:color w:val="auto"/>
                      <w:kern w:val="0"/>
                      <w:szCs w:val="18"/>
                      <w:highlight w:val="none"/>
                    </w:rPr>
                  </w:pPr>
                  <w:r>
                    <w:rPr>
                      <w:rFonts w:hint="eastAsia"/>
                      <w:color w:val="auto"/>
                      <w:kern w:val="0"/>
                      <w:szCs w:val="18"/>
                      <w:highlight w:val="none"/>
                    </w:rPr>
                    <w:t>形态</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C1AF55A">
                  <w:pPr>
                    <w:pStyle w:val="41"/>
                    <w:rPr>
                      <w:color w:val="auto"/>
                      <w:kern w:val="0"/>
                      <w:szCs w:val="18"/>
                      <w:highlight w:val="none"/>
                    </w:rPr>
                  </w:pPr>
                  <w:r>
                    <w:rPr>
                      <w:rFonts w:hint="eastAsia"/>
                      <w:color w:val="auto"/>
                      <w:kern w:val="0"/>
                      <w:szCs w:val="18"/>
                      <w:highlight w:val="none"/>
                    </w:rPr>
                    <w:t>液态</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1437A9A">
                  <w:pPr>
                    <w:pStyle w:val="41"/>
                    <w:rPr>
                      <w:color w:val="auto"/>
                      <w:kern w:val="0"/>
                      <w:szCs w:val="18"/>
                      <w:highlight w:val="none"/>
                    </w:rPr>
                  </w:pPr>
                  <w:r>
                    <w:rPr>
                      <w:rFonts w:hint="eastAsia"/>
                      <w:color w:val="auto"/>
                      <w:kern w:val="0"/>
                      <w:szCs w:val="18"/>
                      <w:highlight w:val="none"/>
                    </w:rPr>
                    <w:t>固体</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4C337FF">
                  <w:pPr>
                    <w:pStyle w:val="41"/>
                    <w:rPr>
                      <w:color w:val="auto"/>
                      <w:kern w:val="0"/>
                      <w:szCs w:val="18"/>
                      <w:highlight w:val="none"/>
                    </w:rPr>
                  </w:pPr>
                  <w:r>
                    <w:rPr>
                      <w:rFonts w:hint="eastAsia"/>
                      <w:color w:val="auto"/>
                      <w:kern w:val="0"/>
                      <w:szCs w:val="18"/>
                      <w:highlight w:val="none"/>
                    </w:rPr>
                    <w:t>液态</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047E124">
                  <w:pPr>
                    <w:pStyle w:val="41"/>
                    <w:rPr>
                      <w:color w:val="auto"/>
                      <w:kern w:val="0"/>
                      <w:szCs w:val="18"/>
                      <w:highlight w:val="none"/>
                    </w:rPr>
                  </w:pPr>
                  <w:r>
                    <w:rPr>
                      <w:rFonts w:hint="eastAsia"/>
                      <w:color w:val="auto"/>
                      <w:kern w:val="0"/>
                      <w:szCs w:val="18"/>
                      <w:highlight w:val="none"/>
                    </w:rPr>
                    <w:t>固体</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095020F">
                  <w:pPr>
                    <w:pStyle w:val="41"/>
                    <w:rPr>
                      <w:color w:val="auto"/>
                      <w:szCs w:val="18"/>
                      <w:highlight w:val="none"/>
                    </w:rPr>
                  </w:pPr>
                  <w:r>
                    <w:rPr>
                      <w:rFonts w:hint="eastAsia"/>
                      <w:color w:val="auto"/>
                      <w:szCs w:val="18"/>
                      <w:highlight w:val="none"/>
                    </w:rPr>
                    <w:t>固体</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F7CED71">
                  <w:pPr>
                    <w:pStyle w:val="41"/>
                    <w:rPr>
                      <w:color w:val="auto"/>
                      <w:kern w:val="0"/>
                      <w:szCs w:val="18"/>
                      <w:highlight w:val="none"/>
                    </w:rPr>
                  </w:pPr>
                  <w:r>
                    <w:rPr>
                      <w:rFonts w:hint="eastAsia"/>
                      <w:color w:val="auto"/>
                      <w:kern w:val="0"/>
                      <w:szCs w:val="18"/>
                      <w:highlight w:val="none"/>
                    </w:rPr>
                    <w:t>固体</w:t>
                  </w:r>
                </w:p>
              </w:tc>
            </w:tr>
            <w:tr w14:paraId="13D9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3086FD2">
                  <w:pPr>
                    <w:pStyle w:val="41"/>
                    <w:rPr>
                      <w:color w:val="auto"/>
                      <w:kern w:val="0"/>
                      <w:szCs w:val="18"/>
                      <w:highlight w:val="none"/>
                    </w:rPr>
                  </w:pPr>
                  <w:r>
                    <w:rPr>
                      <w:rFonts w:hint="eastAsia"/>
                      <w:color w:val="auto"/>
                      <w:kern w:val="0"/>
                      <w:szCs w:val="18"/>
                      <w:highlight w:val="none"/>
                    </w:rPr>
                    <w:t>主要成分</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5B682D0">
                  <w:pPr>
                    <w:pStyle w:val="41"/>
                    <w:rPr>
                      <w:color w:val="auto"/>
                      <w:kern w:val="0"/>
                      <w:szCs w:val="18"/>
                      <w:highlight w:val="none"/>
                    </w:rPr>
                  </w:pPr>
                  <w:r>
                    <w:rPr>
                      <w:rFonts w:hint="eastAsia"/>
                      <w:color w:val="auto"/>
                      <w:kern w:val="0"/>
                      <w:szCs w:val="18"/>
                      <w:highlight w:val="none"/>
                    </w:rPr>
                    <w:t>矿物油、泥浆、碎屑</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5C52FE5">
                  <w:pPr>
                    <w:pStyle w:val="41"/>
                    <w:rPr>
                      <w:color w:val="auto"/>
                      <w:kern w:val="0"/>
                      <w:szCs w:val="18"/>
                      <w:highlight w:val="none"/>
                    </w:rPr>
                  </w:pPr>
                  <w:r>
                    <w:rPr>
                      <w:rFonts w:hint="eastAsia"/>
                      <w:color w:val="auto"/>
                      <w:kern w:val="0"/>
                      <w:szCs w:val="18"/>
                      <w:highlight w:val="none"/>
                    </w:rPr>
                    <w:t>矿物油、防渗材料</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8CB1EDC">
                  <w:pPr>
                    <w:pStyle w:val="41"/>
                    <w:rPr>
                      <w:color w:val="auto"/>
                      <w:kern w:val="0"/>
                      <w:szCs w:val="18"/>
                      <w:highlight w:val="none"/>
                    </w:rPr>
                  </w:pPr>
                  <w:r>
                    <w:rPr>
                      <w:rFonts w:hint="eastAsia"/>
                      <w:color w:val="auto"/>
                      <w:kern w:val="0"/>
                      <w:szCs w:val="18"/>
                      <w:highlight w:val="none"/>
                    </w:rPr>
                    <w:t>矿物油</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36BC061">
                  <w:pPr>
                    <w:pStyle w:val="41"/>
                    <w:rPr>
                      <w:color w:val="auto"/>
                      <w:kern w:val="0"/>
                      <w:szCs w:val="18"/>
                      <w:highlight w:val="none"/>
                    </w:rPr>
                  </w:pPr>
                  <w:r>
                    <w:rPr>
                      <w:rFonts w:hint="eastAsia"/>
                      <w:color w:val="auto"/>
                      <w:kern w:val="0"/>
                      <w:szCs w:val="18"/>
                      <w:highlight w:val="none"/>
                    </w:rPr>
                    <w:t>矿物油、油桶</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7C016A4">
                  <w:pPr>
                    <w:pStyle w:val="41"/>
                    <w:rPr>
                      <w:color w:val="auto"/>
                      <w:szCs w:val="18"/>
                      <w:highlight w:val="none"/>
                    </w:rPr>
                  </w:pPr>
                  <w:r>
                    <w:rPr>
                      <w:rFonts w:hint="eastAsia"/>
                      <w:color w:val="auto"/>
                      <w:szCs w:val="18"/>
                      <w:highlight w:val="none"/>
                    </w:rPr>
                    <w:t>包装袋</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F315D68">
                  <w:pPr>
                    <w:pStyle w:val="41"/>
                    <w:rPr>
                      <w:color w:val="auto"/>
                      <w:kern w:val="0"/>
                      <w:szCs w:val="18"/>
                      <w:highlight w:val="none"/>
                    </w:rPr>
                  </w:pPr>
                  <w:r>
                    <w:rPr>
                      <w:rFonts w:hint="eastAsia"/>
                      <w:color w:val="auto"/>
                      <w:kern w:val="0"/>
                      <w:szCs w:val="18"/>
                      <w:highlight w:val="none"/>
                    </w:rPr>
                    <w:t>矿物油、手套、抹布</w:t>
                  </w:r>
                </w:p>
              </w:tc>
            </w:tr>
            <w:tr w14:paraId="54D6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E558956">
                  <w:pPr>
                    <w:pStyle w:val="41"/>
                    <w:rPr>
                      <w:color w:val="auto"/>
                      <w:kern w:val="0"/>
                      <w:szCs w:val="18"/>
                      <w:highlight w:val="none"/>
                    </w:rPr>
                  </w:pPr>
                  <w:r>
                    <w:rPr>
                      <w:rFonts w:hint="eastAsia"/>
                      <w:color w:val="auto"/>
                      <w:kern w:val="0"/>
                      <w:szCs w:val="18"/>
                      <w:highlight w:val="none"/>
                    </w:rPr>
                    <w:t>有害成分</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28256C7">
                  <w:pPr>
                    <w:pStyle w:val="41"/>
                    <w:rPr>
                      <w:color w:val="auto"/>
                      <w:kern w:val="0"/>
                      <w:szCs w:val="18"/>
                      <w:highlight w:val="none"/>
                    </w:rPr>
                  </w:pPr>
                  <w:r>
                    <w:rPr>
                      <w:rFonts w:hint="eastAsia"/>
                      <w:color w:val="auto"/>
                      <w:kern w:val="0"/>
                      <w:szCs w:val="18"/>
                      <w:highlight w:val="none"/>
                    </w:rPr>
                    <w:t>矿物油</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D47BC0D">
                  <w:pPr>
                    <w:pStyle w:val="41"/>
                    <w:rPr>
                      <w:color w:val="auto"/>
                      <w:kern w:val="0"/>
                      <w:szCs w:val="18"/>
                      <w:highlight w:val="none"/>
                    </w:rPr>
                  </w:pPr>
                  <w:r>
                    <w:rPr>
                      <w:rFonts w:hint="eastAsia"/>
                      <w:color w:val="auto"/>
                      <w:kern w:val="0"/>
                      <w:szCs w:val="18"/>
                      <w:highlight w:val="none"/>
                    </w:rPr>
                    <w:t>矿物油</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4061B90">
                  <w:pPr>
                    <w:pStyle w:val="41"/>
                    <w:rPr>
                      <w:color w:val="auto"/>
                      <w:kern w:val="0"/>
                      <w:szCs w:val="18"/>
                      <w:highlight w:val="none"/>
                    </w:rPr>
                  </w:pPr>
                  <w:r>
                    <w:rPr>
                      <w:rFonts w:hint="eastAsia"/>
                      <w:color w:val="auto"/>
                      <w:kern w:val="0"/>
                      <w:szCs w:val="18"/>
                      <w:highlight w:val="none"/>
                    </w:rPr>
                    <w:t>矿物油</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95C2FD1">
                  <w:pPr>
                    <w:pStyle w:val="41"/>
                    <w:rPr>
                      <w:color w:val="auto"/>
                      <w:kern w:val="0"/>
                      <w:szCs w:val="18"/>
                      <w:highlight w:val="none"/>
                    </w:rPr>
                  </w:pPr>
                  <w:r>
                    <w:rPr>
                      <w:rFonts w:hint="eastAsia"/>
                      <w:color w:val="auto"/>
                      <w:kern w:val="0"/>
                      <w:szCs w:val="18"/>
                      <w:highlight w:val="none"/>
                    </w:rPr>
                    <w:t>矿物油</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0A329DD">
                  <w:pPr>
                    <w:pStyle w:val="41"/>
                    <w:rPr>
                      <w:color w:val="auto"/>
                      <w:szCs w:val="18"/>
                      <w:highlight w:val="none"/>
                    </w:rPr>
                  </w:pPr>
                  <w:r>
                    <w:rPr>
                      <w:rFonts w:hint="eastAsia"/>
                      <w:color w:val="auto"/>
                      <w:szCs w:val="18"/>
                      <w:highlight w:val="none"/>
                    </w:rPr>
                    <w:t>碱性物质</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E89BAF6">
                  <w:pPr>
                    <w:pStyle w:val="41"/>
                    <w:rPr>
                      <w:color w:val="auto"/>
                      <w:kern w:val="0"/>
                      <w:szCs w:val="18"/>
                      <w:highlight w:val="none"/>
                    </w:rPr>
                  </w:pPr>
                  <w:r>
                    <w:rPr>
                      <w:rFonts w:hint="eastAsia"/>
                      <w:color w:val="auto"/>
                      <w:kern w:val="0"/>
                      <w:szCs w:val="18"/>
                      <w:highlight w:val="none"/>
                    </w:rPr>
                    <w:t>矿物油</w:t>
                  </w:r>
                </w:p>
              </w:tc>
            </w:tr>
            <w:tr w14:paraId="2FE8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5C7385C">
                  <w:pPr>
                    <w:pStyle w:val="41"/>
                    <w:rPr>
                      <w:color w:val="auto"/>
                      <w:kern w:val="0"/>
                      <w:szCs w:val="18"/>
                      <w:highlight w:val="none"/>
                    </w:rPr>
                  </w:pPr>
                  <w:r>
                    <w:rPr>
                      <w:rFonts w:hint="eastAsia"/>
                      <w:color w:val="auto"/>
                      <w:kern w:val="0"/>
                      <w:szCs w:val="18"/>
                      <w:highlight w:val="none"/>
                    </w:rPr>
                    <w:t>产废周期</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6C9ECF3">
                  <w:pPr>
                    <w:pStyle w:val="41"/>
                    <w:rPr>
                      <w:color w:val="auto"/>
                      <w:kern w:val="0"/>
                      <w:szCs w:val="18"/>
                      <w:highlight w:val="none"/>
                    </w:rPr>
                  </w:pPr>
                  <w:r>
                    <w:rPr>
                      <w:rFonts w:hint="eastAsia"/>
                      <w:color w:val="auto"/>
                      <w:kern w:val="0"/>
                      <w:szCs w:val="18"/>
                      <w:highlight w:val="none"/>
                    </w:rPr>
                    <w:t>无明显周期性</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B9403B6">
                  <w:pPr>
                    <w:pStyle w:val="41"/>
                    <w:rPr>
                      <w:color w:val="auto"/>
                      <w:kern w:val="0"/>
                      <w:szCs w:val="18"/>
                      <w:highlight w:val="none"/>
                    </w:rPr>
                  </w:pPr>
                  <w:r>
                    <w:rPr>
                      <w:rFonts w:hint="eastAsia"/>
                      <w:color w:val="auto"/>
                      <w:kern w:val="0"/>
                      <w:szCs w:val="18"/>
                      <w:highlight w:val="none"/>
                    </w:rPr>
                    <w:t>无明显周期性</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85F4A5C">
                  <w:pPr>
                    <w:pStyle w:val="41"/>
                    <w:rPr>
                      <w:color w:val="auto"/>
                      <w:kern w:val="0"/>
                      <w:szCs w:val="18"/>
                      <w:highlight w:val="none"/>
                    </w:rPr>
                  </w:pPr>
                  <w:r>
                    <w:rPr>
                      <w:rFonts w:hint="eastAsia"/>
                      <w:color w:val="auto"/>
                      <w:kern w:val="0"/>
                      <w:szCs w:val="18"/>
                      <w:highlight w:val="none"/>
                    </w:rPr>
                    <w:t>无明显周期性</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AB4A554">
                  <w:pPr>
                    <w:pStyle w:val="41"/>
                    <w:rPr>
                      <w:color w:val="auto"/>
                      <w:kern w:val="0"/>
                      <w:szCs w:val="18"/>
                      <w:highlight w:val="none"/>
                    </w:rPr>
                  </w:pPr>
                  <w:r>
                    <w:rPr>
                      <w:rFonts w:hint="eastAsia"/>
                      <w:color w:val="auto"/>
                      <w:kern w:val="0"/>
                      <w:szCs w:val="18"/>
                      <w:highlight w:val="none"/>
                    </w:rPr>
                    <w:t>无明显周期性</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F3775BB">
                  <w:pPr>
                    <w:pStyle w:val="41"/>
                    <w:rPr>
                      <w:color w:val="auto"/>
                      <w:szCs w:val="18"/>
                      <w:highlight w:val="none"/>
                    </w:rPr>
                  </w:pPr>
                  <w:r>
                    <w:rPr>
                      <w:rFonts w:hint="eastAsia"/>
                      <w:color w:val="auto"/>
                      <w:szCs w:val="18"/>
                      <w:highlight w:val="none"/>
                    </w:rPr>
                    <w:t>无明显周期性</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DAC8EA2">
                  <w:pPr>
                    <w:pStyle w:val="41"/>
                    <w:rPr>
                      <w:color w:val="auto"/>
                      <w:kern w:val="0"/>
                      <w:szCs w:val="18"/>
                      <w:highlight w:val="none"/>
                    </w:rPr>
                  </w:pPr>
                  <w:r>
                    <w:rPr>
                      <w:rFonts w:hint="eastAsia"/>
                      <w:color w:val="auto"/>
                      <w:kern w:val="0"/>
                      <w:szCs w:val="18"/>
                      <w:highlight w:val="none"/>
                    </w:rPr>
                    <w:t>无明显周期性</w:t>
                  </w:r>
                </w:p>
              </w:tc>
            </w:tr>
            <w:tr w14:paraId="5992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7B0BB4C">
                  <w:pPr>
                    <w:pStyle w:val="41"/>
                    <w:rPr>
                      <w:color w:val="auto"/>
                      <w:kern w:val="0"/>
                      <w:szCs w:val="18"/>
                      <w:highlight w:val="none"/>
                    </w:rPr>
                  </w:pPr>
                  <w:r>
                    <w:rPr>
                      <w:rFonts w:hint="eastAsia"/>
                      <w:color w:val="auto"/>
                      <w:kern w:val="0"/>
                      <w:szCs w:val="18"/>
                      <w:highlight w:val="none"/>
                    </w:rPr>
                    <w:t>危险特性</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20DF574">
                  <w:pPr>
                    <w:pStyle w:val="41"/>
                    <w:rPr>
                      <w:color w:val="auto"/>
                      <w:kern w:val="0"/>
                      <w:szCs w:val="18"/>
                      <w:highlight w:val="none"/>
                    </w:rPr>
                  </w:pPr>
                  <w:r>
                    <w:rPr>
                      <w:rFonts w:hint="eastAsia"/>
                      <w:color w:val="auto"/>
                      <w:kern w:val="0"/>
                      <w:szCs w:val="18"/>
                      <w:highlight w:val="none"/>
                    </w:rPr>
                    <w:t>T</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C8E2861">
                  <w:pPr>
                    <w:pStyle w:val="41"/>
                    <w:rPr>
                      <w:color w:val="auto"/>
                      <w:kern w:val="0"/>
                      <w:szCs w:val="18"/>
                      <w:highlight w:val="none"/>
                    </w:rPr>
                  </w:pPr>
                  <w:r>
                    <w:rPr>
                      <w:rFonts w:hint="eastAsia"/>
                      <w:color w:val="auto"/>
                      <w:kern w:val="0"/>
                      <w:szCs w:val="18"/>
                      <w:highlight w:val="none"/>
                    </w:rPr>
                    <w:t>T，I</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4AFBE6C">
                  <w:pPr>
                    <w:pStyle w:val="41"/>
                    <w:rPr>
                      <w:color w:val="auto"/>
                      <w:kern w:val="0"/>
                      <w:szCs w:val="18"/>
                      <w:highlight w:val="none"/>
                    </w:rPr>
                  </w:pPr>
                  <w:r>
                    <w:rPr>
                      <w:rFonts w:hint="eastAsia"/>
                      <w:color w:val="auto"/>
                      <w:kern w:val="0"/>
                      <w:szCs w:val="18"/>
                      <w:highlight w:val="none"/>
                    </w:rPr>
                    <w:t>T，I</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528FD05">
                  <w:pPr>
                    <w:pStyle w:val="41"/>
                    <w:rPr>
                      <w:color w:val="auto"/>
                      <w:kern w:val="0"/>
                      <w:szCs w:val="18"/>
                      <w:highlight w:val="none"/>
                    </w:rPr>
                  </w:pPr>
                  <w:r>
                    <w:rPr>
                      <w:rFonts w:hint="eastAsia"/>
                      <w:color w:val="auto"/>
                      <w:kern w:val="0"/>
                      <w:szCs w:val="18"/>
                      <w:highlight w:val="none"/>
                    </w:rPr>
                    <w:t>T，I</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07F5CBE">
                  <w:pPr>
                    <w:pStyle w:val="41"/>
                    <w:rPr>
                      <w:color w:val="auto"/>
                      <w:szCs w:val="18"/>
                      <w:highlight w:val="none"/>
                    </w:rPr>
                  </w:pPr>
                  <w:r>
                    <w:rPr>
                      <w:rFonts w:hint="eastAsia"/>
                      <w:color w:val="auto"/>
                      <w:szCs w:val="18"/>
                      <w:highlight w:val="none"/>
                    </w:rPr>
                    <w:t>T</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115BA25">
                  <w:pPr>
                    <w:pStyle w:val="41"/>
                    <w:rPr>
                      <w:color w:val="auto"/>
                      <w:kern w:val="0"/>
                      <w:szCs w:val="18"/>
                      <w:highlight w:val="none"/>
                    </w:rPr>
                  </w:pPr>
                  <w:r>
                    <w:rPr>
                      <w:rFonts w:hint="eastAsia"/>
                      <w:color w:val="auto"/>
                      <w:kern w:val="0"/>
                      <w:szCs w:val="18"/>
                      <w:highlight w:val="none"/>
                    </w:rPr>
                    <w:t>T</w:t>
                  </w:r>
                </w:p>
              </w:tc>
            </w:tr>
            <w:tr w14:paraId="30E6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25F8247">
                  <w:pPr>
                    <w:pStyle w:val="41"/>
                    <w:rPr>
                      <w:color w:val="auto"/>
                      <w:kern w:val="0"/>
                      <w:szCs w:val="18"/>
                      <w:highlight w:val="none"/>
                    </w:rPr>
                  </w:pPr>
                  <w:r>
                    <w:rPr>
                      <w:rFonts w:hint="eastAsia"/>
                      <w:color w:val="auto"/>
                      <w:kern w:val="0"/>
                      <w:szCs w:val="18"/>
                      <w:highlight w:val="none"/>
                    </w:rPr>
                    <w:t>污染防治措施</w:t>
                  </w:r>
                </w:p>
              </w:tc>
              <w:tc>
                <w:tcPr>
                  <w:tcW w:w="755"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515E124">
                  <w:pPr>
                    <w:pStyle w:val="41"/>
                    <w:rPr>
                      <w:color w:val="auto"/>
                      <w:kern w:val="0"/>
                      <w:szCs w:val="18"/>
                      <w:highlight w:val="none"/>
                    </w:rPr>
                  </w:pPr>
                  <w:r>
                    <w:rPr>
                      <w:rFonts w:hint="eastAsia"/>
                      <w:color w:val="auto"/>
                      <w:kern w:val="0"/>
                      <w:szCs w:val="18"/>
                      <w:highlight w:val="none"/>
                    </w:rPr>
                    <w:t>委托有相应危废处理资质的单位进行处置</w:t>
                  </w:r>
                </w:p>
              </w:tc>
              <w:tc>
                <w:tcPr>
                  <w:tcW w:w="66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36B0BF4">
                  <w:pPr>
                    <w:pStyle w:val="41"/>
                    <w:rPr>
                      <w:color w:val="auto"/>
                      <w:kern w:val="0"/>
                      <w:szCs w:val="18"/>
                      <w:highlight w:val="none"/>
                    </w:rPr>
                  </w:pPr>
                  <w:r>
                    <w:rPr>
                      <w:rFonts w:hint="eastAsia"/>
                      <w:color w:val="auto"/>
                      <w:kern w:val="0"/>
                      <w:szCs w:val="18"/>
                      <w:highlight w:val="none"/>
                    </w:rPr>
                    <w:t>委托有相应危废处理资质的单位进行处置</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CB65C5D">
                  <w:pPr>
                    <w:pStyle w:val="41"/>
                    <w:rPr>
                      <w:color w:val="auto"/>
                      <w:kern w:val="0"/>
                      <w:szCs w:val="18"/>
                      <w:highlight w:val="none"/>
                    </w:rPr>
                  </w:pPr>
                  <w:r>
                    <w:rPr>
                      <w:rFonts w:hint="eastAsia"/>
                      <w:color w:val="auto"/>
                      <w:kern w:val="0"/>
                      <w:szCs w:val="18"/>
                      <w:highlight w:val="none"/>
                    </w:rPr>
                    <w:t>委托有相应危废处理资质的单位进行处置</w:t>
                  </w:r>
                </w:p>
              </w:tc>
              <w:tc>
                <w:tcPr>
                  <w:tcW w:w="82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B025BFC">
                  <w:pPr>
                    <w:pStyle w:val="41"/>
                    <w:rPr>
                      <w:color w:val="auto"/>
                      <w:kern w:val="0"/>
                      <w:szCs w:val="18"/>
                      <w:highlight w:val="none"/>
                    </w:rPr>
                  </w:pPr>
                  <w:r>
                    <w:rPr>
                      <w:rFonts w:hint="eastAsia"/>
                      <w:color w:val="auto"/>
                      <w:kern w:val="0"/>
                      <w:szCs w:val="18"/>
                      <w:highlight w:val="none"/>
                    </w:rPr>
                    <w:t>委托有相应危废处理资质的单位进行处置</w:t>
                  </w:r>
                </w:p>
              </w:tc>
              <w:tc>
                <w:tcPr>
                  <w:tcW w:w="70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48FCAA9">
                  <w:pPr>
                    <w:pStyle w:val="41"/>
                    <w:rPr>
                      <w:color w:val="auto"/>
                      <w:szCs w:val="18"/>
                      <w:highlight w:val="none"/>
                    </w:rPr>
                  </w:pPr>
                  <w:r>
                    <w:rPr>
                      <w:rFonts w:hint="eastAsia"/>
                      <w:color w:val="auto"/>
                      <w:kern w:val="0"/>
                      <w:szCs w:val="18"/>
                      <w:highlight w:val="none"/>
                    </w:rPr>
                    <w:t>委托有相应危废处理资质的单位进行处置</w:t>
                  </w:r>
                </w:p>
              </w:tc>
              <w:tc>
                <w:tcPr>
                  <w:tcW w:w="818"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B5E6F77">
                  <w:pPr>
                    <w:pStyle w:val="41"/>
                    <w:rPr>
                      <w:color w:val="auto"/>
                      <w:kern w:val="0"/>
                      <w:szCs w:val="18"/>
                      <w:highlight w:val="none"/>
                    </w:rPr>
                  </w:pPr>
                  <w:r>
                    <w:rPr>
                      <w:rFonts w:hint="eastAsia"/>
                      <w:color w:val="auto"/>
                      <w:kern w:val="0"/>
                      <w:szCs w:val="18"/>
                      <w:highlight w:val="none"/>
                    </w:rPr>
                    <w:t>委托有相应危废处理资质的单位进行处置</w:t>
                  </w:r>
                </w:p>
              </w:tc>
            </w:tr>
          </w:tbl>
          <w:p w14:paraId="5F52E790">
            <w:pPr>
              <w:pStyle w:val="92"/>
              <w:ind w:firstLine="0" w:firstLineChars="0"/>
              <w:rPr>
                <w:color w:val="auto"/>
                <w:kern w:val="0"/>
                <w:highlight w:val="none"/>
              </w:rPr>
            </w:pPr>
          </w:p>
          <w:p w14:paraId="46FC11CD">
            <w:pPr>
              <w:pStyle w:val="13"/>
              <w:bidi w:val="0"/>
              <w:rPr>
                <w:color w:val="auto"/>
                <w:highlight w:val="none"/>
              </w:rPr>
            </w:pPr>
            <w:bookmarkStart w:id="63" w:name="_Ref363149343"/>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33</w:t>
            </w:r>
            <w:r>
              <w:rPr>
                <w:rFonts w:hint="eastAsia"/>
                <w:color w:val="auto"/>
                <w:highlight w:val="none"/>
              </w:rPr>
              <w:fldChar w:fldCharType="end"/>
            </w:r>
            <w:bookmarkEnd w:id="63"/>
            <w:r>
              <w:rPr>
                <w:rFonts w:hint="eastAsia"/>
                <w:color w:val="auto"/>
                <w:highlight w:val="none"/>
              </w:rPr>
              <w:t xml:space="preserve">  本项目危险废物贮存场所（设施）基本情况一览表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883"/>
              <w:gridCol w:w="657"/>
              <w:gridCol w:w="1568"/>
              <w:gridCol w:w="606"/>
              <w:gridCol w:w="821"/>
              <w:gridCol w:w="781"/>
              <w:gridCol w:w="664"/>
              <w:gridCol w:w="743"/>
            </w:tblGrid>
            <w:tr w14:paraId="7702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9" w:type="pct"/>
                  <w:tcMar>
                    <w:top w:w="57" w:type="dxa"/>
                    <w:left w:w="108" w:type="dxa"/>
                    <w:bottom w:w="57" w:type="dxa"/>
                    <w:right w:w="108" w:type="dxa"/>
                  </w:tcMar>
                  <w:vAlign w:val="center"/>
                </w:tcPr>
                <w:p w14:paraId="727FCF38">
                  <w:pPr>
                    <w:pStyle w:val="41"/>
                    <w:rPr>
                      <w:color w:val="auto"/>
                      <w:kern w:val="0"/>
                      <w:szCs w:val="18"/>
                      <w:highlight w:val="none"/>
                    </w:rPr>
                  </w:pPr>
                  <w:r>
                    <w:rPr>
                      <w:rFonts w:hint="eastAsia"/>
                      <w:color w:val="auto"/>
                      <w:kern w:val="0"/>
                      <w:szCs w:val="18"/>
                      <w:highlight w:val="none"/>
                    </w:rPr>
                    <w:t>贮存场所（设施）名称</w:t>
                  </w:r>
                </w:p>
              </w:tc>
              <w:tc>
                <w:tcPr>
                  <w:tcW w:w="577" w:type="pct"/>
                  <w:tcMar>
                    <w:top w:w="57" w:type="dxa"/>
                    <w:left w:w="108" w:type="dxa"/>
                    <w:bottom w:w="57" w:type="dxa"/>
                    <w:right w:w="108" w:type="dxa"/>
                  </w:tcMar>
                  <w:vAlign w:val="center"/>
                </w:tcPr>
                <w:p w14:paraId="2C3D839E">
                  <w:pPr>
                    <w:pStyle w:val="41"/>
                    <w:rPr>
                      <w:color w:val="auto"/>
                      <w:kern w:val="0"/>
                      <w:szCs w:val="18"/>
                      <w:highlight w:val="none"/>
                    </w:rPr>
                  </w:pPr>
                  <w:r>
                    <w:rPr>
                      <w:rFonts w:hint="eastAsia"/>
                      <w:color w:val="auto"/>
                      <w:kern w:val="0"/>
                      <w:szCs w:val="18"/>
                      <w:highlight w:val="none"/>
                    </w:rPr>
                    <w:t>危险废物名称</w:t>
                  </w:r>
                </w:p>
              </w:tc>
              <w:tc>
                <w:tcPr>
                  <w:tcW w:w="429" w:type="pct"/>
                  <w:tcMar>
                    <w:top w:w="57" w:type="dxa"/>
                    <w:left w:w="108" w:type="dxa"/>
                    <w:bottom w:w="57" w:type="dxa"/>
                    <w:right w:w="108" w:type="dxa"/>
                  </w:tcMar>
                  <w:vAlign w:val="center"/>
                </w:tcPr>
                <w:p w14:paraId="4EEF0A02">
                  <w:pPr>
                    <w:pStyle w:val="41"/>
                    <w:rPr>
                      <w:color w:val="auto"/>
                      <w:kern w:val="0"/>
                      <w:szCs w:val="18"/>
                      <w:highlight w:val="none"/>
                    </w:rPr>
                  </w:pPr>
                  <w:r>
                    <w:rPr>
                      <w:rFonts w:hint="eastAsia"/>
                      <w:color w:val="auto"/>
                      <w:kern w:val="0"/>
                      <w:szCs w:val="18"/>
                      <w:highlight w:val="none"/>
                    </w:rPr>
                    <w:t>危险废物类别</w:t>
                  </w:r>
                </w:p>
              </w:tc>
              <w:tc>
                <w:tcPr>
                  <w:tcW w:w="1024" w:type="pct"/>
                  <w:tcMar>
                    <w:top w:w="57" w:type="dxa"/>
                    <w:left w:w="108" w:type="dxa"/>
                    <w:bottom w:w="57" w:type="dxa"/>
                    <w:right w:w="108" w:type="dxa"/>
                  </w:tcMar>
                  <w:vAlign w:val="center"/>
                </w:tcPr>
                <w:p w14:paraId="435FBEC0">
                  <w:pPr>
                    <w:pStyle w:val="41"/>
                    <w:rPr>
                      <w:color w:val="auto"/>
                      <w:kern w:val="0"/>
                      <w:szCs w:val="18"/>
                      <w:highlight w:val="none"/>
                    </w:rPr>
                  </w:pPr>
                  <w:r>
                    <w:rPr>
                      <w:rFonts w:hint="eastAsia"/>
                      <w:color w:val="auto"/>
                      <w:kern w:val="0"/>
                      <w:szCs w:val="18"/>
                      <w:highlight w:val="none"/>
                    </w:rPr>
                    <w:t>危险废物代码</w:t>
                  </w:r>
                </w:p>
              </w:tc>
              <w:tc>
                <w:tcPr>
                  <w:tcW w:w="396" w:type="pct"/>
                  <w:tcMar>
                    <w:top w:w="57" w:type="dxa"/>
                    <w:left w:w="108" w:type="dxa"/>
                    <w:bottom w:w="57" w:type="dxa"/>
                    <w:right w:w="108" w:type="dxa"/>
                  </w:tcMar>
                  <w:vAlign w:val="center"/>
                </w:tcPr>
                <w:p w14:paraId="4B25A54A">
                  <w:pPr>
                    <w:pStyle w:val="41"/>
                    <w:rPr>
                      <w:color w:val="auto"/>
                      <w:kern w:val="0"/>
                      <w:szCs w:val="18"/>
                      <w:highlight w:val="none"/>
                    </w:rPr>
                  </w:pPr>
                  <w:r>
                    <w:rPr>
                      <w:rFonts w:hint="eastAsia"/>
                      <w:color w:val="auto"/>
                      <w:kern w:val="0"/>
                      <w:szCs w:val="18"/>
                      <w:highlight w:val="none"/>
                    </w:rPr>
                    <w:t>位置</w:t>
                  </w:r>
                </w:p>
              </w:tc>
              <w:tc>
                <w:tcPr>
                  <w:tcW w:w="536" w:type="pct"/>
                  <w:tcMar>
                    <w:top w:w="57" w:type="dxa"/>
                    <w:left w:w="108" w:type="dxa"/>
                    <w:bottom w:w="57" w:type="dxa"/>
                    <w:right w:w="108" w:type="dxa"/>
                  </w:tcMar>
                  <w:vAlign w:val="center"/>
                </w:tcPr>
                <w:p w14:paraId="7E42E40B">
                  <w:pPr>
                    <w:pStyle w:val="41"/>
                    <w:rPr>
                      <w:color w:val="auto"/>
                      <w:kern w:val="0"/>
                      <w:szCs w:val="18"/>
                      <w:highlight w:val="none"/>
                    </w:rPr>
                  </w:pPr>
                  <w:r>
                    <w:rPr>
                      <w:rFonts w:hint="eastAsia"/>
                      <w:color w:val="auto"/>
                      <w:kern w:val="0"/>
                      <w:szCs w:val="18"/>
                      <w:highlight w:val="none"/>
                    </w:rPr>
                    <w:t>占地面积</w:t>
                  </w:r>
                </w:p>
              </w:tc>
              <w:tc>
                <w:tcPr>
                  <w:tcW w:w="510" w:type="pct"/>
                  <w:tcMar>
                    <w:top w:w="57" w:type="dxa"/>
                    <w:left w:w="108" w:type="dxa"/>
                    <w:bottom w:w="57" w:type="dxa"/>
                    <w:right w:w="108" w:type="dxa"/>
                  </w:tcMar>
                  <w:vAlign w:val="center"/>
                </w:tcPr>
                <w:p w14:paraId="673363DE">
                  <w:pPr>
                    <w:pStyle w:val="41"/>
                    <w:rPr>
                      <w:color w:val="auto"/>
                      <w:kern w:val="0"/>
                      <w:szCs w:val="18"/>
                      <w:highlight w:val="none"/>
                    </w:rPr>
                  </w:pPr>
                  <w:r>
                    <w:rPr>
                      <w:rFonts w:hint="eastAsia"/>
                      <w:color w:val="auto"/>
                      <w:kern w:val="0"/>
                      <w:szCs w:val="18"/>
                      <w:highlight w:val="none"/>
                    </w:rPr>
                    <w:t>贮存方式</w:t>
                  </w:r>
                </w:p>
              </w:tc>
              <w:tc>
                <w:tcPr>
                  <w:tcW w:w="434" w:type="pct"/>
                  <w:tcMar>
                    <w:top w:w="57" w:type="dxa"/>
                    <w:left w:w="108" w:type="dxa"/>
                    <w:bottom w:w="57" w:type="dxa"/>
                    <w:right w:w="108" w:type="dxa"/>
                  </w:tcMar>
                  <w:vAlign w:val="center"/>
                </w:tcPr>
                <w:p w14:paraId="398B2ED0">
                  <w:pPr>
                    <w:pStyle w:val="41"/>
                    <w:rPr>
                      <w:color w:val="auto"/>
                      <w:kern w:val="0"/>
                      <w:szCs w:val="18"/>
                      <w:highlight w:val="none"/>
                    </w:rPr>
                  </w:pPr>
                  <w:r>
                    <w:rPr>
                      <w:rFonts w:hint="eastAsia"/>
                      <w:color w:val="auto"/>
                      <w:kern w:val="0"/>
                      <w:szCs w:val="18"/>
                      <w:highlight w:val="none"/>
                    </w:rPr>
                    <w:t>贮存</w:t>
                  </w:r>
                </w:p>
                <w:p w14:paraId="2B8FC25F">
                  <w:pPr>
                    <w:pStyle w:val="41"/>
                    <w:rPr>
                      <w:color w:val="auto"/>
                      <w:kern w:val="0"/>
                      <w:szCs w:val="18"/>
                      <w:highlight w:val="none"/>
                    </w:rPr>
                  </w:pPr>
                  <w:r>
                    <w:rPr>
                      <w:rFonts w:hint="eastAsia"/>
                      <w:color w:val="auto"/>
                      <w:kern w:val="0"/>
                      <w:szCs w:val="18"/>
                      <w:highlight w:val="none"/>
                    </w:rPr>
                    <w:t>能力</w:t>
                  </w:r>
                </w:p>
              </w:tc>
              <w:tc>
                <w:tcPr>
                  <w:tcW w:w="486" w:type="pct"/>
                  <w:tcMar>
                    <w:top w:w="57" w:type="dxa"/>
                    <w:left w:w="108" w:type="dxa"/>
                    <w:bottom w:w="57" w:type="dxa"/>
                    <w:right w:w="108" w:type="dxa"/>
                  </w:tcMar>
                  <w:vAlign w:val="center"/>
                </w:tcPr>
                <w:p w14:paraId="45208410">
                  <w:pPr>
                    <w:pStyle w:val="41"/>
                    <w:rPr>
                      <w:color w:val="auto"/>
                      <w:kern w:val="0"/>
                      <w:szCs w:val="18"/>
                      <w:highlight w:val="none"/>
                    </w:rPr>
                  </w:pPr>
                  <w:r>
                    <w:rPr>
                      <w:rFonts w:hint="eastAsia"/>
                      <w:color w:val="auto"/>
                      <w:kern w:val="0"/>
                      <w:szCs w:val="18"/>
                      <w:highlight w:val="none"/>
                    </w:rPr>
                    <w:t>贮存</w:t>
                  </w:r>
                </w:p>
                <w:p w14:paraId="0B773395">
                  <w:pPr>
                    <w:pStyle w:val="41"/>
                    <w:rPr>
                      <w:color w:val="auto"/>
                      <w:kern w:val="0"/>
                      <w:szCs w:val="18"/>
                      <w:highlight w:val="none"/>
                    </w:rPr>
                  </w:pPr>
                  <w:r>
                    <w:rPr>
                      <w:rFonts w:hint="eastAsia"/>
                      <w:color w:val="auto"/>
                      <w:kern w:val="0"/>
                      <w:szCs w:val="18"/>
                      <w:highlight w:val="none"/>
                    </w:rPr>
                    <w:t>周期</w:t>
                  </w:r>
                </w:p>
              </w:tc>
            </w:tr>
            <w:tr w14:paraId="2490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609" w:type="pct"/>
                  <w:vMerge w:val="restart"/>
                  <w:tcMar>
                    <w:top w:w="57" w:type="dxa"/>
                    <w:left w:w="108" w:type="dxa"/>
                    <w:bottom w:w="57" w:type="dxa"/>
                    <w:right w:w="108" w:type="dxa"/>
                  </w:tcMar>
                  <w:vAlign w:val="center"/>
                </w:tcPr>
                <w:p w14:paraId="35E0FC1B">
                  <w:pPr>
                    <w:pStyle w:val="41"/>
                    <w:rPr>
                      <w:color w:val="auto"/>
                      <w:kern w:val="0"/>
                      <w:szCs w:val="18"/>
                      <w:highlight w:val="none"/>
                    </w:rPr>
                  </w:pPr>
                  <w:r>
                    <w:rPr>
                      <w:rFonts w:hint="eastAsia"/>
                      <w:color w:val="auto"/>
                      <w:kern w:val="0"/>
                      <w:szCs w:val="18"/>
                      <w:highlight w:val="none"/>
                    </w:rPr>
                    <w:t>危险废物贮存点</w:t>
                  </w:r>
                </w:p>
              </w:tc>
              <w:tc>
                <w:tcPr>
                  <w:tcW w:w="577" w:type="pct"/>
                  <w:tcMar>
                    <w:top w:w="57" w:type="dxa"/>
                    <w:left w:w="108" w:type="dxa"/>
                    <w:bottom w:w="57" w:type="dxa"/>
                    <w:right w:w="108" w:type="dxa"/>
                  </w:tcMar>
                  <w:vAlign w:val="center"/>
                </w:tcPr>
                <w:p w14:paraId="133465AA">
                  <w:pPr>
                    <w:pStyle w:val="41"/>
                    <w:rPr>
                      <w:color w:val="auto"/>
                      <w:kern w:val="0"/>
                      <w:szCs w:val="18"/>
                      <w:highlight w:val="none"/>
                    </w:rPr>
                  </w:pPr>
                  <w:r>
                    <w:rPr>
                      <w:rFonts w:hint="eastAsia"/>
                      <w:color w:val="auto"/>
                      <w:kern w:val="0"/>
                      <w:szCs w:val="18"/>
                      <w:highlight w:val="none"/>
                    </w:rPr>
                    <w:t>废润滑油</w:t>
                  </w:r>
                </w:p>
              </w:tc>
              <w:tc>
                <w:tcPr>
                  <w:tcW w:w="429" w:type="pct"/>
                  <w:tcMar>
                    <w:top w:w="57" w:type="dxa"/>
                    <w:left w:w="108" w:type="dxa"/>
                    <w:bottom w:w="57" w:type="dxa"/>
                    <w:right w:w="108" w:type="dxa"/>
                  </w:tcMar>
                  <w:vAlign w:val="center"/>
                </w:tcPr>
                <w:p w14:paraId="5C2CD3AB">
                  <w:pPr>
                    <w:pStyle w:val="41"/>
                    <w:rPr>
                      <w:color w:val="auto"/>
                      <w:kern w:val="0"/>
                      <w:szCs w:val="18"/>
                      <w:highlight w:val="none"/>
                    </w:rPr>
                  </w:pPr>
                  <w:r>
                    <w:rPr>
                      <w:rFonts w:hint="eastAsia"/>
                      <w:color w:val="auto"/>
                      <w:kern w:val="0"/>
                      <w:szCs w:val="18"/>
                      <w:highlight w:val="none"/>
                    </w:rPr>
                    <w:t>H</w:t>
                  </w:r>
                  <w:r>
                    <w:rPr>
                      <w:color w:val="auto"/>
                      <w:kern w:val="0"/>
                      <w:szCs w:val="18"/>
                      <w:highlight w:val="none"/>
                    </w:rPr>
                    <w:t>W08</w:t>
                  </w:r>
                </w:p>
              </w:tc>
              <w:tc>
                <w:tcPr>
                  <w:tcW w:w="1024" w:type="pct"/>
                  <w:tcMar>
                    <w:top w:w="57" w:type="dxa"/>
                    <w:left w:w="108" w:type="dxa"/>
                    <w:bottom w:w="57" w:type="dxa"/>
                    <w:right w:w="108" w:type="dxa"/>
                  </w:tcMar>
                  <w:vAlign w:val="center"/>
                </w:tcPr>
                <w:p w14:paraId="3EC127B4">
                  <w:pPr>
                    <w:pStyle w:val="41"/>
                    <w:rPr>
                      <w:color w:val="auto"/>
                      <w:kern w:val="0"/>
                      <w:szCs w:val="18"/>
                      <w:highlight w:val="none"/>
                    </w:rPr>
                  </w:pPr>
                  <w:r>
                    <w:rPr>
                      <w:rFonts w:hint="eastAsia"/>
                      <w:color w:val="auto"/>
                      <w:kern w:val="0"/>
                      <w:szCs w:val="18"/>
                      <w:highlight w:val="none"/>
                    </w:rPr>
                    <w:t>900-249-08</w:t>
                  </w:r>
                </w:p>
              </w:tc>
              <w:tc>
                <w:tcPr>
                  <w:tcW w:w="396" w:type="pct"/>
                  <w:vMerge w:val="restart"/>
                  <w:tcMar>
                    <w:top w:w="57" w:type="dxa"/>
                    <w:left w:w="108" w:type="dxa"/>
                    <w:bottom w:w="57" w:type="dxa"/>
                    <w:right w:w="108" w:type="dxa"/>
                  </w:tcMar>
                  <w:vAlign w:val="center"/>
                </w:tcPr>
                <w:p w14:paraId="131D0367">
                  <w:pPr>
                    <w:pStyle w:val="41"/>
                    <w:rPr>
                      <w:color w:val="auto"/>
                      <w:kern w:val="0"/>
                      <w:szCs w:val="18"/>
                      <w:highlight w:val="none"/>
                    </w:rPr>
                  </w:pPr>
                  <w:r>
                    <w:rPr>
                      <w:rFonts w:hint="eastAsia"/>
                      <w:color w:val="auto"/>
                      <w:kern w:val="0"/>
                      <w:szCs w:val="18"/>
                      <w:highlight w:val="none"/>
                    </w:rPr>
                    <w:t>井场西侧</w:t>
                  </w:r>
                </w:p>
              </w:tc>
              <w:tc>
                <w:tcPr>
                  <w:tcW w:w="536" w:type="pct"/>
                  <w:vMerge w:val="restart"/>
                  <w:tcMar>
                    <w:top w:w="57" w:type="dxa"/>
                    <w:left w:w="108" w:type="dxa"/>
                    <w:bottom w:w="57" w:type="dxa"/>
                    <w:right w:w="108" w:type="dxa"/>
                  </w:tcMar>
                  <w:vAlign w:val="center"/>
                </w:tcPr>
                <w:p w14:paraId="5B18462E">
                  <w:pPr>
                    <w:pStyle w:val="41"/>
                    <w:rPr>
                      <w:color w:val="auto"/>
                      <w:kern w:val="0"/>
                      <w:szCs w:val="18"/>
                      <w:highlight w:val="none"/>
                    </w:rPr>
                  </w:pPr>
                  <w:r>
                    <w:rPr>
                      <w:color w:val="auto"/>
                      <w:kern w:val="0"/>
                      <w:szCs w:val="18"/>
                      <w:highlight w:val="none"/>
                    </w:rPr>
                    <w:t>10</w:t>
                  </w:r>
                  <w:r>
                    <w:rPr>
                      <w:rFonts w:hint="eastAsia"/>
                      <w:color w:val="auto"/>
                      <w:kern w:val="0"/>
                      <w:szCs w:val="18"/>
                      <w:highlight w:val="none"/>
                    </w:rPr>
                    <w:t>m</w:t>
                  </w:r>
                  <w:r>
                    <w:rPr>
                      <w:color w:val="auto"/>
                      <w:kern w:val="0"/>
                      <w:szCs w:val="18"/>
                      <w:highlight w:val="none"/>
                      <w:vertAlign w:val="superscript"/>
                    </w:rPr>
                    <w:t>2</w:t>
                  </w:r>
                </w:p>
              </w:tc>
              <w:tc>
                <w:tcPr>
                  <w:tcW w:w="510" w:type="pct"/>
                  <w:tcMar>
                    <w:top w:w="57" w:type="dxa"/>
                    <w:left w:w="108" w:type="dxa"/>
                    <w:bottom w:w="57" w:type="dxa"/>
                    <w:right w:w="108" w:type="dxa"/>
                  </w:tcMar>
                  <w:vAlign w:val="center"/>
                </w:tcPr>
                <w:p w14:paraId="4D4942A7">
                  <w:pPr>
                    <w:pStyle w:val="41"/>
                    <w:rPr>
                      <w:color w:val="auto"/>
                      <w:kern w:val="0"/>
                      <w:szCs w:val="18"/>
                      <w:highlight w:val="none"/>
                    </w:rPr>
                  </w:pPr>
                  <w:r>
                    <w:rPr>
                      <w:rFonts w:hint="eastAsia"/>
                      <w:color w:val="auto"/>
                      <w:kern w:val="0"/>
                      <w:szCs w:val="18"/>
                      <w:highlight w:val="none"/>
                    </w:rPr>
                    <w:t>桶装</w:t>
                  </w:r>
                </w:p>
              </w:tc>
              <w:tc>
                <w:tcPr>
                  <w:tcW w:w="434" w:type="pct"/>
                  <w:tcMar>
                    <w:top w:w="57" w:type="dxa"/>
                    <w:left w:w="108" w:type="dxa"/>
                    <w:bottom w:w="57" w:type="dxa"/>
                    <w:right w:w="108" w:type="dxa"/>
                  </w:tcMar>
                  <w:vAlign w:val="center"/>
                </w:tcPr>
                <w:p w14:paraId="0E8EE8BF">
                  <w:pPr>
                    <w:pStyle w:val="41"/>
                    <w:rPr>
                      <w:color w:val="auto"/>
                      <w:kern w:val="0"/>
                      <w:szCs w:val="18"/>
                      <w:highlight w:val="none"/>
                    </w:rPr>
                  </w:pPr>
                  <w:r>
                    <w:rPr>
                      <w:color w:val="auto"/>
                      <w:kern w:val="0"/>
                      <w:szCs w:val="18"/>
                      <w:highlight w:val="none"/>
                    </w:rPr>
                    <w:t>1</w:t>
                  </w:r>
                  <w:r>
                    <w:rPr>
                      <w:rFonts w:hint="eastAsia"/>
                      <w:color w:val="auto"/>
                      <w:kern w:val="0"/>
                      <w:szCs w:val="18"/>
                      <w:highlight w:val="none"/>
                    </w:rPr>
                    <w:t>t</w:t>
                  </w:r>
                </w:p>
              </w:tc>
              <w:tc>
                <w:tcPr>
                  <w:tcW w:w="486" w:type="pct"/>
                  <w:vMerge w:val="restart"/>
                  <w:tcMar>
                    <w:top w:w="57" w:type="dxa"/>
                    <w:left w:w="108" w:type="dxa"/>
                    <w:bottom w:w="57" w:type="dxa"/>
                    <w:right w:w="108" w:type="dxa"/>
                  </w:tcMar>
                  <w:vAlign w:val="center"/>
                </w:tcPr>
                <w:p w14:paraId="1B83A654">
                  <w:pPr>
                    <w:pStyle w:val="41"/>
                    <w:rPr>
                      <w:color w:val="auto"/>
                      <w:kern w:val="0"/>
                      <w:szCs w:val="18"/>
                      <w:highlight w:val="none"/>
                    </w:rPr>
                  </w:pPr>
                  <w:r>
                    <w:rPr>
                      <w:rFonts w:hint="eastAsia"/>
                      <w:color w:val="auto"/>
                      <w:kern w:val="0"/>
                      <w:szCs w:val="18"/>
                      <w:highlight w:val="none"/>
                    </w:rPr>
                    <w:t>最大贮存时间为1个施工周期</w:t>
                  </w:r>
                </w:p>
              </w:tc>
            </w:tr>
            <w:tr w14:paraId="334E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vMerge w:val="continue"/>
                  <w:tcMar>
                    <w:top w:w="57" w:type="dxa"/>
                    <w:left w:w="108" w:type="dxa"/>
                    <w:bottom w:w="57" w:type="dxa"/>
                    <w:right w:w="108" w:type="dxa"/>
                  </w:tcMar>
                  <w:vAlign w:val="center"/>
                </w:tcPr>
                <w:p w14:paraId="5D7696AA">
                  <w:pPr>
                    <w:pStyle w:val="41"/>
                    <w:rPr>
                      <w:color w:val="auto"/>
                      <w:kern w:val="0"/>
                      <w:szCs w:val="18"/>
                      <w:highlight w:val="none"/>
                    </w:rPr>
                  </w:pPr>
                </w:p>
              </w:tc>
              <w:tc>
                <w:tcPr>
                  <w:tcW w:w="577" w:type="pct"/>
                  <w:tcMar>
                    <w:top w:w="57" w:type="dxa"/>
                    <w:left w:w="108" w:type="dxa"/>
                    <w:bottom w:w="57" w:type="dxa"/>
                    <w:right w:w="108" w:type="dxa"/>
                  </w:tcMar>
                  <w:vAlign w:val="center"/>
                </w:tcPr>
                <w:p w14:paraId="297ED8F1">
                  <w:pPr>
                    <w:pStyle w:val="41"/>
                    <w:rPr>
                      <w:color w:val="auto"/>
                      <w:kern w:val="0"/>
                      <w:szCs w:val="18"/>
                      <w:highlight w:val="none"/>
                    </w:rPr>
                  </w:pPr>
                  <w:r>
                    <w:rPr>
                      <w:rFonts w:hint="eastAsia"/>
                      <w:color w:val="auto"/>
                      <w:kern w:val="0"/>
                      <w:szCs w:val="18"/>
                      <w:highlight w:val="none"/>
                    </w:rPr>
                    <w:t>废润滑油桶</w:t>
                  </w:r>
                </w:p>
              </w:tc>
              <w:tc>
                <w:tcPr>
                  <w:tcW w:w="429" w:type="pct"/>
                  <w:tcMar>
                    <w:top w:w="57" w:type="dxa"/>
                    <w:left w:w="108" w:type="dxa"/>
                    <w:bottom w:w="57" w:type="dxa"/>
                    <w:right w:w="108" w:type="dxa"/>
                  </w:tcMar>
                  <w:vAlign w:val="center"/>
                </w:tcPr>
                <w:p w14:paraId="02555F96">
                  <w:pPr>
                    <w:pStyle w:val="41"/>
                    <w:rPr>
                      <w:color w:val="auto"/>
                      <w:kern w:val="0"/>
                      <w:szCs w:val="18"/>
                      <w:highlight w:val="none"/>
                    </w:rPr>
                  </w:pPr>
                  <w:r>
                    <w:rPr>
                      <w:rFonts w:hint="eastAsia"/>
                      <w:color w:val="auto"/>
                      <w:kern w:val="0"/>
                      <w:szCs w:val="18"/>
                      <w:highlight w:val="none"/>
                    </w:rPr>
                    <w:t>H</w:t>
                  </w:r>
                  <w:r>
                    <w:rPr>
                      <w:color w:val="auto"/>
                      <w:kern w:val="0"/>
                      <w:szCs w:val="18"/>
                      <w:highlight w:val="none"/>
                    </w:rPr>
                    <w:t>W08</w:t>
                  </w:r>
                </w:p>
              </w:tc>
              <w:tc>
                <w:tcPr>
                  <w:tcW w:w="1024" w:type="pct"/>
                  <w:tcMar>
                    <w:top w:w="57" w:type="dxa"/>
                    <w:left w:w="108" w:type="dxa"/>
                    <w:bottom w:w="57" w:type="dxa"/>
                    <w:right w:w="108" w:type="dxa"/>
                  </w:tcMar>
                  <w:vAlign w:val="center"/>
                </w:tcPr>
                <w:p w14:paraId="20409C4A">
                  <w:pPr>
                    <w:pStyle w:val="41"/>
                    <w:rPr>
                      <w:color w:val="auto"/>
                      <w:kern w:val="0"/>
                      <w:szCs w:val="18"/>
                      <w:highlight w:val="none"/>
                    </w:rPr>
                  </w:pPr>
                  <w:r>
                    <w:rPr>
                      <w:rFonts w:hint="eastAsia"/>
                      <w:color w:val="auto"/>
                      <w:kern w:val="0"/>
                      <w:szCs w:val="18"/>
                      <w:highlight w:val="none"/>
                    </w:rPr>
                    <w:t>900-249-08</w:t>
                  </w:r>
                </w:p>
              </w:tc>
              <w:tc>
                <w:tcPr>
                  <w:tcW w:w="396" w:type="pct"/>
                  <w:vMerge w:val="continue"/>
                  <w:tcMar>
                    <w:top w:w="57" w:type="dxa"/>
                    <w:left w:w="108" w:type="dxa"/>
                    <w:bottom w:w="57" w:type="dxa"/>
                    <w:right w:w="108" w:type="dxa"/>
                  </w:tcMar>
                  <w:vAlign w:val="center"/>
                </w:tcPr>
                <w:p w14:paraId="69B88F76">
                  <w:pPr>
                    <w:pStyle w:val="41"/>
                    <w:rPr>
                      <w:color w:val="auto"/>
                      <w:kern w:val="0"/>
                      <w:szCs w:val="18"/>
                      <w:highlight w:val="none"/>
                    </w:rPr>
                  </w:pPr>
                </w:p>
              </w:tc>
              <w:tc>
                <w:tcPr>
                  <w:tcW w:w="536" w:type="pct"/>
                  <w:vMerge w:val="continue"/>
                  <w:tcMar>
                    <w:top w:w="57" w:type="dxa"/>
                    <w:left w:w="108" w:type="dxa"/>
                    <w:bottom w:w="57" w:type="dxa"/>
                    <w:right w:w="108" w:type="dxa"/>
                  </w:tcMar>
                  <w:vAlign w:val="center"/>
                </w:tcPr>
                <w:p w14:paraId="686484C5">
                  <w:pPr>
                    <w:pStyle w:val="41"/>
                    <w:rPr>
                      <w:color w:val="auto"/>
                      <w:kern w:val="0"/>
                      <w:szCs w:val="18"/>
                      <w:highlight w:val="none"/>
                    </w:rPr>
                  </w:pPr>
                </w:p>
              </w:tc>
              <w:tc>
                <w:tcPr>
                  <w:tcW w:w="510" w:type="pct"/>
                  <w:tcMar>
                    <w:top w:w="57" w:type="dxa"/>
                    <w:left w:w="108" w:type="dxa"/>
                    <w:bottom w:w="57" w:type="dxa"/>
                    <w:right w:w="108" w:type="dxa"/>
                  </w:tcMar>
                  <w:vAlign w:val="center"/>
                </w:tcPr>
                <w:p w14:paraId="734670C6">
                  <w:pPr>
                    <w:pStyle w:val="41"/>
                    <w:rPr>
                      <w:color w:val="auto"/>
                      <w:kern w:val="0"/>
                      <w:szCs w:val="18"/>
                      <w:highlight w:val="none"/>
                    </w:rPr>
                  </w:pPr>
                  <w:r>
                    <w:rPr>
                      <w:rFonts w:hint="eastAsia"/>
                      <w:color w:val="auto"/>
                      <w:kern w:val="0"/>
                      <w:szCs w:val="18"/>
                      <w:highlight w:val="none"/>
                    </w:rPr>
                    <w:t>袋装</w:t>
                  </w:r>
                </w:p>
              </w:tc>
              <w:tc>
                <w:tcPr>
                  <w:tcW w:w="434" w:type="pct"/>
                  <w:tcMar>
                    <w:top w:w="57" w:type="dxa"/>
                    <w:left w:w="108" w:type="dxa"/>
                    <w:bottom w:w="57" w:type="dxa"/>
                    <w:right w:w="108" w:type="dxa"/>
                  </w:tcMar>
                  <w:vAlign w:val="center"/>
                </w:tcPr>
                <w:p w14:paraId="70615BC1">
                  <w:pPr>
                    <w:pStyle w:val="41"/>
                    <w:rPr>
                      <w:color w:val="auto"/>
                      <w:kern w:val="0"/>
                      <w:szCs w:val="18"/>
                      <w:highlight w:val="none"/>
                    </w:rPr>
                  </w:pPr>
                  <w:r>
                    <w:rPr>
                      <w:color w:val="auto"/>
                      <w:kern w:val="0"/>
                      <w:szCs w:val="18"/>
                      <w:highlight w:val="none"/>
                    </w:rPr>
                    <w:t>1</w:t>
                  </w:r>
                  <w:r>
                    <w:rPr>
                      <w:rFonts w:hint="eastAsia"/>
                      <w:color w:val="auto"/>
                      <w:kern w:val="0"/>
                      <w:szCs w:val="18"/>
                      <w:highlight w:val="none"/>
                    </w:rPr>
                    <w:t>t</w:t>
                  </w:r>
                </w:p>
              </w:tc>
              <w:tc>
                <w:tcPr>
                  <w:tcW w:w="486" w:type="pct"/>
                  <w:vMerge w:val="continue"/>
                  <w:tcMar>
                    <w:top w:w="57" w:type="dxa"/>
                    <w:left w:w="108" w:type="dxa"/>
                    <w:bottom w:w="57" w:type="dxa"/>
                    <w:right w:w="108" w:type="dxa"/>
                  </w:tcMar>
                  <w:vAlign w:val="center"/>
                </w:tcPr>
                <w:p w14:paraId="6209F6D1">
                  <w:pPr>
                    <w:pStyle w:val="41"/>
                    <w:rPr>
                      <w:color w:val="auto"/>
                      <w:kern w:val="0"/>
                      <w:szCs w:val="18"/>
                      <w:highlight w:val="none"/>
                    </w:rPr>
                  </w:pPr>
                </w:p>
              </w:tc>
            </w:tr>
            <w:tr w14:paraId="7D3C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vMerge w:val="continue"/>
                  <w:tcMar>
                    <w:top w:w="57" w:type="dxa"/>
                    <w:left w:w="108" w:type="dxa"/>
                    <w:bottom w:w="57" w:type="dxa"/>
                    <w:right w:w="108" w:type="dxa"/>
                  </w:tcMar>
                  <w:vAlign w:val="center"/>
                </w:tcPr>
                <w:p w14:paraId="6C26BAE6">
                  <w:pPr>
                    <w:pStyle w:val="41"/>
                    <w:rPr>
                      <w:color w:val="auto"/>
                      <w:kern w:val="0"/>
                      <w:szCs w:val="18"/>
                      <w:highlight w:val="none"/>
                    </w:rPr>
                  </w:pPr>
                </w:p>
              </w:tc>
              <w:tc>
                <w:tcPr>
                  <w:tcW w:w="577" w:type="pct"/>
                  <w:tcMar>
                    <w:top w:w="57" w:type="dxa"/>
                    <w:left w:w="108" w:type="dxa"/>
                    <w:bottom w:w="57" w:type="dxa"/>
                    <w:right w:w="108" w:type="dxa"/>
                  </w:tcMar>
                  <w:vAlign w:val="center"/>
                </w:tcPr>
                <w:p w14:paraId="24DD09E9">
                  <w:pPr>
                    <w:pStyle w:val="41"/>
                    <w:rPr>
                      <w:color w:val="auto"/>
                      <w:szCs w:val="18"/>
                      <w:highlight w:val="none"/>
                    </w:rPr>
                  </w:pPr>
                  <w:r>
                    <w:rPr>
                      <w:rFonts w:hint="eastAsia"/>
                      <w:color w:val="auto"/>
                      <w:sz w:val="18"/>
                      <w:szCs w:val="18"/>
                      <w:highlight w:val="none"/>
                    </w:rPr>
                    <w:t>废弃包装物</w:t>
                  </w:r>
                </w:p>
              </w:tc>
              <w:tc>
                <w:tcPr>
                  <w:tcW w:w="429" w:type="pct"/>
                  <w:tcMar>
                    <w:top w:w="57" w:type="dxa"/>
                    <w:left w:w="108" w:type="dxa"/>
                    <w:bottom w:w="57" w:type="dxa"/>
                    <w:right w:w="108" w:type="dxa"/>
                  </w:tcMar>
                  <w:vAlign w:val="center"/>
                </w:tcPr>
                <w:p w14:paraId="4ED1E8F7">
                  <w:pPr>
                    <w:pStyle w:val="41"/>
                    <w:rPr>
                      <w:color w:val="auto"/>
                      <w:szCs w:val="18"/>
                      <w:highlight w:val="none"/>
                    </w:rPr>
                  </w:pPr>
                  <w:r>
                    <w:rPr>
                      <w:rFonts w:hint="eastAsia"/>
                      <w:color w:val="auto"/>
                      <w:szCs w:val="18"/>
                      <w:highlight w:val="none"/>
                    </w:rPr>
                    <w:t>H</w:t>
                  </w:r>
                  <w:r>
                    <w:rPr>
                      <w:color w:val="auto"/>
                      <w:szCs w:val="18"/>
                      <w:highlight w:val="none"/>
                    </w:rPr>
                    <w:t>W49</w:t>
                  </w:r>
                </w:p>
              </w:tc>
              <w:tc>
                <w:tcPr>
                  <w:tcW w:w="1024" w:type="pct"/>
                  <w:tcMar>
                    <w:top w:w="57" w:type="dxa"/>
                    <w:left w:w="108" w:type="dxa"/>
                    <w:bottom w:w="57" w:type="dxa"/>
                    <w:right w:w="108" w:type="dxa"/>
                  </w:tcMar>
                  <w:vAlign w:val="center"/>
                </w:tcPr>
                <w:p w14:paraId="65E323D8">
                  <w:pPr>
                    <w:pStyle w:val="41"/>
                    <w:rPr>
                      <w:color w:val="auto"/>
                      <w:szCs w:val="18"/>
                      <w:highlight w:val="none"/>
                    </w:rPr>
                  </w:pPr>
                  <w:r>
                    <w:rPr>
                      <w:rFonts w:hint="eastAsia"/>
                      <w:color w:val="auto"/>
                      <w:szCs w:val="18"/>
                      <w:highlight w:val="none"/>
                    </w:rPr>
                    <w:t>900-041-49</w:t>
                  </w:r>
                </w:p>
              </w:tc>
              <w:tc>
                <w:tcPr>
                  <w:tcW w:w="396" w:type="pct"/>
                  <w:vMerge w:val="continue"/>
                  <w:tcMar>
                    <w:top w:w="57" w:type="dxa"/>
                    <w:left w:w="108" w:type="dxa"/>
                    <w:bottom w:w="57" w:type="dxa"/>
                    <w:right w:w="108" w:type="dxa"/>
                  </w:tcMar>
                  <w:vAlign w:val="center"/>
                </w:tcPr>
                <w:p w14:paraId="55E306AF">
                  <w:pPr>
                    <w:pStyle w:val="41"/>
                    <w:rPr>
                      <w:color w:val="auto"/>
                      <w:kern w:val="0"/>
                      <w:szCs w:val="18"/>
                      <w:highlight w:val="none"/>
                    </w:rPr>
                  </w:pPr>
                </w:p>
              </w:tc>
              <w:tc>
                <w:tcPr>
                  <w:tcW w:w="536" w:type="pct"/>
                  <w:vMerge w:val="continue"/>
                  <w:tcMar>
                    <w:top w:w="57" w:type="dxa"/>
                    <w:left w:w="108" w:type="dxa"/>
                    <w:bottom w:w="57" w:type="dxa"/>
                    <w:right w:w="108" w:type="dxa"/>
                  </w:tcMar>
                  <w:vAlign w:val="center"/>
                </w:tcPr>
                <w:p w14:paraId="01845307">
                  <w:pPr>
                    <w:pStyle w:val="41"/>
                    <w:rPr>
                      <w:color w:val="auto"/>
                      <w:kern w:val="0"/>
                      <w:szCs w:val="18"/>
                      <w:highlight w:val="none"/>
                    </w:rPr>
                  </w:pPr>
                </w:p>
              </w:tc>
              <w:tc>
                <w:tcPr>
                  <w:tcW w:w="510" w:type="pct"/>
                  <w:tcMar>
                    <w:top w:w="57" w:type="dxa"/>
                    <w:left w:w="108" w:type="dxa"/>
                    <w:bottom w:w="57" w:type="dxa"/>
                    <w:right w:w="108" w:type="dxa"/>
                  </w:tcMar>
                  <w:vAlign w:val="center"/>
                </w:tcPr>
                <w:p w14:paraId="4C71D2CA">
                  <w:pPr>
                    <w:pStyle w:val="41"/>
                    <w:rPr>
                      <w:color w:val="auto"/>
                      <w:kern w:val="0"/>
                      <w:szCs w:val="18"/>
                      <w:highlight w:val="none"/>
                    </w:rPr>
                  </w:pPr>
                  <w:r>
                    <w:rPr>
                      <w:rFonts w:hint="eastAsia"/>
                      <w:color w:val="auto"/>
                      <w:kern w:val="0"/>
                      <w:szCs w:val="18"/>
                      <w:highlight w:val="none"/>
                    </w:rPr>
                    <w:t>袋装</w:t>
                  </w:r>
                </w:p>
              </w:tc>
              <w:tc>
                <w:tcPr>
                  <w:tcW w:w="434" w:type="pct"/>
                  <w:tcMar>
                    <w:top w:w="57" w:type="dxa"/>
                    <w:left w:w="108" w:type="dxa"/>
                    <w:bottom w:w="57" w:type="dxa"/>
                    <w:right w:w="108" w:type="dxa"/>
                  </w:tcMar>
                  <w:vAlign w:val="center"/>
                </w:tcPr>
                <w:p w14:paraId="45B05F68">
                  <w:pPr>
                    <w:pStyle w:val="41"/>
                    <w:rPr>
                      <w:color w:val="auto"/>
                      <w:kern w:val="0"/>
                      <w:szCs w:val="18"/>
                      <w:highlight w:val="none"/>
                    </w:rPr>
                  </w:pPr>
                  <w:r>
                    <w:rPr>
                      <w:color w:val="auto"/>
                      <w:kern w:val="0"/>
                      <w:szCs w:val="18"/>
                      <w:highlight w:val="none"/>
                    </w:rPr>
                    <w:t>1</w:t>
                  </w:r>
                  <w:r>
                    <w:rPr>
                      <w:rFonts w:hint="eastAsia"/>
                      <w:color w:val="auto"/>
                      <w:kern w:val="0"/>
                      <w:szCs w:val="18"/>
                      <w:highlight w:val="none"/>
                    </w:rPr>
                    <w:t>t</w:t>
                  </w:r>
                </w:p>
              </w:tc>
              <w:tc>
                <w:tcPr>
                  <w:tcW w:w="486" w:type="pct"/>
                  <w:vMerge w:val="continue"/>
                  <w:tcMar>
                    <w:top w:w="57" w:type="dxa"/>
                    <w:left w:w="108" w:type="dxa"/>
                    <w:bottom w:w="57" w:type="dxa"/>
                    <w:right w:w="108" w:type="dxa"/>
                  </w:tcMar>
                  <w:vAlign w:val="center"/>
                </w:tcPr>
                <w:p w14:paraId="1A48FDCA">
                  <w:pPr>
                    <w:pStyle w:val="41"/>
                    <w:rPr>
                      <w:color w:val="auto"/>
                      <w:kern w:val="0"/>
                      <w:szCs w:val="18"/>
                      <w:highlight w:val="none"/>
                    </w:rPr>
                  </w:pPr>
                </w:p>
              </w:tc>
            </w:tr>
            <w:tr w14:paraId="7467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pct"/>
                  <w:vMerge w:val="continue"/>
                  <w:tcMar>
                    <w:top w:w="57" w:type="dxa"/>
                    <w:left w:w="108" w:type="dxa"/>
                    <w:bottom w:w="57" w:type="dxa"/>
                    <w:right w:w="108" w:type="dxa"/>
                  </w:tcMar>
                  <w:vAlign w:val="center"/>
                </w:tcPr>
                <w:p w14:paraId="22D7106D">
                  <w:pPr>
                    <w:pStyle w:val="41"/>
                    <w:rPr>
                      <w:color w:val="auto"/>
                      <w:kern w:val="0"/>
                      <w:szCs w:val="18"/>
                      <w:highlight w:val="none"/>
                    </w:rPr>
                  </w:pPr>
                </w:p>
              </w:tc>
              <w:tc>
                <w:tcPr>
                  <w:tcW w:w="577" w:type="pct"/>
                  <w:tcMar>
                    <w:top w:w="57" w:type="dxa"/>
                    <w:left w:w="108" w:type="dxa"/>
                    <w:bottom w:w="57" w:type="dxa"/>
                    <w:right w:w="108" w:type="dxa"/>
                  </w:tcMar>
                  <w:vAlign w:val="center"/>
                </w:tcPr>
                <w:p w14:paraId="2F9DDF12">
                  <w:pPr>
                    <w:pStyle w:val="41"/>
                    <w:rPr>
                      <w:color w:val="auto"/>
                      <w:kern w:val="0"/>
                      <w:szCs w:val="18"/>
                      <w:highlight w:val="none"/>
                    </w:rPr>
                  </w:pPr>
                  <w:r>
                    <w:rPr>
                      <w:color w:val="auto"/>
                      <w:kern w:val="0"/>
                      <w:szCs w:val="18"/>
                      <w:highlight w:val="none"/>
                    </w:rPr>
                    <w:t>废弃的含油抹布、劳保用品</w:t>
                  </w:r>
                </w:p>
              </w:tc>
              <w:tc>
                <w:tcPr>
                  <w:tcW w:w="429" w:type="pct"/>
                  <w:tcMar>
                    <w:top w:w="57" w:type="dxa"/>
                    <w:left w:w="108" w:type="dxa"/>
                    <w:bottom w:w="57" w:type="dxa"/>
                    <w:right w:w="108" w:type="dxa"/>
                  </w:tcMar>
                  <w:vAlign w:val="center"/>
                </w:tcPr>
                <w:p w14:paraId="5683753A">
                  <w:pPr>
                    <w:pStyle w:val="41"/>
                    <w:rPr>
                      <w:color w:val="auto"/>
                      <w:kern w:val="0"/>
                      <w:szCs w:val="18"/>
                      <w:highlight w:val="none"/>
                    </w:rPr>
                  </w:pPr>
                  <w:r>
                    <w:rPr>
                      <w:rFonts w:hint="eastAsia"/>
                      <w:color w:val="auto"/>
                      <w:kern w:val="0"/>
                      <w:szCs w:val="18"/>
                      <w:highlight w:val="none"/>
                    </w:rPr>
                    <w:t>H</w:t>
                  </w:r>
                  <w:r>
                    <w:rPr>
                      <w:color w:val="auto"/>
                      <w:kern w:val="0"/>
                      <w:szCs w:val="18"/>
                      <w:highlight w:val="none"/>
                    </w:rPr>
                    <w:t>W49</w:t>
                  </w:r>
                </w:p>
              </w:tc>
              <w:tc>
                <w:tcPr>
                  <w:tcW w:w="1024" w:type="pct"/>
                  <w:tcMar>
                    <w:top w:w="57" w:type="dxa"/>
                    <w:left w:w="108" w:type="dxa"/>
                    <w:bottom w:w="57" w:type="dxa"/>
                    <w:right w:w="108" w:type="dxa"/>
                  </w:tcMar>
                  <w:vAlign w:val="center"/>
                </w:tcPr>
                <w:p w14:paraId="0C351B0C">
                  <w:pPr>
                    <w:pStyle w:val="41"/>
                    <w:rPr>
                      <w:color w:val="auto"/>
                      <w:kern w:val="0"/>
                      <w:szCs w:val="18"/>
                      <w:highlight w:val="none"/>
                    </w:rPr>
                  </w:pPr>
                  <w:r>
                    <w:rPr>
                      <w:rFonts w:hint="eastAsia"/>
                      <w:color w:val="auto"/>
                      <w:kern w:val="0"/>
                      <w:szCs w:val="18"/>
                      <w:highlight w:val="none"/>
                    </w:rPr>
                    <w:t>900-041-49</w:t>
                  </w:r>
                </w:p>
              </w:tc>
              <w:tc>
                <w:tcPr>
                  <w:tcW w:w="396" w:type="pct"/>
                  <w:vMerge w:val="continue"/>
                  <w:tcMar>
                    <w:top w:w="57" w:type="dxa"/>
                    <w:left w:w="108" w:type="dxa"/>
                    <w:bottom w:w="57" w:type="dxa"/>
                    <w:right w:w="108" w:type="dxa"/>
                  </w:tcMar>
                  <w:vAlign w:val="center"/>
                </w:tcPr>
                <w:p w14:paraId="6C5B6131">
                  <w:pPr>
                    <w:pStyle w:val="41"/>
                    <w:rPr>
                      <w:color w:val="auto"/>
                      <w:kern w:val="0"/>
                      <w:szCs w:val="18"/>
                      <w:highlight w:val="none"/>
                    </w:rPr>
                  </w:pPr>
                </w:p>
              </w:tc>
              <w:tc>
                <w:tcPr>
                  <w:tcW w:w="536" w:type="pct"/>
                  <w:vMerge w:val="continue"/>
                  <w:tcMar>
                    <w:top w:w="57" w:type="dxa"/>
                    <w:left w:w="108" w:type="dxa"/>
                    <w:bottom w:w="57" w:type="dxa"/>
                    <w:right w:w="108" w:type="dxa"/>
                  </w:tcMar>
                  <w:vAlign w:val="center"/>
                </w:tcPr>
                <w:p w14:paraId="08AC79BC">
                  <w:pPr>
                    <w:pStyle w:val="41"/>
                    <w:rPr>
                      <w:color w:val="auto"/>
                      <w:kern w:val="0"/>
                      <w:szCs w:val="18"/>
                      <w:highlight w:val="none"/>
                    </w:rPr>
                  </w:pPr>
                </w:p>
              </w:tc>
              <w:tc>
                <w:tcPr>
                  <w:tcW w:w="510" w:type="pct"/>
                  <w:tcMar>
                    <w:top w:w="57" w:type="dxa"/>
                    <w:left w:w="108" w:type="dxa"/>
                    <w:bottom w:w="57" w:type="dxa"/>
                    <w:right w:w="108" w:type="dxa"/>
                  </w:tcMar>
                  <w:vAlign w:val="center"/>
                </w:tcPr>
                <w:p w14:paraId="5BC6C82F">
                  <w:pPr>
                    <w:pStyle w:val="41"/>
                    <w:rPr>
                      <w:color w:val="auto"/>
                      <w:kern w:val="0"/>
                      <w:szCs w:val="18"/>
                      <w:highlight w:val="none"/>
                    </w:rPr>
                  </w:pPr>
                  <w:r>
                    <w:rPr>
                      <w:rFonts w:hint="eastAsia"/>
                      <w:color w:val="auto"/>
                      <w:kern w:val="0"/>
                      <w:szCs w:val="18"/>
                      <w:highlight w:val="none"/>
                    </w:rPr>
                    <w:t>袋装</w:t>
                  </w:r>
                </w:p>
              </w:tc>
              <w:tc>
                <w:tcPr>
                  <w:tcW w:w="434" w:type="pct"/>
                  <w:tcMar>
                    <w:top w:w="57" w:type="dxa"/>
                    <w:left w:w="108" w:type="dxa"/>
                    <w:bottom w:w="57" w:type="dxa"/>
                    <w:right w:w="108" w:type="dxa"/>
                  </w:tcMar>
                  <w:vAlign w:val="center"/>
                </w:tcPr>
                <w:p w14:paraId="73FA9753">
                  <w:pPr>
                    <w:pStyle w:val="41"/>
                    <w:rPr>
                      <w:color w:val="auto"/>
                      <w:kern w:val="0"/>
                      <w:szCs w:val="18"/>
                      <w:highlight w:val="none"/>
                    </w:rPr>
                  </w:pPr>
                  <w:r>
                    <w:rPr>
                      <w:color w:val="auto"/>
                      <w:kern w:val="0"/>
                      <w:szCs w:val="18"/>
                      <w:highlight w:val="none"/>
                    </w:rPr>
                    <w:t>1</w:t>
                  </w:r>
                  <w:r>
                    <w:rPr>
                      <w:rFonts w:hint="eastAsia"/>
                      <w:color w:val="auto"/>
                      <w:kern w:val="0"/>
                      <w:szCs w:val="18"/>
                      <w:highlight w:val="none"/>
                    </w:rPr>
                    <w:t>t</w:t>
                  </w:r>
                </w:p>
              </w:tc>
              <w:tc>
                <w:tcPr>
                  <w:tcW w:w="486" w:type="pct"/>
                  <w:vMerge w:val="continue"/>
                  <w:tcMar>
                    <w:top w:w="57" w:type="dxa"/>
                    <w:left w:w="108" w:type="dxa"/>
                    <w:bottom w:w="57" w:type="dxa"/>
                    <w:right w:w="108" w:type="dxa"/>
                  </w:tcMar>
                  <w:vAlign w:val="center"/>
                </w:tcPr>
                <w:p w14:paraId="6F8C4CB3">
                  <w:pPr>
                    <w:pStyle w:val="41"/>
                    <w:rPr>
                      <w:color w:val="auto"/>
                      <w:kern w:val="0"/>
                      <w:szCs w:val="18"/>
                      <w:highlight w:val="none"/>
                    </w:rPr>
                  </w:pPr>
                </w:p>
              </w:tc>
            </w:tr>
          </w:tbl>
          <w:p w14:paraId="256890B9">
            <w:pPr>
              <w:pStyle w:val="13"/>
              <w:bidi w:val="0"/>
              <w:rPr>
                <w:rFonts w:hint="eastAsia"/>
                <w:color w:val="auto"/>
                <w:highlight w:val="none"/>
              </w:rPr>
            </w:pPr>
            <w:bookmarkStart w:id="64" w:name="_Ref363266992"/>
          </w:p>
          <w:p w14:paraId="2871B9DE">
            <w:pPr>
              <w:pStyle w:val="13"/>
              <w:bidi w:val="0"/>
              <w:rPr>
                <w:color w:val="auto"/>
                <w:highlight w:val="none"/>
              </w:rPr>
            </w:pPr>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34</w:t>
            </w:r>
            <w:r>
              <w:rPr>
                <w:rFonts w:hint="eastAsia"/>
                <w:color w:val="auto"/>
                <w:highlight w:val="none"/>
              </w:rPr>
              <w:fldChar w:fldCharType="end"/>
            </w:r>
            <w:bookmarkEnd w:id="64"/>
            <w:r>
              <w:rPr>
                <w:rFonts w:hint="eastAsia"/>
                <w:color w:val="auto"/>
                <w:highlight w:val="none"/>
              </w:rPr>
              <w:t xml:space="preserve">  本项目施工期固体废物产生量统计表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1"/>
              <w:gridCol w:w="726"/>
              <w:gridCol w:w="766"/>
              <w:gridCol w:w="1511"/>
              <w:gridCol w:w="821"/>
              <w:gridCol w:w="1099"/>
              <w:gridCol w:w="1512"/>
              <w:gridCol w:w="609"/>
            </w:tblGrid>
            <w:tr w14:paraId="6182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DF42F99">
                  <w:pPr>
                    <w:pStyle w:val="41"/>
                    <w:rPr>
                      <w:color w:val="auto"/>
                      <w:kern w:val="0"/>
                      <w:szCs w:val="18"/>
                      <w:highlight w:val="none"/>
                    </w:rPr>
                  </w:pPr>
                  <w:r>
                    <w:rPr>
                      <w:rFonts w:hint="eastAsia"/>
                      <w:color w:val="auto"/>
                      <w:kern w:val="0"/>
                      <w:szCs w:val="18"/>
                      <w:highlight w:val="none"/>
                    </w:rPr>
                    <w:t>名称</w:t>
                  </w: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BD2D208">
                  <w:pPr>
                    <w:pStyle w:val="41"/>
                    <w:rPr>
                      <w:color w:val="auto"/>
                      <w:kern w:val="0"/>
                      <w:szCs w:val="18"/>
                      <w:highlight w:val="none"/>
                    </w:rPr>
                  </w:pPr>
                  <w:r>
                    <w:rPr>
                      <w:rFonts w:hint="eastAsia"/>
                      <w:color w:val="auto"/>
                      <w:kern w:val="0"/>
                      <w:szCs w:val="18"/>
                      <w:highlight w:val="none"/>
                    </w:rPr>
                    <w:t>产生量</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1D04164">
                  <w:pPr>
                    <w:pStyle w:val="41"/>
                    <w:rPr>
                      <w:color w:val="auto"/>
                      <w:kern w:val="0"/>
                      <w:szCs w:val="18"/>
                      <w:highlight w:val="none"/>
                    </w:rPr>
                  </w:pPr>
                  <w:r>
                    <w:rPr>
                      <w:rFonts w:hint="eastAsia"/>
                      <w:color w:val="auto"/>
                      <w:kern w:val="0"/>
                      <w:szCs w:val="18"/>
                      <w:highlight w:val="none"/>
                    </w:rPr>
                    <w:t>主要</w:t>
                  </w:r>
                </w:p>
                <w:p w14:paraId="1D6973EB">
                  <w:pPr>
                    <w:pStyle w:val="41"/>
                    <w:rPr>
                      <w:color w:val="auto"/>
                      <w:kern w:val="0"/>
                      <w:szCs w:val="18"/>
                      <w:highlight w:val="none"/>
                    </w:rPr>
                  </w:pPr>
                  <w:r>
                    <w:rPr>
                      <w:rFonts w:hint="eastAsia"/>
                      <w:color w:val="auto"/>
                      <w:kern w:val="0"/>
                      <w:szCs w:val="18"/>
                      <w:highlight w:val="none"/>
                    </w:rPr>
                    <w:t>成分</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190C8FF">
                  <w:pPr>
                    <w:pStyle w:val="41"/>
                    <w:rPr>
                      <w:color w:val="auto"/>
                      <w:kern w:val="0"/>
                      <w:szCs w:val="18"/>
                      <w:highlight w:val="none"/>
                    </w:rPr>
                  </w:pPr>
                  <w:r>
                    <w:rPr>
                      <w:rFonts w:hint="eastAsia"/>
                      <w:color w:val="auto"/>
                      <w:kern w:val="0"/>
                      <w:szCs w:val="18"/>
                      <w:highlight w:val="none"/>
                    </w:rPr>
                    <w:t>处置方式</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A7BDB8A">
                  <w:pPr>
                    <w:pStyle w:val="41"/>
                    <w:rPr>
                      <w:color w:val="auto"/>
                      <w:kern w:val="0"/>
                      <w:szCs w:val="18"/>
                      <w:highlight w:val="none"/>
                    </w:rPr>
                  </w:pPr>
                  <w:r>
                    <w:rPr>
                      <w:rFonts w:hint="eastAsia"/>
                      <w:color w:val="auto"/>
                      <w:kern w:val="0"/>
                      <w:szCs w:val="18"/>
                      <w:highlight w:val="none"/>
                    </w:rPr>
                    <w:t>排放量（t）</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CA2358B">
                  <w:pPr>
                    <w:pStyle w:val="41"/>
                    <w:rPr>
                      <w:color w:val="auto"/>
                      <w:kern w:val="0"/>
                      <w:szCs w:val="18"/>
                      <w:highlight w:val="none"/>
                    </w:rPr>
                  </w:pPr>
                  <w:r>
                    <w:rPr>
                      <w:rFonts w:hint="eastAsia"/>
                      <w:color w:val="auto"/>
                      <w:kern w:val="0"/>
                      <w:szCs w:val="18"/>
                      <w:highlight w:val="none"/>
                    </w:rPr>
                    <w:t>危险废物</w:t>
                  </w:r>
                </w:p>
                <w:p w14:paraId="55ECEB5D">
                  <w:pPr>
                    <w:pStyle w:val="41"/>
                    <w:rPr>
                      <w:color w:val="auto"/>
                      <w:kern w:val="0"/>
                      <w:szCs w:val="18"/>
                      <w:highlight w:val="none"/>
                    </w:rPr>
                  </w:pPr>
                  <w:r>
                    <w:rPr>
                      <w:rFonts w:hint="eastAsia"/>
                      <w:color w:val="auto"/>
                      <w:kern w:val="0"/>
                      <w:szCs w:val="18"/>
                      <w:highlight w:val="none"/>
                    </w:rPr>
                    <w:t>类别</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D0E2EC4">
                  <w:pPr>
                    <w:pStyle w:val="41"/>
                    <w:rPr>
                      <w:color w:val="auto"/>
                      <w:kern w:val="0"/>
                      <w:szCs w:val="18"/>
                      <w:highlight w:val="none"/>
                    </w:rPr>
                  </w:pPr>
                  <w:r>
                    <w:rPr>
                      <w:rFonts w:hint="eastAsia"/>
                      <w:color w:val="auto"/>
                      <w:kern w:val="0"/>
                      <w:szCs w:val="18"/>
                      <w:highlight w:val="none"/>
                    </w:rPr>
                    <w:t>一般固废代码</w:t>
                  </w:r>
                </w:p>
                <w:p w14:paraId="24250932">
                  <w:pPr>
                    <w:pStyle w:val="41"/>
                    <w:rPr>
                      <w:color w:val="auto"/>
                      <w:kern w:val="0"/>
                      <w:szCs w:val="18"/>
                      <w:highlight w:val="none"/>
                    </w:rPr>
                  </w:pPr>
                  <w:r>
                    <w:rPr>
                      <w:rFonts w:hint="eastAsia"/>
                      <w:color w:val="auto"/>
                      <w:kern w:val="0"/>
                      <w:szCs w:val="18"/>
                      <w:highlight w:val="none"/>
                    </w:rPr>
                    <w:t>/危险废物代码</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BDE7D89">
                  <w:pPr>
                    <w:pStyle w:val="41"/>
                    <w:rPr>
                      <w:color w:val="auto"/>
                      <w:kern w:val="0"/>
                      <w:szCs w:val="18"/>
                      <w:highlight w:val="none"/>
                    </w:rPr>
                  </w:pPr>
                  <w:r>
                    <w:rPr>
                      <w:rFonts w:hint="eastAsia"/>
                      <w:color w:val="auto"/>
                      <w:kern w:val="0"/>
                      <w:szCs w:val="18"/>
                      <w:highlight w:val="none"/>
                    </w:rPr>
                    <w:t>危险特性</w:t>
                  </w:r>
                </w:p>
              </w:tc>
            </w:tr>
            <w:tr w14:paraId="41C9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99" w:type="pct"/>
                  <w:vMerge w:val="restart"/>
                  <w:tcBorders>
                    <w:top w:val="single" w:color="auto" w:sz="4" w:space="0"/>
                    <w:left w:val="single" w:color="auto" w:sz="4" w:space="0"/>
                    <w:right w:val="single" w:color="auto" w:sz="4" w:space="0"/>
                  </w:tcBorders>
                  <w:tcMar>
                    <w:top w:w="57" w:type="dxa"/>
                    <w:left w:w="108" w:type="dxa"/>
                    <w:bottom w:w="57" w:type="dxa"/>
                    <w:right w:w="108" w:type="dxa"/>
                  </w:tcMar>
                  <w:vAlign w:val="center"/>
                </w:tcPr>
                <w:p w14:paraId="6EC0D594">
                  <w:pPr>
                    <w:pStyle w:val="41"/>
                    <w:rPr>
                      <w:color w:val="auto"/>
                      <w:kern w:val="0"/>
                      <w:szCs w:val="18"/>
                      <w:highlight w:val="none"/>
                    </w:rPr>
                  </w:pPr>
                  <w:r>
                    <w:rPr>
                      <w:rFonts w:hint="eastAsia"/>
                      <w:color w:val="auto"/>
                      <w:kern w:val="0"/>
                      <w:szCs w:val="18"/>
                      <w:highlight w:val="none"/>
                    </w:rPr>
                    <w:t>钻井固废</w:t>
                  </w: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6CE7F74">
                  <w:pPr>
                    <w:pStyle w:val="41"/>
                    <w:rPr>
                      <w:color w:val="auto"/>
                      <w:kern w:val="0"/>
                      <w:szCs w:val="18"/>
                      <w:highlight w:val="none"/>
                    </w:rPr>
                  </w:pPr>
                  <w:r>
                    <w:rPr>
                      <w:rFonts w:hint="eastAsia"/>
                      <w:color w:val="auto"/>
                      <w:szCs w:val="18"/>
                      <w:highlight w:val="none"/>
                    </w:rPr>
                    <w:t>5205</w:t>
                  </w:r>
                  <w:r>
                    <w:rPr>
                      <w:rFonts w:hint="eastAsia"/>
                      <w:color w:val="auto"/>
                      <w:kern w:val="0"/>
                      <w:szCs w:val="18"/>
                      <w:highlight w:val="none"/>
                    </w:rPr>
                    <w:t>t</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AFC8C89">
                  <w:pPr>
                    <w:pStyle w:val="41"/>
                    <w:rPr>
                      <w:color w:val="auto"/>
                      <w:kern w:val="0"/>
                      <w:szCs w:val="18"/>
                      <w:highlight w:val="none"/>
                    </w:rPr>
                  </w:pPr>
                  <w:r>
                    <w:rPr>
                      <w:rFonts w:hint="eastAsia"/>
                      <w:color w:val="auto"/>
                      <w:kern w:val="0"/>
                      <w:szCs w:val="18"/>
                      <w:highlight w:val="none"/>
                    </w:rPr>
                    <w:t>泥浆、岩屑</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5A8464C">
                  <w:pPr>
                    <w:pStyle w:val="41"/>
                    <w:rPr>
                      <w:color w:val="auto"/>
                      <w:kern w:val="0"/>
                      <w:szCs w:val="18"/>
                      <w:highlight w:val="none"/>
                    </w:rPr>
                  </w:pPr>
                  <w:r>
                    <w:rPr>
                      <w:rFonts w:hint="eastAsia"/>
                      <w:color w:val="auto"/>
                      <w:kern w:val="0"/>
                      <w:szCs w:val="18"/>
                      <w:highlight w:val="none"/>
                    </w:rPr>
                    <w:t>钻井固废处理后用于修路、铺垫井场</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39DCC6A">
                  <w:pPr>
                    <w:pStyle w:val="41"/>
                    <w:rPr>
                      <w:color w:val="auto"/>
                      <w:kern w:val="0"/>
                      <w:szCs w:val="18"/>
                      <w:highlight w:val="none"/>
                    </w:rPr>
                  </w:pPr>
                  <w:r>
                    <w:rPr>
                      <w:rFonts w:hint="eastAsia"/>
                      <w:color w:val="auto"/>
                      <w:kern w:val="0"/>
                      <w:szCs w:val="18"/>
                      <w:highlight w:val="none"/>
                    </w:rPr>
                    <w:t>0</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7B7F39E">
                  <w:pPr>
                    <w:pStyle w:val="41"/>
                    <w:rPr>
                      <w:color w:val="auto"/>
                      <w:szCs w:val="18"/>
                      <w:highlight w:val="none"/>
                    </w:rPr>
                  </w:pPr>
                  <w:r>
                    <w:rPr>
                      <w:rFonts w:hint="eastAsia"/>
                      <w:color w:val="auto"/>
                      <w:szCs w:val="18"/>
                      <w:highlight w:val="none"/>
                    </w:rPr>
                    <w:t>SW12</w:t>
                  </w:r>
                </w:p>
                <w:p w14:paraId="1709F0EF">
                  <w:pPr>
                    <w:pStyle w:val="41"/>
                    <w:rPr>
                      <w:color w:val="auto"/>
                      <w:szCs w:val="18"/>
                      <w:highlight w:val="none"/>
                    </w:rPr>
                  </w:pPr>
                  <w:r>
                    <w:rPr>
                      <w:rFonts w:hint="eastAsia"/>
                      <w:color w:val="auto"/>
                      <w:szCs w:val="18"/>
                      <w:highlight w:val="none"/>
                    </w:rPr>
                    <w:t>钻井岩屑</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36CAFF4">
                  <w:pPr>
                    <w:pStyle w:val="41"/>
                    <w:rPr>
                      <w:rFonts w:ascii="仿宋_GB2312" w:hAnsi="仿宋_GB2312" w:eastAsia="仿宋_GB2312" w:cs="仿宋_GB2312"/>
                      <w:bCs/>
                      <w:color w:val="auto"/>
                      <w:szCs w:val="18"/>
                      <w:highlight w:val="none"/>
                    </w:rPr>
                  </w:pPr>
                  <w:r>
                    <w:rPr>
                      <w:rFonts w:hint="eastAsia"/>
                      <w:color w:val="auto"/>
                      <w:szCs w:val="18"/>
                      <w:highlight w:val="none"/>
                    </w:rPr>
                    <w:t>071-001-S12水基钻井岩屑和泥浆（石油）。以水为连续相配制钻井泥浆用于石油开采所产生的废弃钻井岩屑和泥浆（不包括废弃聚磺体系泥浆）</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BA70726">
                  <w:pPr>
                    <w:pStyle w:val="41"/>
                    <w:rPr>
                      <w:color w:val="auto"/>
                      <w:kern w:val="0"/>
                      <w:szCs w:val="18"/>
                      <w:highlight w:val="none"/>
                    </w:rPr>
                  </w:pPr>
                  <w:r>
                    <w:rPr>
                      <w:rFonts w:hint="eastAsia"/>
                      <w:color w:val="auto"/>
                      <w:kern w:val="0"/>
                      <w:szCs w:val="18"/>
                      <w:highlight w:val="none"/>
                    </w:rPr>
                    <w:t>/</w:t>
                  </w:r>
                </w:p>
              </w:tc>
            </w:tr>
            <w:tr w14:paraId="695B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9" w:type="pct"/>
                  <w:vMerge w:val="continue"/>
                  <w:tcBorders>
                    <w:left w:val="single" w:color="auto" w:sz="4" w:space="0"/>
                    <w:bottom w:val="single" w:color="auto" w:sz="4" w:space="0"/>
                    <w:right w:val="single" w:color="auto" w:sz="4" w:space="0"/>
                  </w:tcBorders>
                  <w:tcMar>
                    <w:top w:w="57" w:type="dxa"/>
                    <w:left w:w="108" w:type="dxa"/>
                    <w:bottom w:w="57" w:type="dxa"/>
                    <w:right w:w="108" w:type="dxa"/>
                  </w:tcMar>
                  <w:vAlign w:val="center"/>
                </w:tcPr>
                <w:p w14:paraId="7C55BD57">
                  <w:pPr>
                    <w:pStyle w:val="41"/>
                    <w:rPr>
                      <w:color w:val="auto"/>
                      <w:kern w:val="0"/>
                      <w:szCs w:val="18"/>
                      <w:highlight w:val="none"/>
                    </w:rPr>
                  </w:pP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04DB12A">
                  <w:pPr>
                    <w:pStyle w:val="41"/>
                    <w:rPr>
                      <w:color w:val="auto"/>
                      <w:kern w:val="0"/>
                      <w:szCs w:val="18"/>
                      <w:highlight w:val="none"/>
                    </w:rPr>
                  </w:pPr>
                  <w:r>
                    <w:rPr>
                      <w:rFonts w:hint="eastAsia"/>
                      <w:color w:val="auto"/>
                      <w:szCs w:val="18"/>
                      <w:highlight w:val="none"/>
                    </w:rPr>
                    <w:t>2810.13</w:t>
                  </w:r>
                  <w:r>
                    <w:rPr>
                      <w:rFonts w:hint="eastAsia"/>
                      <w:color w:val="auto"/>
                      <w:kern w:val="0"/>
                      <w:szCs w:val="18"/>
                      <w:highlight w:val="none"/>
                    </w:rPr>
                    <w:t>t</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F9243CB">
                  <w:pPr>
                    <w:pStyle w:val="41"/>
                    <w:rPr>
                      <w:color w:val="auto"/>
                      <w:kern w:val="0"/>
                      <w:szCs w:val="18"/>
                      <w:highlight w:val="none"/>
                    </w:rPr>
                  </w:pPr>
                  <w:r>
                    <w:rPr>
                      <w:rFonts w:hint="eastAsia"/>
                      <w:color w:val="auto"/>
                      <w:kern w:val="0"/>
                      <w:szCs w:val="18"/>
                      <w:highlight w:val="none"/>
                    </w:rPr>
                    <w:t>矿物油、泥浆、岩屑</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93F8AAD">
                  <w:pPr>
                    <w:pStyle w:val="41"/>
                    <w:rPr>
                      <w:color w:val="auto"/>
                      <w:kern w:val="0"/>
                      <w:szCs w:val="18"/>
                      <w:highlight w:val="none"/>
                    </w:rPr>
                  </w:pPr>
                  <w:r>
                    <w:rPr>
                      <w:rFonts w:hint="eastAsia"/>
                      <w:color w:val="auto"/>
                      <w:kern w:val="0"/>
                      <w:szCs w:val="18"/>
                      <w:highlight w:val="none"/>
                    </w:rPr>
                    <w:t>委托有相应危废处理资质的单位进行安全处置</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5B80576">
                  <w:pPr>
                    <w:pStyle w:val="41"/>
                    <w:rPr>
                      <w:color w:val="auto"/>
                      <w:kern w:val="0"/>
                      <w:szCs w:val="18"/>
                      <w:highlight w:val="none"/>
                    </w:rPr>
                  </w:pPr>
                  <w:r>
                    <w:rPr>
                      <w:rFonts w:hint="eastAsia"/>
                      <w:color w:val="auto"/>
                      <w:kern w:val="0"/>
                      <w:szCs w:val="18"/>
                      <w:highlight w:val="none"/>
                    </w:rPr>
                    <w:t>0</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FB647F3">
                  <w:pPr>
                    <w:pStyle w:val="41"/>
                    <w:rPr>
                      <w:color w:val="auto"/>
                      <w:szCs w:val="18"/>
                      <w:highlight w:val="none"/>
                    </w:rPr>
                  </w:pPr>
                  <w:r>
                    <w:rPr>
                      <w:rFonts w:hint="eastAsia"/>
                      <w:color w:val="auto"/>
                      <w:kern w:val="0"/>
                      <w:szCs w:val="18"/>
                      <w:highlight w:val="none"/>
                    </w:rPr>
                    <w:t>HW08 废矿物油与含矿物油废物</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EF30513">
                  <w:pPr>
                    <w:pStyle w:val="41"/>
                    <w:rPr>
                      <w:color w:val="auto"/>
                      <w:szCs w:val="18"/>
                      <w:highlight w:val="none"/>
                    </w:rPr>
                  </w:pPr>
                  <w:r>
                    <w:rPr>
                      <w:rFonts w:hint="eastAsia"/>
                      <w:color w:val="auto"/>
                      <w:szCs w:val="18"/>
                      <w:highlight w:val="none"/>
                    </w:rPr>
                    <w:t>071-002-08以矿物油为连续相配制钻井泥浆用于石油开采所产生的钻井岩屑和废弃钻井泥浆</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C1694E6">
                  <w:pPr>
                    <w:pStyle w:val="41"/>
                    <w:rPr>
                      <w:color w:val="auto"/>
                      <w:kern w:val="0"/>
                      <w:szCs w:val="18"/>
                      <w:highlight w:val="none"/>
                    </w:rPr>
                  </w:pPr>
                  <w:r>
                    <w:rPr>
                      <w:rFonts w:hint="eastAsia"/>
                      <w:color w:val="auto"/>
                      <w:kern w:val="0"/>
                      <w:szCs w:val="18"/>
                      <w:highlight w:val="none"/>
                    </w:rPr>
                    <w:t>T</w:t>
                  </w:r>
                </w:p>
              </w:tc>
            </w:tr>
            <w:tr w14:paraId="234C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883FC03">
                  <w:pPr>
                    <w:pStyle w:val="41"/>
                    <w:rPr>
                      <w:color w:val="auto"/>
                      <w:kern w:val="0"/>
                      <w:szCs w:val="18"/>
                      <w:highlight w:val="none"/>
                    </w:rPr>
                  </w:pPr>
                  <w:r>
                    <w:rPr>
                      <w:rFonts w:hint="eastAsia"/>
                      <w:color w:val="auto"/>
                      <w:kern w:val="0"/>
                      <w:szCs w:val="18"/>
                      <w:highlight w:val="none"/>
                    </w:rPr>
                    <w:t>废防渗材料</w:t>
                  </w: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A67FCBF">
                  <w:pPr>
                    <w:pStyle w:val="41"/>
                    <w:rPr>
                      <w:color w:val="auto"/>
                      <w:kern w:val="0"/>
                      <w:szCs w:val="18"/>
                      <w:highlight w:val="none"/>
                    </w:rPr>
                  </w:pPr>
                  <w:r>
                    <w:rPr>
                      <w:color w:val="auto"/>
                      <w:kern w:val="0"/>
                      <w:szCs w:val="18"/>
                      <w:highlight w:val="none"/>
                    </w:rPr>
                    <w:t>0.5</w:t>
                  </w:r>
                  <w:r>
                    <w:rPr>
                      <w:rFonts w:hint="eastAsia"/>
                      <w:color w:val="auto"/>
                      <w:kern w:val="0"/>
                      <w:szCs w:val="18"/>
                      <w:highlight w:val="none"/>
                    </w:rPr>
                    <w:t>t</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257F650">
                  <w:pPr>
                    <w:pStyle w:val="41"/>
                    <w:rPr>
                      <w:color w:val="auto"/>
                      <w:kern w:val="0"/>
                      <w:szCs w:val="18"/>
                      <w:highlight w:val="none"/>
                    </w:rPr>
                  </w:pPr>
                  <w:r>
                    <w:rPr>
                      <w:rFonts w:hint="eastAsia"/>
                      <w:color w:val="auto"/>
                      <w:kern w:val="0"/>
                      <w:szCs w:val="18"/>
                      <w:highlight w:val="none"/>
                    </w:rPr>
                    <w:t>矿物油、防渗材料</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3914D7B">
                  <w:pPr>
                    <w:pStyle w:val="41"/>
                    <w:rPr>
                      <w:color w:val="auto"/>
                      <w:kern w:val="0"/>
                      <w:szCs w:val="18"/>
                      <w:highlight w:val="none"/>
                    </w:rPr>
                  </w:pPr>
                  <w:r>
                    <w:rPr>
                      <w:rFonts w:hint="eastAsia"/>
                      <w:color w:val="auto"/>
                      <w:kern w:val="0"/>
                      <w:szCs w:val="18"/>
                      <w:highlight w:val="none"/>
                    </w:rPr>
                    <w:t>委托有相应危废处理资质的单位进行安全处置</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856293E">
                  <w:pPr>
                    <w:pStyle w:val="41"/>
                    <w:rPr>
                      <w:color w:val="auto"/>
                      <w:kern w:val="0"/>
                      <w:szCs w:val="18"/>
                      <w:highlight w:val="none"/>
                    </w:rPr>
                  </w:pPr>
                  <w:r>
                    <w:rPr>
                      <w:rFonts w:hint="eastAsia"/>
                      <w:color w:val="auto"/>
                      <w:kern w:val="0"/>
                      <w:szCs w:val="18"/>
                      <w:highlight w:val="none"/>
                    </w:rPr>
                    <w:t>0</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C792D41">
                  <w:pPr>
                    <w:pStyle w:val="41"/>
                    <w:rPr>
                      <w:color w:val="auto"/>
                      <w:kern w:val="0"/>
                      <w:szCs w:val="18"/>
                      <w:highlight w:val="none"/>
                    </w:rPr>
                  </w:pPr>
                  <w:r>
                    <w:rPr>
                      <w:rFonts w:hint="eastAsia"/>
                      <w:color w:val="auto"/>
                      <w:kern w:val="0"/>
                      <w:szCs w:val="18"/>
                      <w:highlight w:val="none"/>
                    </w:rPr>
                    <w:t>HW08 废矿物油与含矿物油废物</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FC9E882">
                  <w:pPr>
                    <w:pStyle w:val="41"/>
                    <w:rPr>
                      <w:color w:val="auto"/>
                      <w:kern w:val="0"/>
                      <w:szCs w:val="18"/>
                      <w:highlight w:val="none"/>
                    </w:rPr>
                  </w:pPr>
                  <w:r>
                    <w:rPr>
                      <w:rFonts w:hint="eastAsia"/>
                      <w:color w:val="auto"/>
                      <w:kern w:val="0"/>
                      <w:szCs w:val="18"/>
                      <w:highlight w:val="none"/>
                    </w:rPr>
                    <w:t>900-249-08其他生产、销售、使用过程中产生的废矿物油及沾染矿物油的废弃包装物</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FE9B185">
                  <w:pPr>
                    <w:pStyle w:val="41"/>
                    <w:rPr>
                      <w:color w:val="auto"/>
                      <w:kern w:val="0"/>
                      <w:szCs w:val="18"/>
                      <w:highlight w:val="none"/>
                    </w:rPr>
                  </w:pPr>
                  <w:r>
                    <w:rPr>
                      <w:rFonts w:hint="eastAsia"/>
                      <w:color w:val="auto"/>
                      <w:kern w:val="0"/>
                      <w:szCs w:val="18"/>
                      <w:highlight w:val="none"/>
                    </w:rPr>
                    <w:t>T，I</w:t>
                  </w:r>
                </w:p>
              </w:tc>
            </w:tr>
            <w:tr w14:paraId="30FE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AFC5860">
                  <w:pPr>
                    <w:pStyle w:val="41"/>
                    <w:rPr>
                      <w:color w:val="auto"/>
                      <w:kern w:val="0"/>
                      <w:szCs w:val="18"/>
                      <w:highlight w:val="none"/>
                    </w:rPr>
                  </w:pPr>
                  <w:r>
                    <w:rPr>
                      <w:rFonts w:hint="eastAsia"/>
                      <w:color w:val="auto"/>
                      <w:kern w:val="0"/>
                      <w:szCs w:val="18"/>
                      <w:highlight w:val="none"/>
                    </w:rPr>
                    <w:t>生活垃圾</w:t>
                  </w: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DD71C49">
                  <w:pPr>
                    <w:pStyle w:val="41"/>
                    <w:rPr>
                      <w:color w:val="auto"/>
                      <w:kern w:val="0"/>
                      <w:szCs w:val="18"/>
                      <w:highlight w:val="none"/>
                    </w:rPr>
                  </w:pPr>
                  <w:r>
                    <w:rPr>
                      <w:rFonts w:hint="eastAsia"/>
                      <w:color w:val="auto"/>
                      <w:kern w:val="0"/>
                      <w:szCs w:val="18"/>
                      <w:highlight w:val="none"/>
                      <w:lang w:eastAsia="zh-CN"/>
                    </w:rPr>
                    <w:t>3.96</w:t>
                  </w:r>
                  <w:r>
                    <w:rPr>
                      <w:rFonts w:hint="eastAsia"/>
                      <w:color w:val="auto"/>
                      <w:kern w:val="0"/>
                      <w:szCs w:val="18"/>
                      <w:highlight w:val="none"/>
                    </w:rPr>
                    <w:t>t</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0650C50">
                  <w:pPr>
                    <w:pStyle w:val="41"/>
                    <w:rPr>
                      <w:color w:val="auto"/>
                      <w:kern w:val="0"/>
                      <w:szCs w:val="18"/>
                      <w:highlight w:val="none"/>
                    </w:rPr>
                  </w:pPr>
                  <w:r>
                    <w:rPr>
                      <w:rFonts w:hint="eastAsia"/>
                      <w:color w:val="auto"/>
                      <w:kern w:val="0"/>
                      <w:szCs w:val="18"/>
                      <w:highlight w:val="none"/>
                    </w:rPr>
                    <w:t>生活垃圾</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F963333">
                  <w:pPr>
                    <w:pStyle w:val="41"/>
                    <w:rPr>
                      <w:color w:val="auto"/>
                      <w:kern w:val="0"/>
                      <w:szCs w:val="18"/>
                      <w:highlight w:val="none"/>
                    </w:rPr>
                  </w:pPr>
                  <w:r>
                    <w:rPr>
                      <w:rFonts w:hint="eastAsia"/>
                      <w:snapToGrid w:val="0"/>
                      <w:color w:val="auto"/>
                      <w:kern w:val="0"/>
                      <w:szCs w:val="18"/>
                      <w:highlight w:val="none"/>
                    </w:rPr>
                    <w:t>生活垃圾集中在生活垃圾收集箱内，定期拉运至阜康市</w:t>
                  </w:r>
                  <w:r>
                    <w:rPr>
                      <w:rFonts w:hint="eastAsia"/>
                      <w:snapToGrid w:val="0"/>
                      <w:color w:val="auto"/>
                      <w:kern w:val="0"/>
                      <w:szCs w:val="18"/>
                      <w:highlight w:val="none"/>
                      <w:lang w:val="en-US" w:eastAsia="zh-CN"/>
                    </w:rPr>
                    <w:t>宏翔环境卫生服务有限公司</w:t>
                  </w:r>
                  <w:r>
                    <w:rPr>
                      <w:rFonts w:hint="eastAsia"/>
                      <w:color w:val="auto"/>
                      <w:sz w:val="18"/>
                      <w:szCs w:val="18"/>
                      <w:highlight w:val="none"/>
                      <w:lang w:val="en-US" w:eastAsia="zh-CN"/>
                    </w:rPr>
                    <w:t>阜康市生活垃圾填埋场</w:t>
                  </w:r>
                  <w:r>
                    <w:rPr>
                      <w:rFonts w:hint="eastAsia"/>
                      <w:snapToGrid w:val="0"/>
                      <w:color w:val="auto"/>
                      <w:kern w:val="0"/>
                      <w:szCs w:val="18"/>
                      <w:highlight w:val="none"/>
                    </w:rPr>
                    <w:t>处理</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0371913">
                  <w:pPr>
                    <w:pStyle w:val="41"/>
                    <w:rPr>
                      <w:color w:val="auto"/>
                      <w:kern w:val="0"/>
                      <w:szCs w:val="18"/>
                      <w:highlight w:val="none"/>
                    </w:rPr>
                  </w:pPr>
                  <w:r>
                    <w:rPr>
                      <w:rFonts w:hint="eastAsia"/>
                      <w:color w:val="auto"/>
                      <w:kern w:val="0"/>
                      <w:szCs w:val="18"/>
                      <w:highlight w:val="none"/>
                    </w:rPr>
                    <w:t>0</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CC9B6F6">
                  <w:pPr>
                    <w:pStyle w:val="41"/>
                    <w:rPr>
                      <w:color w:val="auto"/>
                      <w:szCs w:val="18"/>
                      <w:highlight w:val="none"/>
                    </w:rPr>
                  </w:pPr>
                  <w:r>
                    <w:rPr>
                      <w:rFonts w:hint="eastAsia"/>
                      <w:color w:val="auto"/>
                      <w:szCs w:val="18"/>
                      <w:highlight w:val="none"/>
                    </w:rPr>
                    <w:t>SW64其他垃圾</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17CB2AB">
                  <w:pPr>
                    <w:pStyle w:val="41"/>
                    <w:rPr>
                      <w:color w:val="auto"/>
                      <w:szCs w:val="18"/>
                      <w:highlight w:val="none"/>
                    </w:rPr>
                  </w:pPr>
                  <w:r>
                    <w:rPr>
                      <w:rFonts w:hint="eastAsia"/>
                      <w:color w:val="auto"/>
                      <w:szCs w:val="18"/>
                      <w:highlight w:val="none"/>
                    </w:rPr>
                    <w:t>900-099-S64以上之外的生活垃圾</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7DEFF8C">
                  <w:pPr>
                    <w:pStyle w:val="41"/>
                    <w:rPr>
                      <w:color w:val="auto"/>
                      <w:kern w:val="0"/>
                      <w:szCs w:val="18"/>
                      <w:highlight w:val="none"/>
                    </w:rPr>
                  </w:pPr>
                  <w:r>
                    <w:rPr>
                      <w:rFonts w:hint="eastAsia"/>
                      <w:color w:val="auto"/>
                      <w:kern w:val="0"/>
                      <w:szCs w:val="18"/>
                      <w:highlight w:val="none"/>
                    </w:rPr>
                    <w:t>/</w:t>
                  </w:r>
                </w:p>
              </w:tc>
            </w:tr>
            <w:tr w14:paraId="0ECA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A716BAA">
                  <w:pPr>
                    <w:pStyle w:val="41"/>
                    <w:rPr>
                      <w:color w:val="auto"/>
                      <w:kern w:val="0"/>
                      <w:szCs w:val="18"/>
                      <w:highlight w:val="none"/>
                    </w:rPr>
                  </w:pPr>
                  <w:r>
                    <w:rPr>
                      <w:rFonts w:hint="eastAsia"/>
                      <w:color w:val="auto"/>
                      <w:kern w:val="0"/>
                      <w:szCs w:val="18"/>
                      <w:highlight w:val="none"/>
                    </w:rPr>
                    <w:t>废润滑油</w:t>
                  </w: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C3C1902">
                  <w:pPr>
                    <w:pStyle w:val="41"/>
                    <w:rPr>
                      <w:color w:val="auto"/>
                      <w:kern w:val="0"/>
                      <w:szCs w:val="18"/>
                      <w:highlight w:val="none"/>
                    </w:rPr>
                  </w:pPr>
                  <w:r>
                    <w:rPr>
                      <w:color w:val="auto"/>
                      <w:kern w:val="0"/>
                      <w:szCs w:val="18"/>
                      <w:highlight w:val="none"/>
                    </w:rPr>
                    <w:t>0.05</w:t>
                  </w:r>
                  <w:r>
                    <w:rPr>
                      <w:rFonts w:hint="eastAsia"/>
                      <w:color w:val="auto"/>
                      <w:kern w:val="0"/>
                      <w:szCs w:val="18"/>
                      <w:highlight w:val="none"/>
                    </w:rPr>
                    <w:t>t</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898456C">
                  <w:pPr>
                    <w:pStyle w:val="41"/>
                    <w:rPr>
                      <w:color w:val="auto"/>
                      <w:kern w:val="0"/>
                      <w:szCs w:val="18"/>
                      <w:highlight w:val="none"/>
                    </w:rPr>
                  </w:pPr>
                  <w:r>
                    <w:rPr>
                      <w:rFonts w:hint="eastAsia"/>
                      <w:color w:val="auto"/>
                      <w:kern w:val="0"/>
                      <w:szCs w:val="18"/>
                      <w:highlight w:val="none"/>
                    </w:rPr>
                    <w:t>矿物油</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4ABFA61">
                  <w:pPr>
                    <w:pStyle w:val="41"/>
                    <w:rPr>
                      <w:color w:val="auto"/>
                      <w:kern w:val="0"/>
                      <w:szCs w:val="18"/>
                      <w:highlight w:val="none"/>
                    </w:rPr>
                  </w:pPr>
                  <w:r>
                    <w:rPr>
                      <w:rFonts w:hint="eastAsia"/>
                      <w:color w:val="auto"/>
                      <w:kern w:val="0"/>
                      <w:szCs w:val="18"/>
                      <w:highlight w:val="none"/>
                    </w:rPr>
                    <w:t>委托有相应危废处理资质的单位进行安全处置</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4B13347">
                  <w:pPr>
                    <w:pStyle w:val="41"/>
                    <w:rPr>
                      <w:color w:val="auto"/>
                      <w:kern w:val="0"/>
                      <w:szCs w:val="18"/>
                      <w:highlight w:val="none"/>
                    </w:rPr>
                  </w:pPr>
                  <w:r>
                    <w:rPr>
                      <w:rFonts w:hint="eastAsia"/>
                      <w:color w:val="auto"/>
                      <w:kern w:val="0"/>
                      <w:szCs w:val="18"/>
                      <w:highlight w:val="none"/>
                    </w:rPr>
                    <w:t>0</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D09150A">
                  <w:pPr>
                    <w:pStyle w:val="41"/>
                    <w:rPr>
                      <w:color w:val="auto"/>
                      <w:kern w:val="0"/>
                      <w:szCs w:val="18"/>
                      <w:highlight w:val="none"/>
                    </w:rPr>
                  </w:pPr>
                  <w:r>
                    <w:rPr>
                      <w:rFonts w:hint="eastAsia"/>
                      <w:color w:val="auto"/>
                      <w:kern w:val="0"/>
                      <w:szCs w:val="18"/>
                      <w:highlight w:val="none"/>
                    </w:rPr>
                    <w:t>HW08 废矿物油与含矿物油废物</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0791033">
                  <w:pPr>
                    <w:pStyle w:val="41"/>
                    <w:rPr>
                      <w:color w:val="auto"/>
                      <w:kern w:val="0"/>
                      <w:szCs w:val="18"/>
                      <w:highlight w:val="none"/>
                    </w:rPr>
                  </w:pPr>
                  <w:r>
                    <w:rPr>
                      <w:rFonts w:hint="eastAsia"/>
                      <w:color w:val="auto"/>
                      <w:kern w:val="0"/>
                      <w:szCs w:val="18"/>
                      <w:highlight w:val="none"/>
                    </w:rPr>
                    <w:t>900-249-08其他生产、销售、使用过程中产生的废矿物油及沾染矿物油的废弃包装物</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F6F6034">
                  <w:pPr>
                    <w:pStyle w:val="41"/>
                    <w:rPr>
                      <w:color w:val="auto"/>
                      <w:kern w:val="0"/>
                      <w:szCs w:val="18"/>
                      <w:highlight w:val="none"/>
                    </w:rPr>
                  </w:pPr>
                  <w:r>
                    <w:rPr>
                      <w:rFonts w:hint="eastAsia"/>
                      <w:color w:val="auto"/>
                      <w:kern w:val="0"/>
                      <w:szCs w:val="18"/>
                      <w:highlight w:val="none"/>
                    </w:rPr>
                    <w:t>T，I</w:t>
                  </w:r>
                </w:p>
              </w:tc>
            </w:tr>
            <w:tr w14:paraId="5CA0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4ACECA9">
                  <w:pPr>
                    <w:pStyle w:val="41"/>
                    <w:rPr>
                      <w:color w:val="auto"/>
                      <w:kern w:val="0"/>
                      <w:szCs w:val="18"/>
                      <w:highlight w:val="none"/>
                    </w:rPr>
                  </w:pPr>
                  <w:r>
                    <w:rPr>
                      <w:rFonts w:hint="eastAsia"/>
                      <w:color w:val="auto"/>
                      <w:kern w:val="0"/>
                      <w:szCs w:val="18"/>
                      <w:highlight w:val="none"/>
                    </w:rPr>
                    <w:t>废润滑油桶</w:t>
                  </w: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8FFC3B1">
                  <w:pPr>
                    <w:pStyle w:val="41"/>
                    <w:rPr>
                      <w:color w:val="auto"/>
                      <w:kern w:val="0"/>
                      <w:szCs w:val="18"/>
                      <w:highlight w:val="none"/>
                    </w:rPr>
                  </w:pPr>
                  <w:r>
                    <w:rPr>
                      <w:color w:val="auto"/>
                      <w:kern w:val="0"/>
                      <w:szCs w:val="18"/>
                      <w:highlight w:val="none"/>
                    </w:rPr>
                    <w:t>0.02</w:t>
                  </w:r>
                  <w:r>
                    <w:rPr>
                      <w:rFonts w:hint="eastAsia"/>
                      <w:color w:val="auto"/>
                      <w:kern w:val="0"/>
                      <w:szCs w:val="18"/>
                      <w:highlight w:val="none"/>
                    </w:rPr>
                    <w:t>t</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7035544">
                  <w:pPr>
                    <w:pStyle w:val="41"/>
                    <w:rPr>
                      <w:color w:val="auto"/>
                      <w:kern w:val="0"/>
                      <w:szCs w:val="18"/>
                      <w:highlight w:val="none"/>
                    </w:rPr>
                  </w:pPr>
                  <w:r>
                    <w:rPr>
                      <w:rFonts w:hint="eastAsia"/>
                      <w:color w:val="auto"/>
                      <w:kern w:val="0"/>
                      <w:szCs w:val="18"/>
                      <w:highlight w:val="none"/>
                    </w:rPr>
                    <w:t>矿物油、油桶</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5EABDD6">
                  <w:pPr>
                    <w:pStyle w:val="41"/>
                    <w:rPr>
                      <w:color w:val="auto"/>
                      <w:kern w:val="0"/>
                      <w:szCs w:val="18"/>
                      <w:highlight w:val="none"/>
                    </w:rPr>
                  </w:pPr>
                  <w:r>
                    <w:rPr>
                      <w:rFonts w:hint="eastAsia"/>
                      <w:color w:val="auto"/>
                      <w:kern w:val="0"/>
                      <w:szCs w:val="18"/>
                      <w:highlight w:val="none"/>
                    </w:rPr>
                    <w:t>委托有相应危废处理资质的单位进行安全处置</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981940F">
                  <w:pPr>
                    <w:pStyle w:val="41"/>
                    <w:rPr>
                      <w:color w:val="auto"/>
                      <w:kern w:val="0"/>
                      <w:szCs w:val="18"/>
                      <w:highlight w:val="none"/>
                    </w:rPr>
                  </w:pPr>
                  <w:r>
                    <w:rPr>
                      <w:rFonts w:hint="eastAsia"/>
                      <w:color w:val="auto"/>
                      <w:kern w:val="0"/>
                      <w:szCs w:val="18"/>
                      <w:highlight w:val="none"/>
                    </w:rPr>
                    <w:t>0</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B19CAB5">
                  <w:pPr>
                    <w:pStyle w:val="41"/>
                    <w:rPr>
                      <w:color w:val="auto"/>
                      <w:kern w:val="0"/>
                      <w:szCs w:val="18"/>
                      <w:highlight w:val="none"/>
                    </w:rPr>
                  </w:pPr>
                  <w:r>
                    <w:rPr>
                      <w:rFonts w:hint="eastAsia"/>
                      <w:color w:val="auto"/>
                      <w:kern w:val="0"/>
                      <w:szCs w:val="18"/>
                      <w:highlight w:val="none"/>
                    </w:rPr>
                    <w:t>HW08 废矿物油与含矿物油废物</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78251A0">
                  <w:pPr>
                    <w:pStyle w:val="41"/>
                    <w:rPr>
                      <w:color w:val="auto"/>
                      <w:kern w:val="0"/>
                      <w:szCs w:val="18"/>
                      <w:highlight w:val="none"/>
                    </w:rPr>
                  </w:pPr>
                  <w:r>
                    <w:rPr>
                      <w:rFonts w:hint="eastAsia"/>
                      <w:color w:val="auto"/>
                      <w:kern w:val="0"/>
                      <w:szCs w:val="18"/>
                      <w:highlight w:val="none"/>
                    </w:rPr>
                    <w:t>900-249-08其他生产、销售、使用过程中产生的废矿物油及沾染矿物油的废弃包装物</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D825918">
                  <w:pPr>
                    <w:pStyle w:val="41"/>
                    <w:rPr>
                      <w:color w:val="auto"/>
                      <w:kern w:val="0"/>
                      <w:szCs w:val="18"/>
                      <w:highlight w:val="none"/>
                    </w:rPr>
                  </w:pPr>
                  <w:r>
                    <w:rPr>
                      <w:rFonts w:hint="eastAsia"/>
                      <w:color w:val="auto"/>
                      <w:kern w:val="0"/>
                      <w:szCs w:val="18"/>
                      <w:highlight w:val="none"/>
                    </w:rPr>
                    <w:t>T，I</w:t>
                  </w:r>
                </w:p>
              </w:tc>
            </w:tr>
            <w:tr w14:paraId="0044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9" w:type="pct"/>
                  <w:vMerge w:val="restart"/>
                  <w:tcBorders>
                    <w:top w:val="single" w:color="auto" w:sz="4" w:space="0"/>
                    <w:left w:val="single" w:color="auto" w:sz="4" w:space="0"/>
                    <w:right w:val="single" w:color="auto" w:sz="4" w:space="0"/>
                  </w:tcBorders>
                  <w:tcMar>
                    <w:top w:w="57" w:type="dxa"/>
                    <w:left w:w="108" w:type="dxa"/>
                    <w:bottom w:w="57" w:type="dxa"/>
                    <w:right w:w="108" w:type="dxa"/>
                  </w:tcMar>
                  <w:vAlign w:val="center"/>
                </w:tcPr>
                <w:p w14:paraId="1AEA1A9B">
                  <w:pPr>
                    <w:pStyle w:val="41"/>
                    <w:rPr>
                      <w:color w:val="auto"/>
                      <w:szCs w:val="18"/>
                      <w:highlight w:val="none"/>
                    </w:rPr>
                  </w:pPr>
                  <w:r>
                    <w:rPr>
                      <w:rFonts w:hint="eastAsia"/>
                      <w:color w:val="auto"/>
                      <w:sz w:val="18"/>
                      <w:szCs w:val="18"/>
                      <w:highlight w:val="none"/>
                    </w:rPr>
                    <w:t>废弃包装物</w:t>
                  </w: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20B59B8">
                  <w:pPr>
                    <w:pStyle w:val="41"/>
                    <w:rPr>
                      <w:color w:val="auto"/>
                      <w:szCs w:val="18"/>
                      <w:highlight w:val="none"/>
                    </w:rPr>
                  </w:pPr>
                  <w:r>
                    <w:rPr>
                      <w:color w:val="auto"/>
                      <w:szCs w:val="18"/>
                      <w:highlight w:val="none"/>
                    </w:rPr>
                    <w:t>0.01</w:t>
                  </w:r>
                  <w:r>
                    <w:rPr>
                      <w:rFonts w:hint="eastAsia"/>
                      <w:color w:val="auto"/>
                      <w:szCs w:val="18"/>
                      <w:highlight w:val="none"/>
                    </w:rPr>
                    <w:t>t</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87D9E2B">
                  <w:pPr>
                    <w:pStyle w:val="41"/>
                    <w:rPr>
                      <w:color w:val="auto"/>
                      <w:szCs w:val="18"/>
                      <w:highlight w:val="none"/>
                    </w:rPr>
                  </w:pPr>
                  <w:r>
                    <w:rPr>
                      <w:rFonts w:hint="eastAsia"/>
                      <w:color w:val="auto"/>
                      <w:szCs w:val="18"/>
                      <w:highlight w:val="none"/>
                    </w:rPr>
                    <w:t>碱性物质</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629A58B">
                  <w:pPr>
                    <w:pStyle w:val="41"/>
                    <w:rPr>
                      <w:color w:val="auto"/>
                      <w:szCs w:val="18"/>
                      <w:highlight w:val="none"/>
                    </w:rPr>
                  </w:pPr>
                  <w:r>
                    <w:rPr>
                      <w:rFonts w:hint="eastAsia"/>
                      <w:color w:val="auto"/>
                      <w:szCs w:val="18"/>
                      <w:highlight w:val="none"/>
                    </w:rPr>
                    <w:t>委托有相应危废处理资质的单位进行安全处置</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6C0C21A">
                  <w:pPr>
                    <w:pStyle w:val="41"/>
                    <w:rPr>
                      <w:color w:val="auto"/>
                      <w:szCs w:val="18"/>
                      <w:highlight w:val="none"/>
                    </w:rPr>
                  </w:pPr>
                  <w:r>
                    <w:rPr>
                      <w:rFonts w:hint="eastAsia"/>
                      <w:color w:val="auto"/>
                      <w:szCs w:val="18"/>
                      <w:highlight w:val="none"/>
                    </w:rPr>
                    <w:t>0</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BE33BFC">
                  <w:pPr>
                    <w:pStyle w:val="41"/>
                    <w:rPr>
                      <w:color w:val="auto"/>
                      <w:szCs w:val="18"/>
                      <w:highlight w:val="none"/>
                    </w:rPr>
                  </w:pPr>
                  <w:r>
                    <w:rPr>
                      <w:rFonts w:hint="eastAsia"/>
                      <w:color w:val="auto"/>
                      <w:szCs w:val="18"/>
                      <w:highlight w:val="none"/>
                    </w:rPr>
                    <w:t>HW49其他废物</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780F288">
                  <w:pPr>
                    <w:pStyle w:val="41"/>
                    <w:rPr>
                      <w:color w:val="auto"/>
                      <w:szCs w:val="18"/>
                      <w:highlight w:val="none"/>
                    </w:rPr>
                  </w:pPr>
                  <w:r>
                    <w:rPr>
                      <w:rFonts w:hint="eastAsia"/>
                      <w:color w:val="auto"/>
                      <w:szCs w:val="18"/>
                      <w:highlight w:val="none"/>
                    </w:rPr>
                    <w:t>900-041-49含有或沾染毒性、感染性危险废物的废弃包装物、容器、过滤吸附介质</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8E55041">
                  <w:pPr>
                    <w:pStyle w:val="41"/>
                    <w:rPr>
                      <w:color w:val="auto"/>
                      <w:szCs w:val="18"/>
                      <w:highlight w:val="none"/>
                    </w:rPr>
                  </w:pPr>
                  <w:r>
                    <w:rPr>
                      <w:rFonts w:hint="eastAsia"/>
                      <w:color w:val="auto"/>
                      <w:szCs w:val="18"/>
                      <w:highlight w:val="none"/>
                    </w:rPr>
                    <w:t>T</w:t>
                  </w:r>
                </w:p>
              </w:tc>
            </w:tr>
            <w:tr w14:paraId="5763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9" w:type="pct"/>
                  <w:vMerge w:val="continue"/>
                  <w:tcBorders>
                    <w:left w:val="single" w:color="auto" w:sz="4" w:space="0"/>
                    <w:bottom w:val="single" w:color="auto" w:sz="4" w:space="0"/>
                    <w:right w:val="single" w:color="auto" w:sz="4" w:space="0"/>
                  </w:tcBorders>
                  <w:tcMar>
                    <w:top w:w="57" w:type="dxa"/>
                    <w:left w:w="108" w:type="dxa"/>
                    <w:bottom w:w="57" w:type="dxa"/>
                    <w:right w:w="108" w:type="dxa"/>
                  </w:tcMar>
                  <w:vAlign w:val="center"/>
                </w:tcPr>
                <w:p w14:paraId="150CB7EA">
                  <w:pPr>
                    <w:pStyle w:val="41"/>
                    <w:rPr>
                      <w:rFonts w:hint="eastAsia"/>
                      <w:color w:val="auto"/>
                      <w:sz w:val="18"/>
                      <w:szCs w:val="18"/>
                      <w:highlight w:val="none"/>
                    </w:rPr>
                  </w:pP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F4B2A25">
                  <w:pPr>
                    <w:pStyle w:val="41"/>
                    <w:rPr>
                      <w:rFonts w:hint="default" w:eastAsia="宋体"/>
                      <w:color w:val="auto"/>
                      <w:szCs w:val="18"/>
                      <w:highlight w:val="none"/>
                      <w:lang w:val="en-US" w:eastAsia="zh-CN"/>
                    </w:rPr>
                  </w:pPr>
                  <w:r>
                    <w:rPr>
                      <w:rFonts w:hint="eastAsia"/>
                      <w:color w:val="auto"/>
                      <w:szCs w:val="18"/>
                      <w:highlight w:val="none"/>
                      <w:lang w:val="en-US" w:eastAsia="zh-CN"/>
                    </w:rPr>
                    <w:t>1.5</w:t>
                  </w:r>
                  <w:r>
                    <w:rPr>
                      <w:rFonts w:hint="eastAsia"/>
                      <w:color w:val="auto"/>
                      <w:szCs w:val="18"/>
                      <w:highlight w:val="none"/>
                    </w:rPr>
                    <w:t>t</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5768A02">
                  <w:pPr>
                    <w:pStyle w:val="41"/>
                    <w:rPr>
                      <w:rFonts w:hint="eastAsia"/>
                      <w:color w:val="auto"/>
                      <w:szCs w:val="18"/>
                      <w:highlight w:val="none"/>
                    </w:rPr>
                  </w:pPr>
                  <w:r>
                    <w:rPr>
                      <w:rFonts w:hint="eastAsia"/>
                      <w:color w:val="auto"/>
                      <w:szCs w:val="18"/>
                      <w:highlight w:val="none"/>
                      <w:lang w:val="en-US" w:eastAsia="zh-CN"/>
                    </w:rPr>
                    <w:t>一般固废包装袋</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5AAD170">
                  <w:pPr>
                    <w:pStyle w:val="41"/>
                    <w:rPr>
                      <w:rFonts w:hint="eastAsia"/>
                      <w:color w:val="auto"/>
                      <w:szCs w:val="18"/>
                      <w:highlight w:val="none"/>
                    </w:rPr>
                  </w:pPr>
                  <w:r>
                    <w:rPr>
                      <w:rFonts w:hint="eastAsia"/>
                      <w:color w:val="auto"/>
                      <w:szCs w:val="18"/>
                      <w:highlight w:val="none"/>
                      <w:lang w:val="en-US" w:eastAsia="zh-CN"/>
                    </w:rPr>
                    <w:t>供货厂家回收利用</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2F6C47F">
                  <w:pPr>
                    <w:pStyle w:val="41"/>
                    <w:rPr>
                      <w:rFonts w:hint="eastAsia"/>
                      <w:color w:val="auto"/>
                      <w:szCs w:val="18"/>
                      <w:highlight w:val="none"/>
                    </w:rPr>
                  </w:pPr>
                  <w:r>
                    <w:rPr>
                      <w:rFonts w:hint="eastAsia"/>
                      <w:color w:val="auto"/>
                      <w:szCs w:val="18"/>
                      <w:highlight w:val="none"/>
                      <w:lang w:val="en-US" w:eastAsia="zh-CN"/>
                    </w:rPr>
                    <w:t>0</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CD98DB4">
                  <w:pPr>
                    <w:pStyle w:val="41"/>
                    <w:rPr>
                      <w:rFonts w:hint="eastAsia"/>
                      <w:color w:val="auto"/>
                      <w:szCs w:val="18"/>
                      <w:highlight w:val="none"/>
                    </w:rPr>
                  </w:pPr>
                  <w:r>
                    <w:rPr>
                      <w:rFonts w:hint="eastAsia"/>
                      <w:color w:val="auto"/>
                      <w:szCs w:val="18"/>
                      <w:highlight w:val="none"/>
                      <w:lang w:val="en-US" w:eastAsia="zh-CN"/>
                    </w:rPr>
                    <w:t>/</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60525AB">
                  <w:pPr>
                    <w:pStyle w:val="41"/>
                    <w:rPr>
                      <w:rFonts w:hint="eastAsia"/>
                      <w:color w:val="auto"/>
                      <w:szCs w:val="18"/>
                      <w:highlight w:val="none"/>
                    </w:rPr>
                  </w:pPr>
                  <w:r>
                    <w:rPr>
                      <w:rFonts w:hint="eastAsia"/>
                      <w:color w:val="auto"/>
                      <w:szCs w:val="18"/>
                      <w:highlight w:val="none"/>
                      <w:lang w:val="en-US" w:eastAsia="zh-CN"/>
                    </w:rPr>
                    <w:t>900-003-S17</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00C48AD">
                  <w:pPr>
                    <w:pStyle w:val="41"/>
                    <w:rPr>
                      <w:rFonts w:hint="eastAsia"/>
                      <w:color w:val="auto"/>
                      <w:szCs w:val="18"/>
                      <w:highlight w:val="none"/>
                    </w:rPr>
                  </w:pPr>
                  <w:r>
                    <w:rPr>
                      <w:rFonts w:hint="eastAsia"/>
                      <w:color w:val="auto"/>
                      <w:szCs w:val="18"/>
                      <w:highlight w:val="none"/>
                      <w:lang w:val="en-US" w:eastAsia="zh-CN"/>
                    </w:rPr>
                    <w:t>/</w:t>
                  </w:r>
                </w:p>
              </w:tc>
            </w:tr>
            <w:tr w14:paraId="23EF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9"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5239B73">
                  <w:pPr>
                    <w:pStyle w:val="41"/>
                    <w:rPr>
                      <w:color w:val="auto"/>
                      <w:kern w:val="0"/>
                      <w:szCs w:val="18"/>
                      <w:highlight w:val="none"/>
                    </w:rPr>
                  </w:pPr>
                  <w:r>
                    <w:rPr>
                      <w:color w:val="auto"/>
                      <w:kern w:val="0"/>
                      <w:szCs w:val="18"/>
                      <w:highlight w:val="none"/>
                    </w:rPr>
                    <w:t>废弃的含油抹布、劳保用品</w:t>
                  </w:r>
                </w:p>
              </w:tc>
              <w:tc>
                <w:tcPr>
                  <w:tcW w:w="474"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20F6C1D">
                  <w:pPr>
                    <w:pStyle w:val="41"/>
                    <w:rPr>
                      <w:color w:val="auto"/>
                      <w:kern w:val="0"/>
                      <w:szCs w:val="18"/>
                      <w:highlight w:val="none"/>
                    </w:rPr>
                  </w:pPr>
                  <w:r>
                    <w:rPr>
                      <w:rFonts w:hint="eastAsia"/>
                      <w:color w:val="auto"/>
                      <w:kern w:val="0"/>
                      <w:szCs w:val="18"/>
                      <w:highlight w:val="none"/>
                    </w:rPr>
                    <w:t>0</w:t>
                  </w:r>
                  <w:r>
                    <w:rPr>
                      <w:color w:val="auto"/>
                      <w:kern w:val="0"/>
                      <w:szCs w:val="18"/>
                      <w:highlight w:val="none"/>
                    </w:rPr>
                    <w:t>.005</w:t>
                  </w:r>
                  <w:r>
                    <w:rPr>
                      <w:rFonts w:hint="eastAsia"/>
                      <w:color w:val="auto"/>
                      <w:kern w:val="0"/>
                      <w:szCs w:val="18"/>
                      <w:highlight w:val="none"/>
                    </w:rPr>
                    <w:t>t</w:t>
                  </w:r>
                </w:p>
              </w:tc>
              <w:tc>
                <w:tcPr>
                  <w:tcW w:w="50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4B35486">
                  <w:pPr>
                    <w:pStyle w:val="41"/>
                    <w:rPr>
                      <w:color w:val="auto"/>
                      <w:kern w:val="0"/>
                      <w:szCs w:val="18"/>
                      <w:highlight w:val="none"/>
                    </w:rPr>
                  </w:pPr>
                  <w:r>
                    <w:rPr>
                      <w:rFonts w:hint="eastAsia"/>
                      <w:color w:val="auto"/>
                      <w:kern w:val="0"/>
                      <w:szCs w:val="18"/>
                      <w:highlight w:val="none"/>
                    </w:rPr>
                    <w:t>矿物油、手套、抹布</w:t>
                  </w:r>
                </w:p>
              </w:tc>
              <w:tc>
                <w:tcPr>
                  <w:tcW w:w="98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EBE772A">
                  <w:pPr>
                    <w:pStyle w:val="41"/>
                    <w:rPr>
                      <w:color w:val="auto"/>
                      <w:kern w:val="0"/>
                      <w:szCs w:val="18"/>
                      <w:highlight w:val="none"/>
                    </w:rPr>
                  </w:pPr>
                  <w:r>
                    <w:rPr>
                      <w:rFonts w:hint="eastAsia"/>
                      <w:color w:val="auto"/>
                      <w:kern w:val="0"/>
                      <w:szCs w:val="18"/>
                      <w:highlight w:val="none"/>
                    </w:rPr>
                    <w:t>委托有相应危废处理资质的单位进行安全处置</w:t>
                  </w:r>
                </w:p>
              </w:tc>
              <w:tc>
                <w:tcPr>
                  <w:tcW w:w="536"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BEE61F8">
                  <w:pPr>
                    <w:pStyle w:val="41"/>
                    <w:rPr>
                      <w:color w:val="auto"/>
                      <w:kern w:val="0"/>
                      <w:szCs w:val="18"/>
                      <w:highlight w:val="none"/>
                    </w:rPr>
                  </w:pPr>
                  <w:r>
                    <w:rPr>
                      <w:rFonts w:hint="eastAsia"/>
                      <w:color w:val="auto"/>
                      <w:kern w:val="0"/>
                      <w:szCs w:val="18"/>
                      <w:highlight w:val="none"/>
                    </w:rPr>
                    <w:t>0</w:t>
                  </w:r>
                </w:p>
              </w:tc>
              <w:tc>
                <w:tcPr>
                  <w:tcW w:w="71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3314D85">
                  <w:pPr>
                    <w:pStyle w:val="41"/>
                    <w:rPr>
                      <w:color w:val="auto"/>
                      <w:kern w:val="0"/>
                      <w:szCs w:val="18"/>
                      <w:highlight w:val="none"/>
                    </w:rPr>
                  </w:pPr>
                  <w:r>
                    <w:rPr>
                      <w:rFonts w:hint="eastAsia"/>
                      <w:color w:val="auto"/>
                      <w:kern w:val="0"/>
                      <w:szCs w:val="18"/>
                      <w:highlight w:val="none"/>
                    </w:rPr>
                    <w:t>HW49其他废物</w:t>
                  </w:r>
                </w:p>
              </w:tc>
              <w:tc>
                <w:tcPr>
                  <w:tcW w:w="98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577CCC4">
                  <w:pPr>
                    <w:pStyle w:val="41"/>
                    <w:rPr>
                      <w:color w:val="auto"/>
                      <w:kern w:val="0"/>
                      <w:szCs w:val="18"/>
                      <w:highlight w:val="none"/>
                    </w:rPr>
                  </w:pPr>
                  <w:r>
                    <w:rPr>
                      <w:rFonts w:hint="eastAsia"/>
                      <w:color w:val="auto"/>
                      <w:kern w:val="0"/>
                      <w:szCs w:val="18"/>
                      <w:highlight w:val="none"/>
                    </w:rPr>
                    <w:t>900-041-49含有或沾染毒性、感染性危险废物的废弃包装物、容器、过滤吸附介质</w:t>
                  </w:r>
                </w:p>
              </w:tc>
              <w:tc>
                <w:tcPr>
                  <w:tcW w:w="39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FF77929">
                  <w:pPr>
                    <w:pStyle w:val="41"/>
                    <w:rPr>
                      <w:color w:val="auto"/>
                      <w:kern w:val="0"/>
                      <w:szCs w:val="18"/>
                      <w:highlight w:val="none"/>
                    </w:rPr>
                  </w:pPr>
                  <w:r>
                    <w:rPr>
                      <w:rFonts w:hint="eastAsia"/>
                      <w:color w:val="auto"/>
                      <w:kern w:val="0"/>
                      <w:szCs w:val="18"/>
                      <w:highlight w:val="none"/>
                    </w:rPr>
                    <w:t>T</w:t>
                  </w:r>
                </w:p>
              </w:tc>
            </w:tr>
          </w:tbl>
          <w:p w14:paraId="1C90924A">
            <w:pPr>
              <w:pStyle w:val="3"/>
              <w:numPr>
                <w:ilvl w:val="0"/>
                <w:numId w:val="0"/>
              </w:numPr>
              <w:spacing w:line="332" w:lineRule="auto"/>
              <w:rPr>
                <w:color w:val="auto"/>
                <w:sz w:val="21"/>
                <w:highlight w:val="none"/>
              </w:rPr>
            </w:pPr>
          </w:p>
          <w:p w14:paraId="766B085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20" w:firstLineChars="200"/>
              <w:textAlignment w:val="auto"/>
              <w:rPr>
                <w:color w:val="auto"/>
                <w:sz w:val="21"/>
                <w:highlight w:val="none"/>
              </w:rPr>
            </w:pPr>
            <w:r>
              <w:rPr>
                <w:color w:val="auto"/>
                <w:sz w:val="21"/>
                <w:highlight w:val="none"/>
              </w:rPr>
              <w:t>在各井场内设置危险废物贮存点，其选址符合《危险废物贮存污染控制标准》 （GB18597-2023）中的相关要求，具体要求如下：</w:t>
            </w:r>
          </w:p>
          <w:p w14:paraId="0123DA2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20" w:firstLineChars="200"/>
              <w:textAlignment w:val="auto"/>
              <w:rPr>
                <w:color w:val="auto"/>
                <w:sz w:val="21"/>
                <w:highlight w:val="none"/>
              </w:rPr>
            </w:pPr>
            <w:r>
              <w:rPr>
                <w:rFonts w:hint="eastAsia"/>
                <w:color w:val="auto"/>
                <w:sz w:val="21"/>
                <w:highlight w:val="none"/>
                <w:lang w:val="en-US" w:eastAsia="zh-CN"/>
              </w:rPr>
              <w:t>1）</w:t>
            </w:r>
            <w:r>
              <w:rPr>
                <w:color w:val="auto"/>
                <w:sz w:val="21"/>
                <w:highlight w:val="none"/>
              </w:rPr>
              <w:t>贮存点应具有固定的区域边界 ，并应采取与其他区域进行隔离的措施。</w:t>
            </w:r>
          </w:p>
          <w:p w14:paraId="4E280A4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20" w:firstLineChars="200"/>
              <w:textAlignment w:val="auto"/>
              <w:rPr>
                <w:color w:val="auto"/>
                <w:sz w:val="21"/>
                <w:highlight w:val="none"/>
              </w:rPr>
            </w:pPr>
            <w:r>
              <w:rPr>
                <w:rFonts w:hint="eastAsia"/>
                <w:color w:val="auto"/>
                <w:sz w:val="21"/>
                <w:highlight w:val="none"/>
                <w:lang w:val="en-US" w:eastAsia="zh-CN"/>
              </w:rPr>
              <w:t>2）</w:t>
            </w:r>
            <w:r>
              <w:rPr>
                <w:color w:val="auto"/>
                <w:sz w:val="21"/>
                <w:highlight w:val="none"/>
              </w:rPr>
              <w:t>贮存点应采取防风、防雨、防晒和防止危险废物流失 、扬散等措施。</w:t>
            </w:r>
          </w:p>
          <w:p w14:paraId="7BBD7DE6">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20" w:firstLineChars="200"/>
              <w:textAlignment w:val="auto"/>
              <w:rPr>
                <w:color w:val="auto"/>
                <w:sz w:val="21"/>
                <w:highlight w:val="none"/>
              </w:rPr>
            </w:pPr>
            <w:r>
              <w:rPr>
                <w:rFonts w:hint="eastAsia"/>
                <w:color w:val="auto"/>
                <w:sz w:val="21"/>
                <w:highlight w:val="none"/>
                <w:lang w:val="en-US" w:eastAsia="zh-CN"/>
              </w:rPr>
              <w:t>3）</w:t>
            </w:r>
            <w:r>
              <w:rPr>
                <w:color w:val="auto"/>
                <w:sz w:val="21"/>
                <w:highlight w:val="none"/>
              </w:rPr>
              <w:t>贮存点贮存的危险废物应置于容器或包装物中， 不应直接散堆。</w:t>
            </w:r>
          </w:p>
          <w:p w14:paraId="2E05C8C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20" w:firstLineChars="200"/>
              <w:textAlignment w:val="auto"/>
              <w:rPr>
                <w:color w:val="auto"/>
                <w:sz w:val="21"/>
                <w:highlight w:val="none"/>
              </w:rPr>
            </w:pPr>
            <w:r>
              <w:rPr>
                <w:rFonts w:hint="eastAsia"/>
                <w:color w:val="auto"/>
                <w:sz w:val="21"/>
                <w:highlight w:val="none"/>
                <w:lang w:val="en-US" w:eastAsia="zh-CN"/>
              </w:rPr>
              <w:t>4）</w:t>
            </w:r>
            <w:r>
              <w:rPr>
                <w:color w:val="auto"/>
                <w:sz w:val="21"/>
                <w:highlight w:val="none"/>
              </w:rPr>
              <w:t>贮存点应根据危险废物的形态 、物理化学性质 、包装形式等， 采取防渗 、防漏等污染防治措施。</w:t>
            </w:r>
          </w:p>
          <w:p w14:paraId="5D57562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32" w:lineRule="auto"/>
              <w:ind w:firstLine="420" w:firstLineChars="200"/>
              <w:textAlignment w:val="auto"/>
              <w:rPr>
                <w:color w:val="auto"/>
                <w:sz w:val="21"/>
                <w:highlight w:val="none"/>
              </w:rPr>
            </w:pPr>
            <w:r>
              <w:rPr>
                <w:rFonts w:hint="eastAsia"/>
                <w:color w:val="auto"/>
                <w:sz w:val="21"/>
                <w:highlight w:val="none"/>
                <w:lang w:val="en-US" w:eastAsia="zh-CN"/>
              </w:rPr>
              <w:t>5）</w:t>
            </w:r>
            <w:r>
              <w:rPr>
                <w:color w:val="auto"/>
                <w:sz w:val="21"/>
                <w:highlight w:val="none"/>
              </w:rPr>
              <w:t>贮存点应及时清运贮存的危险废物，实时贮存量不应超过3吨。</w:t>
            </w:r>
          </w:p>
          <w:p w14:paraId="2078E871">
            <w:pPr>
              <w:pStyle w:val="3"/>
              <w:numPr>
                <w:ilvl w:val="0"/>
                <w:numId w:val="0"/>
              </w:numPr>
              <w:spacing w:line="332" w:lineRule="auto"/>
              <w:ind w:firstLine="420" w:firstLineChars="200"/>
              <w:rPr>
                <w:color w:val="auto"/>
                <w:sz w:val="21"/>
                <w:highlight w:val="none"/>
              </w:rPr>
            </w:pPr>
            <w:r>
              <w:rPr>
                <w:rFonts w:hint="eastAsia" w:cstheme="minorBidi"/>
                <w:color w:val="auto"/>
                <w:kern w:val="2"/>
                <w:sz w:val="21"/>
                <w:szCs w:val="24"/>
                <w:highlight w:val="none"/>
                <w:lang w:val="en-US" w:eastAsia="zh-CN" w:bidi="ar-SA"/>
              </w:rPr>
              <w:t>6</w:t>
            </w:r>
            <w:r>
              <w:rPr>
                <w:rFonts w:ascii="宋体" w:hAnsi="宋体" w:eastAsia="宋体" w:cstheme="minorBidi"/>
                <w:color w:val="auto"/>
                <w:kern w:val="2"/>
                <w:sz w:val="21"/>
                <w:szCs w:val="24"/>
                <w:highlight w:val="none"/>
                <w:lang w:val="en-US" w:eastAsia="zh-CN" w:bidi="ar-SA"/>
              </w:rPr>
              <w:t>、</w:t>
            </w:r>
            <w:r>
              <w:rPr>
                <w:rFonts w:hint="eastAsia"/>
                <w:color w:val="auto"/>
                <w:sz w:val="21"/>
                <w:highlight w:val="none"/>
              </w:rPr>
              <w:t>声环境影响分析</w:t>
            </w:r>
          </w:p>
          <w:p w14:paraId="5979F9BC">
            <w:pPr>
              <w:pStyle w:val="3"/>
              <w:ind w:firstLine="420"/>
              <w:rPr>
                <w:color w:val="auto"/>
                <w:sz w:val="21"/>
                <w:highlight w:val="none"/>
              </w:rPr>
            </w:pPr>
            <w:r>
              <w:rPr>
                <w:rFonts w:hint="eastAsia"/>
                <w:color w:val="auto"/>
                <w:sz w:val="21"/>
                <w:highlight w:val="none"/>
              </w:rPr>
              <w:t>本项目钻井期、试油期噪声主要产生于钻井作业、压裂作业、试油作业等施工活动，其噪声源主要是钻机、柴油发电机、钻井泵、通井机、修井机、压裂泵车、混砂车及压裂噪声等，其源强为95dB（A）～110dB（A），经现场踏勘，本项目拟建井场1km范围内无噪声敏感目标，施工噪声对周边环境影响较小。施工单位应参照《建筑施工噪声排放标准》(GB 12523-2025)的要求进行施工，并采取以下措施：</w:t>
            </w:r>
          </w:p>
          <w:p w14:paraId="376E9476">
            <w:pPr>
              <w:pStyle w:val="71"/>
              <w:numPr>
                <w:ilvl w:val="0"/>
                <w:numId w:val="39"/>
              </w:numPr>
              <w:spacing w:line="332" w:lineRule="auto"/>
              <w:ind w:firstLine="420" w:firstLineChars="200"/>
              <w:rPr>
                <w:color w:val="auto"/>
                <w:highlight w:val="none"/>
              </w:rPr>
            </w:pPr>
            <w:r>
              <w:rPr>
                <w:rFonts w:hint="eastAsia"/>
                <w:color w:val="auto"/>
                <w:highlight w:val="none"/>
              </w:rPr>
              <w:t>合理布局钻井现场，尽量选用低噪声设备。</w:t>
            </w:r>
          </w:p>
          <w:p w14:paraId="284253AD">
            <w:pPr>
              <w:pStyle w:val="71"/>
              <w:numPr>
                <w:ilvl w:val="0"/>
                <w:numId w:val="39"/>
              </w:numPr>
              <w:spacing w:line="332" w:lineRule="auto"/>
              <w:ind w:firstLine="420" w:firstLineChars="200"/>
              <w:rPr>
                <w:color w:val="auto"/>
                <w:highlight w:val="none"/>
              </w:rPr>
            </w:pPr>
            <w:r>
              <w:rPr>
                <w:rFonts w:hint="eastAsia"/>
                <w:color w:val="auto"/>
                <w:highlight w:val="none"/>
              </w:rPr>
              <w:t>制定施工计划时，尽可能避免大量高噪声设备同时施工。同时，高噪声设备施工时间尽量安排在昼间。</w:t>
            </w:r>
          </w:p>
          <w:p w14:paraId="1390E167">
            <w:pPr>
              <w:pStyle w:val="71"/>
              <w:numPr>
                <w:ilvl w:val="0"/>
                <w:numId w:val="39"/>
              </w:numPr>
              <w:spacing w:line="332" w:lineRule="auto"/>
              <w:ind w:firstLine="420" w:firstLineChars="200"/>
              <w:rPr>
                <w:color w:val="auto"/>
                <w:highlight w:val="none"/>
              </w:rPr>
            </w:pPr>
            <w:r>
              <w:rPr>
                <w:rFonts w:hint="eastAsia"/>
                <w:color w:val="auto"/>
                <w:highlight w:val="none"/>
              </w:rPr>
              <w:t>加强施工管理和设备维护，发现设备存在的问题及时维修，保证设备正常运转；整体设备要安放稳固，并与地面保持良好接触，有条件的应使用减振机座，柴油机、发电机和各种机泵等要安装消声隔声设施，最大限度地降低噪声源的噪声。</w:t>
            </w:r>
          </w:p>
          <w:p w14:paraId="3823DFD2">
            <w:pPr>
              <w:pStyle w:val="71"/>
              <w:numPr>
                <w:ilvl w:val="0"/>
                <w:numId w:val="39"/>
              </w:numPr>
              <w:spacing w:line="332" w:lineRule="auto"/>
              <w:ind w:firstLine="420" w:firstLineChars="200"/>
              <w:rPr>
                <w:color w:val="auto"/>
                <w:highlight w:val="none"/>
              </w:rPr>
            </w:pPr>
            <w:r>
              <w:rPr>
                <w:rFonts w:hint="eastAsia"/>
                <w:color w:val="auto"/>
                <w:highlight w:val="none"/>
              </w:rPr>
              <w:t>加强对运输车辆的管理及疏导，尽量压缩施工区汽车数量和行车密度，控制汽车鸣笛。</w:t>
            </w:r>
          </w:p>
          <w:p w14:paraId="534E45FE">
            <w:pPr>
              <w:pStyle w:val="3"/>
              <w:ind w:firstLine="420"/>
              <w:rPr>
                <w:color w:val="auto"/>
                <w:sz w:val="21"/>
                <w:highlight w:val="none"/>
              </w:rPr>
            </w:pPr>
            <w:r>
              <w:rPr>
                <w:rFonts w:hint="eastAsia"/>
                <w:color w:val="auto"/>
                <w:sz w:val="21"/>
                <w:highlight w:val="none"/>
              </w:rPr>
              <w:t>由于钻井期和试油期较短，施工噪声随钻井和试油结束即可消失，通过采取上述措施后，项目施工期噪声能够满足《建筑施工噪声排放标准》(GB 12523-2025)的要求。因此，施工机械产生噪声对周围环境的影响较小。</w:t>
            </w:r>
          </w:p>
          <w:p w14:paraId="7CDFFEC8">
            <w:pPr>
              <w:pStyle w:val="3"/>
              <w:numPr>
                <w:ilvl w:val="0"/>
                <w:numId w:val="0"/>
              </w:numPr>
              <w:spacing w:line="332" w:lineRule="auto"/>
              <w:ind w:firstLine="420" w:firstLineChars="200"/>
              <w:rPr>
                <w:color w:val="auto"/>
                <w:sz w:val="21"/>
                <w:highlight w:val="none"/>
              </w:rPr>
            </w:pPr>
            <w:r>
              <w:rPr>
                <w:rFonts w:hint="eastAsia" w:cstheme="minorBidi"/>
                <w:color w:val="auto"/>
                <w:kern w:val="2"/>
                <w:sz w:val="21"/>
                <w:szCs w:val="24"/>
                <w:highlight w:val="none"/>
                <w:lang w:val="en-US" w:eastAsia="zh-CN" w:bidi="ar-SA"/>
              </w:rPr>
              <w:t>7</w:t>
            </w:r>
            <w:r>
              <w:rPr>
                <w:rFonts w:ascii="宋体" w:hAnsi="宋体" w:eastAsia="宋体" w:cstheme="minorBidi"/>
                <w:color w:val="auto"/>
                <w:kern w:val="2"/>
                <w:sz w:val="21"/>
                <w:szCs w:val="24"/>
                <w:highlight w:val="none"/>
                <w:lang w:val="en-US" w:eastAsia="zh-CN" w:bidi="ar-SA"/>
              </w:rPr>
              <w:t>、</w:t>
            </w:r>
            <w:r>
              <w:rPr>
                <w:rFonts w:hint="eastAsia"/>
                <w:color w:val="auto"/>
                <w:sz w:val="21"/>
                <w:highlight w:val="none"/>
              </w:rPr>
              <w:t>风险影响分析</w:t>
            </w:r>
          </w:p>
          <w:p w14:paraId="383E32DF">
            <w:pPr>
              <w:pStyle w:val="3"/>
              <w:ind w:firstLine="420"/>
              <w:rPr>
                <w:color w:val="auto"/>
                <w:sz w:val="21"/>
                <w:highlight w:val="none"/>
              </w:rPr>
            </w:pPr>
            <w:r>
              <w:rPr>
                <w:rFonts w:hint="eastAsia"/>
                <w:color w:val="auto"/>
                <w:sz w:val="21"/>
                <w:highlight w:val="none"/>
              </w:rPr>
              <w:t>本项目为钻井和试油作业。污染物排放以正常排放为主，但也存在危害工程安全和环境的危险因素，这些危险因素的存在有可能引起突发性环境事故，造成人员伤亡或环境污染。</w:t>
            </w:r>
          </w:p>
          <w:p w14:paraId="4532645C">
            <w:pPr>
              <w:pStyle w:val="71"/>
              <w:numPr>
                <w:ilvl w:val="0"/>
                <w:numId w:val="40"/>
              </w:numPr>
              <w:spacing w:line="332" w:lineRule="auto"/>
              <w:ind w:firstLine="420" w:firstLineChars="200"/>
              <w:rPr>
                <w:color w:val="auto"/>
                <w:highlight w:val="none"/>
              </w:rPr>
            </w:pPr>
            <w:r>
              <w:rPr>
                <w:rFonts w:hint="eastAsia"/>
                <w:color w:val="auto"/>
                <w:highlight w:val="none"/>
              </w:rPr>
              <w:t>风险调查</w:t>
            </w:r>
          </w:p>
          <w:p w14:paraId="394104F9">
            <w:pPr>
              <w:pStyle w:val="3"/>
              <w:ind w:firstLine="420"/>
              <w:rPr>
                <w:color w:val="auto"/>
                <w:sz w:val="21"/>
                <w:highlight w:val="none"/>
              </w:rPr>
            </w:pPr>
            <w:r>
              <w:rPr>
                <w:rFonts w:hint="eastAsia"/>
                <w:color w:val="auto"/>
                <w:sz w:val="21"/>
                <w:highlight w:val="none"/>
              </w:rPr>
              <w:t>风险源调查范围主要是主体工程、辅助工程、公用工程、环保工程等环节涉及的生产设施。本项目主要环境风险是施工期钻井井场、井喷和硫化氢中毒，其对项目区及周边土壤环境、大气环境和地下水环境的影响均较大。统计新疆近几年油田所发生的风险事故，发生于钻井阶段的占65.9%，油气生产过程中为10.6%，还有23.5%发生于其他生产过程。由此可见，钻井阶段是油田开发建设的事故多发阶段。</w:t>
            </w:r>
          </w:p>
          <w:p w14:paraId="0E689F59">
            <w:pPr>
              <w:pStyle w:val="3"/>
              <w:ind w:firstLine="420"/>
              <w:rPr>
                <w:color w:val="auto"/>
                <w:sz w:val="21"/>
                <w:highlight w:val="none"/>
              </w:rPr>
            </w:pPr>
            <w:r>
              <w:rPr>
                <w:rFonts w:hint="eastAsia"/>
                <w:color w:val="auto"/>
                <w:sz w:val="21"/>
                <w:highlight w:val="none"/>
              </w:rPr>
              <w:t>钻井及试油过程中主要环境风险是井喷及引发的硫化氢中毒、柴油储罐泄漏及引发的火灾爆炸事故。</w:t>
            </w:r>
          </w:p>
          <w:p w14:paraId="5EB5D978">
            <w:pPr>
              <w:pStyle w:val="73"/>
              <w:numPr>
                <w:ilvl w:val="0"/>
                <w:numId w:val="41"/>
              </w:numPr>
              <w:ind w:firstLine="420" w:firstLineChars="200"/>
              <w:rPr>
                <w:color w:val="auto"/>
                <w:highlight w:val="none"/>
              </w:rPr>
            </w:pPr>
            <w:r>
              <w:rPr>
                <w:rFonts w:hint="eastAsia"/>
                <w:color w:val="auto"/>
                <w:highlight w:val="none"/>
              </w:rPr>
              <w:t>井喷</w:t>
            </w:r>
          </w:p>
          <w:p w14:paraId="0164BD05">
            <w:pPr>
              <w:pStyle w:val="3"/>
              <w:ind w:firstLine="420"/>
              <w:rPr>
                <w:color w:val="auto"/>
                <w:sz w:val="21"/>
                <w:highlight w:val="none"/>
              </w:rPr>
            </w:pPr>
            <w:r>
              <w:rPr>
                <w:rFonts w:hint="eastAsia"/>
                <w:color w:val="auto"/>
                <w:sz w:val="21"/>
                <w:highlight w:val="none"/>
              </w:rPr>
              <w:t>钻井过程中遇到地下油、气、水层时，油、气或水窜进井内的钻井液里，加快了钻井液流动和循环的速度。如果井底压力小于地层压力，地层流体将进入井筒并推动钻井液外溢，即发生溢流。此时，如果对地下油、气压力平衡控制不当，不能及时控制溢流，会造成油、气、水或其他混合物迅速喷到地面，即发生井喷。井喷会引发油气泄漏及火灾爆炸，对空气环境、水环境及生态环境造成危害，致使人员伤亡、财产损失。</w:t>
            </w:r>
          </w:p>
          <w:p w14:paraId="10B415ED">
            <w:pPr>
              <w:pStyle w:val="3"/>
              <w:ind w:firstLine="420"/>
              <w:rPr>
                <w:color w:val="auto"/>
                <w:sz w:val="21"/>
                <w:highlight w:val="none"/>
              </w:rPr>
            </w:pPr>
            <w:r>
              <w:rPr>
                <w:rFonts w:hint="eastAsia"/>
                <w:color w:val="auto"/>
                <w:sz w:val="21"/>
                <w:highlight w:val="none"/>
              </w:rPr>
              <w:t>另外在注水泥作业后，由于水泥体系设计不合理，或固井工程设计不合理，或注水泥施工操作不合理，水泥浆未能完全充满待封固的环形空间等原因，不能有效密封环空而可能导致井口冒油、气、水，或油、气、水在地下层间互窜。</w:t>
            </w:r>
          </w:p>
          <w:p w14:paraId="67B9E5E9">
            <w:pPr>
              <w:pStyle w:val="73"/>
              <w:numPr>
                <w:ilvl w:val="0"/>
                <w:numId w:val="41"/>
              </w:numPr>
              <w:ind w:firstLine="420" w:firstLineChars="200"/>
              <w:rPr>
                <w:color w:val="auto"/>
                <w:highlight w:val="none"/>
              </w:rPr>
            </w:pPr>
            <w:r>
              <w:rPr>
                <w:rFonts w:hint="eastAsia"/>
                <w:color w:val="auto"/>
                <w:highlight w:val="none"/>
              </w:rPr>
              <w:t>硫化氢中毒</w:t>
            </w:r>
          </w:p>
          <w:p w14:paraId="61B6058E">
            <w:pPr>
              <w:pStyle w:val="3"/>
              <w:ind w:firstLine="420"/>
              <w:rPr>
                <w:color w:val="auto"/>
                <w:sz w:val="21"/>
                <w:highlight w:val="none"/>
              </w:rPr>
            </w:pPr>
            <w:r>
              <w:rPr>
                <w:rFonts w:hint="eastAsia"/>
                <w:color w:val="auto"/>
                <w:sz w:val="21"/>
                <w:highlight w:val="none"/>
              </w:rPr>
              <w:t>H</w:t>
            </w:r>
            <w:r>
              <w:rPr>
                <w:rFonts w:hint="eastAsia"/>
                <w:color w:val="auto"/>
                <w:sz w:val="21"/>
                <w:highlight w:val="none"/>
                <w:vertAlign w:val="subscript"/>
              </w:rPr>
              <w:t>2</w:t>
            </w:r>
            <w:r>
              <w:rPr>
                <w:rFonts w:hint="eastAsia"/>
                <w:color w:val="auto"/>
                <w:sz w:val="21"/>
                <w:highlight w:val="none"/>
              </w:rPr>
              <w:t>S气体不仅严重威胁着人们的生命安全，造成环境恶性污染，同时，它对金属设备、工具及用具也将造成严重的腐蚀破坏。</w:t>
            </w:r>
          </w:p>
          <w:p w14:paraId="1EFFFBF1">
            <w:pPr>
              <w:pStyle w:val="73"/>
              <w:numPr>
                <w:ilvl w:val="0"/>
                <w:numId w:val="41"/>
              </w:numPr>
              <w:ind w:firstLine="420" w:firstLineChars="200"/>
              <w:rPr>
                <w:color w:val="auto"/>
                <w:highlight w:val="none"/>
              </w:rPr>
            </w:pPr>
            <w:r>
              <w:rPr>
                <w:rFonts w:hint="eastAsia"/>
                <w:color w:val="auto"/>
                <w:highlight w:val="none"/>
              </w:rPr>
              <w:t>柴油储罐泄漏造成火灾爆炸</w:t>
            </w:r>
          </w:p>
          <w:p w14:paraId="5805E592">
            <w:pPr>
              <w:pStyle w:val="3"/>
              <w:ind w:firstLine="420"/>
              <w:rPr>
                <w:color w:val="auto"/>
                <w:highlight w:val="none"/>
              </w:rPr>
            </w:pPr>
            <w:r>
              <w:rPr>
                <w:rFonts w:hint="eastAsia"/>
                <w:color w:val="auto"/>
                <w:sz w:val="21"/>
                <w:highlight w:val="none"/>
              </w:rPr>
              <w:t>因储罐质量或人为、自然灾害等因素，可能会造成柴油储罐破损泄漏，柴油泄漏造成土壤、地下水污染；储罐内油气通过人孔法兰盖间隙外溢，与空气形成爆炸性混合物，污染大气环境。</w:t>
            </w:r>
          </w:p>
          <w:p w14:paraId="6FBDEC8C">
            <w:pPr>
              <w:pStyle w:val="3"/>
              <w:ind w:firstLine="420"/>
              <w:rPr>
                <w:color w:val="auto"/>
                <w:sz w:val="21"/>
                <w:highlight w:val="none"/>
              </w:rPr>
            </w:pPr>
            <w:r>
              <w:rPr>
                <w:rFonts w:hint="eastAsia"/>
                <w:color w:val="auto"/>
                <w:sz w:val="21"/>
                <w:highlight w:val="none"/>
              </w:rPr>
              <w:t>环境风险事故主要是柴油储罐、引发的火灾爆炸。</w:t>
            </w:r>
          </w:p>
          <w:p w14:paraId="6428A12E">
            <w:pPr>
              <w:pStyle w:val="71"/>
              <w:numPr>
                <w:ilvl w:val="0"/>
                <w:numId w:val="40"/>
              </w:numPr>
              <w:spacing w:line="332" w:lineRule="auto"/>
              <w:ind w:firstLine="420" w:firstLineChars="200"/>
              <w:rPr>
                <w:color w:val="auto"/>
                <w:highlight w:val="none"/>
              </w:rPr>
            </w:pPr>
            <w:r>
              <w:rPr>
                <w:rFonts w:hint="eastAsia"/>
                <w:color w:val="auto"/>
                <w:highlight w:val="none"/>
              </w:rPr>
              <w:t>项目区环境敏感目标情况</w:t>
            </w:r>
          </w:p>
          <w:p w14:paraId="05BC5854">
            <w:pPr>
              <w:pStyle w:val="3"/>
              <w:ind w:firstLine="420"/>
              <w:rPr>
                <w:color w:val="auto"/>
                <w:sz w:val="21"/>
                <w:highlight w:val="none"/>
              </w:rPr>
            </w:pPr>
            <w:r>
              <w:rPr>
                <w:rFonts w:hint="eastAsia"/>
                <w:color w:val="auto"/>
                <w:sz w:val="21"/>
                <w:highlight w:val="none"/>
              </w:rPr>
              <w:t>根据现场勘查，本次部署的勘探井井口周围1km范围内无自然保护区、风景名胜区、水源保护区等环境敏感目标。</w:t>
            </w:r>
          </w:p>
          <w:p w14:paraId="2595303C">
            <w:pPr>
              <w:pStyle w:val="71"/>
              <w:numPr>
                <w:ilvl w:val="0"/>
                <w:numId w:val="40"/>
              </w:numPr>
              <w:spacing w:line="332" w:lineRule="auto"/>
              <w:ind w:firstLine="420" w:firstLineChars="200"/>
              <w:rPr>
                <w:color w:val="auto"/>
                <w:highlight w:val="none"/>
              </w:rPr>
            </w:pPr>
            <w:r>
              <w:rPr>
                <w:rFonts w:hint="eastAsia"/>
                <w:color w:val="auto"/>
                <w:highlight w:val="none"/>
              </w:rPr>
              <w:t>环境风险识别</w:t>
            </w:r>
          </w:p>
          <w:p w14:paraId="67683D98">
            <w:pPr>
              <w:pStyle w:val="3"/>
              <w:ind w:firstLine="420"/>
              <w:rPr>
                <w:rFonts w:hint="eastAsia"/>
                <w:color w:val="auto"/>
                <w:sz w:val="21"/>
                <w:szCs w:val="21"/>
                <w:highlight w:val="none"/>
              </w:rPr>
            </w:pPr>
            <w:r>
              <w:rPr>
                <w:rFonts w:hint="eastAsia"/>
                <w:color w:val="auto"/>
                <w:sz w:val="21"/>
                <w:szCs w:val="21"/>
                <w:highlight w:val="none"/>
              </w:rPr>
              <w:t>项目钻井、试油过程中涉及的物质主要为柴油、伴生气（CH</w:t>
            </w:r>
            <w:r>
              <w:rPr>
                <w:rFonts w:hint="eastAsia"/>
                <w:color w:val="auto"/>
                <w:sz w:val="21"/>
                <w:szCs w:val="21"/>
                <w:highlight w:val="none"/>
                <w:vertAlign w:val="subscript"/>
              </w:rPr>
              <w:t>4</w:t>
            </w:r>
            <w:r>
              <w:rPr>
                <w:rFonts w:hint="eastAsia"/>
                <w:color w:val="auto"/>
                <w:sz w:val="21"/>
                <w:szCs w:val="21"/>
                <w:highlight w:val="none"/>
              </w:rPr>
              <w:t>）</w:t>
            </w:r>
            <w:r>
              <w:rPr>
                <w:rFonts w:hint="eastAsia"/>
                <w:color w:val="auto"/>
                <w:sz w:val="21"/>
                <w:szCs w:val="21"/>
                <w:highlight w:val="none"/>
                <w:lang w:eastAsia="zh-CN"/>
              </w:rPr>
              <w:t>、</w:t>
            </w:r>
            <w:r>
              <w:rPr>
                <w:rFonts w:hint="eastAsia"/>
                <w:color w:val="auto"/>
                <w:sz w:val="21"/>
                <w:szCs w:val="21"/>
                <w:highlight w:val="none"/>
                <w:lang w:val="en-US" w:eastAsia="zh-CN"/>
              </w:rPr>
              <w:t>采出水</w:t>
            </w:r>
            <w:r>
              <w:rPr>
                <w:rFonts w:hint="eastAsia"/>
                <w:color w:val="auto"/>
                <w:sz w:val="21"/>
                <w:szCs w:val="21"/>
                <w:highlight w:val="none"/>
              </w:rPr>
              <w:t>。因正常情况下无H</w:t>
            </w:r>
            <w:r>
              <w:rPr>
                <w:rFonts w:hint="eastAsia"/>
                <w:color w:val="auto"/>
                <w:sz w:val="21"/>
                <w:szCs w:val="21"/>
                <w:highlight w:val="none"/>
                <w:vertAlign w:val="subscript"/>
              </w:rPr>
              <w:t>2</w:t>
            </w:r>
            <w:r>
              <w:rPr>
                <w:rFonts w:hint="eastAsia"/>
                <w:color w:val="auto"/>
                <w:sz w:val="21"/>
                <w:szCs w:val="21"/>
                <w:highlight w:val="none"/>
              </w:rPr>
              <w:t>S产生，因此本次不对H</w:t>
            </w:r>
            <w:r>
              <w:rPr>
                <w:rFonts w:hint="eastAsia"/>
                <w:color w:val="auto"/>
                <w:sz w:val="21"/>
                <w:szCs w:val="21"/>
                <w:highlight w:val="none"/>
                <w:vertAlign w:val="subscript"/>
              </w:rPr>
              <w:t>2</w:t>
            </w:r>
            <w:r>
              <w:rPr>
                <w:rFonts w:hint="eastAsia"/>
                <w:color w:val="auto"/>
                <w:sz w:val="21"/>
                <w:szCs w:val="21"/>
                <w:highlight w:val="none"/>
              </w:rPr>
              <w:t>S进行定量分析。</w:t>
            </w:r>
          </w:p>
          <w:p w14:paraId="250FDB38">
            <w:pPr>
              <w:pStyle w:val="3"/>
              <w:ind w:firstLine="420"/>
              <w:rPr>
                <w:rFonts w:hint="eastAsia"/>
                <w:color w:val="auto"/>
                <w:sz w:val="21"/>
                <w:szCs w:val="21"/>
                <w:highlight w:val="none"/>
              </w:rPr>
            </w:pPr>
            <w:r>
              <w:rPr>
                <w:rFonts w:hint="eastAsia"/>
                <w:color w:val="auto"/>
                <w:sz w:val="21"/>
                <w:szCs w:val="21"/>
                <w:highlight w:val="none"/>
              </w:rPr>
              <w:t>本项目涉及风险物质的理化性质及危害见</w:t>
            </w:r>
            <w:r>
              <w:rPr>
                <w:rFonts w:hint="eastAsia"/>
                <w:color w:val="auto"/>
                <w:sz w:val="21"/>
                <w:szCs w:val="21"/>
                <w:highlight w:val="none"/>
              </w:rPr>
              <w:fldChar w:fldCharType="begin"/>
            </w:r>
            <w:r>
              <w:rPr>
                <w:color w:val="auto"/>
                <w:highlight w:val="none"/>
              </w:rPr>
              <w:instrText xml:space="preserve"> REF _Ref1405569904 \h  \* MERGEFORMAT</w:instrText>
            </w:r>
            <w:r>
              <w:rPr>
                <w:rFonts w:hint="eastAsia"/>
                <w:color w:val="auto"/>
                <w:sz w:val="21"/>
                <w:szCs w:val="21"/>
                <w:highlight w:val="none"/>
              </w:rPr>
              <w:fldChar w:fldCharType="separate"/>
            </w:r>
            <w:r>
              <w:rPr>
                <w:rFonts w:hint="eastAsia"/>
                <w:color w:val="auto"/>
                <w:sz w:val="21"/>
                <w:szCs w:val="21"/>
                <w:highlight w:val="none"/>
              </w:rPr>
              <w:t>表35</w:t>
            </w:r>
            <w:r>
              <w:rPr>
                <w:rFonts w:hint="eastAsia"/>
                <w:color w:val="auto"/>
                <w:sz w:val="21"/>
                <w:szCs w:val="21"/>
                <w:highlight w:val="none"/>
              </w:rPr>
              <w:fldChar w:fldCharType="end"/>
            </w:r>
            <w:r>
              <w:rPr>
                <w:rFonts w:hint="eastAsia"/>
                <w:color w:val="auto"/>
                <w:sz w:val="21"/>
                <w:szCs w:val="21"/>
                <w:highlight w:val="none"/>
                <w:lang w:eastAsia="zh-CN"/>
              </w:rPr>
              <w:t>，</w:t>
            </w:r>
            <w:r>
              <w:rPr>
                <w:rFonts w:hint="eastAsia"/>
                <w:color w:val="auto"/>
                <w:sz w:val="21"/>
                <w:szCs w:val="21"/>
                <w:highlight w:val="none"/>
                <w:lang w:val="en-US" w:eastAsia="zh-CN"/>
              </w:rPr>
              <w:t>因本项目为勘探井，勘探地层油气情况未定，风险物质采出水理化性质未知，故不再列出</w:t>
            </w:r>
            <w:r>
              <w:rPr>
                <w:rFonts w:hint="eastAsia"/>
                <w:color w:val="auto"/>
                <w:sz w:val="21"/>
                <w:szCs w:val="21"/>
                <w:highlight w:val="none"/>
              </w:rPr>
              <w:t>。</w:t>
            </w:r>
          </w:p>
          <w:p w14:paraId="6C59B581">
            <w:pPr>
              <w:pStyle w:val="13"/>
              <w:bidi w:val="0"/>
              <w:rPr>
                <w:color w:val="auto"/>
                <w:highlight w:val="none"/>
              </w:rPr>
            </w:pPr>
            <w:bookmarkStart w:id="65" w:name="_Ref1405569904"/>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35</w:t>
            </w:r>
            <w:r>
              <w:rPr>
                <w:rFonts w:hint="eastAsia"/>
                <w:color w:val="auto"/>
                <w:highlight w:val="none"/>
              </w:rPr>
              <w:fldChar w:fldCharType="end"/>
            </w:r>
            <w:bookmarkEnd w:id="65"/>
            <w:r>
              <w:rPr>
                <w:rFonts w:hint="eastAsia"/>
                <w:color w:val="auto"/>
                <w:highlight w:val="none"/>
              </w:rPr>
              <w:t xml:space="preserve">  本项目涉及风险物质的理化性质及危害特征</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915"/>
              <w:gridCol w:w="1632"/>
              <w:gridCol w:w="1422"/>
              <w:gridCol w:w="1805"/>
            </w:tblGrid>
            <w:tr w14:paraId="4179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tcMar>
                    <w:top w:w="57" w:type="dxa"/>
                    <w:left w:w="108" w:type="dxa"/>
                    <w:bottom w:w="57" w:type="dxa"/>
                    <w:right w:w="108" w:type="dxa"/>
                  </w:tcMar>
                  <w:vAlign w:val="center"/>
                </w:tcPr>
                <w:p w14:paraId="4894FE9D">
                  <w:pPr>
                    <w:pStyle w:val="41"/>
                    <w:textAlignment w:val="auto"/>
                    <w:rPr>
                      <w:rFonts w:cs="宋体"/>
                      <w:color w:val="auto"/>
                      <w:szCs w:val="18"/>
                      <w:highlight w:val="none"/>
                    </w:rPr>
                  </w:pPr>
                  <w:r>
                    <w:rPr>
                      <w:rFonts w:hint="eastAsia" w:cs="宋体"/>
                      <w:color w:val="auto"/>
                      <w:szCs w:val="18"/>
                      <w:highlight w:val="none"/>
                    </w:rPr>
                    <w:t>标识</w:t>
                  </w:r>
                </w:p>
              </w:tc>
              <w:tc>
                <w:tcPr>
                  <w:tcW w:w="1251" w:type="pct"/>
                  <w:tcMar>
                    <w:top w:w="57" w:type="dxa"/>
                    <w:left w:w="108" w:type="dxa"/>
                    <w:bottom w:w="57" w:type="dxa"/>
                    <w:right w:w="108" w:type="dxa"/>
                  </w:tcMar>
                  <w:vAlign w:val="center"/>
                </w:tcPr>
                <w:p w14:paraId="16F8A47B">
                  <w:pPr>
                    <w:pStyle w:val="41"/>
                    <w:textAlignment w:val="auto"/>
                    <w:rPr>
                      <w:rFonts w:cs="宋体"/>
                      <w:color w:val="auto"/>
                      <w:szCs w:val="18"/>
                      <w:highlight w:val="none"/>
                    </w:rPr>
                  </w:pPr>
                  <w:r>
                    <w:rPr>
                      <w:rFonts w:hint="eastAsia" w:cs="宋体"/>
                      <w:color w:val="auto"/>
                      <w:szCs w:val="18"/>
                      <w:highlight w:val="none"/>
                    </w:rPr>
                    <w:t>中文名：柴油</w:t>
                  </w:r>
                </w:p>
              </w:tc>
              <w:tc>
                <w:tcPr>
                  <w:tcW w:w="1066" w:type="pct"/>
                  <w:tcMar>
                    <w:top w:w="57" w:type="dxa"/>
                    <w:left w:w="108" w:type="dxa"/>
                    <w:bottom w:w="57" w:type="dxa"/>
                    <w:right w:w="108" w:type="dxa"/>
                  </w:tcMar>
                  <w:vAlign w:val="center"/>
                </w:tcPr>
                <w:p w14:paraId="5BCAB52F">
                  <w:pPr>
                    <w:pStyle w:val="41"/>
                    <w:textAlignment w:val="auto"/>
                    <w:rPr>
                      <w:rFonts w:cs="宋体"/>
                      <w:color w:val="auto"/>
                      <w:szCs w:val="18"/>
                      <w:highlight w:val="none"/>
                    </w:rPr>
                  </w:pPr>
                  <w:r>
                    <w:rPr>
                      <w:rFonts w:hint="eastAsia" w:cs="宋体"/>
                      <w:color w:val="auto"/>
                      <w:szCs w:val="18"/>
                      <w:highlight w:val="none"/>
                    </w:rPr>
                    <w:t>英文名：diesel oil</w:t>
                  </w:r>
                </w:p>
              </w:tc>
              <w:tc>
                <w:tcPr>
                  <w:tcW w:w="929" w:type="pct"/>
                  <w:tcMar>
                    <w:top w:w="57" w:type="dxa"/>
                    <w:left w:w="108" w:type="dxa"/>
                    <w:bottom w:w="57" w:type="dxa"/>
                    <w:right w:w="108" w:type="dxa"/>
                  </w:tcMar>
                  <w:vAlign w:val="center"/>
                </w:tcPr>
                <w:p w14:paraId="0A95B640">
                  <w:pPr>
                    <w:pStyle w:val="41"/>
                    <w:textAlignment w:val="auto"/>
                    <w:rPr>
                      <w:rFonts w:cs="宋体"/>
                      <w:color w:val="auto"/>
                      <w:szCs w:val="18"/>
                      <w:highlight w:val="none"/>
                    </w:rPr>
                  </w:pPr>
                  <w:r>
                    <w:rPr>
                      <w:rFonts w:hint="eastAsia" w:cs="宋体"/>
                      <w:color w:val="auto"/>
                      <w:szCs w:val="18"/>
                      <w:highlight w:val="none"/>
                    </w:rPr>
                    <w:t>中文名：伴生气</w:t>
                  </w:r>
                </w:p>
              </w:tc>
              <w:tc>
                <w:tcPr>
                  <w:tcW w:w="1179" w:type="pct"/>
                  <w:tcMar>
                    <w:top w:w="57" w:type="dxa"/>
                    <w:left w:w="108" w:type="dxa"/>
                    <w:bottom w:w="57" w:type="dxa"/>
                    <w:right w:w="108" w:type="dxa"/>
                  </w:tcMar>
                  <w:vAlign w:val="center"/>
                </w:tcPr>
                <w:p w14:paraId="2C7D777D">
                  <w:pPr>
                    <w:pStyle w:val="41"/>
                    <w:textAlignment w:val="auto"/>
                    <w:rPr>
                      <w:rFonts w:cs="宋体"/>
                      <w:color w:val="auto"/>
                      <w:szCs w:val="18"/>
                      <w:highlight w:val="none"/>
                    </w:rPr>
                  </w:pPr>
                  <w:r>
                    <w:rPr>
                      <w:rFonts w:hint="eastAsia" w:cs="宋体"/>
                      <w:color w:val="auto"/>
                      <w:szCs w:val="18"/>
                      <w:highlight w:val="none"/>
                    </w:rPr>
                    <w:t>英文名：Natural gas</w:t>
                  </w:r>
                </w:p>
              </w:tc>
            </w:tr>
            <w:tr w14:paraId="6E0E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restart"/>
                  <w:tcMar>
                    <w:top w:w="57" w:type="dxa"/>
                    <w:left w:w="108" w:type="dxa"/>
                    <w:bottom w:w="57" w:type="dxa"/>
                    <w:right w:w="108" w:type="dxa"/>
                  </w:tcMar>
                  <w:vAlign w:val="center"/>
                </w:tcPr>
                <w:p w14:paraId="65DF6051">
                  <w:pPr>
                    <w:pStyle w:val="41"/>
                    <w:textAlignment w:val="auto"/>
                    <w:rPr>
                      <w:rFonts w:cs="宋体"/>
                      <w:color w:val="auto"/>
                      <w:szCs w:val="18"/>
                      <w:highlight w:val="none"/>
                    </w:rPr>
                  </w:pPr>
                  <w:r>
                    <w:rPr>
                      <w:rFonts w:hint="eastAsia" w:cs="宋体"/>
                      <w:color w:val="auto"/>
                      <w:szCs w:val="18"/>
                      <w:highlight w:val="none"/>
                    </w:rPr>
                    <w:t>理化性质</w:t>
                  </w:r>
                </w:p>
              </w:tc>
              <w:tc>
                <w:tcPr>
                  <w:tcW w:w="2317" w:type="pct"/>
                  <w:gridSpan w:val="2"/>
                  <w:tcMar>
                    <w:top w:w="57" w:type="dxa"/>
                    <w:left w:w="108" w:type="dxa"/>
                    <w:bottom w:w="57" w:type="dxa"/>
                    <w:right w:w="108" w:type="dxa"/>
                  </w:tcMar>
                  <w:vAlign w:val="center"/>
                </w:tcPr>
                <w:p w14:paraId="457EDDA4">
                  <w:pPr>
                    <w:pStyle w:val="41"/>
                    <w:textAlignment w:val="auto"/>
                    <w:rPr>
                      <w:rFonts w:cs="宋体"/>
                      <w:color w:val="auto"/>
                      <w:szCs w:val="18"/>
                      <w:highlight w:val="none"/>
                    </w:rPr>
                  </w:pPr>
                  <w:r>
                    <w:rPr>
                      <w:rFonts w:hint="eastAsia" w:cs="宋体"/>
                      <w:color w:val="auto"/>
                      <w:szCs w:val="18"/>
                      <w:highlight w:val="none"/>
                    </w:rPr>
                    <w:t>外观与形状：稍有黏性的浅黄至棕色液体</w:t>
                  </w:r>
                </w:p>
              </w:tc>
              <w:tc>
                <w:tcPr>
                  <w:tcW w:w="2108" w:type="pct"/>
                  <w:gridSpan w:val="2"/>
                  <w:tcMar>
                    <w:top w:w="57" w:type="dxa"/>
                    <w:left w:w="108" w:type="dxa"/>
                    <w:bottom w:w="57" w:type="dxa"/>
                    <w:right w:w="108" w:type="dxa"/>
                  </w:tcMar>
                  <w:vAlign w:val="center"/>
                </w:tcPr>
                <w:p w14:paraId="2F09AABB">
                  <w:pPr>
                    <w:pStyle w:val="41"/>
                    <w:textAlignment w:val="auto"/>
                    <w:rPr>
                      <w:rFonts w:cs="宋体"/>
                      <w:color w:val="auto"/>
                      <w:szCs w:val="18"/>
                      <w:highlight w:val="none"/>
                    </w:rPr>
                  </w:pPr>
                  <w:r>
                    <w:rPr>
                      <w:rFonts w:hint="eastAsia" w:cs="宋体"/>
                      <w:color w:val="auto"/>
                      <w:szCs w:val="18"/>
                      <w:highlight w:val="none"/>
                    </w:rPr>
                    <w:t>外观与形状：无色无臭气体。</w:t>
                  </w:r>
                </w:p>
              </w:tc>
            </w:tr>
            <w:tr w14:paraId="4FFF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3391840F">
                  <w:pPr>
                    <w:pStyle w:val="41"/>
                    <w:textAlignment w:val="auto"/>
                    <w:rPr>
                      <w:rFonts w:cs="宋体"/>
                      <w:color w:val="auto"/>
                      <w:szCs w:val="18"/>
                      <w:highlight w:val="none"/>
                    </w:rPr>
                  </w:pPr>
                </w:p>
              </w:tc>
              <w:tc>
                <w:tcPr>
                  <w:tcW w:w="2317" w:type="pct"/>
                  <w:gridSpan w:val="2"/>
                  <w:tcMar>
                    <w:top w:w="57" w:type="dxa"/>
                    <w:left w:w="108" w:type="dxa"/>
                    <w:bottom w:w="57" w:type="dxa"/>
                    <w:right w:w="108" w:type="dxa"/>
                  </w:tcMar>
                  <w:vAlign w:val="center"/>
                </w:tcPr>
                <w:p w14:paraId="70840B7D">
                  <w:pPr>
                    <w:pStyle w:val="41"/>
                    <w:textAlignment w:val="auto"/>
                    <w:rPr>
                      <w:rFonts w:cs="宋体"/>
                      <w:color w:val="auto"/>
                      <w:szCs w:val="18"/>
                      <w:highlight w:val="none"/>
                    </w:rPr>
                  </w:pPr>
                  <w:r>
                    <w:rPr>
                      <w:rFonts w:hint="eastAsia" w:cs="宋体"/>
                      <w:color w:val="auto"/>
                      <w:szCs w:val="18"/>
                      <w:highlight w:val="none"/>
                    </w:rPr>
                    <w:t>主要成分：烷烃、芳烃、烯烃等</w:t>
                  </w:r>
                </w:p>
              </w:tc>
              <w:tc>
                <w:tcPr>
                  <w:tcW w:w="2108" w:type="pct"/>
                  <w:gridSpan w:val="2"/>
                  <w:tcMar>
                    <w:top w:w="57" w:type="dxa"/>
                    <w:left w:w="108" w:type="dxa"/>
                    <w:bottom w:w="57" w:type="dxa"/>
                    <w:right w:w="108" w:type="dxa"/>
                  </w:tcMar>
                  <w:vAlign w:val="center"/>
                </w:tcPr>
                <w:p w14:paraId="14B9A4A9">
                  <w:pPr>
                    <w:pStyle w:val="41"/>
                    <w:textAlignment w:val="auto"/>
                    <w:rPr>
                      <w:rFonts w:cs="宋体"/>
                      <w:color w:val="auto"/>
                      <w:szCs w:val="18"/>
                      <w:highlight w:val="none"/>
                    </w:rPr>
                  </w:pPr>
                  <w:r>
                    <w:rPr>
                      <w:rFonts w:hint="eastAsia" w:cs="宋体"/>
                      <w:color w:val="auto"/>
                      <w:szCs w:val="18"/>
                      <w:highlight w:val="none"/>
                    </w:rPr>
                    <w:t>主要成分：CH</w:t>
                  </w:r>
                  <w:r>
                    <w:rPr>
                      <w:rFonts w:hint="eastAsia" w:cs="宋体"/>
                      <w:color w:val="auto"/>
                      <w:szCs w:val="18"/>
                      <w:highlight w:val="none"/>
                      <w:vertAlign w:val="subscript"/>
                    </w:rPr>
                    <w:t>4</w:t>
                  </w:r>
                </w:p>
              </w:tc>
            </w:tr>
            <w:tr w14:paraId="1B1E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1934910A">
                  <w:pPr>
                    <w:pStyle w:val="41"/>
                    <w:textAlignment w:val="auto"/>
                    <w:rPr>
                      <w:rFonts w:cs="宋体"/>
                      <w:color w:val="auto"/>
                      <w:szCs w:val="18"/>
                      <w:highlight w:val="none"/>
                    </w:rPr>
                  </w:pPr>
                </w:p>
              </w:tc>
              <w:tc>
                <w:tcPr>
                  <w:tcW w:w="1251" w:type="pct"/>
                  <w:tcMar>
                    <w:top w:w="57" w:type="dxa"/>
                    <w:left w:w="108" w:type="dxa"/>
                    <w:bottom w:w="57" w:type="dxa"/>
                    <w:right w:w="108" w:type="dxa"/>
                  </w:tcMar>
                  <w:vAlign w:val="center"/>
                </w:tcPr>
                <w:p w14:paraId="10ACF52B">
                  <w:pPr>
                    <w:pStyle w:val="41"/>
                    <w:textAlignment w:val="auto"/>
                    <w:rPr>
                      <w:rFonts w:cs="宋体"/>
                      <w:color w:val="auto"/>
                      <w:szCs w:val="18"/>
                      <w:highlight w:val="none"/>
                    </w:rPr>
                  </w:pPr>
                  <w:r>
                    <w:rPr>
                      <w:rFonts w:hint="eastAsia" w:cs="宋体"/>
                      <w:color w:val="auto"/>
                      <w:szCs w:val="18"/>
                      <w:highlight w:val="none"/>
                    </w:rPr>
                    <w:t>熔点（℃）：-35～20</w:t>
                  </w:r>
                </w:p>
              </w:tc>
              <w:tc>
                <w:tcPr>
                  <w:tcW w:w="1066" w:type="pct"/>
                  <w:tcMar>
                    <w:top w:w="57" w:type="dxa"/>
                    <w:left w:w="108" w:type="dxa"/>
                    <w:bottom w:w="57" w:type="dxa"/>
                    <w:right w:w="108" w:type="dxa"/>
                  </w:tcMar>
                  <w:vAlign w:val="center"/>
                </w:tcPr>
                <w:p w14:paraId="56461F81">
                  <w:pPr>
                    <w:pStyle w:val="41"/>
                    <w:textAlignment w:val="auto"/>
                    <w:rPr>
                      <w:rFonts w:cs="宋体"/>
                      <w:color w:val="auto"/>
                      <w:szCs w:val="18"/>
                      <w:highlight w:val="none"/>
                    </w:rPr>
                  </w:pPr>
                  <w:r>
                    <w:rPr>
                      <w:rFonts w:hint="eastAsia" w:cs="宋体"/>
                      <w:color w:val="auto"/>
                      <w:szCs w:val="18"/>
                      <w:highlight w:val="none"/>
                    </w:rPr>
                    <w:t>沸点（℃）：280～370</w:t>
                  </w:r>
                </w:p>
              </w:tc>
              <w:tc>
                <w:tcPr>
                  <w:tcW w:w="929" w:type="pct"/>
                  <w:tcMar>
                    <w:top w:w="57" w:type="dxa"/>
                    <w:left w:w="108" w:type="dxa"/>
                    <w:bottom w:w="57" w:type="dxa"/>
                    <w:right w:w="108" w:type="dxa"/>
                  </w:tcMar>
                  <w:vAlign w:val="center"/>
                </w:tcPr>
                <w:p w14:paraId="5B336A22">
                  <w:pPr>
                    <w:pStyle w:val="41"/>
                    <w:textAlignment w:val="auto"/>
                    <w:rPr>
                      <w:rFonts w:cs="宋体"/>
                      <w:color w:val="auto"/>
                      <w:szCs w:val="18"/>
                      <w:highlight w:val="none"/>
                    </w:rPr>
                  </w:pPr>
                  <w:r>
                    <w:rPr>
                      <w:rFonts w:hint="eastAsia" w:cs="宋体"/>
                      <w:color w:val="auto"/>
                      <w:szCs w:val="18"/>
                      <w:highlight w:val="none"/>
                    </w:rPr>
                    <w:t>熔点（℃）：/</w:t>
                  </w:r>
                </w:p>
              </w:tc>
              <w:tc>
                <w:tcPr>
                  <w:tcW w:w="1179" w:type="pct"/>
                  <w:tcMar>
                    <w:top w:w="57" w:type="dxa"/>
                    <w:left w:w="108" w:type="dxa"/>
                    <w:bottom w:w="57" w:type="dxa"/>
                    <w:right w:w="108" w:type="dxa"/>
                  </w:tcMar>
                  <w:vAlign w:val="center"/>
                </w:tcPr>
                <w:p w14:paraId="5E7B851F">
                  <w:pPr>
                    <w:pStyle w:val="41"/>
                    <w:textAlignment w:val="auto"/>
                    <w:rPr>
                      <w:rFonts w:cs="宋体"/>
                      <w:color w:val="auto"/>
                      <w:szCs w:val="18"/>
                      <w:highlight w:val="none"/>
                    </w:rPr>
                  </w:pPr>
                  <w:r>
                    <w:rPr>
                      <w:rFonts w:hint="eastAsia" w:cs="宋体"/>
                      <w:color w:val="auto"/>
                      <w:szCs w:val="18"/>
                      <w:highlight w:val="none"/>
                    </w:rPr>
                    <w:t>沸点（℃）：-160</w:t>
                  </w:r>
                </w:p>
              </w:tc>
            </w:tr>
            <w:tr w14:paraId="655B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7F7C0317">
                  <w:pPr>
                    <w:pStyle w:val="41"/>
                    <w:textAlignment w:val="auto"/>
                    <w:rPr>
                      <w:rFonts w:cs="宋体"/>
                      <w:color w:val="auto"/>
                      <w:szCs w:val="18"/>
                      <w:highlight w:val="none"/>
                    </w:rPr>
                  </w:pPr>
                </w:p>
              </w:tc>
              <w:tc>
                <w:tcPr>
                  <w:tcW w:w="1251" w:type="pct"/>
                  <w:tcMar>
                    <w:top w:w="57" w:type="dxa"/>
                    <w:left w:w="108" w:type="dxa"/>
                    <w:bottom w:w="57" w:type="dxa"/>
                    <w:right w:w="108" w:type="dxa"/>
                  </w:tcMar>
                  <w:vAlign w:val="center"/>
                </w:tcPr>
                <w:p w14:paraId="538F9339">
                  <w:pPr>
                    <w:pStyle w:val="41"/>
                    <w:textAlignment w:val="auto"/>
                    <w:rPr>
                      <w:rFonts w:cs="宋体"/>
                      <w:color w:val="auto"/>
                      <w:szCs w:val="18"/>
                      <w:highlight w:val="none"/>
                    </w:rPr>
                  </w:pPr>
                  <w:r>
                    <w:rPr>
                      <w:rFonts w:hint="eastAsia" w:cs="宋体"/>
                      <w:color w:val="auto"/>
                      <w:szCs w:val="18"/>
                      <w:highlight w:val="none"/>
                    </w:rPr>
                    <w:t>相对密度（水=1）：0.8～0.9</w:t>
                  </w:r>
                </w:p>
              </w:tc>
              <w:tc>
                <w:tcPr>
                  <w:tcW w:w="1066" w:type="pct"/>
                  <w:tcMar>
                    <w:top w:w="57" w:type="dxa"/>
                    <w:left w:w="108" w:type="dxa"/>
                    <w:bottom w:w="57" w:type="dxa"/>
                    <w:right w:w="108" w:type="dxa"/>
                  </w:tcMar>
                  <w:vAlign w:val="center"/>
                </w:tcPr>
                <w:p w14:paraId="460FD3F0">
                  <w:pPr>
                    <w:pStyle w:val="41"/>
                    <w:textAlignment w:val="auto"/>
                    <w:rPr>
                      <w:rFonts w:cs="宋体"/>
                      <w:color w:val="auto"/>
                      <w:szCs w:val="18"/>
                      <w:highlight w:val="none"/>
                    </w:rPr>
                  </w:pPr>
                  <w:r>
                    <w:rPr>
                      <w:rFonts w:hint="eastAsia" w:cs="宋体"/>
                      <w:color w:val="auto"/>
                      <w:szCs w:val="18"/>
                      <w:highlight w:val="none"/>
                    </w:rPr>
                    <w:t>禁忌物：强化剂、卤素</w:t>
                  </w:r>
                </w:p>
              </w:tc>
              <w:tc>
                <w:tcPr>
                  <w:tcW w:w="929" w:type="pct"/>
                  <w:tcMar>
                    <w:top w:w="57" w:type="dxa"/>
                    <w:left w:w="108" w:type="dxa"/>
                    <w:bottom w:w="57" w:type="dxa"/>
                    <w:right w:w="108" w:type="dxa"/>
                  </w:tcMar>
                  <w:vAlign w:val="center"/>
                </w:tcPr>
                <w:p w14:paraId="68427D0B">
                  <w:pPr>
                    <w:pStyle w:val="41"/>
                    <w:textAlignment w:val="auto"/>
                    <w:rPr>
                      <w:rFonts w:cs="宋体"/>
                      <w:color w:val="auto"/>
                      <w:szCs w:val="18"/>
                      <w:highlight w:val="none"/>
                    </w:rPr>
                  </w:pPr>
                  <w:r>
                    <w:rPr>
                      <w:rFonts w:hint="eastAsia" w:cs="宋体"/>
                      <w:color w:val="auto"/>
                      <w:szCs w:val="18"/>
                      <w:highlight w:val="none"/>
                    </w:rPr>
                    <w:t>相对密度（水=1）：0.45</w:t>
                  </w:r>
                </w:p>
              </w:tc>
              <w:tc>
                <w:tcPr>
                  <w:tcW w:w="1179" w:type="pct"/>
                  <w:tcMar>
                    <w:top w:w="57" w:type="dxa"/>
                    <w:left w:w="108" w:type="dxa"/>
                    <w:bottom w:w="57" w:type="dxa"/>
                    <w:right w:w="108" w:type="dxa"/>
                  </w:tcMar>
                  <w:vAlign w:val="center"/>
                </w:tcPr>
                <w:p w14:paraId="59C40D8C">
                  <w:pPr>
                    <w:pStyle w:val="41"/>
                    <w:textAlignment w:val="auto"/>
                    <w:rPr>
                      <w:rFonts w:cs="宋体"/>
                      <w:color w:val="auto"/>
                      <w:szCs w:val="18"/>
                      <w:highlight w:val="none"/>
                    </w:rPr>
                  </w:pPr>
                  <w:r>
                    <w:rPr>
                      <w:rFonts w:hint="eastAsia" w:cs="宋体"/>
                      <w:color w:val="auto"/>
                      <w:szCs w:val="18"/>
                      <w:highlight w:val="none"/>
                    </w:rPr>
                    <w:t>禁忌物：强氧化剂、卤素</w:t>
                  </w:r>
                </w:p>
              </w:tc>
            </w:tr>
            <w:tr w14:paraId="4877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018FBA5F">
                  <w:pPr>
                    <w:pStyle w:val="41"/>
                    <w:textAlignment w:val="auto"/>
                    <w:rPr>
                      <w:rFonts w:cs="宋体"/>
                      <w:color w:val="auto"/>
                      <w:szCs w:val="18"/>
                      <w:highlight w:val="none"/>
                    </w:rPr>
                  </w:pPr>
                </w:p>
              </w:tc>
              <w:tc>
                <w:tcPr>
                  <w:tcW w:w="1251" w:type="pct"/>
                  <w:tcMar>
                    <w:top w:w="57" w:type="dxa"/>
                    <w:left w:w="108" w:type="dxa"/>
                    <w:bottom w:w="57" w:type="dxa"/>
                    <w:right w:w="108" w:type="dxa"/>
                  </w:tcMar>
                  <w:vAlign w:val="center"/>
                </w:tcPr>
                <w:p w14:paraId="01ED7B06">
                  <w:pPr>
                    <w:pStyle w:val="41"/>
                    <w:textAlignment w:val="auto"/>
                    <w:rPr>
                      <w:rFonts w:cs="宋体"/>
                      <w:color w:val="auto"/>
                      <w:szCs w:val="18"/>
                      <w:highlight w:val="none"/>
                    </w:rPr>
                  </w:pPr>
                  <w:r>
                    <w:rPr>
                      <w:rFonts w:hint="eastAsia" w:cs="宋体"/>
                      <w:color w:val="auto"/>
                      <w:szCs w:val="18"/>
                      <w:highlight w:val="none"/>
                    </w:rPr>
                    <w:t>稳定性：稳定</w:t>
                  </w:r>
                </w:p>
              </w:tc>
              <w:tc>
                <w:tcPr>
                  <w:tcW w:w="1066" w:type="pct"/>
                  <w:tcMar>
                    <w:top w:w="57" w:type="dxa"/>
                    <w:left w:w="108" w:type="dxa"/>
                    <w:bottom w:w="57" w:type="dxa"/>
                    <w:right w:w="108" w:type="dxa"/>
                  </w:tcMar>
                  <w:vAlign w:val="center"/>
                </w:tcPr>
                <w:p w14:paraId="0E95449D">
                  <w:pPr>
                    <w:pStyle w:val="41"/>
                    <w:textAlignment w:val="auto"/>
                    <w:rPr>
                      <w:rFonts w:cs="宋体"/>
                      <w:color w:val="auto"/>
                      <w:szCs w:val="18"/>
                      <w:highlight w:val="none"/>
                    </w:rPr>
                  </w:pPr>
                  <w:r>
                    <w:rPr>
                      <w:rFonts w:hint="eastAsia" w:cs="宋体"/>
                      <w:color w:val="auto"/>
                      <w:szCs w:val="18"/>
                      <w:highlight w:val="none"/>
                    </w:rPr>
                    <w:t>聚合危害：不聚合</w:t>
                  </w:r>
                </w:p>
              </w:tc>
              <w:tc>
                <w:tcPr>
                  <w:tcW w:w="929" w:type="pct"/>
                  <w:tcMar>
                    <w:top w:w="57" w:type="dxa"/>
                    <w:left w:w="108" w:type="dxa"/>
                    <w:bottom w:w="57" w:type="dxa"/>
                    <w:right w:w="108" w:type="dxa"/>
                  </w:tcMar>
                  <w:vAlign w:val="center"/>
                </w:tcPr>
                <w:p w14:paraId="0F75F930">
                  <w:pPr>
                    <w:pStyle w:val="41"/>
                    <w:textAlignment w:val="auto"/>
                    <w:rPr>
                      <w:rFonts w:cs="宋体"/>
                      <w:color w:val="auto"/>
                      <w:szCs w:val="18"/>
                      <w:highlight w:val="none"/>
                    </w:rPr>
                  </w:pPr>
                  <w:r>
                    <w:rPr>
                      <w:rFonts w:hint="eastAsia" w:cs="宋体"/>
                      <w:color w:val="auto"/>
                      <w:szCs w:val="18"/>
                      <w:highlight w:val="none"/>
                    </w:rPr>
                    <w:t>稳定性：稳定</w:t>
                  </w:r>
                </w:p>
              </w:tc>
              <w:tc>
                <w:tcPr>
                  <w:tcW w:w="1179" w:type="pct"/>
                  <w:tcMar>
                    <w:top w:w="57" w:type="dxa"/>
                    <w:left w:w="108" w:type="dxa"/>
                    <w:bottom w:w="57" w:type="dxa"/>
                    <w:right w:w="108" w:type="dxa"/>
                  </w:tcMar>
                  <w:vAlign w:val="center"/>
                </w:tcPr>
                <w:p w14:paraId="3BE56FD5">
                  <w:pPr>
                    <w:pStyle w:val="41"/>
                    <w:textAlignment w:val="auto"/>
                    <w:rPr>
                      <w:rFonts w:cs="宋体"/>
                      <w:color w:val="auto"/>
                      <w:szCs w:val="18"/>
                      <w:highlight w:val="none"/>
                    </w:rPr>
                  </w:pPr>
                  <w:r>
                    <w:rPr>
                      <w:rFonts w:hint="eastAsia" w:cs="宋体"/>
                      <w:color w:val="auto"/>
                      <w:szCs w:val="18"/>
                      <w:highlight w:val="none"/>
                    </w:rPr>
                    <w:t>聚合危害：不聚合</w:t>
                  </w:r>
                </w:p>
              </w:tc>
            </w:tr>
            <w:tr w14:paraId="7632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restart"/>
                  <w:tcMar>
                    <w:top w:w="57" w:type="dxa"/>
                    <w:left w:w="108" w:type="dxa"/>
                    <w:bottom w:w="57" w:type="dxa"/>
                    <w:right w:w="108" w:type="dxa"/>
                  </w:tcMar>
                  <w:vAlign w:val="center"/>
                </w:tcPr>
                <w:p w14:paraId="39EEE4DB">
                  <w:pPr>
                    <w:pStyle w:val="41"/>
                    <w:textAlignment w:val="auto"/>
                    <w:rPr>
                      <w:rFonts w:cs="宋体"/>
                      <w:color w:val="auto"/>
                      <w:szCs w:val="18"/>
                      <w:highlight w:val="none"/>
                    </w:rPr>
                  </w:pPr>
                  <w:r>
                    <w:rPr>
                      <w:rFonts w:hint="eastAsia" w:cs="宋体"/>
                      <w:color w:val="auto"/>
                      <w:szCs w:val="18"/>
                      <w:highlight w:val="none"/>
                    </w:rPr>
                    <w:t>危险特性</w:t>
                  </w:r>
                </w:p>
              </w:tc>
              <w:tc>
                <w:tcPr>
                  <w:tcW w:w="1251" w:type="pct"/>
                  <w:tcMar>
                    <w:top w:w="57" w:type="dxa"/>
                    <w:left w:w="108" w:type="dxa"/>
                    <w:bottom w:w="57" w:type="dxa"/>
                    <w:right w:w="108" w:type="dxa"/>
                  </w:tcMar>
                  <w:vAlign w:val="center"/>
                </w:tcPr>
                <w:p w14:paraId="1CCE78A8">
                  <w:pPr>
                    <w:pStyle w:val="41"/>
                    <w:textAlignment w:val="auto"/>
                    <w:rPr>
                      <w:rFonts w:cs="宋体"/>
                      <w:color w:val="auto"/>
                      <w:szCs w:val="18"/>
                      <w:highlight w:val="none"/>
                    </w:rPr>
                  </w:pPr>
                  <w:r>
                    <w:rPr>
                      <w:rFonts w:hint="eastAsia" w:cs="宋体"/>
                      <w:color w:val="auto"/>
                      <w:szCs w:val="18"/>
                      <w:highlight w:val="none"/>
                    </w:rPr>
                    <w:t>危险性类别：丙A类易燃液体</w:t>
                  </w:r>
                </w:p>
              </w:tc>
              <w:tc>
                <w:tcPr>
                  <w:tcW w:w="1066" w:type="pct"/>
                  <w:tcMar>
                    <w:top w:w="57" w:type="dxa"/>
                    <w:left w:w="108" w:type="dxa"/>
                    <w:bottom w:w="57" w:type="dxa"/>
                    <w:right w:w="108" w:type="dxa"/>
                  </w:tcMar>
                  <w:vAlign w:val="center"/>
                </w:tcPr>
                <w:p w14:paraId="37F7895E">
                  <w:pPr>
                    <w:pStyle w:val="41"/>
                    <w:textAlignment w:val="auto"/>
                    <w:rPr>
                      <w:rFonts w:cs="宋体"/>
                      <w:color w:val="auto"/>
                      <w:szCs w:val="18"/>
                      <w:highlight w:val="none"/>
                    </w:rPr>
                  </w:pPr>
                  <w:r>
                    <w:rPr>
                      <w:rFonts w:hint="eastAsia" w:cs="宋体"/>
                      <w:color w:val="auto"/>
                      <w:szCs w:val="18"/>
                      <w:highlight w:val="none"/>
                    </w:rPr>
                    <w:t>燃烧性：易燃</w:t>
                  </w:r>
                </w:p>
              </w:tc>
              <w:tc>
                <w:tcPr>
                  <w:tcW w:w="929" w:type="pct"/>
                  <w:tcMar>
                    <w:top w:w="57" w:type="dxa"/>
                    <w:left w:w="108" w:type="dxa"/>
                    <w:bottom w:w="57" w:type="dxa"/>
                    <w:right w:w="108" w:type="dxa"/>
                  </w:tcMar>
                  <w:vAlign w:val="center"/>
                </w:tcPr>
                <w:p w14:paraId="2E5DA7CD">
                  <w:pPr>
                    <w:pStyle w:val="41"/>
                    <w:textAlignment w:val="auto"/>
                    <w:rPr>
                      <w:rFonts w:cs="宋体"/>
                      <w:color w:val="auto"/>
                      <w:szCs w:val="18"/>
                      <w:highlight w:val="none"/>
                    </w:rPr>
                  </w:pPr>
                  <w:r>
                    <w:rPr>
                      <w:rFonts w:hint="eastAsia" w:cs="宋体"/>
                      <w:color w:val="auto"/>
                      <w:szCs w:val="18"/>
                      <w:highlight w:val="none"/>
                    </w:rPr>
                    <w:t>危险性类别：</w:t>
                  </w:r>
                </w:p>
              </w:tc>
              <w:tc>
                <w:tcPr>
                  <w:tcW w:w="1179" w:type="pct"/>
                  <w:tcMar>
                    <w:top w:w="57" w:type="dxa"/>
                    <w:left w:w="108" w:type="dxa"/>
                    <w:bottom w:w="57" w:type="dxa"/>
                    <w:right w:w="108" w:type="dxa"/>
                  </w:tcMar>
                  <w:vAlign w:val="center"/>
                </w:tcPr>
                <w:p w14:paraId="59FB3658">
                  <w:pPr>
                    <w:pStyle w:val="41"/>
                    <w:textAlignment w:val="auto"/>
                    <w:rPr>
                      <w:rFonts w:cs="宋体"/>
                      <w:color w:val="auto"/>
                      <w:szCs w:val="18"/>
                      <w:highlight w:val="none"/>
                    </w:rPr>
                  </w:pPr>
                  <w:r>
                    <w:rPr>
                      <w:rFonts w:hint="eastAsia" w:cs="宋体"/>
                      <w:color w:val="auto"/>
                      <w:szCs w:val="18"/>
                      <w:highlight w:val="none"/>
                    </w:rPr>
                    <w:t>燃烧性：易燃</w:t>
                  </w:r>
                </w:p>
              </w:tc>
            </w:tr>
            <w:tr w14:paraId="311A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15AE4FB2">
                  <w:pPr>
                    <w:pStyle w:val="41"/>
                    <w:textAlignment w:val="auto"/>
                    <w:rPr>
                      <w:rFonts w:cs="宋体"/>
                      <w:color w:val="auto"/>
                      <w:szCs w:val="18"/>
                      <w:highlight w:val="none"/>
                    </w:rPr>
                  </w:pPr>
                </w:p>
              </w:tc>
              <w:tc>
                <w:tcPr>
                  <w:tcW w:w="1251" w:type="pct"/>
                  <w:tcMar>
                    <w:top w:w="57" w:type="dxa"/>
                    <w:left w:w="108" w:type="dxa"/>
                    <w:bottom w:w="57" w:type="dxa"/>
                    <w:right w:w="108" w:type="dxa"/>
                  </w:tcMar>
                  <w:vAlign w:val="center"/>
                </w:tcPr>
                <w:p w14:paraId="5B3429EB">
                  <w:pPr>
                    <w:pStyle w:val="41"/>
                    <w:textAlignment w:val="auto"/>
                    <w:rPr>
                      <w:rFonts w:cs="宋体"/>
                      <w:color w:val="auto"/>
                      <w:szCs w:val="18"/>
                      <w:highlight w:val="none"/>
                    </w:rPr>
                  </w:pPr>
                  <w:r>
                    <w:rPr>
                      <w:rFonts w:hint="eastAsia" w:cs="宋体"/>
                      <w:color w:val="auto"/>
                      <w:szCs w:val="18"/>
                      <w:highlight w:val="none"/>
                    </w:rPr>
                    <w:t>自然温度（℃）：257</w:t>
                  </w:r>
                </w:p>
              </w:tc>
              <w:tc>
                <w:tcPr>
                  <w:tcW w:w="1066" w:type="pct"/>
                  <w:tcMar>
                    <w:top w:w="57" w:type="dxa"/>
                    <w:left w:w="108" w:type="dxa"/>
                    <w:bottom w:w="57" w:type="dxa"/>
                    <w:right w:w="108" w:type="dxa"/>
                  </w:tcMar>
                  <w:vAlign w:val="center"/>
                </w:tcPr>
                <w:p w14:paraId="7B38F66E">
                  <w:pPr>
                    <w:pStyle w:val="41"/>
                    <w:textAlignment w:val="auto"/>
                    <w:rPr>
                      <w:rFonts w:cs="宋体"/>
                      <w:color w:val="auto"/>
                      <w:szCs w:val="18"/>
                      <w:highlight w:val="none"/>
                    </w:rPr>
                  </w:pPr>
                  <w:r>
                    <w:rPr>
                      <w:rFonts w:hint="eastAsia" w:cs="宋体"/>
                      <w:color w:val="auto"/>
                      <w:szCs w:val="18"/>
                      <w:highlight w:val="none"/>
                    </w:rPr>
                    <w:t>闪点（℃）：易燃</w:t>
                  </w:r>
                </w:p>
              </w:tc>
              <w:tc>
                <w:tcPr>
                  <w:tcW w:w="929" w:type="pct"/>
                  <w:tcMar>
                    <w:top w:w="57" w:type="dxa"/>
                    <w:left w:w="108" w:type="dxa"/>
                    <w:bottom w:w="57" w:type="dxa"/>
                    <w:right w:w="108" w:type="dxa"/>
                  </w:tcMar>
                  <w:vAlign w:val="center"/>
                </w:tcPr>
                <w:p w14:paraId="5352E6E6">
                  <w:pPr>
                    <w:pStyle w:val="41"/>
                    <w:textAlignment w:val="auto"/>
                    <w:rPr>
                      <w:rFonts w:cs="宋体"/>
                      <w:color w:val="auto"/>
                      <w:szCs w:val="18"/>
                      <w:highlight w:val="none"/>
                    </w:rPr>
                  </w:pPr>
                  <w:r>
                    <w:rPr>
                      <w:rFonts w:hint="eastAsia" w:cs="宋体"/>
                      <w:color w:val="auto"/>
                      <w:szCs w:val="18"/>
                      <w:highlight w:val="none"/>
                    </w:rPr>
                    <w:t>自然温度（℃）：/</w:t>
                  </w:r>
                </w:p>
              </w:tc>
              <w:tc>
                <w:tcPr>
                  <w:tcW w:w="1179" w:type="pct"/>
                  <w:tcMar>
                    <w:top w:w="57" w:type="dxa"/>
                    <w:left w:w="108" w:type="dxa"/>
                    <w:bottom w:w="57" w:type="dxa"/>
                    <w:right w:w="108" w:type="dxa"/>
                  </w:tcMar>
                  <w:vAlign w:val="center"/>
                </w:tcPr>
                <w:p w14:paraId="2E70F905">
                  <w:pPr>
                    <w:pStyle w:val="41"/>
                    <w:textAlignment w:val="auto"/>
                    <w:rPr>
                      <w:rFonts w:cs="宋体"/>
                      <w:color w:val="auto"/>
                      <w:szCs w:val="18"/>
                      <w:highlight w:val="none"/>
                    </w:rPr>
                  </w:pPr>
                  <w:r>
                    <w:rPr>
                      <w:rFonts w:hint="eastAsia" w:cs="宋体"/>
                      <w:color w:val="auto"/>
                      <w:szCs w:val="18"/>
                      <w:highlight w:val="none"/>
                    </w:rPr>
                    <w:t>闪点（℃）：/</w:t>
                  </w:r>
                </w:p>
              </w:tc>
            </w:tr>
            <w:tr w14:paraId="3144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665C0B59">
                  <w:pPr>
                    <w:pStyle w:val="41"/>
                    <w:textAlignment w:val="auto"/>
                    <w:rPr>
                      <w:rFonts w:cs="宋体"/>
                      <w:color w:val="auto"/>
                      <w:szCs w:val="18"/>
                      <w:highlight w:val="none"/>
                    </w:rPr>
                  </w:pPr>
                </w:p>
              </w:tc>
              <w:tc>
                <w:tcPr>
                  <w:tcW w:w="1251" w:type="pct"/>
                  <w:tcMar>
                    <w:top w:w="57" w:type="dxa"/>
                    <w:left w:w="108" w:type="dxa"/>
                    <w:bottom w:w="57" w:type="dxa"/>
                    <w:right w:w="108" w:type="dxa"/>
                  </w:tcMar>
                  <w:vAlign w:val="center"/>
                </w:tcPr>
                <w:p w14:paraId="742C5382">
                  <w:pPr>
                    <w:pStyle w:val="41"/>
                    <w:textAlignment w:val="auto"/>
                    <w:rPr>
                      <w:rFonts w:cs="宋体"/>
                      <w:color w:val="auto"/>
                      <w:szCs w:val="18"/>
                      <w:highlight w:val="none"/>
                    </w:rPr>
                  </w:pPr>
                  <w:r>
                    <w:rPr>
                      <w:rFonts w:hint="eastAsia" w:cs="宋体"/>
                      <w:color w:val="auto"/>
                      <w:szCs w:val="18"/>
                      <w:highlight w:val="none"/>
                    </w:rPr>
                    <w:t>爆炸下限（%）：1.5</w:t>
                  </w:r>
                </w:p>
              </w:tc>
              <w:tc>
                <w:tcPr>
                  <w:tcW w:w="1066" w:type="pct"/>
                  <w:tcMar>
                    <w:top w:w="57" w:type="dxa"/>
                    <w:left w:w="108" w:type="dxa"/>
                    <w:bottom w:w="57" w:type="dxa"/>
                    <w:right w:w="108" w:type="dxa"/>
                  </w:tcMar>
                  <w:vAlign w:val="center"/>
                </w:tcPr>
                <w:p w14:paraId="638C9DEE">
                  <w:pPr>
                    <w:pStyle w:val="41"/>
                    <w:textAlignment w:val="auto"/>
                    <w:rPr>
                      <w:rFonts w:cs="宋体"/>
                      <w:color w:val="auto"/>
                      <w:szCs w:val="18"/>
                      <w:highlight w:val="none"/>
                    </w:rPr>
                  </w:pPr>
                  <w:r>
                    <w:rPr>
                      <w:rFonts w:hint="eastAsia" w:cs="宋体"/>
                      <w:color w:val="auto"/>
                      <w:szCs w:val="18"/>
                      <w:highlight w:val="none"/>
                    </w:rPr>
                    <w:t>爆炸上限（%）：4.5</w:t>
                  </w:r>
                </w:p>
              </w:tc>
              <w:tc>
                <w:tcPr>
                  <w:tcW w:w="929" w:type="pct"/>
                  <w:tcMar>
                    <w:top w:w="57" w:type="dxa"/>
                    <w:left w:w="108" w:type="dxa"/>
                    <w:bottom w:w="57" w:type="dxa"/>
                    <w:right w:w="108" w:type="dxa"/>
                  </w:tcMar>
                  <w:vAlign w:val="center"/>
                </w:tcPr>
                <w:p w14:paraId="2493AF78">
                  <w:pPr>
                    <w:pStyle w:val="41"/>
                    <w:textAlignment w:val="auto"/>
                    <w:rPr>
                      <w:rFonts w:cs="宋体"/>
                      <w:color w:val="auto"/>
                      <w:szCs w:val="18"/>
                      <w:highlight w:val="none"/>
                    </w:rPr>
                  </w:pPr>
                  <w:r>
                    <w:rPr>
                      <w:rFonts w:hint="eastAsia" w:cs="宋体"/>
                      <w:color w:val="auto"/>
                      <w:szCs w:val="18"/>
                      <w:highlight w:val="none"/>
                    </w:rPr>
                    <w:t>爆炸下限（%）：5</w:t>
                  </w:r>
                </w:p>
              </w:tc>
              <w:tc>
                <w:tcPr>
                  <w:tcW w:w="1179" w:type="pct"/>
                  <w:tcMar>
                    <w:top w:w="57" w:type="dxa"/>
                    <w:left w:w="108" w:type="dxa"/>
                    <w:bottom w:w="57" w:type="dxa"/>
                    <w:right w:w="108" w:type="dxa"/>
                  </w:tcMar>
                  <w:vAlign w:val="center"/>
                </w:tcPr>
                <w:p w14:paraId="50BF59AC">
                  <w:pPr>
                    <w:pStyle w:val="41"/>
                    <w:textAlignment w:val="auto"/>
                    <w:rPr>
                      <w:rFonts w:cs="宋体"/>
                      <w:color w:val="auto"/>
                      <w:szCs w:val="18"/>
                      <w:highlight w:val="none"/>
                    </w:rPr>
                  </w:pPr>
                  <w:r>
                    <w:rPr>
                      <w:rFonts w:hint="eastAsia" w:cs="宋体"/>
                      <w:color w:val="auto"/>
                      <w:szCs w:val="18"/>
                      <w:highlight w:val="none"/>
                    </w:rPr>
                    <w:t>爆炸上限（%）：14</w:t>
                  </w:r>
                </w:p>
              </w:tc>
            </w:tr>
            <w:tr w14:paraId="4A0B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23377EA1">
                  <w:pPr>
                    <w:pStyle w:val="41"/>
                    <w:textAlignment w:val="auto"/>
                    <w:rPr>
                      <w:rFonts w:cs="宋体"/>
                      <w:color w:val="auto"/>
                      <w:szCs w:val="18"/>
                      <w:highlight w:val="none"/>
                    </w:rPr>
                  </w:pPr>
                </w:p>
              </w:tc>
              <w:tc>
                <w:tcPr>
                  <w:tcW w:w="1251" w:type="pct"/>
                  <w:tcMar>
                    <w:top w:w="57" w:type="dxa"/>
                    <w:left w:w="108" w:type="dxa"/>
                    <w:bottom w:w="57" w:type="dxa"/>
                    <w:right w:w="108" w:type="dxa"/>
                  </w:tcMar>
                  <w:vAlign w:val="center"/>
                </w:tcPr>
                <w:p w14:paraId="2301AB33">
                  <w:pPr>
                    <w:pStyle w:val="41"/>
                    <w:textAlignment w:val="auto"/>
                    <w:rPr>
                      <w:rFonts w:cs="宋体"/>
                      <w:color w:val="auto"/>
                      <w:szCs w:val="18"/>
                      <w:highlight w:val="none"/>
                    </w:rPr>
                  </w:pPr>
                  <w:r>
                    <w:rPr>
                      <w:rFonts w:hint="eastAsia" w:cs="宋体"/>
                      <w:color w:val="auto"/>
                      <w:szCs w:val="18"/>
                      <w:highlight w:val="none"/>
                    </w:rPr>
                    <w:t>燃烧热（KJ/kg）：43732</w:t>
                  </w:r>
                </w:p>
              </w:tc>
              <w:tc>
                <w:tcPr>
                  <w:tcW w:w="1066" w:type="pct"/>
                  <w:tcMar>
                    <w:top w:w="57" w:type="dxa"/>
                    <w:left w:w="108" w:type="dxa"/>
                    <w:bottom w:w="57" w:type="dxa"/>
                    <w:right w:w="108" w:type="dxa"/>
                  </w:tcMar>
                  <w:vAlign w:val="center"/>
                </w:tcPr>
                <w:p w14:paraId="12118CA9">
                  <w:pPr>
                    <w:pStyle w:val="41"/>
                    <w:textAlignment w:val="auto"/>
                    <w:rPr>
                      <w:rFonts w:cs="宋体"/>
                      <w:color w:val="auto"/>
                      <w:szCs w:val="18"/>
                      <w:highlight w:val="none"/>
                    </w:rPr>
                  </w:pPr>
                  <w:r>
                    <w:rPr>
                      <w:rFonts w:hint="eastAsia" w:cs="宋体"/>
                      <w:color w:val="auto"/>
                      <w:szCs w:val="18"/>
                      <w:highlight w:val="none"/>
                    </w:rPr>
                    <w:t>燃烧（分解）产物：CO、CO</w:t>
                  </w:r>
                  <w:r>
                    <w:rPr>
                      <w:rFonts w:hint="eastAsia" w:cs="宋体"/>
                      <w:color w:val="auto"/>
                      <w:szCs w:val="18"/>
                      <w:highlight w:val="none"/>
                      <w:vertAlign w:val="subscript"/>
                    </w:rPr>
                    <w:t>2</w:t>
                  </w:r>
                </w:p>
              </w:tc>
              <w:tc>
                <w:tcPr>
                  <w:tcW w:w="929" w:type="pct"/>
                  <w:tcMar>
                    <w:top w:w="57" w:type="dxa"/>
                    <w:left w:w="108" w:type="dxa"/>
                    <w:bottom w:w="57" w:type="dxa"/>
                    <w:right w:w="108" w:type="dxa"/>
                  </w:tcMar>
                  <w:vAlign w:val="center"/>
                </w:tcPr>
                <w:p w14:paraId="464DEDA9">
                  <w:pPr>
                    <w:pStyle w:val="41"/>
                    <w:textAlignment w:val="auto"/>
                    <w:rPr>
                      <w:rFonts w:cs="宋体"/>
                      <w:color w:val="auto"/>
                      <w:szCs w:val="18"/>
                      <w:highlight w:val="none"/>
                    </w:rPr>
                  </w:pPr>
                  <w:r>
                    <w:rPr>
                      <w:rFonts w:hint="eastAsia" w:cs="宋体"/>
                      <w:color w:val="auto"/>
                      <w:szCs w:val="18"/>
                      <w:highlight w:val="none"/>
                    </w:rPr>
                    <w:t>燃烧热（kJ/kg）48000：</w:t>
                  </w:r>
                </w:p>
              </w:tc>
              <w:tc>
                <w:tcPr>
                  <w:tcW w:w="1179" w:type="pct"/>
                  <w:tcMar>
                    <w:top w:w="57" w:type="dxa"/>
                    <w:left w:w="108" w:type="dxa"/>
                    <w:bottom w:w="57" w:type="dxa"/>
                    <w:right w:w="108" w:type="dxa"/>
                  </w:tcMar>
                  <w:vAlign w:val="center"/>
                </w:tcPr>
                <w:p w14:paraId="36A34410">
                  <w:pPr>
                    <w:pStyle w:val="41"/>
                    <w:textAlignment w:val="auto"/>
                    <w:rPr>
                      <w:rFonts w:cs="宋体"/>
                      <w:color w:val="auto"/>
                      <w:szCs w:val="18"/>
                      <w:highlight w:val="none"/>
                    </w:rPr>
                  </w:pPr>
                  <w:r>
                    <w:rPr>
                      <w:rFonts w:hint="eastAsia" w:cs="宋体"/>
                      <w:color w:val="auto"/>
                      <w:szCs w:val="18"/>
                      <w:highlight w:val="none"/>
                    </w:rPr>
                    <w:t>燃烧（分解）产物：CO、CO</w:t>
                  </w:r>
                  <w:r>
                    <w:rPr>
                      <w:rFonts w:hint="eastAsia" w:cs="宋体"/>
                      <w:color w:val="auto"/>
                      <w:szCs w:val="18"/>
                      <w:highlight w:val="none"/>
                      <w:vertAlign w:val="subscript"/>
                    </w:rPr>
                    <w:t>2</w:t>
                  </w:r>
                </w:p>
              </w:tc>
            </w:tr>
            <w:tr w14:paraId="7A52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322A63FC">
                  <w:pPr>
                    <w:pStyle w:val="41"/>
                    <w:textAlignment w:val="auto"/>
                    <w:rPr>
                      <w:rFonts w:cs="宋体"/>
                      <w:color w:val="auto"/>
                      <w:szCs w:val="18"/>
                      <w:highlight w:val="none"/>
                    </w:rPr>
                  </w:pPr>
                </w:p>
              </w:tc>
              <w:tc>
                <w:tcPr>
                  <w:tcW w:w="2317" w:type="pct"/>
                  <w:gridSpan w:val="2"/>
                  <w:tcMar>
                    <w:top w:w="57" w:type="dxa"/>
                    <w:left w:w="108" w:type="dxa"/>
                    <w:bottom w:w="57" w:type="dxa"/>
                    <w:right w:w="108" w:type="dxa"/>
                  </w:tcMar>
                  <w:vAlign w:val="center"/>
                </w:tcPr>
                <w:p w14:paraId="1F4A7644">
                  <w:pPr>
                    <w:pStyle w:val="41"/>
                    <w:textAlignment w:val="auto"/>
                    <w:rPr>
                      <w:rFonts w:cs="宋体"/>
                      <w:color w:val="auto"/>
                      <w:szCs w:val="18"/>
                      <w:highlight w:val="none"/>
                    </w:rPr>
                  </w:pPr>
                  <w:r>
                    <w:rPr>
                      <w:rFonts w:hint="eastAsia" w:cs="宋体"/>
                      <w:color w:val="auto"/>
                      <w:szCs w:val="18"/>
                      <w:highlight w:val="none"/>
                    </w:rPr>
                    <w:t>危险特性：遇明火、高温或与氧化剂接触，有引起燃烧爆炸的危险。若遇高热，容器压力增大，有开裂和爆炸的危险。</w:t>
                  </w:r>
                </w:p>
              </w:tc>
              <w:tc>
                <w:tcPr>
                  <w:tcW w:w="2108" w:type="pct"/>
                  <w:gridSpan w:val="2"/>
                  <w:tcMar>
                    <w:top w:w="57" w:type="dxa"/>
                    <w:left w:w="108" w:type="dxa"/>
                    <w:bottom w:w="57" w:type="dxa"/>
                    <w:right w:w="108" w:type="dxa"/>
                  </w:tcMar>
                  <w:vAlign w:val="center"/>
                </w:tcPr>
                <w:p w14:paraId="06A7DFA1">
                  <w:pPr>
                    <w:pStyle w:val="41"/>
                    <w:textAlignment w:val="auto"/>
                    <w:rPr>
                      <w:rFonts w:cs="宋体"/>
                      <w:color w:val="auto"/>
                      <w:szCs w:val="18"/>
                      <w:highlight w:val="none"/>
                    </w:rPr>
                  </w:pPr>
                  <w:r>
                    <w:rPr>
                      <w:rFonts w:hint="eastAsia" w:cs="宋体"/>
                      <w:color w:val="auto"/>
                      <w:szCs w:val="18"/>
                      <w:highlight w:val="none"/>
                    </w:rPr>
                    <w:t>危险特性：与空气混合能形成爆炸性混合物，遇明火、高热极易燃烧爆炸。与氟、氯等能发生剧烈的化学反应。其蒸气比空气重，能在较低处扩散到相当远的地方，遇明火会引着回燃。若遇高热，容器内压增大，有开裂和爆炸的危险。</w:t>
                  </w:r>
                </w:p>
              </w:tc>
            </w:tr>
            <w:tr w14:paraId="6B3D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4B391656">
                  <w:pPr>
                    <w:pStyle w:val="41"/>
                    <w:textAlignment w:val="auto"/>
                    <w:rPr>
                      <w:rFonts w:cs="宋体"/>
                      <w:color w:val="auto"/>
                      <w:szCs w:val="18"/>
                      <w:highlight w:val="none"/>
                    </w:rPr>
                  </w:pPr>
                </w:p>
              </w:tc>
              <w:tc>
                <w:tcPr>
                  <w:tcW w:w="2317" w:type="pct"/>
                  <w:gridSpan w:val="2"/>
                  <w:tcMar>
                    <w:top w:w="57" w:type="dxa"/>
                    <w:left w:w="108" w:type="dxa"/>
                    <w:bottom w:w="57" w:type="dxa"/>
                    <w:right w:w="108" w:type="dxa"/>
                  </w:tcMar>
                  <w:vAlign w:val="center"/>
                </w:tcPr>
                <w:p w14:paraId="681AB815">
                  <w:pPr>
                    <w:pStyle w:val="41"/>
                    <w:textAlignment w:val="auto"/>
                    <w:rPr>
                      <w:rFonts w:cs="宋体"/>
                      <w:color w:val="auto"/>
                      <w:szCs w:val="18"/>
                      <w:highlight w:val="none"/>
                    </w:rPr>
                  </w:pPr>
                  <w:r>
                    <w:rPr>
                      <w:rFonts w:hint="eastAsia" w:cs="宋体"/>
                      <w:color w:val="auto"/>
                      <w:szCs w:val="18"/>
                      <w:highlight w:val="none"/>
                    </w:rPr>
                    <w:t>灭火的方法：喷水冷却容器，可能的话将容器从火场移至空旷处。灭火剂：泡沫、干粉、二氧化碳。用水灭火无效。</w:t>
                  </w:r>
                </w:p>
              </w:tc>
              <w:tc>
                <w:tcPr>
                  <w:tcW w:w="2108" w:type="pct"/>
                  <w:gridSpan w:val="2"/>
                  <w:tcMar>
                    <w:top w:w="57" w:type="dxa"/>
                    <w:left w:w="108" w:type="dxa"/>
                    <w:bottom w:w="57" w:type="dxa"/>
                    <w:right w:w="108" w:type="dxa"/>
                  </w:tcMar>
                  <w:vAlign w:val="center"/>
                </w:tcPr>
                <w:p w14:paraId="6414EB79">
                  <w:pPr>
                    <w:pStyle w:val="41"/>
                    <w:textAlignment w:val="auto"/>
                    <w:rPr>
                      <w:rFonts w:cs="宋体"/>
                      <w:color w:val="auto"/>
                      <w:szCs w:val="18"/>
                      <w:highlight w:val="none"/>
                    </w:rPr>
                  </w:pPr>
                  <w:r>
                    <w:rPr>
                      <w:rFonts w:hint="eastAsia" w:cs="宋体"/>
                      <w:color w:val="auto"/>
                      <w:szCs w:val="18"/>
                      <w:highlight w:val="none"/>
                    </w:rPr>
                    <w:t>灭火的方法：切断气源。若不能立即切断气源，则不允许熄灭正在燃烧的气体，喷水冷却容器，可能的话将容器从火场移至空旷处。雾状水、泡沫、二氧化碳。</w:t>
                  </w:r>
                </w:p>
              </w:tc>
            </w:tr>
            <w:tr w14:paraId="3EC9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restart"/>
                  <w:tcMar>
                    <w:top w:w="57" w:type="dxa"/>
                    <w:left w:w="108" w:type="dxa"/>
                    <w:bottom w:w="57" w:type="dxa"/>
                    <w:right w:w="108" w:type="dxa"/>
                  </w:tcMar>
                  <w:vAlign w:val="center"/>
                </w:tcPr>
                <w:p w14:paraId="3B6AD715">
                  <w:pPr>
                    <w:pStyle w:val="41"/>
                    <w:textAlignment w:val="auto"/>
                    <w:rPr>
                      <w:rFonts w:cs="宋体"/>
                      <w:color w:val="auto"/>
                      <w:szCs w:val="18"/>
                      <w:highlight w:val="none"/>
                    </w:rPr>
                  </w:pPr>
                  <w:r>
                    <w:rPr>
                      <w:rFonts w:hint="eastAsia" w:cs="宋体"/>
                      <w:color w:val="auto"/>
                      <w:szCs w:val="18"/>
                      <w:highlight w:val="none"/>
                    </w:rPr>
                    <w:t>健康危害</w:t>
                  </w:r>
                </w:p>
              </w:tc>
              <w:tc>
                <w:tcPr>
                  <w:tcW w:w="2317" w:type="pct"/>
                  <w:gridSpan w:val="2"/>
                  <w:tcMar>
                    <w:top w:w="57" w:type="dxa"/>
                    <w:left w:w="108" w:type="dxa"/>
                    <w:bottom w:w="57" w:type="dxa"/>
                    <w:right w:w="108" w:type="dxa"/>
                  </w:tcMar>
                  <w:vAlign w:val="center"/>
                </w:tcPr>
                <w:p w14:paraId="0CCA1F44">
                  <w:pPr>
                    <w:pStyle w:val="41"/>
                    <w:textAlignment w:val="auto"/>
                    <w:rPr>
                      <w:rFonts w:cs="宋体"/>
                      <w:color w:val="auto"/>
                      <w:szCs w:val="18"/>
                      <w:highlight w:val="none"/>
                    </w:rPr>
                  </w:pPr>
                  <w:r>
                    <w:rPr>
                      <w:rFonts w:hint="eastAsia" w:cs="宋体"/>
                      <w:color w:val="auto"/>
                      <w:szCs w:val="18"/>
                      <w:highlight w:val="none"/>
                    </w:rPr>
                    <w:t>侵入途径：吸入、食入、经皮吸收。</w:t>
                  </w:r>
                </w:p>
              </w:tc>
              <w:tc>
                <w:tcPr>
                  <w:tcW w:w="2108" w:type="pct"/>
                  <w:gridSpan w:val="2"/>
                  <w:tcMar>
                    <w:top w:w="57" w:type="dxa"/>
                    <w:left w:w="108" w:type="dxa"/>
                    <w:bottom w:w="57" w:type="dxa"/>
                    <w:right w:w="108" w:type="dxa"/>
                  </w:tcMar>
                  <w:vAlign w:val="center"/>
                </w:tcPr>
                <w:p w14:paraId="411E36FD">
                  <w:pPr>
                    <w:pStyle w:val="41"/>
                    <w:textAlignment w:val="auto"/>
                    <w:rPr>
                      <w:rFonts w:cs="宋体"/>
                      <w:color w:val="auto"/>
                      <w:szCs w:val="18"/>
                      <w:highlight w:val="none"/>
                    </w:rPr>
                  </w:pPr>
                  <w:r>
                    <w:rPr>
                      <w:rFonts w:hint="eastAsia" w:cs="宋体"/>
                      <w:color w:val="auto"/>
                      <w:szCs w:val="18"/>
                      <w:highlight w:val="none"/>
                    </w:rPr>
                    <w:t>侵入途径：吸入。</w:t>
                  </w:r>
                </w:p>
              </w:tc>
            </w:tr>
            <w:tr w14:paraId="526C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 w:type="pct"/>
                  <w:vMerge w:val="continue"/>
                  <w:tcMar>
                    <w:top w:w="57" w:type="dxa"/>
                    <w:left w:w="108" w:type="dxa"/>
                    <w:bottom w:w="57" w:type="dxa"/>
                    <w:right w:w="108" w:type="dxa"/>
                  </w:tcMar>
                  <w:vAlign w:val="center"/>
                </w:tcPr>
                <w:p w14:paraId="55300A48">
                  <w:pPr>
                    <w:pStyle w:val="41"/>
                    <w:textAlignment w:val="auto"/>
                    <w:rPr>
                      <w:rFonts w:cs="宋体"/>
                      <w:color w:val="auto"/>
                      <w:szCs w:val="18"/>
                      <w:highlight w:val="none"/>
                    </w:rPr>
                  </w:pPr>
                </w:p>
              </w:tc>
              <w:tc>
                <w:tcPr>
                  <w:tcW w:w="2317" w:type="pct"/>
                  <w:gridSpan w:val="2"/>
                  <w:tcMar>
                    <w:top w:w="57" w:type="dxa"/>
                    <w:left w:w="108" w:type="dxa"/>
                    <w:bottom w:w="57" w:type="dxa"/>
                    <w:right w:w="108" w:type="dxa"/>
                  </w:tcMar>
                  <w:vAlign w:val="center"/>
                </w:tcPr>
                <w:p w14:paraId="2F07501D">
                  <w:pPr>
                    <w:pStyle w:val="41"/>
                    <w:textAlignment w:val="auto"/>
                    <w:rPr>
                      <w:rFonts w:cs="宋体"/>
                      <w:color w:val="auto"/>
                      <w:szCs w:val="18"/>
                      <w:highlight w:val="none"/>
                    </w:rPr>
                  </w:pPr>
                  <w:r>
                    <w:rPr>
                      <w:rFonts w:hint="eastAsia" w:cs="宋体"/>
                      <w:color w:val="auto"/>
                      <w:szCs w:val="18"/>
                      <w:highlight w:val="none"/>
                    </w:rPr>
                    <w:t>皮肤接触可为主要吸收途径，可致急性肾脏损害。柴油可引起接触性皮炎、油性痤疮。吸入其零滴或液体呛入可引起吸入性肺炎。能经胎盘进入胎儿血中。柴油废气可引起眼、鼻刺激症状，头晕及头痛。</w:t>
                  </w:r>
                </w:p>
              </w:tc>
              <w:tc>
                <w:tcPr>
                  <w:tcW w:w="2108" w:type="pct"/>
                  <w:gridSpan w:val="2"/>
                  <w:tcMar>
                    <w:top w:w="57" w:type="dxa"/>
                    <w:left w:w="108" w:type="dxa"/>
                    <w:bottom w:w="57" w:type="dxa"/>
                    <w:right w:w="108" w:type="dxa"/>
                  </w:tcMar>
                  <w:vAlign w:val="center"/>
                </w:tcPr>
                <w:p w14:paraId="469927D9">
                  <w:pPr>
                    <w:pStyle w:val="41"/>
                    <w:textAlignment w:val="auto"/>
                    <w:rPr>
                      <w:rFonts w:cs="宋体"/>
                      <w:color w:val="auto"/>
                      <w:szCs w:val="18"/>
                      <w:highlight w:val="none"/>
                    </w:rPr>
                  </w:pPr>
                  <w:r>
                    <w:rPr>
                      <w:rFonts w:hint="eastAsia" w:cs="宋体"/>
                      <w:color w:val="auto"/>
                      <w:szCs w:val="18"/>
                      <w:highlight w:val="none"/>
                    </w:rPr>
                    <w:t>急性中毒时，可有头昏、头痛、呕吐、乏力甚至昏迷。病程中尚可出现精神症状，步态不稳，昏迷过程久者，醒后可有运动性失语及偏瘫。长期接触天然气者，可出现神经衰弱综合征。</w:t>
                  </w:r>
                </w:p>
              </w:tc>
            </w:tr>
          </w:tbl>
          <w:p w14:paraId="189F9FC6">
            <w:pPr>
              <w:pStyle w:val="3"/>
              <w:spacing w:line="317" w:lineRule="auto"/>
              <w:ind w:firstLine="420"/>
              <w:rPr>
                <w:color w:val="auto"/>
                <w:sz w:val="21"/>
                <w:highlight w:val="none"/>
              </w:rPr>
            </w:pPr>
          </w:p>
          <w:p w14:paraId="3EC12E52">
            <w:pPr>
              <w:pStyle w:val="71"/>
              <w:numPr>
                <w:ilvl w:val="0"/>
                <w:numId w:val="40"/>
              </w:numPr>
              <w:spacing w:line="332" w:lineRule="auto"/>
              <w:ind w:firstLine="420" w:firstLineChars="200"/>
              <w:rPr>
                <w:color w:val="auto"/>
                <w:highlight w:val="none"/>
              </w:rPr>
            </w:pPr>
            <w:r>
              <w:rPr>
                <w:rFonts w:hint="eastAsia"/>
                <w:color w:val="auto"/>
                <w:highlight w:val="none"/>
              </w:rPr>
              <w:t>环境风险潜势初判</w:t>
            </w:r>
          </w:p>
          <w:p w14:paraId="141ACCE5">
            <w:pPr>
              <w:adjustRightInd w:val="0"/>
              <w:snapToGrid w:val="0"/>
              <w:ind w:firstLine="420"/>
              <w:rPr>
                <w:color w:val="auto"/>
                <w:highlight w:val="none"/>
              </w:rPr>
            </w:pPr>
            <w:r>
              <w:rPr>
                <w:rFonts w:hint="eastAsia"/>
                <w:color w:val="auto"/>
                <w:highlight w:val="none"/>
              </w:rPr>
              <w:t>根据《建设项目环境风险评价技术导则》（HJ 169-2018），定量分析危险物质数量与临界量的比值（Q）和所属行业及生产工艺特点（M），按照附录C对危险物质及工艺系统危险性（P）等级进行判断。本项目首先确定危险物质数量与临界量的比值（Q）。</w:t>
            </w:r>
          </w:p>
          <w:p w14:paraId="63331D25">
            <w:pPr>
              <w:adjustRightInd w:val="0"/>
              <w:snapToGrid w:val="0"/>
              <w:ind w:firstLine="420"/>
              <w:rPr>
                <w:rFonts w:hint="eastAsia"/>
                <w:color w:val="auto"/>
                <w:highlight w:val="none"/>
              </w:rPr>
            </w:pPr>
            <w:r>
              <w:rPr>
                <w:rFonts w:hint="eastAsia"/>
                <w:color w:val="auto"/>
                <w:highlight w:val="none"/>
              </w:rPr>
              <w:t>根据《建设项目环境风险评价技术导则》（HJ 169-2018）中附录C要求，本项目选取危险物质最大存在总量进行计算，最大危险物质分布和数量见</w:t>
            </w:r>
            <w:r>
              <w:rPr>
                <w:rFonts w:hint="eastAsia"/>
                <w:color w:val="auto"/>
                <w:highlight w:val="none"/>
              </w:rPr>
              <w:fldChar w:fldCharType="begin"/>
            </w:r>
            <w:r>
              <w:rPr>
                <w:color w:val="auto"/>
                <w:highlight w:val="none"/>
              </w:rPr>
              <w:instrText xml:space="preserve"> REF _Ref1432141771 \h  \* MERGEFORMAT</w:instrText>
            </w:r>
            <w:r>
              <w:rPr>
                <w:rFonts w:hint="eastAsia"/>
                <w:color w:val="auto"/>
                <w:highlight w:val="none"/>
              </w:rPr>
              <w:fldChar w:fldCharType="separate"/>
            </w:r>
            <w:r>
              <w:rPr>
                <w:rFonts w:hint="eastAsia"/>
                <w:color w:val="auto"/>
                <w:highlight w:val="none"/>
              </w:rPr>
              <w:t>表36</w:t>
            </w:r>
            <w:r>
              <w:rPr>
                <w:rFonts w:hint="eastAsia"/>
                <w:color w:val="auto"/>
                <w:highlight w:val="none"/>
              </w:rPr>
              <w:fldChar w:fldCharType="end"/>
            </w:r>
            <w:r>
              <w:rPr>
                <w:rFonts w:hint="eastAsia"/>
                <w:color w:val="auto"/>
                <w:highlight w:val="none"/>
              </w:rPr>
              <w:t>。</w:t>
            </w:r>
          </w:p>
          <w:p w14:paraId="051C9C0E">
            <w:pPr>
              <w:adjustRightInd w:val="0"/>
              <w:snapToGrid w:val="0"/>
              <w:ind w:firstLine="420"/>
              <w:rPr>
                <w:rFonts w:hint="eastAsia"/>
                <w:color w:val="auto"/>
                <w:highlight w:val="none"/>
              </w:rPr>
            </w:pPr>
          </w:p>
          <w:p w14:paraId="3AF1F7DF">
            <w:pPr>
              <w:pStyle w:val="13"/>
              <w:bidi w:val="0"/>
              <w:rPr>
                <w:color w:val="auto"/>
                <w:highlight w:val="none"/>
              </w:rPr>
            </w:pPr>
            <w:bookmarkStart w:id="66" w:name="_Ref1432141771"/>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36</w:t>
            </w:r>
            <w:r>
              <w:rPr>
                <w:rFonts w:hint="eastAsia"/>
                <w:color w:val="auto"/>
                <w:highlight w:val="none"/>
              </w:rPr>
              <w:fldChar w:fldCharType="end"/>
            </w:r>
            <w:bookmarkEnd w:id="66"/>
            <w:r>
              <w:rPr>
                <w:rFonts w:hint="eastAsia"/>
                <w:color w:val="auto"/>
                <w:highlight w:val="none"/>
              </w:rPr>
              <w:t xml:space="preserve">  最大危险物质分布及存在数量一览表</w:t>
            </w:r>
          </w:p>
          <w:tbl>
            <w:tblPr>
              <w:tblStyle w:val="2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979"/>
              <w:gridCol w:w="979"/>
              <w:gridCol w:w="1102"/>
              <w:gridCol w:w="917"/>
              <w:gridCol w:w="1200"/>
              <w:gridCol w:w="850"/>
              <w:gridCol w:w="832"/>
            </w:tblGrid>
            <w:tr w14:paraId="3DC3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16" w:type="pct"/>
                  <w:vMerge w:val="restart"/>
                  <w:vAlign w:val="center"/>
                </w:tcPr>
                <w:p w14:paraId="6FBF0146">
                  <w:pPr>
                    <w:pStyle w:val="41"/>
                    <w:rPr>
                      <w:color w:val="auto"/>
                      <w:kern w:val="0"/>
                      <w:szCs w:val="18"/>
                      <w:highlight w:val="none"/>
                    </w:rPr>
                  </w:pPr>
                  <w:r>
                    <w:rPr>
                      <w:rFonts w:hint="eastAsia"/>
                      <w:color w:val="auto"/>
                      <w:kern w:val="0"/>
                      <w:szCs w:val="18"/>
                      <w:highlight w:val="none"/>
                    </w:rPr>
                    <w:t>时期</w:t>
                  </w:r>
                </w:p>
              </w:tc>
              <w:tc>
                <w:tcPr>
                  <w:tcW w:w="639" w:type="pct"/>
                  <w:vMerge w:val="restart"/>
                  <w:vAlign w:val="center"/>
                </w:tcPr>
                <w:p w14:paraId="0DA0BD6A">
                  <w:pPr>
                    <w:pStyle w:val="41"/>
                    <w:rPr>
                      <w:color w:val="auto"/>
                      <w:kern w:val="0"/>
                      <w:szCs w:val="18"/>
                      <w:highlight w:val="none"/>
                    </w:rPr>
                  </w:pPr>
                  <w:r>
                    <w:rPr>
                      <w:rFonts w:hint="eastAsia"/>
                      <w:color w:val="auto"/>
                      <w:kern w:val="0"/>
                      <w:szCs w:val="18"/>
                      <w:highlight w:val="none"/>
                    </w:rPr>
                    <w:t>独立单元</w:t>
                  </w:r>
                </w:p>
                <w:p w14:paraId="6A8F3D08">
                  <w:pPr>
                    <w:pStyle w:val="41"/>
                    <w:rPr>
                      <w:color w:val="auto"/>
                      <w:kern w:val="0"/>
                      <w:szCs w:val="18"/>
                      <w:highlight w:val="none"/>
                    </w:rPr>
                  </w:pPr>
                  <w:r>
                    <w:rPr>
                      <w:rFonts w:hint="eastAsia"/>
                      <w:color w:val="auto"/>
                      <w:kern w:val="0"/>
                      <w:szCs w:val="18"/>
                      <w:highlight w:val="none"/>
                    </w:rPr>
                    <w:t>名称</w:t>
                  </w:r>
                </w:p>
              </w:tc>
              <w:tc>
                <w:tcPr>
                  <w:tcW w:w="639" w:type="pct"/>
                  <w:vMerge w:val="restart"/>
                  <w:vAlign w:val="center"/>
                </w:tcPr>
                <w:p w14:paraId="14255E96">
                  <w:pPr>
                    <w:pStyle w:val="41"/>
                    <w:rPr>
                      <w:color w:val="auto"/>
                      <w:kern w:val="0"/>
                      <w:szCs w:val="18"/>
                      <w:highlight w:val="none"/>
                    </w:rPr>
                  </w:pPr>
                  <w:r>
                    <w:rPr>
                      <w:rFonts w:hint="eastAsia"/>
                      <w:color w:val="auto"/>
                      <w:kern w:val="0"/>
                      <w:szCs w:val="18"/>
                      <w:highlight w:val="none"/>
                    </w:rPr>
                    <w:t>危险物质</w:t>
                  </w:r>
                </w:p>
              </w:tc>
              <w:tc>
                <w:tcPr>
                  <w:tcW w:w="720" w:type="pct"/>
                  <w:vMerge w:val="restart"/>
                  <w:vAlign w:val="center"/>
                </w:tcPr>
                <w:p w14:paraId="78AA4B93">
                  <w:pPr>
                    <w:pStyle w:val="41"/>
                    <w:rPr>
                      <w:color w:val="auto"/>
                      <w:kern w:val="0"/>
                      <w:szCs w:val="18"/>
                      <w:highlight w:val="none"/>
                    </w:rPr>
                  </w:pPr>
                  <w:r>
                    <w:rPr>
                      <w:rFonts w:hint="eastAsia"/>
                      <w:color w:val="auto"/>
                      <w:kern w:val="0"/>
                      <w:szCs w:val="18"/>
                      <w:highlight w:val="none"/>
                    </w:rPr>
                    <w:t>存储设施</w:t>
                  </w:r>
                </w:p>
                <w:p w14:paraId="38223140">
                  <w:pPr>
                    <w:pStyle w:val="41"/>
                    <w:rPr>
                      <w:color w:val="auto"/>
                      <w:kern w:val="0"/>
                      <w:szCs w:val="18"/>
                      <w:highlight w:val="none"/>
                    </w:rPr>
                  </w:pPr>
                  <w:r>
                    <w:rPr>
                      <w:color w:val="auto"/>
                      <w:kern w:val="0"/>
                      <w:szCs w:val="18"/>
                      <w:highlight w:val="none"/>
                    </w:rPr>
                    <w:t>名称</w:t>
                  </w:r>
                </w:p>
              </w:tc>
              <w:tc>
                <w:tcPr>
                  <w:tcW w:w="599" w:type="pct"/>
                  <w:vMerge w:val="restart"/>
                  <w:vAlign w:val="center"/>
                </w:tcPr>
                <w:p w14:paraId="12C83EFE">
                  <w:pPr>
                    <w:pStyle w:val="41"/>
                    <w:rPr>
                      <w:color w:val="auto"/>
                      <w:kern w:val="0"/>
                      <w:szCs w:val="18"/>
                      <w:highlight w:val="none"/>
                    </w:rPr>
                  </w:pPr>
                  <w:r>
                    <w:rPr>
                      <w:rFonts w:hint="eastAsia"/>
                      <w:color w:val="auto"/>
                      <w:kern w:val="0"/>
                      <w:szCs w:val="18"/>
                      <w:highlight w:val="none"/>
                    </w:rPr>
                    <w:t>设施</w:t>
                  </w:r>
                  <w:r>
                    <w:rPr>
                      <w:color w:val="auto"/>
                      <w:kern w:val="0"/>
                      <w:szCs w:val="18"/>
                      <w:highlight w:val="none"/>
                    </w:rPr>
                    <w:t>规格</w:t>
                  </w:r>
                </w:p>
                <w:p w14:paraId="2725487A">
                  <w:pPr>
                    <w:pStyle w:val="41"/>
                    <w:rPr>
                      <w:color w:val="auto"/>
                      <w:kern w:val="0"/>
                      <w:szCs w:val="18"/>
                      <w:highlight w:val="none"/>
                    </w:rPr>
                  </w:pPr>
                  <w:r>
                    <w:rPr>
                      <w:rFonts w:hint="eastAsia"/>
                      <w:color w:val="auto"/>
                      <w:kern w:val="0"/>
                      <w:szCs w:val="18"/>
                      <w:highlight w:val="none"/>
                    </w:rPr>
                    <w:t>及规模</w:t>
                  </w:r>
                </w:p>
              </w:tc>
              <w:tc>
                <w:tcPr>
                  <w:tcW w:w="784" w:type="pct"/>
                  <w:vAlign w:val="center"/>
                </w:tcPr>
                <w:p w14:paraId="5C5A3E9E">
                  <w:pPr>
                    <w:pStyle w:val="41"/>
                    <w:rPr>
                      <w:color w:val="auto"/>
                      <w:kern w:val="0"/>
                      <w:szCs w:val="18"/>
                      <w:highlight w:val="none"/>
                    </w:rPr>
                  </w:pPr>
                  <w:r>
                    <w:rPr>
                      <w:rFonts w:hint="eastAsia"/>
                      <w:color w:val="auto"/>
                      <w:kern w:val="0"/>
                      <w:szCs w:val="18"/>
                      <w:highlight w:val="none"/>
                    </w:rPr>
                    <w:t>最大存在量</w:t>
                  </w:r>
                </w:p>
              </w:tc>
              <w:tc>
                <w:tcPr>
                  <w:tcW w:w="555" w:type="pct"/>
                  <w:vAlign w:val="center"/>
                </w:tcPr>
                <w:p w14:paraId="0D212C7C">
                  <w:pPr>
                    <w:pStyle w:val="41"/>
                    <w:rPr>
                      <w:color w:val="auto"/>
                      <w:kern w:val="0"/>
                      <w:szCs w:val="18"/>
                      <w:highlight w:val="none"/>
                    </w:rPr>
                  </w:pPr>
                  <w:r>
                    <w:rPr>
                      <w:rFonts w:hint="eastAsia"/>
                      <w:color w:val="auto"/>
                      <w:kern w:val="0"/>
                      <w:szCs w:val="18"/>
                      <w:highlight w:val="none"/>
                    </w:rPr>
                    <w:t>临界量</w:t>
                  </w:r>
                </w:p>
              </w:tc>
              <w:tc>
                <w:tcPr>
                  <w:tcW w:w="543" w:type="pct"/>
                  <w:vMerge w:val="restart"/>
                  <w:vAlign w:val="center"/>
                </w:tcPr>
                <w:p w14:paraId="4CB458E7">
                  <w:pPr>
                    <w:pStyle w:val="41"/>
                    <w:rPr>
                      <w:color w:val="auto"/>
                      <w:kern w:val="0"/>
                      <w:szCs w:val="18"/>
                      <w:highlight w:val="none"/>
                    </w:rPr>
                  </w:pPr>
                  <w:r>
                    <w:rPr>
                      <w:rFonts w:hint="eastAsia"/>
                      <w:color w:val="auto"/>
                      <w:kern w:val="0"/>
                      <w:szCs w:val="18"/>
                      <w:highlight w:val="none"/>
                    </w:rPr>
                    <w:t>Q</w:t>
                  </w:r>
                </w:p>
              </w:tc>
            </w:tr>
            <w:tr w14:paraId="5823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16" w:type="pct"/>
                  <w:vMerge w:val="continue"/>
                  <w:vAlign w:val="center"/>
                </w:tcPr>
                <w:p w14:paraId="0EBFCA59">
                  <w:pPr>
                    <w:pStyle w:val="41"/>
                    <w:rPr>
                      <w:color w:val="auto"/>
                      <w:kern w:val="0"/>
                      <w:szCs w:val="18"/>
                      <w:highlight w:val="none"/>
                    </w:rPr>
                  </w:pPr>
                </w:p>
              </w:tc>
              <w:tc>
                <w:tcPr>
                  <w:tcW w:w="639" w:type="pct"/>
                  <w:vMerge w:val="continue"/>
                  <w:vAlign w:val="center"/>
                </w:tcPr>
                <w:p w14:paraId="6EC2795E">
                  <w:pPr>
                    <w:pStyle w:val="41"/>
                    <w:rPr>
                      <w:color w:val="auto"/>
                      <w:kern w:val="0"/>
                      <w:szCs w:val="18"/>
                      <w:highlight w:val="none"/>
                    </w:rPr>
                  </w:pPr>
                </w:p>
              </w:tc>
              <w:tc>
                <w:tcPr>
                  <w:tcW w:w="639" w:type="pct"/>
                  <w:vMerge w:val="continue"/>
                  <w:vAlign w:val="center"/>
                </w:tcPr>
                <w:p w14:paraId="35B6FE77">
                  <w:pPr>
                    <w:pStyle w:val="41"/>
                    <w:rPr>
                      <w:color w:val="auto"/>
                      <w:kern w:val="0"/>
                      <w:szCs w:val="18"/>
                      <w:highlight w:val="none"/>
                    </w:rPr>
                  </w:pPr>
                </w:p>
              </w:tc>
              <w:tc>
                <w:tcPr>
                  <w:tcW w:w="720" w:type="pct"/>
                  <w:vMerge w:val="continue"/>
                  <w:vAlign w:val="center"/>
                </w:tcPr>
                <w:p w14:paraId="484CE3B0">
                  <w:pPr>
                    <w:pStyle w:val="41"/>
                    <w:rPr>
                      <w:color w:val="auto"/>
                      <w:kern w:val="0"/>
                      <w:szCs w:val="18"/>
                      <w:highlight w:val="none"/>
                    </w:rPr>
                  </w:pPr>
                </w:p>
              </w:tc>
              <w:tc>
                <w:tcPr>
                  <w:tcW w:w="599" w:type="pct"/>
                  <w:vMerge w:val="continue"/>
                  <w:vAlign w:val="center"/>
                </w:tcPr>
                <w:p w14:paraId="48C7A337">
                  <w:pPr>
                    <w:pStyle w:val="41"/>
                    <w:rPr>
                      <w:color w:val="auto"/>
                      <w:kern w:val="0"/>
                      <w:szCs w:val="18"/>
                      <w:highlight w:val="none"/>
                    </w:rPr>
                  </w:pPr>
                </w:p>
              </w:tc>
              <w:tc>
                <w:tcPr>
                  <w:tcW w:w="784" w:type="pct"/>
                  <w:vAlign w:val="center"/>
                </w:tcPr>
                <w:p w14:paraId="2DCD4B60">
                  <w:pPr>
                    <w:pStyle w:val="41"/>
                    <w:rPr>
                      <w:color w:val="auto"/>
                      <w:kern w:val="0"/>
                      <w:szCs w:val="18"/>
                      <w:highlight w:val="none"/>
                    </w:rPr>
                  </w:pPr>
                  <w:r>
                    <w:rPr>
                      <w:rFonts w:hint="eastAsia"/>
                      <w:color w:val="auto"/>
                      <w:kern w:val="0"/>
                      <w:szCs w:val="18"/>
                      <w:highlight w:val="none"/>
                    </w:rPr>
                    <w:t>q</w:t>
                  </w:r>
                  <w:r>
                    <w:rPr>
                      <w:rFonts w:hint="eastAsia"/>
                      <w:color w:val="auto"/>
                      <w:kern w:val="0"/>
                      <w:szCs w:val="18"/>
                      <w:highlight w:val="none"/>
                      <w:vertAlign w:val="subscript"/>
                    </w:rPr>
                    <w:t>i</w:t>
                  </w:r>
                  <w:r>
                    <w:rPr>
                      <w:rFonts w:hint="eastAsia"/>
                      <w:color w:val="auto"/>
                      <w:kern w:val="0"/>
                      <w:szCs w:val="18"/>
                      <w:highlight w:val="none"/>
                    </w:rPr>
                    <w:t>（t）</w:t>
                  </w:r>
                </w:p>
              </w:tc>
              <w:tc>
                <w:tcPr>
                  <w:tcW w:w="555" w:type="pct"/>
                  <w:vAlign w:val="center"/>
                </w:tcPr>
                <w:p w14:paraId="37D165E9">
                  <w:pPr>
                    <w:pStyle w:val="41"/>
                    <w:rPr>
                      <w:color w:val="auto"/>
                      <w:kern w:val="0"/>
                      <w:szCs w:val="18"/>
                      <w:highlight w:val="none"/>
                    </w:rPr>
                  </w:pPr>
                  <w:r>
                    <w:rPr>
                      <w:rFonts w:hint="eastAsia"/>
                      <w:color w:val="auto"/>
                      <w:kern w:val="0"/>
                      <w:szCs w:val="18"/>
                      <w:highlight w:val="none"/>
                    </w:rPr>
                    <w:t>Q</w:t>
                  </w:r>
                  <w:r>
                    <w:rPr>
                      <w:color w:val="auto"/>
                      <w:kern w:val="0"/>
                      <w:szCs w:val="18"/>
                      <w:highlight w:val="none"/>
                      <w:vertAlign w:val="subscript"/>
                    </w:rPr>
                    <w:t>i</w:t>
                  </w:r>
                  <w:r>
                    <w:rPr>
                      <w:rFonts w:hint="eastAsia"/>
                      <w:color w:val="auto"/>
                      <w:kern w:val="0"/>
                      <w:szCs w:val="18"/>
                      <w:highlight w:val="none"/>
                    </w:rPr>
                    <w:t>（t）</w:t>
                  </w:r>
                </w:p>
              </w:tc>
              <w:tc>
                <w:tcPr>
                  <w:tcW w:w="543" w:type="pct"/>
                  <w:vMerge w:val="continue"/>
                  <w:vAlign w:val="center"/>
                </w:tcPr>
                <w:p w14:paraId="773F72C8">
                  <w:pPr>
                    <w:pStyle w:val="41"/>
                    <w:rPr>
                      <w:color w:val="auto"/>
                      <w:kern w:val="0"/>
                      <w:szCs w:val="18"/>
                      <w:highlight w:val="none"/>
                    </w:rPr>
                  </w:pPr>
                </w:p>
              </w:tc>
            </w:tr>
            <w:tr w14:paraId="6457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16" w:type="pct"/>
                  <w:vMerge w:val="restart"/>
                  <w:vAlign w:val="center"/>
                </w:tcPr>
                <w:p w14:paraId="62017351">
                  <w:pPr>
                    <w:pStyle w:val="41"/>
                    <w:rPr>
                      <w:color w:val="auto"/>
                      <w:kern w:val="0"/>
                      <w:szCs w:val="18"/>
                      <w:highlight w:val="none"/>
                    </w:rPr>
                  </w:pPr>
                  <w:r>
                    <w:rPr>
                      <w:rFonts w:hint="eastAsia"/>
                      <w:color w:val="auto"/>
                      <w:kern w:val="0"/>
                      <w:szCs w:val="18"/>
                      <w:highlight w:val="none"/>
                    </w:rPr>
                    <w:t>钻井期</w:t>
                  </w:r>
                </w:p>
              </w:tc>
              <w:tc>
                <w:tcPr>
                  <w:tcW w:w="639" w:type="pct"/>
                  <w:vMerge w:val="restart"/>
                  <w:vAlign w:val="center"/>
                </w:tcPr>
                <w:p w14:paraId="6CB1DF76">
                  <w:pPr>
                    <w:pStyle w:val="41"/>
                    <w:rPr>
                      <w:color w:val="auto"/>
                      <w:kern w:val="0"/>
                      <w:szCs w:val="18"/>
                      <w:highlight w:val="none"/>
                    </w:rPr>
                  </w:pPr>
                  <w:r>
                    <w:rPr>
                      <w:rFonts w:hint="eastAsia"/>
                      <w:color w:val="auto"/>
                      <w:kern w:val="0"/>
                      <w:szCs w:val="18"/>
                      <w:highlight w:val="none"/>
                    </w:rPr>
                    <w:t>井场</w:t>
                  </w:r>
                </w:p>
              </w:tc>
              <w:tc>
                <w:tcPr>
                  <w:tcW w:w="639" w:type="pct"/>
                  <w:vAlign w:val="center"/>
                </w:tcPr>
                <w:p w14:paraId="7ED6A76D">
                  <w:pPr>
                    <w:pStyle w:val="41"/>
                    <w:rPr>
                      <w:color w:val="auto"/>
                      <w:kern w:val="0"/>
                      <w:szCs w:val="18"/>
                      <w:highlight w:val="none"/>
                    </w:rPr>
                  </w:pPr>
                  <w:r>
                    <w:rPr>
                      <w:rFonts w:hint="eastAsia"/>
                      <w:color w:val="auto"/>
                      <w:kern w:val="0"/>
                      <w:szCs w:val="18"/>
                      <w:highlight w:val="none"/>
                    </w:rPr>
                    <w:t>柴油</w:t>
                  </w:r>
                </w:p>
              </w:tc>
              <w:tc>
                <w:tcPr>
                  <w:tcW w:w="720" w:type="pct"/>
                  <w:vAlign w:val="center"/>
                </w:tcPr>
                <w:p w14:paraId="0BE200A7">
                  <w:pPr>
                    <w:pStyle w:val="41"/>
                    <w:rPr>
                      <w:color w:val="auto"/>
                      <w:kern w:val="0"/>
                      <w:szCs w:val="18"/>
                      <w:highlight w:val="none"/>
                    </w:rPr>
                  </w:pPr>
                  <w:r>
                    <w:rPr>
                      <w:rFonts w:hint="eastAsia"/>
                      <w:color w:val="auto"/>
                      <w:kern w:val="0"/>
                      <w:szCs w:val="18"/>
                      <w:highlight w:val="none"/>
                    </w:rPr>
                    <w:t>柴油罐</w:t>
                  </w:r>
                </w:p>
              </w:tc>
              <w:tc>
                <w:tcPr>
                  <w:tcW w:w="599" w:type="pct"/>
                  <w:vAlign w:val="center"/>
                </w:tcPr>
                <w:p w14:paraId="783FCA7A">
                  <w:pPr>
                    <w:pStyle w:val="41"/>
                    <w:rPr>
                      <w:color w:val="auto"/>
                      <w:kern w:val="0"/>
                      <w:szCs w:val="18"/>
                      <w:highlight w:val="none"/>
                    </w:rPr>
                  </w:pPr>
                  <w:r>
                    <w:rPr>
                      <w:rFonts w:hint="eastAsia"/>
                      <w:color w:val="auto"/>
                      <w:kern w:val="0"/>
                      <w:szCs w:val="18"/>
                      <w:highlight w:val="none"/>
                    </w:rPr>
                    <w:t>40</w:t>
                  </w:r>
                  <w:r>
                    <w:rPr>
                      <w:color w:val="auto"/>
                      <w:kern w:val="0"/>
                      <w:szCs w:val="18"/>
                      <w:highlight w:val="none"/>
                    </w:rPr>
                    <w:t>m</w:t>
                  </w:r>
                  <w:r>
                    <w:rPr>
                      <w:color w:val="auto"/>
                      <w:kern w:val="0"/>
                      <w:szCs w:val="18"/>
                      <w:highlight w:val="none"/>
                      <w:vertAlign w:val="superscript"/>
                    </w:rPr>
                    <w:t>3</w:t>
                  </w:r>
                </w:p>
              </w:tc>
              <w:tc>
                <w:tcPr>
                  <w:tcW w:w="784" w:type="pct"/>
                  <w:vAlign w:val="center"/>
                </w:tcPr>
                <w:p w14:paraId="424792EC">
                  <w:pPr>
                    <w:pStyle w:val="41"/>
                    <w:rPr>
                      <w:color w:val="auto"/>
                      <w:kern w:val="0"/>
                      <w:szCs w:val="18"/>
                      <w:highlight w:val="none"/>
                    </w:rPr>
                  </w:pPr>
                  <w:r>
                    <w:rPr>
                      <w:rFonts w:hint="eastAsia"/>
                      <w:color w:val="auto"/>
                      <w:kern w:val="0"/>
                      <w:szCs w:val="18"/>
                      <w:highlight w:val="none"/>
                    </w:rPr>
                    <w:t>30.6</w:t>
                  </w:r>
                </w:p>
              </w:tc>
              <w:tc>
                <w:tcPr>
                  <w:tcW w:w="555" w:type="pct"/>
                  <w:vAlign w:val="center"/>
                </w:tcPr>
                <w:p w14:paraId="4EDC3117">
                  <w:pPr>
                    <w:pStyle w:val="41"/>
                    <w:rPr>
                      <w:color w:val="auto"/>
                      <w:kern w:val="0"/>
                      <w:szCs w:val="18"/>
                      <w:highlight w:val="none"/>
                    </w:rPr>
                  </w:pPr>
                  <w:r>
                    <w:rPr>
                      <w:rFonts w:hint="eastAsia"/>
                      <w:color w:val="auto"/>
                      <w:kern w:val="0"/>
                      <w:szCs w:val="18"/>
                      <w:highlight w:val="none"/>
                    </w:rPr>
                    <w:t>2</w:t>
                  </w:r>
                  <w:r>
                    <w:rPr>
                      <w:color w:val="auto"/>
                      <w:kern w:val="0"/>
                      <w:szCs w:val="18"/>
                      <w:highlight w:val="none"/>
                    </w:rPr>
                    <w:t>500</w:t>
                  </w:r>
                </w:p>
              </w:tc>
              <w:tc>
                <w:tcPr>
                  <w:tcW w:w="543" w:type="pct"/>
                  <w:vAlign w:val="center"/>
                </w:tcPr>
                <w:p w14:paraId="70541286">
                  <w:pPr>
                    <w:pStyle w:val="41"/>
                    <w:rPr>
                      <w:color w:val="auto"/>
                      <w:kern w:val="0"/>
                      <w:szCs w:val="18"/>
                      <w:highlight w:val="none"/>
                    </w:rPr>
                  </w:pPr>
                  <w:r>
                    <w:rPr>
                      <w:rFonts w:hint="eastAsia"/>
                      <w:color w:val="auto"/>
                      <w:kern w:val="0"/>
                      <w:szCs w:val="18"/>
                      <w:highlight w:val="none"/>
                    </w:rPr>
                    <w:t>0</w:t>
                  </w:r>
                  <w:r>
                    <w:rPr>
                      <w:color w:val="auto"/>
                      <w:kern w:val="0"/>
                      <w:szCs w:val="18"/>
                      <w:highlight w:val="none"/>
                    </w:rPr>
                    <w:t>.01</w:t>
                  </w:r>
                  <w:r>
                    <w:rPr>
                      <w:rFonts w:hint="eastAsia"/>
                      <w:color w:val="auto"/>
                      <w:kern w:val="0"/>
                      <w:szCs w:val="18"/>
                      <w:highlight w:val="none"/>
                    </w:rPr>
                    <w:t>22</w:t>
                  </w:r>
                </w:p>
              </w:tc>
            </w:tr>
            <w:tr w14:paraId="189C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16" w:type="pct"/>
                  <w:vMerge w:val="continue"/>
                  <w:shd w:val="clear" w:color="auto" w:fill="auto"/>
                  <w:vAlign w:val="center"/>
                </w:tcPr>
                <w:p w14:paraId="02F82ABA">
                  <w:pPr>
                    <w:pStyle w:val="41"/>
                    <w:rPr>
                      <w:color w:val="auto"/>
                      <w:kern w:val="0"/>
                      <w:szCs w:val="18"/>
                      <w:highlight w:val="none"/>
                    </w:rPr>
                  </w:pPr>
                </w:p>
              </w:tc>
              <w:tc>
                <w:tcPr>
                  <w:tcW w:w="639" w:type="pct"/>
                  <w:vMerge w:val="continue"/>
                  <w:shd w:val="clear" w:color="auto" w:fill="auto"/>
                  <w:vAlign w:val="center"/>
                </w:tcPr>
                <w:p w14:paraId="26977CCF">
                  <w:pPr>
                    <w:pStyle w:val="41"/>
                    <w:rPr>
                      <w:color w:val="auto"/>
                      <w:kern w:val="0"/>
                      <w:szCs w:val="18"/>
                      <w:highlight w:val="none"/>
                    </w:rPr>
                  </w:pPr>
                </w:p>
              </w:tc>
              <w:tc>
                <w:tcPr>
                  <w:tcW w:w="639" w:type="pct"/>
                  <w:shd w:val="clear" w:color="auto" w:fill="auto"/>
                  <w:vAlign w:val="center"/>
                </w:tcPr>
                <w:p w14:paraId="3E9DC82E">
                  <w:pPr>
                    <w:pStyle w:val="41"/>
                    <w:rPr>
                      <w:color w:val="auto"/>
                      <w:kern w:val="0"/>
                      <w:szCs w:val="18"/>
                      <w:highlight w:val="none"/>
                    </w:rPr>
                  </w:pPr>
                  <w:r>
                    <w:rPr>
                      <w:rFonts w:hint="eastAsia"/>
                      <w:color w:val="auto"/>
                      <w:kern w:val="0"/>
                      <w:szCs w:val="18"/>
                      <w:highlight w:val="none"/>
                    </w:rPr>
                    <w:t>柴油</w:t>
                  </w:r>
                </w:p>
              </w:tc>
              <w:tc>
                <w:tcPr>
                  <w:tcW w:w="720" w:type="pct"/>
                  <w:shd w:val="clear" w:color="auto" w:fill="auto"/>
                  <w:vAlign w:val="center"/>
                </w:tcPr>
                <w:p w14:paraId="38F5A20F">
                  <w:pPr>
                    <w:pStyle w:val="41"/>
                    <w:rPr>
                      <w:color w:val="auto"/>
                      <w:kern w:val="0"/>
                      <w:szCs w:val="18"/>
                      <w:highlight w:val="none"/>
                    </w:rPr>
                  </w:pPr>
                  <w:r>
                    <w:rPr>
                      <w:rFonts w:hint="eastAsia"/>
                      <w:color w:val="auto"/>
                      <w:kern w:val="0"/>
                      <w:szCs w:val="18"/>
                      <w:highlight w:val="none"/>
                    </w:rPr>
                    <w:t>柴油罐</w:t>
                  </w:r>
                </w:p>
              </w:tc>
              <w:tc>
                <w:tcPr>
                  <w:tcW w:w="599" w:type="pct"/>
                  <w:shd w:val="clear" w:color="auto" w:fill="auto"/>
                  <w:vAlign w:val="center"/>
                </w:tcPr>
                <w:p w14:paraId="7BA8B5CC">
                  <w:pPr>
                    <w:pStyle w:val="41"/>
                    <w:rPr>
                      <w:color w:val="auto"/>
                      <w:kern w:val="0"/>
                      <w:szCs w:val="18"/>
                      <w:highlight w:val="none"/>
                    </w:rPr>
                  </w:pPr>
                  <w:r>
                    <w:rPr>
                      <w:rFonts w:hint="eastAsia"/>
                      <w:color w:val="auto"/>
                      <w:kern w:val="0"/>
                      <w:szCs w:val="18"/>
                      <w:highlight w:val="none"/>
                    </w:rPr>
                    <w:t>40</w:t>
                  </w:r>
                  <w:r>
                    <w:rPr>
                      <w:color w:val="auto"/>
                      <w:kern w:val="0"/>
                      <w:szCs w:val="18"/>
                      <w:highlight w:val="none"/>
                    </w:rPr>
                    <w:t>m</w:t>
                  </w:r>
                  <w:r>
                    <w:rPr>
                      <w:color w:val="auto"/>
                      <w:kern w:val="0"/>
                      <w:szCs w:val="18"/>
                      <w:highlight w:val="none"/>
                      <w:vertAlign w:val="superscript"/>
                    </w:rPr>
                    <w:t>3</w:t>
                  </w:r>
                </w:p>
              </w:tc>
              <w:tc>
                <w:tcPr>
                  <w:tcW w:w="784" w:type="pct"/>
                  <w:shd w:val="clear" w:color="auto" w:fill="auto"/>
                  <w:vAlign w:val="center"/>
                </w:tcPr>
                <w:p w14:paraId="4BA8D121">
                  <w:pPr>
                    <w:pStyle w:val="41"/>
                    <w:rPr>
                      <w:color w:val="auto"/>
                      <w:kern w:val="0"/>
                      <w:szCs w:val="18"/>
                      <w:highlight w:val="none"/>
                    </w:rPr>
                  </w:pPr>
                  <w:r>
                    <w:rPr>
                      <w:rFonts w:hint="eastAsia"/>
                      <w:color w:val="auto"/>
                      <w:kern w:val="0"/>
                      <w:szCs w:val="18"/>
                      <w:highlight w:val="none"/>
                    </w:rPr>
                    <w:t>30.6</w:t>
                  </w:r>
                </w:p>
              </w:tc>
              <w:tc>
                <w:tcPr>
                  <w:tcW w:w="555" w:type="pct"/>
                  <w:shd w:val="clear" w:color="auto" w:fill="auto"/>
                  <w:vAlign w:val="center"/>
                </w:tcPr>
                <w:p w14:paraId="28749FE9">
                  <w:pPr>
                    <w:pStyle w:val="41"/>
                    <w:rPr>
                      <w:color w:val="auto"/>
                      <w:kern w:val="0"/>
                      <w:szCs w:val="18"/>
                      <w:highlight w:val="none"/>
                    </w:rPr>
                  </w:pPr>
                  <w:r>
                    <w:rPr>
                      <w:rFonts w:hint="eastAsia"/>
                      <w:color w:val="auto"/>
                      <w:kern w:val="0"/>
                      <w:szCs w:val="18"/>
                      <w:highlight w:val="none"/>
                    </w:rPr>
                    <w:t>2</w:t>
                  </w:r>
                  <w:r>
                    <w:rPr>
                      <w:color w:val="auto"/>
                      <w:kern w:val="0"/>
                      <w:szCs w:val="18"/>
                      <w:highlight w:val="none"/>
                    </w:rPr>
                    <w:t>500</w:t>
                  </w:r>
                </w:p>
              </w:tc>
              <w:tc>
                <w:tcPr>
                  <w:tcW w:w="543" w:type="pct"/>
                  <w:shd w:val="clear" w:color="auto" w:fill="auto"/>
                  <w:vAlign w:val="center"/>
                </w:tcPr>
                <w:p w14:paraId="578DA900">
                  <w:pPr>
                    <w:pStyle w:val="41"/>
                    <w:rPr>
                      <w:color w:val="auto"/>
                      <w:kern w:val="0"/>
                      <w:szCs w:val="18"/>
                      <w:highlight w:val="none"/>
                    </w:rPr>
                  </w:pPr>
                  <w:r>
                    <w:rPr>
                      <w:rFonts w:hint="eastAsia"/>
                      <w:color w:val="auto"/>
                      <w:kern w:val="0"/>
                      <w:szCs w:val="18"/>
                      <w:highlight w:val="none"/>
                    </w:rPr>
                    <w:t>0</w:t>
                  </w:r>
                  <w:r>
                    <w:rPr>
                      <w:color w:val="auto"/>
                      <w:kern w:val="0"/>
                      <w:szCs w:val="18"/>
                      <w:highlight w:val="none"/>
                    </w:rPr>
                    <w:t>.01</w:t>
                  </w:r>
                  <w:r>
                    <w:rPr>
                      <w:rFonts w:hint="eastAsia"/>
                      <w:color w:val="auto"/>
                      <w:kern w:val="0"/>
                      <w:szCs w:val="18"/>
                      <w:highlight w:val="none"/>
                    </w:rPr>
                    <w:t>22</w:t>
                  </w:r>
                </w:p>
              </w:tc>
            </w:tr>
            <w:tr w14:paraId="67D6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4456" w:type="pct"/>
                  <w:gridSpan w:val="7"/>
                  <w:shd w:val="clear" w:color="auto" w:fill="auto"/>
                  <w:vAlign w:val="center"/>
                </w:tcPr>
                <w:p w14:paraId="382FCBA6">
                  <w:pPr>
                    <w:pStyle w:val="41"/>
                    <w:rPr>
                      <w:color w:val="auto"/>
                      <w:kern w:val="0"/>
                      <w:szCs w:val="18"/>
                      <w:highlight w:val="none"/>
                    </w:rPr>
                  </w:pPr>
                  <w:r>
                    <w:rPr>
                      <w:rFonts w:hint="eastAsia"/>
                      <w:color w:val="auto"/>
                      <w:kern w:val="0"/>
                      <w:szCs w:val="18"/>
                      <w:highlight w:val="none"/>
                    </w:rPr>
                    <w:t>Q</w:t>
                  </w:r>
                  <w:r>
                    <w:rPr>
                      <w:rFonts w:hint="eastAsia"/>
                      <w:color w:val="auto"/>
                      <w:kern w:val="0"/>
                      <w:szCs w:val="18"/>
                      <w:highlight w:val="none"/>
                      <w:vertAlign w:val="subscript"/>
                    </w:rPr>
                    <w:t>max</w:t>
                  </w:r>
                </w:p>
              </w:tc>
              <w:tc>
                <w:tcPr>
                  <w:tcW w:w="543" w:type="pct"/>
                  <w:shd w:val="clear" w:color="auto" w:fill="auto"/>
                  <w:vAlign w:val="center"/>
                </w:tcPr>
                <w:p w14:paraId="6F7E65A8">
                  <w:pPr>
                    <w:pStyle w:val="41"/>
                    <w:rPr>
                      <w:color w:val="auto"/>
                      <w:kern w:val="0"/>
                      <w:szCs w:val="18"/>
                      <w:highlight w:val="none"/>
                    </w:rPr>
                  </w:pPr>
                  <w:r>
                    <w:rPr>
                      <w:rFonts w:hint="eastAsia"/>
                      <w:color w:val="auto"/>
                      <w:kern w:val="0"/>
                      <w:szCs w:val="18"/>
                      <w:highlight w:val="none"/>
                    </w:rPr>
                    <w:t>0.024</w:t>
                  </w:r>
                </w:p>
              </w:tc>
            </w:tr>
            <w:tr w14:paraId="6E3F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16" w:type="pct"/>
                  <w:vMerge w:val="restart"/>
                  <w:vAlign w:val="center"/>
                </w:tcPr>
                <w:p w14:paraId="0E496EF1">
                  <w:pPr>
                    <w:pStyle w:val="41"/>
                    <w:rPr>
                      <w:color w:val="auto"/>
                      <w:kern w:val="0"/>
                      <w:szCs w:val="18"/>
                      <w:highlight w:val="none"/>
                    </w:rPr>
                  </w:pPr>
                  <w:r>
                    <w:rPr>
                      <w:rFonts w:hint="eastAsia"/>
                      <w:color w:val="auto"/>
                      <w:kern w:val="0"/>
                      <w:szCs w:val="18"/>
                      <w:highlight w:val="none"/>
                    </w:rPr>
                    <w:t>试油期</w:t>
                  </w:r>
                </w:p>
              </w:tc>
              <w:tc>
                <w:tcPr>
                  <w:tcW w:w="639" w:type="pct"/>
                  <w:vMerge w:val="restart"/>
                  <w:shd w:val="clear" w:color="auto" w:fill="auto"/>
                  <w:vAlign w:val="center"/>
                </w:tcPr>
                <w:p w14:paraId="3231C767">
                  <w:pPr>
                    <w:pStyle w:val="41"/>
                    <w:rPr>
                      <w:color w:val="auto"/>
                      <w:kern w:val="0"/>
                      <w:szCs w:val="18"/>
                      <w:highlight w:val="none"/>
                    </w:rPr>
                  </w:pPr>
                  <w:r>
                    <w:rPr>
                      <w:rFonts w:hint="eastAsia"/>
                      <w:color w:val="auto"/>
                      <w:kern w:val="0"/>
                      <w:szCs w:val="18"/>
                      <w:highlight w:val="none"/>
                    </w:rPr>
                    <w:t>井场</w:t>
                  </w:r>
                </w:p>
              </w:tc>
              <w:tc>
                <w:tcPr>
                  <w:tcW w:w="639" w:type="pct"/>
                  <w:shd w:val="clear" w:color="auto" w:fill="auto"/>
                  <w:vAlign w:val="center"/>
                </w:tcPr>
                <w:p w14:paraId="3ABB8892">
                  <w:pPr>
                    <w:pStyle w:val="41"/>
                    <w:rPr>
                      <w:color w:val="auto"/>
                      <w:kern w:val="0"/>
                      <w:szCs w:val="18"/>
                      <w:highlight w:val="none"/>
                    </w:rPr>
                  </w:pPr>
                  <w:r>
                    <w:rPr>
                      <w:rFonts w:hint="eastAsia"/>
                      <w:color w:val="auto"/>
                      <w:kern w:val="0"/>
                      <w:szCs w:val="18"/>
                      <w:highlight w:val="none"/>
                    </w:rPr>
                    <w:t>柴油</w:t>
                  </w:r>
                </w:p>
              </w:tc>
              <w:tc>
                <w:tcPr>
                  <w:tcW w:w="720" w:type="pct"/>
                  <w:shd w:val="clear" w:color="auto" w:fill="auto"/>
                  <w:vAlign w:val="center"/>
                </w:tcPr>
                <w:p w14:paraId="47730DD3">
                  <w:pPr>
                    <w:pStyle w:val="41"/>
                    <w:rPr>
                      <w:color w:val="auto"/>
                      <w:kern w:val="0"/>
                      <w:szCs w:val="18"/>
                      <w:highlight w:val="none"/>
                    </w:rPr>
                  </w:pPr>
                  <w:r>
                    <w:rPr>
                      <w:rFonts w:hint="eastAsia"/>
                      <w:color w:val="auto"/>
                      <w:kern w:val="0"/>
                      <w:szCs w:val="18"/>
                      <w:highlight w:val="none"/>
                    </w:rPr>
                    <w:t>柴油罐</w:t>
                  </w:r>
                </w:p>
              </w:tc>
              <w:tc>
                <w:tcPr>
                  <w:tcW w:w="599" w:type="pct"/>
                  <w:shd w:val="clear" w:color="auto" w:fill="auto"/>
                  <w:vAlign w:val="center"/>
                </w:tcPr>
                <w:p w14:paraId="23E627C1">
                  <w:pPr>
                    <w:pStyle w:val="41"/>
                    <w:rPr>
                      <w:color w:val="auto"/>
                      <w:kern w:val="0"/>
                      <w:szCs w:val="18"/>
                      <w:highlight w:val="none"/>
                    </w:rPr>
                  </w:pPr>
                  <w:r>
                    <w:rPr>
                      <w:rFonts w:hint="eastAsia"/>
                      <w:color w:val="auto"/>
                      <w:kern w:val="0"/>
                      <w:szCs w:val="18"/>
                      <w:highlight w:val="none"/>
                    </w:rPr>
                    <w:t>40</w:t>
                  </w:r>
                  <w:r>
                    <w:rPr>
                      <w:color w:val="auto"/>
                      <w:kern w:val="0"/>
                      <w:szCs w:val="18"/>
                      <w:highlight w:val="none"/>
                    </w:rPr>
                    <w:t>m</w:t>
                  </w:r>
                  <w:r>
                    <w:rPr>
                      <w:color w:val="auto"/>
                      <w:kern w:val="0"/>
                      <w:szCs w:val="18"/>
                      <w:highlight w:val="none"/>
                      <w:vertAlign w:val="superscript"/>
                    </w:rPr>
                    <w:t>3</w:t>
                  </w:r>
                </w:p>
              </w:tc>
              <w:tc>
                <w:tcPr>
                  <w:tcW w:w="784" w:type="pct"/>
                  <w:shd w:val="clear" w:color="auto" w:fill="auto"/>
                  <w:vAlign w:val="center"/>
                </w:tcPr>
                <w:p w14:paraId="4F8FD142">
                  <w:pPr>
                    <w:pStyle w:val="41"/>
                    <w:rPr>
                      <w:color w:val="auto"/>
                      <w:kern w:val="0"/>
                      <w:szCs w:val="18"/>
                      <w:highlight w:val="none"/>
                    </w:rPr>
                  </w:pPr>
                  <w:r>
                    <w:rPr>
                      <w:rFonts w:hint="eastAsia"/>
                      <w:color w:val="auto"/>
                      <w:kern w:val="0"/>
                      <w:szCs w:val="18"/>
                      <w:highlight w:val="none"/>
                    </w:rPr>
                    <w:t>30.6</w:t>
                  </w:r>
                </w:p>
              </w:tc>
              <w:tc>
                <w:tcPr>
                  <w:tcW w:w="555" w:type="pct"/>
                  <w:shd w:val="clear" w:color="auto" w:fill="auto"/>
                  <w:vAlign w:val="center"/>
                </w:tcPr>
                <w:p w14:paraId="5B5BA904">
                  <w:pPr>
                    <w:pStyle w:val="41"/>
                    <w:rPr>
                      <w:color w:val="auto"/>
                      <w:kern w:val="0"/>
                      <w:szCs w:val="18"/>
                      <w:highlight w:val="none"/>
                    </w:rPr>
                  </w:pPr>
                  <w:r>
                    <w:rPr>
                      <w:rFonts w:hint="eastAsia"/>
                      <w:color w:val="auto"/>
                      <w:kern w:val="0"/>
                      <w:szCs w:val="18"/>
                      <w:highlight w:val="none"/>
                    </w:rPr>
                    <w:t>2</w:t>
                  </w:r>
                  <w:r>
                    <w:rPr>
                      <w:color w:val="auto"/>
                      <w:kern w:val="0"/>
                      <w:szCs w:val="18"/>
                      <w:highlight w:val="none"/>
                    </w:rPr>
                    <w:t>500</w:t>
                  </w:r>
                </w:p>
              </w:tc>
              <w:tc>
                <w:tcPr>
                  <w:tcW w:w="543" w:type="pct"/>
                  <w:shd w:val="clear" w:color="auto" w:fill="auto"/>
                  <w:vAlign w:val="center"/>
                </w:tcPr>
                <w:p w14:paraId="666FE8B3">
                  <w:pPr>
                    <w:pStyle w:val="41"/>
                    <w:rPr>
                      <w:color w:val="auto"/>
                      <w:kern w:val="0"/>
                      <w:szCs w:val="18"/>
                      <w:highlight w:val="none"/>
                    </w:rPr>
                  </w:pPr>
                  <w:r>
                    <w:rPr>
                      <w:rFonts w:hint="eastAsia"/>
                      <w:color w:val="auto"/>
                      <w:kern w:val="0"/>
                      <w:szCs w:val="18"/>
                      <w:highlight w:val="none"/>
                    </w:rPr>
                    <w:t>0</w:t>
                  </w:r>
                  <w:r>
                    <w:rPr>
                      <w:color w:val="auto"/>
                      <w:kern w:val="0"/>
                      <w:szCs w:val="18"/>
                      <w:highlight w:val="none"/>
                    </w:rPr>
                    <w:t>.01</w:t>
                  </w:r>
                  <w:r>
                    <w:rPr>
                      <w:rFonts w:hint="eastAsia"/>
                      <w:color w:val="auto"/>
                      <w:kern w:val="0"/>
                      <w:szCs w:val="18"/>
                      <w:highlight w:val="none"/>
                    </w:rPr>
                    <w:t>22</w:t>
                  </w:r>
                </w:p>
              </w:tc>
            </w:tr>
            <w:tr w14:paraId="0B8D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16" w:type="pct"/>
                  <w:vMerge w:val="continue"/>
                  <w:vAlign w:val="center"/>
                </w:tcPr>
                <w:p w14:paraId="038654D2">
                  <w:pPr>
                    <w:pStyle w:val="41"/>
                    <w:rPr>
                      <w:color w:val="auto"/>
                      <w:kern w:val="0"/>
                      <w:szCs w:val="18"/>
                      <w:highlight w:val="none"/>
                    </w:rPr>
                  </w:pPr>
                </w:p>
              </w:tc>
              <w:tc>
                <w:tcPr>
                  <w:tcW w:w="639" w:type="pct"/>
                  <w:vMerge w:val="continue"/>
                  <w:vAlign w:val="center"/>
                </w:tcPr>
                <w:p w14:paraId="5370A978">
                  <w:pPr>
                    <w:pStyle w:val="41"/>
                    <w:rPr>
                      <w:color w:val="auto"/>
                      <w:kern w:val="0"/>
                      <w:szCs w:val="18"/>
                      <w:highlight w:val="none"/>
                    </w:rPr>
                  </w:pPr>
                </w:p>
              </w:tc>
              <w:tc>
                <w:tcPr>
                  <w:tcW w:w="639" w:type="pct"/>
                  <w:shd w:val="clear" w:color="auto" w:fill="auto"/>
                  <w:vAlign w:val="center"/>
                </w:tcPr>
                <w:p w14:paraId="24224EBE">
                  <w:pPr>
                    <w:pStyle w:val="41"/>
                    <w:rPr>
                      <w:color w:val="auto"/>
                      <w:kern w:val="0"/>
                      <w:szCs w:val="18"/>
                      <w:highlight w:val="none"/>
                    </w:rPr>
                  </w:pPr>
                  <w:r>
                    <w:rPr>
                      <w:rFonts w:hint="eastAsia"/>
                      <w:color w:val="auto"/>
                      <w:kern w:val="0"/>
                      <w:szCs w:val="18"/>
                      <w:highlight w:val="none"/>
                    </w:rPr>
                    <w:t>伴生气</w:t>
                  </w:r>
                </w:p>
              </w:tc>
              <w:tc>
                <w:tcPr>
                  <w:tcW w:w="720" w:type="pct"/>
                  <w:shd w:val="clear" w:color="auto" w:fill="auto"/>
                  <w:vAlign w:val="center"/>
                </w:tcPr>
                <w:p w14:paraId="533382F3">
                  <w:pPr>
                    <w:pStyle w:val="41"/>
                    <w:rPr>
                      <w:color w:val="auto"/>
                      <w:kern w:val="0"/>
                      <w:szCs w:val="18"/>
                      <w:highlight w:val="none"/>
                    </w:rPr>
                  </w:pPr>
                  <w:r>
                    <w:rPr>
                      <w:rFonts w:hint="eastAsia"/>
                      <w:color w:val="auto"/>
                      <w:kern w:val="0"/>
                      <w:szCs w:val="18"/>
                      <w:highlight w:val="none"/>
                    </w:rPr>
                    <w:t>伴生气管线</w:t>
                  </w:r>
                </w:p>
              </w:tc>
              <w:tc>
                <w:tcPr>
                  <w:tcW w:w="599" w:type="pct"/>
                  <w:shd w:val="clear" w:color="auto" w:fill="auto"/>
                  <w:vAlign w:val="center"/>
                </w:tcPr>
                <w:p w14:paraId="7A337965">
                  <w:pPr>
                    <w:pStyle w:val="41"/>
                    <w:rPr>
                      <w:color w:val="auto"/>
                      <w:kern w:val="0"/>
                      <w:szCs w:val="18"/>
                      <w:highlight w:val="none"/>
                    </w:rPr>
                  </w:pPr>
                  <w:r>
                    <w:rPr>
                      <w:rFonts w:hint="eastAsia"/>
                      <w:color w:val="auto"/>
                      <w:kern w:val="0"/>
                      <w:szCs w:val="18"/>
                      <w:highlight w:val="none"/>
                    </w:rPr>
                    <w:t>2m</w:t>
                  </w:r>
                  <w:r>
                    <w:rPr>
                      <w:rFonts w:hint="eastAsia"/>
                      <w:color w:val="auto"/>
                      <w:kern w:val="0"/>
                      <w:szCs w:val="18"/>
                      <w:highlight w:val="none"/>
                      <w:vertAlign w:val="superscript"/>
                    </w:rPr>
                    <w:t>3</w:t>
                  </w:r>
                </w:p>
              </w:tc>
              <w:tc>
                <w:tcPr>
                  <w:tcW w:w="784" w:type="pct"/>
                  <w:shd w:val="clear" w:color="auto" w:fill="auto"/>
                  <w:vAlign w:val="center"/>
                </w:tcPr>
                <w:p w14:paraId="23C4FEB8">
                  <w:pPr>
                    <w:pStyle w:val="41"/>
                    <w:rPr>
                      <w:color w:val="auto"/>
                      <w:kern w:val="0"/>
                      <w:szCs w:val="18"/>
                      <w:highlight w:val="none"/>
                    </w:rPr>
                  </w:pPr>
                  <w:r>
                    <w:rPr>
                      <w:rFonts w:hint="eastAsia"/>
                      <w:color w:val="auto"/>
                      <w:kern w:val="0"/>
                      <w:szCs w:val="18"/>
                      <w:highlight w:val="none"/>
                    </w:rPr>
                    <w:t>0.06</w:t>
                  </w:r>
                </w:p>
              </w:tc>
              <w:tc>
                <w:tcPr>
                  <w:tcW w:w="555" w:type="pct"/>
                  <w:shd w:val="clear" w:color="auto" w:fill="auto"/>
                  <w:vAlign w:val="center"/>
                </w:tcPr>
                <w:p w14:paraId="576CA964">
                  <w:pPr>
                    <w:pStyle w:val="41"/>
                    <w:rPr>
                      <w:color w:val="auto"/>
                      <w:kern w:val="0"/>
                      <w:szCs w:val="18"/>
                      <w:highlight w:val="none"/>
                    </w:rPr>
                  </w:pPr>
                  <w:r>
                    <w:rPr>
                      <w:rFonts w:hint="eastAsia"/>
                      <w:color w:val="auto"/>
                      <w:kern w:val="0"/>
                      <w:szCs w:val="18"/>
                      <w:highlight w:val="none"/>
                    </w:rPr>
                    <w:t>10</w:t>
                  </w:r>
                </w:p>
              </w:tc>
              <w:tc>
                <w:tcPr>
                  <w:tcW w:w="543" w:type="pct"/>
                  <w:shd w:val="clear" w:color="auto" w:fill="auto"/>
                  <w:vAlign w:val="center"/>
                </w:tcPr>
                <w:p w14:paraId="7EAB4547">
                  <w:pPr>
                    <w:pStyle w:val="41"/>
                    <w:rPr>
                      <w:color w:val="auto"/>
                      <w:kern w:val="0"/>
                      <w:szCs w:val="18"/>
                      <w:highlight w:val="none"/>
                    </w:rPr>
                  </w:pPr>
                  <w:r>
                    <w:rPr>
                      <w:rFonts w:hint="eastAsia"/>
                      <w:color w:val="auto"/>
                      <w:kern w:val="0"/>
                      <w:szCs w:val="18"/>
                      <w:highlight w:val="none"/>
                    </w:rPr>
                    <w:t>0.006</w:t>
                  </w:r>
                </w:p>
              </w:tc>
            </w:tr>
            <w:tr w14:paraId="1A22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16" w:type="pct"/>
                  <w:vMerge w:val="continue"/>
                  <w:vAlign w:val="center"/>
                </w:tcPr>
                <w:p w14:paraId="2987F8C7">
                  <w:pPr>
                    <w:pStyle w:val="41"/>
                    <w:rPr>
                      <w:color w:val="auto"/>
                      <w:kern w:val="0"/>
                      <w:szCs w:val="18"/>
                      <w:highlight w:val="none"/>
                    </w:rPr>
                  </w:pPr>
                </w:p>
              </w:tc>
              <w:tc>
                <w:tcPr>
                  <w:tcW w:w="639" w:type="pct"/>
                  <w:vMerge w:val="continue"/>
                  <w:vAlign w:val="center"/>
                </w:tcPr>
                <w:p w14:paraId="2903062C">
                  <w:pPr>
                    <w:pStyle w:val="41"/>
                    <w:rPr>
                      <w:color w:val="auto"/>
                      <w:kern w:val="0"/>
                      <w:szCs w:val="18"/>
                      <w:highlight w:val="none"/>
                    </w:rPr>
                  </w:pPr>
                </w:p>
              </w:tc>
              <w:tc>
                <w:tcPr>
                  <w:tcW w:w="639" w:type="pct"/>
                  <w:shd w:val="clear" w:color="auto" w:fill="auto"/>
                  <w:vAlign w:val="center"/>
                </w:tcPr>
                <w:p w14:paraId="0B5EAA5C">
                  <w:pPr>
                    <w:pStyle w:val="41"/>
                    <w:rPr>
                      <w:rFonts w:hint="eastAsia" w:eastAsia="宋体"/>
                      <w:color w:val="auto"/>
                      <w:kern w:val="0"/>
                      <w:szCs w:val="18"/>
                      <w:highlight w:val="none"/>
                      <w:lang w:val="en-US" w:eastAsia="zh-CN"/>
                    </w:rPr>
                  </w:pPr>
                  <w:r>
                    <w:rPr>
                      <w:rFonts w:hint="eastAsia"/>
                      <w:color w:val="auto"/>
                      <w:kern w:val="0"/>
                      <w:szCs w:val="18"/>
                      <w:highlight w:val="none"/>
                      <w:lang w:val="en-US" w:eastAsia="zh-CN"/>
                    </w:rPr>
                    <w:t>采出液</w:t>
                  </w:r>
                </w:p>
              </w:tc>
              <w:tc>
                <w:tcPr>
                  <w:tcW w:w="720" w:type="pct"/>
                  <w:shd w:val="clear" w:color="auto" w:fill="auto"/>
                  <w:vAlign w:val="center"/>
                </w:tcPr>
                <w:p w14:paraId="508EECD9">
                  <w:pPr>
                    <w:pStyle w:val="41"/>
                    <w:rPr>
                      <w:rFonts w:hint="eastAsia"/>
                      <w:color w:val="auto"/>
                      <w:kern w:val="0"/>
                      <w:szCs w:val="18"/>
                      <w:highlight w:val="none"/>
                    </w:rPr>
                  </w:pPr>
                  <w:r>
                    <w:rPr>
                      <w:rFonts w:hint="eastAsia" w:cs="Times New Roman"/>
                      <w:color w:val="auto"/>
                      <w:szCs w:val="18"/>
                      <w:highlight w:val="none"/>
                      <w:lang w:val="en-US" w:eastAsia="zh-CN"/>
                    </w:rPr>
                    <w:t>试油废液</w:t>
                  </w:r>
                  <w:r>
                    <w:rPr>
                      <w:rFonts w:hint="eastAsia" w:cs="Times New Roman"/>
                      <w:color w:val="auto"/>
                      <w:szCs w:val="18"/>
                      <w:highlight w:val="none"/>
                    </w:rPr>
                    <w:t>储罐</w:t>
                  </w:r>
                </w:p>
              </w:tc>
              <w:tc>
                <w:tcPr>
                  <w:tcW w:w="599" w:type="pct"/>
                  <w:shd w:val="clear" w:color="auto" w:fill="auto"/>
                  <w:vAlign w:val="center"/>
                </w:tcPr>
                <w:p w14:paraId="78C2F0EA">
                  <w:pPr>
                    <w:pStyle w:val="41"/>
                    <w:rPr>
                      <w:rFonts w:hint="default" w:eastAsia="宋体"/>
                      <w:color w:val="auto"/>
                      <w:kern w:val="0"/>
                      <w:szCs w:val="18"/>
                      <w:highlight w:val="none"/>
                      <w:lang w:val="en-US" w:eastAsia="zh-CN"/>
                    </w:rPr>
                  </w:pPr>
                  <w:r>
                    <w:rPr>
                      <w:rFonts w:hint="eastAsia"/>
                      <w:color w:val="auto"/>
                      <w:kern w:val="0"/>
                      <w:szCs w:val="18"/>
                      <w:highlight w:val="none"/>
                      <w:lang w:val="en-US" w:eastAsia="zh-CN"/>
                    </w:rPr>
                    <w:t>40</w:t>
                  </w:r>
                  <w:r>
                    <w:rPr>
                      <w:color w:val="auto"/>
                      <w:kern w:val="0"/>
                      <w:szCs w:val="18"/>
                      <w:highlight w:val="none"/>
                    </w:rPr>
                    <w:t>m</w:t>
                  </w:r>
                  <w:r>
                    <w:rPr>
                      <w:color w:val="auto"/>
                      <w:kern w:val="0"/>
                      <w:szCs w:val="18"/>
                      <w:highlight w:val="none"/>
                      <w:vertAlign w:val="superscript"/>
                    </w:rPr>
                    <w:t>3</w:t>
                  </w:r>
                </w:p>
              </w:tc>
              <w:tc>
                <w:tcPr>
                  <w:tcW w:w="784" w:type="pct"/>
                  <w:shd w:val="clear" w:color="auto" w:fill="auto"/>
                  <w:vAlign w:val="center"/>
                </w:tcPr>
                <w:p w14:paraId="53EC990F">
                  <w:pPr>
                    <w:pStyle w:val="41"/>
                    <w:rPr>
                      <w:rFonts w:hint="eastAsia" w:eastAsia="宋体"/>
                      <w:color w:val="auto"/>
                      <w:kern w:val="0"/>
                      <w:szCs w:val="18"/>
                      <w:highlight w:val="none"/>
                      <w:lang w:eastAsia="zh-CN"/>
                    </w:rPr>
                  </w:pPr>
                  <w:r>
                    <w:rPr>
                      <w:rFonts w:hint="eastAsia"/>
                      <w:color w:val="auto"/>
                      <w:kern w:val="0"/>
                      <w:szCs w:val="18"/>
                      <w:highlight w:val="none"/>
                    </w:rPr>
                    <w:t>3</w:t>
                  </w:r>
                  <w:r>
                    <w:rPr>
                      <w:rFonts w:hint="eastAsia"/>
                      <w:color w:val="auto"/>
                      <w:kern w:val="0"/>
                      <w:szCs w:val="18"/>
                      <w:highlight w:val="none"/>
                      <w:lang w:val="en-US" w:eastAsia="zh-CN"/>
                    </w:rPr>
                    <w:t>4</w:t>
                  </w:r>
                </w:p>
              </w:tc>
              <w:tc>
                <w:tcPr>
                  <w:tcW w:w="555" w:type="pct"/>
                  <w:shd w:val="clear" w:color="auto" w:fill="auto"/>
                  <w:vAlign w:val="center"/>
                </w:tcPr>
                <w:p w14:paraId="28B6C63E">
                  <w:pPr>
                    <w:pStyle w:val="41"/>
                    <w:rPr>
                      <w:rFonts w:hint="eastAsia"/>
                      <w:color w:val="auto"/>
                      <w:kern w:val="0"/>
                      <w:szCs w:val="18"/>
                      <w:highlight w:val="none"/>
                    </w:rPr>
                  </w:pPr>
                  <w:r>
                    <w:rPr>
                      <w:rFonts w:hint="eastAsia"/>
                      <w:color w:val="auto"/>
                      <w:kern w:val="0"/>
                      <w:szCs w:val="18"/>
                      <w:highlight w:val="none"/>
                    </w:rPr>
                    <w:t>2</w:t>
                  </w:r>
                  <w:r>
                    <w:rPr>
                      <w:color w:val="auto"/>
                      <w:kern w:val="0"/>
                      <w:szCs w:val="18"/>
                      <w:highlight w:val="none"/>
                    </w:rPr>
                    <w:t>500</w:t>
                  </w:r>
                </w:p>
              </w:tc>
              <w:tc>
                <w:tcPr>
                  <w:tcW w:w="543" w:type="pct"/>
                  <w:shd w:val="clear" w:color="auto" w:fill="auto"/>
                  <w:vAlign w:val="center"/>
                </w:tcPr>
                <w:p w14:paraId="17152F53">
                  <w:pPr>
                    <w:pStyle w:val="41"/>
                    <w:rPr>
                      <w:rFonts w:hint="default" w:eastAsia="宋体"/>
                      <w:color w:val="auto"/>
                      <w:kern w:val="0"/>
                      <w:szCs w:val="18"/>
                      <w:highlight w:val="none"/>
                      <w:lang w:val="en-US" w:eastAsia="zh-CN"/>
                    </w:rPr>
                  </w:pPr>
                  <w:r>
                    <w:rPr>
                      <w:rFonts w:hint="eastAsia"/>
                      <w:color w:val="auto"/>
                      <w:kern w:val="0"/>
                      <w:szCs w:val="18"/>
                      <w:highlight w:val="none"/>
                    </w:rPr>
                    <w:t>0</w:t>
                  </w:r>
                  <w:r>
                    <w:rPr>
                      <w:color w:val="auto"/>
                      <w:kern w:val="0"/>
                      <w:szCs w:val="18"/>
                      <w:highlight w:val="none"/>
                    </w:rPr>
                    <w:t>.01</w:t>
                  </w:r>
                  <w:r>
                    <w:rPr>
                      <w:rFonts w:hint="eastAsia"/>
                      <w:color w:val="auto"/>
                      <w:kern w:val="0"/>
                      <w:szCs w:val="18"/>
                      <w:highlight w:val="none"/>
                      <w:lang w:val="en-US" w:eastAsia="zh-CN"/>
                    </w:rPr>
                    <w:t>36</w:t>
                  </w:r>
                </w:p>
              </w:tc>
            </w:tr>
            <w:tr w14:paraId="5EE5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4456" w:type="pct"/>
                  <w:gridSpan w:val="7"/>
                  <w:vAlign w:val="center"/>
                </w:tcPr>
                <w:p w14:paraId="582B97F3">
                  <w:pPr>
                    <w:pStyle w:val="41"/>
                    <w:rPr>
                      <w:color w:val="auto"/>
                      <w:kern w:val="0"/>
                      <w:szCs w:val="18"/>
                      <w:highlight w:val="none"/>
                    </w:rPr>
                  </w:pPr>
                  <w:r>
                    <w:rPr>
                      <w:rFonts w:hint="eastAsia"/>
                      <w:color w:val="auto"/>
                      <w:kern w:val="0"/>
                      <w:szCs w:val="18"/>
                      <w:highlight w:val="none"/>
                    </w:rPr>
                    <w:t>Q</w:t>
                  </w:r>
                  <w:r>
                    <w:rPr>
                      <w:rFonts w:hint="eastAsia"/>
                      <w:color w:val="auto"/>
                      <w:kern w:val="0"/>
                      <w:szCs w:val="18"/>
                      <w:highlight w:val="none"/>
                      <w:vertAlign w:val="subscript"/>
                    </w:rPr>
                    <w:t>max</w:t>
                  </w:r>
                </w:p>
              </w:tc>
              <w:tc>
                <w:tcPr>
                  <w:tcW w:w="543" w:type="pct"/>
                  <w:shd w:val="clear" w:color="auto" w:fill="auto"/>
                  <w:vAlign w:val="center"/>
                </w:tcPr>
                <w:p w14:paraId="1B7126B0">
                  <w:pPr>
                    <w:pStyle w:val="41"/>
                    <w:rPr>
                      <w:rFonts w:hint="default" w:eastAsia="宋体"/>
                      <w:color w:val="auto"/>
                      <w:kern w:val="0"/>
                      <w:szCs w:val="18"/>
                      <w:highlight w:val="none"/>
                      <w:lang w:val="en-US" w:eastAsia="zh-CN"/>
                    </w:rPr>
                  </w:pPr>
                  <w:r>
                    <w:rPr>
                      <w:rFonts w:hint="eastAsia"/>
                      <w:color w:val="auto"/>
                      <w:kern w:val="0"/>
                      <w:szCs w:val="18"/>
                      <w:highlight w:val="none"/>
                    </w:rPr>
                    <w:t>0.0</w:t>
                  </w:r>
                  <w:r>
                    <w:rPr>
                      <w:rFonts w:hint="eastAsia"/>
                      <w:color w:val="auto"/>
                      <w:kern w:val="0"/>
                      <w:szCs w:val="18"/>
                      <w:highlight w:val="none"/>
                      <w:lang w:val="en-US" w:eastAsia="zh-CN"/>
                    </w:rPr>
                    <w:t>318</w:t>
                  </w:r>
                </w:p>
              </w:tc>
            </w:tr>
          </w:tbl>
          <w:p w14:paraId="70AF33D6">
            <w:pPr>
              <w:pStyle w:val="92"/>
              <w:ind w:firstLine="360"/>
              <w:rPr>
                <w:color w:val="auto"/>
                <w:szCs w:val="18"/>
                <w:highlight w:val="none"/>
              </w:rPr>
            </w:pPr>
            <w:r>
              <w:rPr>
                <w:rFonts w:hint="eastAsia"/>
                <w:color w:val="auto"/>
                <w:szCs w:val="18"/>
                <w:highlight w:val="none"/>
              </w:rPr>
              <w:t>备注：（1）</w:t>
            </w:r>
            <w:r>
              <w:rPr>
                <w:color w:val="auto"/>
                <w:szCs w:val="18"/>
                <w:highlight w:val="none"/>
              </w:rPr>
              <w:t>废防渗材料、废润滑油、废润滑油桶、废弃的含油抹布、劳保用品等危险废物含有油类物质，但产生量及暂存量极少，本次仅识别不定量计算。</w:t>
            </w:r>
            <w:r>
              <w:rPr>
                <w:rFonts w:hint="eastAsia"/>
                <w:color w:val="auto"/>
                <w:szCs w:val="18"/>
                <w:highlight w:val="none"/>
              </w:rPr>
              <w:t>（2）</w:t>
            </w:r>
            <w:r>
              <w:rPr>
                <w:color w:val="auto"/>
                <w:szCs w:val="18"/>
                <w:highlight w:val="none"/>
              </w:rPr>
              <w:t>正常情况下无硫化氢产生，因此本次不对硫化氢进行定量分析。</w:t>
            </w:r>
            <w:r>
              <w:rPr>
                <w:rFonts w:hint="eastAsia"/>
                <w:color w:val="auto"/>
                <w:szCs w:val="18"/>
                <w:highlight w:val="none"/>
              </w:rPr>
              <w:t>（3）</w:t>
            </w:r>
            <w:r>
              <w:rPr>
                <w:color w:val="auto"/>
                <w:szCs w:val="18"/>
                <w:highlight w:val="none"/>
              </w:rPr>
              <w:t>柴油密度取0.85g/cm</w:t>
            </w:r>
            <w:r>
              <w:rPr>
                <w:color w:val="auto"/>
                <w:szCs w:val="18"/>
                <w:highlight w:val="none"/>
                <w:vertAlign w:val="superscript"/>
              </w:rPr>
              <w:t>3</w:t>
            </w:r>
            <w:r>
              <w:rPr>
                <w:color w:val="auto"/>
                <w:szCs w:val="18"/>
                <w:highlight w:val="none"/>
              </w:rPr>
              <w:t>，装填系数取90%。</w:t>
            </w:r>
          </w:p>
          <w:p w14:paraId="110092C7">
            <w:pPr>
              <w:pStyle w:val="96"/>
              <w:ind w:firstLine="480"/>
              <w:rPr>
                <w:color w:val="auto"/>
                <w:highlight w:val="none"/>
              </w:rPr>
            </w:pPr>
          </w:p>
          <w:p w14:paraId="1A87EBAB">
            <w:pPr>
              <w:adjustRightInd w:val="0"/>
              <w:snapToGrid w:val="0"/>
              <w:ind w:firstLine="420"/>
              <w:rPr>
                <w:color w:val="auto"/>
                <w:highlight w:val="none"/>
              </w:rPr>
            </w:pPr>
            <w:r>
              <w:rPr>
                <w:color w:val="auto"/>
                <w:highlight w:val="none"/>
              </w:rPr>
              <w:t>本项目</w:t>
            </w:r>
            <w:r>
              <w:rPr>
                <w:rFonts w:hint="eastAsia"/>
                <w:color w:val="auto"/>
                <w:highlight w:val="none"/>
              </w:rPr>
              <w:t>危险物质</w:t>
            </w:r>
            <w:r>
              <w:rPr>
                <w:color w:val="auto"/>
                <w:highlight w:val="none"/>
              </w:rPr>
              <w:t>数量</w:t>
            </w:r>
            <w:r>
              <w:rPr>
                <w:rFonts w:hint="eastAsia"/>
                <w:color w:val="auto"/>
                <w:highlight w:val="none"/>
              </w:rPr>
              <w:t>与</w:t>
            </w:r>
            <w:r>
              <w:rPr>
                <w:color w:val="auto"/>
                <w:highlight w:val="none"/>
              </w:rPr>
              <w:t>临界量</w:t>
            </w:r>
            <w:r>
              <w:rPr>
                <w:rFonts w:hint="eastAsia"/>
                <w:color w:val="auto"/>
                <w:highlight w:val="none"/>
              </w:rPr>
              <w:t>比值Q</w:t>
            </w:r>
            <w:r>
              <w:rPr>
                <w:color w:val="auto"/>
                <w:highlight w:val="none"/>
              </w:rPr>
              <w:t>max</w:t>
            </w:r>
            <w:r>
              <w:rPr>
                <w:rFonts w:hint="eastAsia"/>
                <w:color w:val="auto"/>
                <w:highlight w:val="none"/>
              </w:rPr>
              <w:t>为0.0</w:t>
            </w:r>
            <w:r>
              <w:rPr>
                <w:rFonts w:hint="eastAsia"/>
                <w:color w:val="auto"/>
                <w:highlight w:val="none"/>
                <w:lang w:val="en-US" w:eastAsia="zh-CN"/>
              </w:rPr>
              <w:t>318</w:t>
            </w:r>
            <w:r>
              <w:rPr>
                <w:rFonts w:hint="eastAsia"/>
                <w:color w:val="auto"/>
                <w:highlight w:val="none"/>
              </w:rPr>
              <w:t>＜</w:t>
            </w:r>
            <w:r>
              <w:rPr>
                <w:color w:val="auto"/>
                <w:highlight w:val="none"/>
              </w:rPr>
              <w:t>1</w:t>
            </w:r>
            <w:r>
              <w:rPr>
                <w:rFonts w:hint="eastAsia"/>
                <w:color w:val="auto"/>
                <w:highlight w:val="none"/>
              </w:rPr>
              <w:t>。根据《建设项目环境风险评价技术导则》（HJ 169-2018）中附录C要求，当Q</w:t>
            </w:r>
            <w:r>
              <w:rPr>
                <w:color w:val="auto"/>
                <w:highlight w:val="none"/>
              </w:rPr>
              <w:t>max</w:t>
            </w:r>
            <w:r>
              <w:rPr>
                <w:rFonts w:hint="eastAsia"/>
                <w:color w:val="auto"/>
                <w:highlight w:val="none"/>
              </w:rPr>
              <w:t>＜</w:t>
            </w:r>
            <w:r>
              <w:rPr>
                <w:color w:val="auto"/>
                <w:highlight w:val="none"/>
              </w:rPr>
              <w:t>1</w:t>
            </w:r>
            <w:r>
              <w:rPr>
                <w:rFonts w:hint="eastAsia"/>
                <w:color w:val="auto"/>
                <w:highlight w:val="none"/>
              </w:rPr>
              <w:t>，</w:t>
            </w:r>
            <w:r>
              <w:rPr>
                <w:color w:val="auto"/>
                <w:highlight w:val="none"/>
              </w:rPr>
              <w:t>则直接判定该项目</w:t>
            </w:r>
            <w:r>
              <w:rPr>
                <w:rFonts w:hint="eastAsia"/>
                <w:color w:val="auto"/>
                <w:highlight w:val="none"/>
              </w:rPr>
              <w:t>环境</w:t>
            </w:r>
            <w:r>
              <w:rPr>
                <w:color w:val="auto"/>
                <w:highlight w:val="none"/>
              </w:rPr>
              <w:t>风险潜</w:t>
            </w:r>
            <w:r>
              <w:rPr>
                <w:rFonts w:hint="eastAsia"/>
                <w:color w:val="auto"/>
                <w:highlight w:val="none"/>
              </w:rPr>
              <w:t>势为Ⅰ。</w:t>
            </w:r>
          </w:p>
          <w:p w14:paraId="6B68C075">
            <w:pPr>
              <w:adjustRightInd w:val="0"/>
              <w:snapToGrid w:val="0"/>
              <w:ind w:firstLine="420"/>
              <w:rPr>
                <w:color w:val="auto"/>
                <w:highlight w:val="none"/>
              </w:rPr>
            </w:pPr>
            <w:r>
              <w:rPr>
                <w:color w:val="auto"/>
                <w:highlight w:val="none"/>
              </w:rPr>
              <w:t>按照</w:t>
            </w:r>
            <w:r>
              <w:rPr>
                <w:rFonts w:hint="eastAsia"/>
                <w:color w:val="auto"/>
                <w:highlight w:val="none"/>
              </w:rPr>
              <w:t>《建设项目环境风险评价技术导则》（HJ 169-2018）</w:t>
            </w:r>
            <w:r>
              <w:rPr>
                <w:color w:val="auto"/>
                <w:highlight w:val="none"/>
              </w:rPr>
              <w:t>中的有关规定，风险评价工作等级划分如</w:t>
            </w:r>
            <w:r>
              <w:rPr>
                <w:rFonts w:hint="eastAsia"/>
                <w:color w:val="auto"/>
                <w:highlight w:val="none"/>
              </w:rPr>
              <w:fldChar w:fldCharType="begin"/>
            </w:r>
            <w:r>
              <w:rPr>
                <w:color w:val="auto"/>
                <w:highlight w:val="none"/>
              </w:rPr>
              <w:instrText xml:space="preserve"> REF _Ref1440528464 \h  \* MERGEFORMAT</w:instrText>
            </w:r>
            <w:r>
              <w:rPr>
                <w:rFonts w:hint="eastAsia"/>
                <w:color w:val="auto"/>
                <w:highlight w:val="none"/>
              </w:rPr>
              <w:fldChar w:fldCharType="separate"/>
            </w:r>
            <w:r>
              <w:rPr>
                <w:rFonts w:hint="eastAsia"/>
                <w:color w:val="auto"/>
                <w:highlight w:val="none"/>
              </w:rPr>
              <w:t>表37</w:t>
            </w:r>
            <w:r>
              <w:rPr>
                <w:rFonts w:hint="eastAsia"/>
                <w:color w:val="auto"/>
                <w:highlight w:val="none"/>
              </w:rPr>
              <w:fldChar w:fldCharType="end"/>
            </w:r>
            <w:r>
              <w:rPr>
                <w:rFonts w:hint="eastAsia"/>
                <w:color w:val="auto"/>
                <w:highlight w:val="none"/>
              </w:rPr>
              <w:t>。</w:t>
            </w:r>
          </w:p>
          <w:p w14:paraId="2CAC3155">
            <w:pPr>
              <w:pStyle w:val="13"/>
              <w:bidi w:val="0"/>
              <w:rPr>
                <w:color w:val="auto"/>
                <w:highlight w:val="none"/>
              </w:rPr>
            </w:pPr>
            <w:bookmarkStart w:id="67" w:name="_Ref1440528464"/>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37</w:t>
            </w:r>
            <w:r>
              <w:rPr>
                <w:rFonts w:hint="eastAsia"/>
                <w:color w:val="auto"/>
                <w:highlight w:val="none"/>
              </w:rPr>
              <w:fldChar w:fldCharType="end"/>
            </w:r>
            <w:bookmarkEnd w:id="67"/>
            <w:r>
              <w:rPr>
                <w:rFonts w:hint="eastAsia"/>
                <w:color w:val="auto"/>
                <w:highlight w:val="none"/>
              </w:rPr>
              <w:t xml:space="preserve">  风险评价工作级别表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20" w:color="auto" w:fill="auto"/>
              <w:tblLayout w:type="fixed"/>
              <w:tblCellMar>
                <w:top w:w="0" w:type="dxa"/>
                <w:left w:w="108" w:type="dxa"/>
                <w:bottom w:w="0" w:type="dxa"/>
                <w:right w:w="108" w:type="dxa"/>
              </w:tblCellMar>
            </w:tblPr>
            <w:tblGrid>
              <w:gridCol w:w="1778"/>
              <w:gridCol w:w="1533"/>
              <w:gridCol w:w="1278"/>
              <w:gridCol w:w="1533"/>
              <w:gridCol w:w="1533"/>
            </w:tblGrid>
            <w:tr w14:paraId="3B24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62" w:type="pct"/>
                  <w:shd w:val="clear" w:color="auto" w:fill="auto"/>
                  <w:vAlign w:val="center"/>
                </w:tcPr>
                <w:p w14:paraId="64ED41D9">
                  <w:pPr>
                    <w:pStyle w:val="41"/>
                    <w:rPr>
                      <w:color w:val="auto"/>
                      <w:kern w:val="0"/>
                      <w:szCs w:val="18"/>
                      <w:highlight w:val="none"/>
                    </w:rPr>
                  </w:pPr>
                  <w:r>
                    <w:rPr>
                      <w:rFonts w:hint="eastAsia"/>
                      <w:color w:val="auto"/>
                      <w:kern w:val="0"/>
                      <w:szCs w:val="18"/>
                      <w:highlight w:val="none"/>
                    </w:rPr>
                    <w:t>环境风险潜势</w:t>
                  </w:r>
                </w:p>
              </w:tc>
              <w:tc>
                <w:tcPr>
                  <w:tcW w:w="1001" w:type="pct"/>
                  <w:shd w:val="clear" w:color="auto" w:fill="auto"/>
                  <w:vAlign w:val="center"/>
                </w:tcPr>
                <w:p w14:paraId="7D0415F8">
                  <w:pPr>
                    <w:pStyle w:val="41"/>
                    <w:rPr>
                      <w:color w:val="auto"/>
                      <w:kern w:val="0"/>
                      <w:szCs w:val="18"/>
                      <w:highlight w:val="none"/>
                    </w:rPr>
                  </w:pPr>
                  <w:r>
                    <w:rPr>
                      <w:rFonts w:hint="eastAsia"/>
                      <w:color w:val="auto"/>
                      <w:kern w:val="0"/>
                      <w:szCs w:val="18"/>
                      <w:highlight w:val="none"/>
                    </w:rPr>
                    <w:t>Ⅳ、Ⅳ</w:t>
                  </w:r>
                  <w:r>
                    <w:rPr>
                      <w:rFonts w:hint="eastAsia"/>
                      <w:color w:val="auto"/>
                      <w:kern w:val="0"/>
                      <w:szCs w:val="18"/>
                      <w:highlight w:val="none"/>
                      <w:vertAlign w:val="superscript"/>
                    </w:rPr>
                    <w:t>＋</w:t>
                  </w:r>
                </w:p>
              </w:tc>
              <w:tc>
                <w:tcPr>
                  <w:tcW w:w="835" w:type="pct"/>
                  <w:shd w:val="clear" w:color="auto" w:fill="auto"/>
                  <w:vAlign w:val="center"/>
                </w:tcPr>
                <w:p w14:paraId="20CBB9C4">
                  <w:pPr>
                    <w:pStyle w:val="41"/>
                    <w:rPr>
                      <w:color w:val="auto"/>
                      <w:kern w:val="0"/>
                      <w:szCs w:val="18"/>
                      <w:highlight w:val="none"/>
                    </w:rPr>
                  </w:pPr>
                  <w:r>
                    <w:rPr>
                      <w:rFonts w:hint="eastAsia"/>
                      <w:color w:val="auto"/>
                      <w:kern w:val="0"/>
                      <w:szCs w:val="18"/>
                      <w:highlight w:val="none"/>
                    </w:rPr>
                    <w:t>Ⅲ</w:t>
                  </w:r>
                </w:p>
              </w:tc>
              <w:tc>
                <w:tcPr>
                  <w:tcW w:w="1001" w:type="pct"/>
                  <w:shd w:val="clear" w:color="auto" w:fill="auto"/>
                  <w:vAlign w:val="center"/>
                </w:tcPr>
                <w:p w14:paraId="42A2529E">
                  <w:pPr>
                    <w:pStyle w:val="41"/>
                    <w:rPr>
                      <w:color w:val="auto"/>
                      <w:kern w:val="0"/>
                      <w:szCs w:val="18"/>
                      <w:highlight w:val="none"/>
                    </w:rPr>
                  </w:pPr>
                  <w:r>
                    <w:rPr>
                      <w:rFonts w:hint="eastAsia"/>
                      <w:color w:val="auto"/>
                      <w:kern w:val="0"/>
                      <w:szCs w:val="18"/>
                      <w:highlight w:val="none"/>
                    </w:rPr>
                    <w:t>Ⅱ</w:t>
                  </w:r>
                </w:p>
              </w:tc>
              <w:tc>
                <w:tcPr>
                  <w:tcW w:w="1001" w:type="pct"/>
                  <w:shd w:val="pct20" w:color="auto" w:fill="auto"/>
                  <w:vAlign w:val="center"/>
                </w:tcPr>
                <w:p w14:paraId="68485D00">
                  <w:pPr>
                    <w:pStyle w:val="41"/>
                    <w:rPr>
                      <w:color w:val="auto"/>
                      <w:kern w:val="0"/>
                      <w:szCs w:val="18"/>
                      <w:highlight w:val="none"/>
                    </w:rPr>
                  </w:pPr>
                  <w:r>
                    <w:rPr>
                      <w:rFonts w:hint="eastAsia"/>
                      <w:color w:val="auto"/>
                      <w:kern w:val="0"/>
                      <w:szCs w:val="18"/>
                      <w:highlight w:val="none"/>
                    </w:rPr>
                    <w:t>Ⅰ</w:t>
                  </w:r>
                </w:p>
              </w:tc>
            </w:tr>
            <w:tr w14:paraId="2510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162" w:type="pct"/>
                  <w:shd w:val="clear" w:color="auto" w:fill="auto"/>
                  <w:vAlign w:val="center"/>
                </w:tcPr>
                <w:p w14:paraId="09484F9B">
                  <w:pPr>
                    <w:pStyle w:val="41"/>
                    <w:rPr>
                      <w:color w:val="auto"/>
                      <w:kern w:val="0"/>
                      <w:szCs w:val="18"/>
                      <w:highlight w:val="none"/>
                    </w:rPr>
                  </w:pPr>
                  <w:r>
                    <w:rPr>
                      <w:rFonts w:hint="eastAsia"/>
                      <w:color w:val="auto"/>
                      <w:kern w:val="0"/>
                      <w:szCs w:val="18"/>
                      <w:highlight w:val="none"/>
                    </w:rPr>
                    <w:t>评价工作等级</w:t>
                  </w:r>
                </w:p>
              </w:tc>
              <w:tc>
                <w:tcPr>
                  <w:tcW w:w="1001" w:type="pct"/>
                  <w:shd w:val="clear" w:color="auto" w:fill="auto"/>
                  <w:vAlign w:val="center"/>
                </w:tcPr>
                <w:p w14:paraId="3622A9A0">
                  <w:pPr>
                    <w:pStyle w:val="41"/>
                    <w:rPr>
                      <w:color w:val="auto"/>
                      <w:kern w:val="0"/>
                      <w:szCs w:val="18"/>
                      <w:highlight w:val="none"/>
                    </w:rPr>
                  </w:pPr>
                  <w:r>
                    <w:rPr>
                      <w:color w:val="auto"/>
                      <w:kern w:val="0"/>
                      <w:szCs w:val="18"/>
                      <w:highlight w:val="none"/>
                    </w:rPr>
                    <w:t>一</w:t>
                  </w:r>
                </w:p>
              </w:tc>
              <w:tc>
                <w:tcPr>
                  <w:tcW w:w="835" w:type="pct"/>
                  <w:shd w:val="clear" w:color="auto" w:fill="auto"/>
                  <w:vAlign w:val="center"/>
                </w:tcPr>
                <w:p w14:paraId="6AD2416E">
                  <w:pPr>
                    <w:pStyle w:val="41"/>
                    <w:rPr>
                      <w:color w:val="auto"/>
                      <w:kern w:val="0"/>
                      <w:szCs w:val="18"/>
                      <w:highlight w:val="none"/>
                    </w:rPr>
                  </w:pPr>
                  <w:r>
                    <w:rPr>
                      <w:color w:val="auto"/>
                      <w:kern w:val="0"/>
                      <w:szCs w:val="18"/>
                      <w:highlight w:val="none"/>
                    </w:rPr>
                    <w:t>二</w:t>
                  </w:r>
                </w:p>
              </w:tc>
              <w:tc>
                <w:tcPr>
                  <w:tcW w:w="1001" w:type="pct"/>
                  <w:shd w:val="clear" w:color="auto" w:fill="auto"/>
                  <w:vAlign w:val="center"/>
                </w:tcPr>
                <w:p w14:paraId="1F24FECA">
                  <w:pPr>
                    <w:pStyle w:val="41"/>
                    <w:rPr>
                      <w:color w:val="auto"/>
                      <w:kern w:val="0"/>
                      <w:szCs w:val="18"/>
                      <w:highlight w:val="none"/>
                    </w:rPr>
                  </w:pPr>
                  <w:r>
                    <w:rPr>
                      <w:rFonts w:hint="eastAsia"/>
                      <w:color w:val="auto"/>
                      <w:kern w:val="0"/>
                      <w:szCs w:val="18"/>
                      <w:highlight w:val="none"/>
                    </w:rPr>
                    <w:t>三</w:t>
                  </w:r>
                </w:p>
              </w:tc>
              <w:tc>
                <w:tcPr>
                  <w:tcW w:w="1001" w:type="pct"/>
                  <w:shd w:val="pct20" w:color="auto" w:fill="auto"/>
                  <w:vAlign w:val="center"/>
                </w:tcPr>
                <w:p w14:paraId="694F5F86">
                  <w:pPr>
                    <w:pStyle w:val="41"/>
                    <w:rPr>
                      <w:color w:val="auto"/>
                      <w:kern w:val="0"/>
                      <w:szCs w:val="18"/>
                      <w:highlight w:val="none"/>
                    </w:rPr>
                  </w:pPr>
                  <w:r>
                    <w:rPr>
                      <w:rFonts w:hint="eastAsia"/>
                      <w:color w:val="auto"/>
                      <w:kern w:val="0"/>
                      <w:szCs w:val="18"/>
                      <w:highlight w:val="none"/>
                    </w:rPr>
                    <w:t>简单分析</w:t>
                  </w:r>
                </w:p>
              </w:tc>
            </w:tr>
          </w:tbl>
          <w:p w14:paraId="2EE8B25E">
            <w:pPr>
              <w:pStyle w:val="92"/>
              <w:ind w:firstLine="360"/>
              <w:rPr>
                <w:color w:val="auto"/>
                <w:kern w:val="0"/>
                <w:highlight w:val="none"/>
              </w:rPr>
            </w:pPr>
          </w:p>
          <w:p w14:paraId="0885ABF1">
            <w:pPr>
              <w:adjustRightInd w:val="0"/>
              <w:snapToGrid w:val="0"/>
              <w:ind w:firstLine="420"/>
              <w:rPr>
                <w:color w:val="auto"/>
                <w:highlight w:val="none"/>
              </w:rPr>
            </w:pPr>
            <w:r>
              <w:rPr>
                <w:rFonts w:hint="eastAsia"/>
                <w:color w:val="auto"/>
                <w:highlight w:val="none"/>
              </w:rPr>
              <w:t>本项目环境</w:t>
            </w:r>
            <w:r>
              <w:rPr>
                <w:color w:val="auto"/>
                <w:highlight w:val="none"/>
              </w:rPr>
              <w:t>风险潜</w:t>
            </w:r>
            <w:r>
              <w:rPr>
                <w:rFonts w:hint="eastAsia"/>
                <w:color w:val="auto"/>
                <w:highlight w:val="none"/>
              </w:rPr>
              <w:t>势</w:t>
            </w:r>
            <w:r>
              <w:rPr>
                <w:color w:val="auto"/>
                <w:highlight w:val="none"/>
              </w:rPr>
              <w:t>为</w:t>
            </w:r>
            <w:r>
              <w:rPr>
                <w:rFonts w:hint="eastAsia"/>
                <w:color w:val="auto"/>
                <w:highlight w:val="none"/>
              </w:rPr>
              <w:t>Ⅰ，按照《建设项目环境风险评价技术导则》（HJ 169-2018）附录A要求风险</w:t>
            </w:r>
            <w:r>
              <w:rPr>
                <w:color w:val="auto"/>
                <w:highlight w:val="none"/>
              </w:rPr>
              <w:t>评价</w:t>
            </w:r>
            <w:r>
              <w:rPr>
                <w:rFonts w:hint="eastAsia"/>
                <w:color w:val="auto"/>
                <w:highlight w:val="none"/>
              </w:rPr>
              <w:t>可开展简单分析。</w:t>
            </w:r>
          </w:p>
          <w:p w14:paraId="0B21EE4F">
            <w:pPr>
              <w:pStyle w:val="71"/>
              <w:numPr>
                <w:ilvl w:val="0"/>
                <w:numId w:val="40"/>
              </w:numPr>
              <w:spacing w:line="332" w:lineRule="auto"/>
              <w:ind w:firstLine="420" w:firstLineChars="200"/>
              <w:rPr>
                <w:color w:val="auto"/>
                <w:highlight w:val="none"/>
              </w:rPr>
            </w:pPr>
            <w:r>
              <w:rPr>
                <w:rFonts w:hint="eastAsia"/>
                <w:color w:val="auto"/>
                <w:highlight w:val="none"/>
              </w:rPr>
              <w:t>环境风险分析</w:t>
            </w:r>
          </w:p>
          <w:p w14:paraId="2FBFF131">
            <w:pPr>
              <w:pStyle w:val="73"/>
              <w:numPr>
                <w:ilvl w:val="0"/>
                <w:numId w:val="42"/>
              </w:numPr>
              <w:spacing w:line="332" w:lineRule="auto"/>
              <w:ind w:firstLine="420" w:firstLineChars="200"/>
              <w:rPr>
                <w:color w:val="auto"/>
                <w:highlight w:val="none"/>
              </w:rPr>
            </w:pPr>
            <w:r>
              <w:rPr>
                <w:rFonts w:hint="eastAsia"/>
                <w:color w:val="auto"/>
                <w:highlight w:val="none"/>
              </w:rPr>
              <w:t>对土壤的影响</w:t>
            </w:r>
          </w:p>
          <w:p w14:paraId="7194A9E2">
            <w:pPr>
              <w:adjustRightInd w:val="0"/>
              <w:snapToGrid w:val="0"/>
              <w:ind w:firstLine="420"/>
              <w:rPr>
                <w:color w:val="auto"/>
                <w:highlight w:val="none"/>
              </w:rPr>
            </w:pPr>
            <w:r>
              <w:rPr>
                <w:rFonts w:hint="eastAsia"/>
                <w:color w:val="auto"/>
                <w:highlight w:val="none"/>
              </w:rPr>
              <w:t>泄漏的柴油可使土壤透气性下降、土壤理化性质发生变化，使土壤透气性和呼吸作用减弱，影响土壤中的微生物生存，造成土壤盐碱化，破坏土壤结构，增加土壤中石油类污染物，造成土地肥力下降，影响土壤正常的结构和功能。泄漏的油品如果进入土壤，从而使土壤质地、结构发生改变，影响到土地功能，进而影响植被的生长，并可影响局部的生态环境。</w:t>
            </w:r>
          </w:p>
          <w:p w14:paraId="6F462F12">
            <w:pPr>
              <w:adjustRightInd w:val="0"/>
              <w:snapToGrid w:val="0"/>
              <w:ind w:firstLine="420"/>
              <w:rPr>
                <w:color w:val="auto"/>
                <w:highlight w:val="none"/>
              </w:rPr>
            </w:pPr>
            <w:r>
              <w:rPr>
                <w:rFonts w:hint="eastAsia"/>
                <w:color w:val="auto"/>
                <w:highlight w:val="none"/>
              </w:rPr>
              <w:t>柴油储罐铺设防渗膜，储罐发生泄漏后，及时清理，不能回收的柴油、污水以及受污染的土壤应集中收集后交由有相应处理资质的单位进行回收处置。发生事故后，及时采取相应的措施，不会对周围土壤环境产生明显影响。</w:t>
            </w:r>
          </w:p>
          <w:p w14:paraId="7288BBFF">
            <w:pPr>
              <w:pStyle w:val="73"/>
              <w:numPr>
                <w:ilvl w:val="0"/>
                <w:numId w:val="42"/>
              </w:numPr>
              <w:ind w:firstLine="420" w:firstLineChars="200"/>
              <w:rPr>
                <w:color w:val="auto"/>
                <w:highlight w:val="none"/>
              </w:rPr>
            </w:pPr>
            <w:r>
              <w:rPr>
                <w:rFonts w:hint="eastAsia"/>
                <w:color w:val="auto"/>
                <w:highlight w:val="none"/>
              </w:rPr>
              <w:t>对植被的影响</w:t>
            </w:r>
          </w:p>
          <w:p w14:paraId="02A12C96">
            <w:pPr>
              <w:adjustRightInd w:val="0"/>
              <w:snapToGrid w:val="0"/>
              <w:ind w:firstLine="420"/>
              <w:rPr>
                <w:color w:val="auto"/>
                <w:highlight w:val="none"/>
              </w:rPr>
            </w:pPr>
            <w:r>
              <w:rPr>
                <w:rFonts w:hint="eastAsia"/>
                <w:color w:val="auto"/>
                <w:highlight w:val="none"/>
              </w:rPr>
              <w:t>柴油泄漏对植被的影响主要分为三种途径，一是泄漏物直接粘附于植物上阻断植物的光合作用，使植物枯萎、死亡；二是柴油污染土壤造成的土壤理化性质变化间接影响植物生长，严重时会导致植物死亡；三是泄漏的柴油中的轻烃组分挥发，在对空气环境产生影响的同时，也对周围植物产生影响。发生事故后，及时采取相应的措施，不会对周围植被产生明显影响。</w:t>
            </w:r>
          </w:p>
          <w:p w14:paraId="7C382F36">
            <w:pPr>
              <w:pStyle w:val="73"/>
              <w:numPr>
                <w:ilvl w:val="0"/>
                <w:numId w:val="42"/>
              </w:numPr>
              <w:ind w:firstLine="420" w:firstLineChars="200"/>
              <w:rPr>
                <w:color w:val="auto"/>
                <w:highlight w:val="none"/>
              </w:rPr>
            </w:pPr>
            <w:r>
              <w:rPr>
                <w:rFonts w:hint="eastAsia"/>
                <w:color w:val="auto"/>
                <w:highlight w:val="none"/>
              </w:rPr>
              <w:t>对地下水环境的影响</w:t>
            </w:r>
          </w:p>
          <w:p w14:paraId="127817B8">
            <w:pPr>
              <w:adjustRightInd w:val="0"/>
              <w:snapToGrid w:val="0"/>
              <w:ind w:firstLine="420"/>
              <w:rPr>
                <w:color w:val="auto"/>
                <w:highlight w:val="none"/>
              </w:rPr>
            </w:pPr>
            <w:r>
              <w:rPr>
                <w:rFonts w:hint="eastAsia"/>
                <w:color w:val="auto"/>
                <w:highlight w:val="none"/>
              </w:rPr>
              <w:t>柴油储罐泄漏的油品下渗而可能导致地下水污染风险的发生。发生泄漏事故后，及时维修处理，即使有少量的污染物泄漏，也很难通过防渗层渗入包气带。储罐底部铺设防渗膜，采取钢制储罐，发生泄漏的概率极小，同时一旦发生泄漏会在较短时间内发现并采取堵漏措施，出现长期连续性泄漏的可能性很低，发生渗漏污染地下水的风险事故概率较低。</w:t>
            </w:r>
          </w:p>
          <w:p w14:paraId="2432A405">
            <w:pPr>
              <w:adjustRightInd w:val="0"/>
              <w:snapToGrid w:val="0"/>
              <w:ind w:firstLine="420"/>
              <w:rPr>
                <w:color w:val="auto"/>
                <w:highlight w:val="none"/>
              </w:rPr>
            </w:pPr>
            <w:r>
              <w:rPr>
                <w:rFonts w:hint="eastAsia"/>
                <w:color w:val="auto"/>
                <w:highlight w:val="none"/>
              </w:rPr>
              <w:t>钻井过程中主要环境风险是可能发生的井喷事故，做好风险防范工作，防止对周围环境、工作人员人身安全造成危害。本工程的环境风险防范措施及制定的预案切实可行、有效。在落实风险防范措施、应急预案后，其发生事故的概率较低，其环境危害也是较小的，环境风险水平是可接受的，工程建设可行。</w:t>
            </w:r>
          </w:p>
          <w:p w14:paraId="45CB13CE">
            <w:pPr>
              <w:pStyle w:val="71"/>
              <w:numPr>
                <w:ilvl w:val="0"/>
                <w:numId w:val="40"/>
              </w:numPr>
              <w:spacing w:line="332" w:lineRule="auto"/>
              <w:ind w:firstLine="420" w:firstLineChars="200"/>
              <w:rPr>
                <w:color w:val="auto"/>
                <w:highlight w:val="none"/>
              </w:rPr>
            </w:pPr>
            <w:r>
              <w:rPr>
                <w:rFonts w:hint="eastAsia"/>
                <w:color w:val="auto"/>
                <w:highlight w:val="none"/>
              </w:rPr>
              <w:t>建设项目环境风险简单分析内容表</w:t>
            </w:r>
          </w:p>
          <w:p w14:paraId="1AC3A453">
            <w:pPr>
              <w:pStyle w:val="13"/>
              <w:bidi w:val="0"/>
              <w:rPr>
                <w:color w:val="auto"/>
                <w:highlight w:val="none"/>
              </w:rPr>
            </w:pPr>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38</w:t>
            </w:r>
            <w:r>
              <w:rPr>
                <w:rFonts w:hint="eastAsia"/>
                <w:color w:val="auto"/>
                <w:highlight w:val="none"/>
              </w:rPr>
              <w:fldChar w:fldCharType="end"/>
            </w:r>
            <w:r>
              <w:rPr>
                <w:rFonts w:hint="eastAsia"/>
                <w:color w:val="auto"/>
                <w:highlight w:val="none"/>
              </w:rPr>
              <w:t xml:space="preserve">  环境风险简单分析内容表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160"/>
              <w:gridCol w:w="187"/>
              <w:gridCol w:w="973"/>
              <w:gridCol w:w="579"/>
              <w:gridCol w:w="582"/>
              <w:gridCol w:w="728"/>
              <w:gridCol w:w="432"/>
              <w:gridCol w:w="1160"/>
            </w:tblGrid>
            <w:tr w14:paraId="34D0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E83B980">
                  <w:pPr>
                    <w:pStyle w:val="41"/>
                    <w:rPr>
                      <w:color w:val="auto"/>
                      <w:szCs w:val="18"/>
                      <w:highlight w:val="none"/>
                    </w:rPr>
                  </w:pPr>
                  <w:r>
                    <w:rPr>
                      <w:rFonts w:hint="eastAsia"/>
                      <w:color w:val="auto"/>
                      <w:szCs w:val="18"/>
                      <w:highlight w:val="none"/>
                    </w:rPr>
                    <w:t>建设项目名称</w:t>
                  </w:r>
                </w:p>
              </w:tc>
              <w:tc>
                <w:tcPr>
                  <w:tcW w:w="3789" w:type="pct"/>
                  <w:gridSpan w:val="8"/>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E7049EC">
                  <w:pPr>
                    <w:pStyle w:val="41"/>
                    <w:rPr>
                      <w:color w:val="auto"/>
                      <w:szCs w:val="18"/>
                      <w:highlight w:val="none"/>
                    </w:rPr>
                  </w:pPr>
                  <w:r>
                    <w:rPr>
                      <w:rFonts w:hint="eastAsia" w:cs="宋体"/>
                      <w:color w:val="auto"/>
                      <w:szCs w:val="18"/>
                      <w:highlight w:val="none"/>
                    </w:rPr>
                    <w:t>董深斜2井</w:t>
                  </w:r>
                </w:p>
              </w:tc>
            </w:tr>
            <w:tr w14:paraId="75C2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E5C6EF7">
                  <w:pPr>
                    <w:pStyle w:val="41"/>
                    <w:rPr>
                      <w:color w:val="auto"/>
                      <w:szCs w:val="18"/>
                      <w:highlight w:val="none"/>
                    </w:rPr>
                  </w:pPr>
                  <w:r>
                    <w:rPr>
                      <w:rFonts w:hint="eastAsia"/>
                      <w:color w:val="auto"/>
                      <w:szCs w:val="18"/>
                      <w:highlight w:val="none"/>
                    </w:rPr>
                    <w:t>建设地点</w:t>
                  </w:r>
                </w:p>
              </w:tc>
              <w:tc>
                <w:tcPr>
                  <w:tcW w:w="75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B19C81B">
                  <w:pPr>
                    <w:pStyle w:val="41"/>
                    <w:rPr>
                      <w:color w:val="auto"/>
                      <w:szCs w:val="18"/>
                      <w:highlight w:val="none"/>
                    </w:rPr>
                  </w:pPr>
                  <w:r>
                    <w:rPr>
                      <w:rFonts w:hint="eastAsia"/>
                      <w:color w:val="auto"/>
                      <w:szCs w:val="18"/>
                      <w:highlight w:val="none"/>
                    </w:rPr>
                    <w:t>新疆维吾尔自治区</w:t>
                  </w:r>
                </w:p>
              </w:tc>
              <w:tc>
                <w:tcPr>
                  <w:tcW w:w="757" w:type="pct"/>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71E8D80">
                  <w:pPr>
                    <w:pStyle w:val="41"/>
                    <w:rPr>
                      <w:color w:val="auto"/>
                      <w:szCs w:val="18"/>
                      <w:highlight w:val="none"/>
                    </w:rPr>
                  </w:pPr>
                  <w:r>
                    <w:rPr>
                      <w:rFonts w:hint="eastAsia"/>
                      <w:color w:val="auto"/>
                      <w:szCs w:val="18"/>
                      <w:highlight w:val="none"/>
                    </w:rPr>
                    <w:t>昌吉回族自治州</w:t>
                  </w:r>
                </w:p>
              </w:tc>
              <w:tc>
                <w:tcPr>
                  <w:tcW w:w="758" w:type="pct"/>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A272B3D">
                  <w:pPr>
                    <w:pStyle w:val="41"/>
                    <w:rPr>
                      <w:color w:val="auto"/>
                      <w:szCs w:val="18"/>
                      <w:highlight w:val="none"/>
                    </w:rPr>
                  </w:pPr>
                  <w:r>
                    <w:rPr>
                      <w:rFonts w:hint="eastAsia"/>
                      <w:color w:val="auto"/>
                      <w:szCs w:val="18"/>
                      <w:highlight w:val="none"/>
                    </w:rPr>
                    <w:t>（/）区</w:t>
                  </w:r>
                </w:p>
              </w:tc>
              <w:tc>
                <w:tcPr>
                  <w:tcW w:w="757" w:type="pct"/>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BB27E6E">
                  <w:pPr>
                    <w:pStyle w:val="41"/>
                    <w:rPr>
                      <w:color w:val="auto"/>
                      <w:szCs w:val="18"/>
                      <w:highlight w:val="none"/>
                    </w:rPr>
                  </w:pPr>
                  <w:r>
                    <w:rPr>
                      <w:rFonts w:hint="eastAsia"/>
                      <w:color w:val="auto"/>
                      <w:szCs w:val="18"/>
                      <w:highlight w:val="none"/>
                    </w:rPr>
                    <w:t>阜康市</w:t>
                  </w:r>
                </w:p>
              </w:tc>
              <w:tc>
                <w:tcPr>
                  <w:tcW w:w="757"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9A90F70">
                  <w:pPr>
                    <w:pStyle w:val="41"/>
                    <w:rPr>
                      <w:color w:val="auto"/>
                      <w:szCs w:val="18"/>
                      <w:highlight w:val="none"/>
                    </w:rPr>
                  </w:pPr>
                  <w:r>
                    <w:rPr>
                      <w:rFonts w:hint="eastAsia"/>
                      <w:color w:val="auto"/>
                      <w:szCs w:val="18"/>
                      <w:highlight w:val="none"/>
                    </w:rPr>
                    <w:t>（/）园区</w:t>
                  </w:r>
                </w:p>
              </w:tc>
            </w:tr>
            <w:tr w14:paraId="6EC9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0B279DF">
                  <w:pPr>
                    <w:pStyle w:val="41"/>
                    <w:rPr>
                      <w:color w:val="auto"/>
                      <w:szCs w:val="18"/>
                      <w:highlight w:val="none"/>
                    </w:rPr>
                  </w:pPr>
                  <w:r>
                    <w:rPr>
                      <w:rFonts w:hint="eastAsia"/>
                      <w:color w:val="auto"/>
                      <w:szCs w:val="18"/>
                      <w:highlight w:val="none"/>
                    </w:rPr>
                    <w:t>地理坐标</w:t>
                  </w:r>
                </w:p>
              </w:tc>
              <w:tc>
                <w:tcPr>
                  <w:tcW w:w="879" w:type="pct"/>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49FA3D26">
                  <w:pPr>
                    <w:pStyle w:val="41"/>
                    <w:rPr>
                      <w:color w:val="auto"/>
                      <w:szCs w:val="18"/>
                      <w:highlight w:val="none"/>
                    </w:rPr>
                  </w:pPr>
                  <w:r>
                    <w:rPr>
                      <w:rFonts w:hint="eastAsia"/>
                      <w:color w:val="auto"/>
                      <w:szCs w:val="18"/>
                      <w:highlight w:val="none"/>
                    </w:rPr>
                    <w:t>经度</w:t>
                  </w:r>
                </w:p>
              </w:tc>
              <w:tc>
                <w:tcPr>
                  <w:tcW w:w="1013" w:type="pct"/>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008AC2E">
                  <w:pPr>
                    <w:pStyle w:val="3"/>
                    <w:keepNext w:val="0"/>
                    <w:keepLines w:val="0"/>
                    <w:pageBreakBefore w:val="0"/>
                    <w:widowControl w:val="0"/>
                    <w:kinsoku/>
                    <w:wordWrap w:val="0"/>
                    <w:overflowPunct/>
                    <w:topLinePunct w:val="0"/>
                    <w:autoSpaceDE/>
                    <w:autoSpaceDN/>
                    <w:bidi w:val="0"/>
                    <w:adjustRightInd w:val="0"/>
                    <w:snapToGrid w:val="0"/>
                    <w:spacing w:line="240" w:lineRule="auto"/>
                    <w:ind w:firstLine="0" w:firstLineChars="0"/>
                    <w:rPr>
                      <w:color w:val="auto"/>
                      <w:sz w:val="18"/>
                      <w:szCs w:val="18"/>
                      <w:highlight w:val="none"/>
                    </w:rPr>
                  </w:pPr>
                  <w:r>
                    <w:rPr>
                      <w:rFonts w:hint="eastAsia"/>
                      <w:color w:val="auto"/>
                      <w:sz w:val="18"/>
                      <w:szCs w:val="18"/>
                      <w:highlight w:val="none"/>
                    </w:rPr>
                    <w:t>88°02'34.546"</w:t>
                  </w:r>
                </w:p>
              </w:tc>
              <w:tc>
                <w:tcPr>
                  <w:tcW w:w="855" w:type="pct"/>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7C21E3B">
                  <w:pPr>
                    <w:pStyle w:val="41"/>
                    <w:keepNext w:val="0"/>
                    <w:keepLines w:val="0"/>
                    <w:pageBreakBefore w:val="0"/>
                    <w:widowControl w:val="0"/>
                    <w:kinsoku/>
                    <w:wordWrap w:val="0"/>
                    <w:overflowPunct/>
                    <w:topLinePunct w:val="0"/>
                    <w:autoSpaceDE/>
                    <w:autoSpaceDN/>
                    <w:bidi w:val="0"/>
                    <w:adjustRightInd w:val="0"/>
                    <w:snapToGrid w:val="0"/>
                    <w:rPr>
                      <w:color w:val="auto"/>
                      <w:szCs w:val="18"/>
                      <w:highlight w:val="none"/>
                    </w:rPr>
                  </w:pPr>
                  <w:r>
                    <w:rPr>
                      <w:rFonts w:hint="eastAsia"/>
                      <w:color w:val="auto"/>
                      <w:szCs w:val="18"/>
                      <w:highlight w:val="none"/>
                    </w:rPr>
                    <w:t>纬度</w:t>
                  </w:r>
                </w:p>
              </w:tc>
              <w:tc>
                <w:tcPr>
                  <w:tcW w:w="1039" w:type="pct"/>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D0E75C8">
                  <w:pPr>
                    <w:pStyle w:val="41"/>
                    <w:keepNext w:val="0"/>
                    <w:keepLines w:val="0"/>
                    <w:pageBreakBefore w:val="0"/>
                    <w:widowControl w:val="0"/>
                    <w:kinsoku/>
                    <w:wordWrap w:val="0"/>
                    <w:overflowPunct/>
                    <w:topLinePunct w:val="0"/>
                    <w:autoSpaceDE/>
                    <w:autoSpaceDN/>
                    <w:bidi w:val="0"/>
                    <w:adjustRightInd w:val="0"/>
                    <w:snapToGrid w:val="0"/>
                    <w:rPr>
                      <w:color w:val="auto"/>
                      <w:szCs w:val="18"/>
                      <w:highlight w:val="none"/>
                    </w:rPr>
                  </w:pPr>
                  <w:r>
                    <w:rPr>
                      <w:rFonts w:hint="eastAsia"/>
                      <w:color w:val="auto"/>
                      <w:szCs w:val="18"/>
                      <w:highlight w:val="none"/>
                    </w:rPr>
                    <w:t>44°25'49.899"</w:t>
                  </w:r>
                </w:p>
              </w:tc>
            </w:tr>
            <w:tr w14:paraId="2487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A3F1BB6">
                  <w:pPr>
                    <w:pStyle w:val="41"/>
                    <w:rPr>
                      <w:color w:val="auto"/>
                      <w:szCs w:val="18"/>
                      <w:highlight w:val="none"/>
                    </w:rPr>
                  </w:pPr>
                  <w:r>
                    <w:rPr>
                      <w:rFonts w:hint="eastAsia"/>
                      <w:color w:val="auto"/>
                      <w:szCs w:val="18"/>
                      <w:highlight w:val="none"/>
                    </w:rPr>
                    <w:t>主要危险物质</w:t>
                  </w:r>
                </w:p>
                <w:p w14:paraId="2216D57C">
                  <w:pPr>
                    <w:pStyle w:val="41"/>
                    <w:rPr>
                      <w:color w:val="auto"/>
                      <w:szCs w:val="18"/>
                      <w:highlight w:val="none"/>
                    </w:rPr>
                  </w:pPr>
                  <w:r>
                    <w:rPr>
                      <w:rFonts w:hint="eastAsia"/>
                      <w:color w:val="auto"/>
                      <w:szCs w:val="18"/>
                      <w:highlight w:val="none"/>
                    </w:rPr>
                    <w:t>及分布</w:t>
                  </w:r>
                </w:p>
              </w:tc>
              <w:tc>
                <w:tcPr>
                  <w:tcW w:w="3789" w:type="pct"/>
                  <w:gridSpan w:val="8"/>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108AAA5">
                  <w:pPr>
                    <w:pStyle w:val="41"/>
                    <w:jc w:val="both"/>
                    <w:rPr>
                      <w:color w:val="auto"/>
                      <w:szCs w:val="18"/>
                      <w:highlight w:val="none"/>
                    </w:rPr>
                  </w:pPr>
                  <w:r>
                    <w:rPr>
                      <w:rFonts w:hint="eastAsia"/>
                      <w:color w:val="auto"/>
                      <w:szCs w:val="18"/>
                      <w:highlight w:val="none"/>
                    </w:rPr>
                    <w:t>本项目所涉及危险物质主要是柴油、伴生气</w:t>
                  </w:r>
                  <w:r>
                    <w:rPr>
                      <w:rFonts w:hint="eastAsia"/>
                      <w:color w:val="auto"/>
                      <w:szCs w:val="18"/>
                      <w:highlight w:val="none"/>
                      <w:lang w:eastAsia="zh-CN"/>
                    </w:rPr>
                    <w:t>、</w:t>
                  </w:r>
                  <w:r>
                    <w:rPr>
                      <w:rFonts w:hint="eastAsia"/>
                      <w:color w:val="auto"/>
                      <w:szCs w:val="18"/>
                      <w:highlight w:val="none"/>
                      <w:lang w:val="en-US" w:eastAsia="zh-CN"/>
                    </w:rPr>
                    <w:t>采出水</w:t>
                  </w:r>
                  <w:r>
                    <w:rPr>
                      <w:rFonts w:hint="eastAsia"/>
                      <w:color w:val="auto"/>
                      <w:szCs w:val="18"/>
                      <w:highlight w:val="none"/>
                    </w:rPr>
                    <w:t>等油类物质，属于易燃液体。储存于储罐中。具有一定的潜在危险性。</w:t>
                  </w:r>
                </w:p>
              </w:tc>
            </w:tr>
            <w:tr w14:paraId="1E2D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9E3C971">
                  <w:pPr>
                    <w:pStyle w:val="41"/>
                    <w:rPr>
                      <w:color w:val="auto"/>
                      <w:szCs w:val="18"/>
                      <w:highlight w:val="none"/>
                    </w:rPr>
                  </w:pPr>
                  <w:r>
                    <w:rPr>
                      <w:rFonts w:hint="eastAsia"/>
                      <w:color w:val="auto"/>
                      <w:szCs w:val="18"/>
                      <w:highlight w:val="none"/>
                    </w:rPr>
                    <w:t>环境影响途径及危害后果（大气、地表水、地下水等）</w:t>
                  </w:r>
                </w:p>
              </w:tc>
              <w:tc>
                <w:tcPr>
                  <w:tcW w:w="3789" w:type="pct"/>
                  <w:gridSpan w:val="8"/>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2B3EE43">
                  <w:pPr>
                    <w:pStyle w:val="41"/>
                    <w:jc w:val="both"/>
                    <w:rPr>
                      <w:color w:val="auto"/>
                      <w:szCs w:val="18"/>
                      <w:highlight w:val="none"/>
                    </w:rPr>
                  </w:pPr>
                  <w:r>
                    <w:rPr>
                      <w:rFonts w:hint="eastAsia"/>
                      <w:color w:val="auto"/>
                      <w:szCs w:val="18"/>
                      <w:highlight w:val="none"/>
                    </w:rPr>
                    <w:t>（1）大气环境风险分析</w:t>
                  </w:r>
                </w:p>
                <w:p w14:paraId="3BC83DB5">
                  <w:pPr>
                    <w:pStyle w:val="41"/>
                    <w:jc w:val="both"/>
                    <w:rPr>
                      <w:color w:val="auto"/>
                      <w:szCs w:val="18"/>
                      <w:highlight w:val="none"/>
                    </w:rPr>
                  </w:pPr>
                  <w:r>
                    <w:rPr>
                      <w:rFonts w:hint="eastAsia"/>
                      <w:color w:val="auto"/>
                      <w:szCs w:val="18"/>
                      <w:highlight w:val="none"/>
                    </w:rPr>
                    <w:t>钻井期间发生井喷后，若不能及时采取措施制止，即发生井喷失控，致使大量原油从井口敞喷进入环境当中，原油在喷射过程中若遇明火则会引发火灾等危害极大的事故。原油喷射最大的可能是形成垂直喷射，初始喷射由于井筒内有泥浆液柱，因此喷出的原油中携带大量的泥浆和岩屑，将危害周围的道路、河流和植被等。原油及伴生气的喷射释放速率，将随着井筒内的泥浆液柱压力减少而增大，当井筒内的泥浆喷完后，达到最大喷射释放速度，遇明火就会引发火灾，对周围的环境及人群造成影响。</w:t>
                  </w:r>
                </w:p>
                <w:p w14:paraId="0BF41988">
                  <w:pPr>
                    <w:pStyle w:val="41"/>
                    <w:jc w:val="both"/>
                    <w:rPr>
                      <w:color w:val="auto"/>
                      <w:szCs w:val="18"/>
                      <w:highlight w:val="none"/>
                    </w:rPr>
                  </w:pPr>
                  <w:r>
                    <w:rPr>
                      <w:rFonts w:hint="eastAsia"/>
                      <w:color w:val="auto"/>
                      <w:szCs w:val="18"/>
                      <w:highlight w:val="none"/>
                    </w:rPr>
                    <w:t>（2）地下水环境分析</w:t>
                  </w:r>
                </w:p>
                <w:p w14:paraId="2E84228A">
                  <w:pPr>
                    <w:pStyle w:val="41"/>
                    <w:jc w:val="both"/>
                    <w:rPr>
                      <w:color w:val="auto"/>
                      <w:szCs w:val="18"/>
                      <w:highlight w:val="none"/>
                    </w:rPr>
                  </w:pPr>
                  <w:r>
                    <w:rPr>
                      <w:rFonts w:hint="eastAsia"/>
                      <w:color w:val="auto"/>
                      <w:szCs w:val="18"/>
                      <w:highlight w:val="none"/>
                    </w:rPr>
                    <w:t>发生井喷后，会有大量原油从井口敞喷进入环境当中，且初始喷射会携带大量的泥浆和岩屑落在周围地表。井喷事故发生后，散落于地表的原油和泥浆岩屑等污染物，会被及时收集，并转运处理。在钻井和试油等过程中，在井场周围均可能散落落地油，根据该项目工程设计，通过铺设防渗材料进行收集的方法，回收率可达到100%，因此对地下水环境的影响较小。</w:t>
                  </w:r>
                </w:p>
              </w:tc>
            </w:tr>
            <w:tr w14:paraId="4C81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pct"/>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12EC008">
                  <w:pPr>
                    <w:pStyle w:val="41"/>
                    <w:rPr>
                      <w:color w:val="auto"/>
                      <w:szCs w:val="18"/>
                      <w:highlight w:val="none"/>
                    </w:rPr>
                  </w:pPr>
                  <w:r>
                    <w:rPr>
                      <w:rFonts w:hint="eastAsia"/>
                      <w:color w:val="auto"/>
                      <w:szCs w:val="18"/>
                      <w:highlight w:val="none"/>
                    </w:rPr>
                    <w:t>风险防范措施要求</w:t>
                  </w:r>
                </w:p>
              </w:tc>
              <w:tc>
                <w:tcPr>
                  <w:tcW w:w="3789" w:type="pct"/>
                  <w:gridSpan w:val="8"/>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989E924">
                  <w:pPr>
                    <w:pStyle w:val="41"/>
                    <w:jc w:val="both"/>
                    <w:rPr>
                      <w:color w:val="auto"/>
                      <w:szCs w:val="18"/>
                      <w:highlight w:val="none"/>
                    </w:rPr>
                  </w:pPr>
                  <w:r>
                    <w:rPr>
                      <w:rFonts w:hint="eastAsia"/>
                      <w:color w:val="auto"/>
                      <w:szCs w:val="18"/>
                      <w:highlight w:val="none"/>
                    </w:rPr>
                    <w:t>（1）严格执行国家的环保标准规范及相关的法律法规。</w:t>
                  </w:r>
                </w:p>
                <w:p w14:paraId="1AC1FC0C">
                  <w:pPr>
                    <w:pStyle w:val="41"/>
                    <w:jc w:val="both"/>
                    <w:rPr>
                      <w:color w:val="auto"/>
                      <w:szCs w:val="18"/>
                      <w:highlight w:val="none"/>
                    </w:rPr>
                  </w:pPr>
                  <w:r>
                    <w:rPr>
                      <w:rFonts w:hint="eastAsia"/>
                      <w:color w:val="auto"/>
                      <w:szCs w:val="18"/>
                      <w:highlight w:val="none"/>
                    </w:rPr>
                    <w:t>（2）制定环保生产方针、政策、计划和各种规范，完善安全管理制度和安全操作规程，建立健全环境管理体系和监测体系，完善各种规章、制度和标准。</w:t>
                  </w:r>
                </w:p>
                <w:p w14:paraId="1EEF1667">
                  <w:pPr>
                    <w:pStyle w:val="41"/>
                    <w:jc w:val="both"/>
                    <w:rPr>
                      <w:color w:val="auto"/>
                      <w:szCs w:val="18"/>
                      <w:highlight w:val="none"/>
                    </w:rPr>
                  </w:pPr>
                  <w:r>
                    <w:rPr>
                      <w:rFonts w:hint="eastAsia"/>
                      <w:color w:val="auto"/>
                      <w:szCs w:val="18"/>
                      <w:highlight w:val="none"/>
                    </w:rPr>
                    <w:t>（3）对施工单位及人员定期进行环保、安全教育，增强职工的环保意识和安全意识。</w:t>
                  </w:r>
                </w:p>
                <w:p w14:paraId="553B302E">
                  <w:pPr>
                    <w:pStyle w:val="41"/>
                    <w:jc w:val="both"/>
                    <w:rPr>
                      <w:color w:val="auto"/>
                      <w:szCs w:val="18"/>
                      <w:highlight w:val="none"/>
                    </w:rPr>
                  </w:pPr>
                  <w:r>
                    <w:rPr>
                      <w:rFonts w:hint="eastAsia"/>
                      <w:color w:val="auto"/>
                      <w:szCs w:val="18"/>
                      <w:highlight w:val="none"/>
                    </w:rPr>
                    <w:t>（4）在施工、选材等环节严守质量关，加强技术工人的培训，提高操作水平。</w:t>
                  </w:r>
                </w:p>
                <w:p w14:paraId="5AB4287B">
                  <w:pPr>
                    <w:pStyle w:val="41"/>
                    <w:jc w:val="both"/>
                    <w:rPr>
                      <w:color w:val="auto"/>
                      <w:szCs w:val="18"/>
                      <w:highlight w:val="none"/>
                    </w:rPr>
                  </w:pPr>
                  <w:r>
                    <w:rPr>
                      <w:rFonts w:hint="eastAsia"/>
                      <w:color w:val="auto"/>
                      <w:szCs w:val="18"/>
                      <w:highlight w:val="none"/>
                    </w:rPr>
                    <w:t>（5）研究各种事故，总结经验，充分吸取教训，并注意在技术措施上的改进和防范，尽可能减少人为的繁琐操作过程。</w:t>
                  </w:r>
                </w:p>
              </w:tc>
            </w:tr>
            <w:tr w14:paraId="6364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9"/>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B96B170">
                  <w:pPr>
                    <w:pStyle w:val="41"/>
                    <w:jc w:val="both"/>
                    <w:rPr>
                      <w:color w:val="auto"/>
                      <w:szCs w:val="18"/>
                      <w:highlight w:val="none"/>
                    </w:rPr>
                  </w:pPr>
                  <w:r>
                    <w:rPr>
                      <w:rFonts w:hint="eastAsia"/>
                      <w:color w:val="auto"/>
                      <w:szCs w:val="18"/>
                      <w:highlight w:val="none"/>
                    </w:rPr>
                    <w:t>填表说明：</w:t>
                  </w:r>
                </w:p>
                <w:p w14:paraId="4F21EBEE">
                  <w:pPr>
                    <w:pStyle w:val="41"/>
                    <w:jc w:val="both"/>
                    <w:rPr>
                      <w:color w:val="auto"/>
                      <w:szCs w:val="18"/>
                      <w:highlight w:val="none"/>
                    </w:rPr>
                  </w:pPr>
                  <w:r>
                    <w:rPr>
                      <w:rFonts w:hint="eastAsia"/>
                      <w:color w:val="auto"/>
                      <w:szCs w:val="18"/>
                      <w:highlight w:val="none"/>
                    </w:rPr>
                    <w:t>本项目涉及危险物质的量极小，Q</w:t>
                  </w:r>
                  <w:r>
                    <w:rPr>
                      <w:rFonts w:hint="eastAsia"/>
                      <w:color w:val="auto"/>
                      <w:szCs w:val="18"/>
                      <w:highlight w:val="none"/>
                      <w:vertAlign w:val="subscript"/>
                    </w:rPr>
                    <w:t>max</w:t>
                  </w:r>
                  <w:r>
                    <w:rPr>
                      <w:rFonts w:hint="eastAsia"/>
                      <w:color w:val="auto"/>
                      <w:szCs w:val="18"/>
                      <w:highlight w:val="none"/>
                    </w:rPr>
                    <w:t>＜1环境风险潜势判定为Ⅰ，风险评价开展简单分析。</w:t>
                  </w:r>
                </w:p>
              </w:tc>
            </w:tr>
          </w:tbl>
          <w:p w14:paraId="30D56E1F">
            <w:pPr>
              <w:pStyle w:val="3"/>
              <w:ind w:firstLine="0" w:firstLineChars="0"/>
              <w:rPr>
                <w:color w:val="auto"/>
                <w:sz w:val="21"/>
                <w:highlight w:val="none"/>
              </w:rPr>
            </w:pPr>
          </w:p>
        </w:tc>
      </w:tr>
      <w:tr w14:paraId="691F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tcMar>
              <w:top w:w="113" w:type="dxa"/>
              <w:bottom w:w="113" w:type="dxa"/>
            </w:tcMar>
            <w:vAlign w:val="center"/>
          </w:tcPr>
          <w:p w14:paraId="009FCB34">
            <w:pPr>
              <w:pStyle w:val="3"/>
              <w:spacing w:line="240" w:lineRule="auto"/>
              <w:ind w:firstLine="0" w:firstLineChars="0"/>
              <w:jc w:val="center"/>
              <w:rPr>
                <w:color w:val="auto"/>
                <w:sz w:val="21"/>
                <w:highlight w:val="none"/>
              </w:rPr>
            </w:pPr>
            <w:r>
              <w:rPr>
                <w:rFonts w:hint="eastAsia"/>
                <w:color w:val="auto"/>
                <w:sz w:val="21"/>
                <w:highlight w:val="none"/>
              </w:rPr>
              <w:t>运</w:t>
            </w:r>
          </w:p>
          <w:p w14:paraId="0D434D7B">
            <w:pPr>
              <w:pStyle w:val="3"/>
              <w:spacing w:line="240" w:lineRule="auto"/>
              <w:ind w:firstLine="0" w:firstLineChars="0"/>
              <w:jc w:val="center"/>
              <w:rPr>
                <w:color w:val="auto"/>
                <w:sz w:val="21"/>
                <w:highlight w:val="none"/>
              </w:rPr>
            </w:pPr>
            <w:r>
              <w:rPr>
                <w:rFonts w:hint="eastAsia"/>
                <w:color w:val="auto"/>
                <w:sz w:val="21"/>
                <w:highlight w:val="none"/>
              </w:rPr>
              <w:t>营</w:t>
            </w:r>
          </w:p>
          <w:p w14:paraId="6A001504">
            <w:pPr>
              <w:pStyle w:val="3"/>
              <w:spacing w:line="240" w:lineRule="auto"/>
              <w:ind w:firstLine="0" w:firstLineChars="0"/>
              <w:jc w:val="center"/>
              <w:rPr>
                <w:color w:val="auto"/>
                <w:sz w:val="21"/>
                <w:highlight w:val="none"/>
              </w:rPr>
            </w:pPr>
            <w:r>
              <w:rPr>
                <w:rFonts w:hint="eastAsia"/>
                <w:color w:val="auto"/>
                <w:sz w:val="21"/>
                <w:highlight w:val="none"/>
              </w:rPr>
              <w:t>期</w:t>
            </w:r>
          </w:p>
          <w:p w14:paraId="20331BAD">
            <w:pPr>
              <w:pStyle w:val="3"/>
              <w:spacing w:line="240" w:lineRule="auto"/>
              <w:ind w:firstLine="0" w:firstLineChars="0"/>
              <w:jc w:val="center"/>
              <w:rPr>
                <w:color w:val="auto"/>
                <w:sz w:val="21"/>
                <w:highlight w:val="none"/>
              </w:rPr>
            </w:pPr>
            <w:r>
              <w:rPr>
                <w:rFonts w:hint="eastAsia"/>
                <w:color w:val="auto"/>
                <w:sz w:val="21"/>
                <w:highlight w:val="none"/>
              </w:rPr>
              <w:t>生</w:t>
            </w:r>
          </w:p>
          <w:p w14:paraId="63B97624">
            <w:pPr>
              <w:pStyle w:val="3"/>
              <w:spacing w:line="240" w:lineRule="auto"/>
              <w:ind w:firstLine="0" w:firstLineChars="0"/>
              <w:jc w:val="center"/>
              <w:rPr>
                <w:color w:val="auto"/>
                <w:sz w:val="21"/>
                <w:highlight w:val="none"/>
              </w:rPr>
            </w:pPr>
            <w:r>
              <w:rPr>
                <w:rFonts w:hint="eastAsia"/>
                <w:color w:val="auto"/>
                <w:sz w:val="21"/>
                <w:highlight w:val="none"/>
              </w:rPr>
              <w:t>态</w:t>
            </w:r>
          </w:p>
          <w:p w14:paraId="5CF6290E">
            <w:pPr>
              <w:pStyle w:val="3"/>
              <w:spacing w:line="240" w:lineRule="auto"/>
              <w:ind w:firstLine="0" w:firstLineChars="0"/>
              <w:jc w:val="center"/>
              <w:rPr>
                <w:color w:val="auto"/>
                <w:sz w:val="21"/>
                <w:highlight w:val="none"/>
              </w:rPr>
            </w:pPr>
            <w:r>
              <w:rPr>
                <w:rFonts w:hint="eastAsia"/>
                <w:color w:val="auto"/>
                <w:sz w:val="21"/>
                <w:highlight w:val="none"/>
              </w:rPr>
              <w:t>环</w:t>
            </w:r>
          </w:p>
          <w:p w14:paraId="6A91E017">
            <w:pPr>
              <w:pStyle w:val="3"/>
              <w:spacing w:line="240" w:lineRule="auto"/>
              <w:ind w:firstLine="0" w:firstLineChars="0"/>
              <w:jc w:val="center"/>
              <w:rPr>
                <w:color w:val="auto"/>
                <w:sz w:val="21"/>
                <w:highlight w:val="none"/>
              </w:rPr>
            </w:pPr>
            <w:r>
              <w:rPr>
                <w:rFonts w:hint="eastAsia"/>
                <w:color w:val="auto"/>
                <w:sz w:val="21"/>
                <w:highlight w:val="none"/>
              </w:rPr>
              <w:t>境</w:t>
            </w:r>
          </w:p>
          <w:p w14:paraId="794EC2AB">
            <w:pPr>
              <w:pStyle w:val="3"/>
              <w:spacing w:line="240" w:lineRule="auto"/>
              <w:ind w:firstLine="0" w:firstLineChars="0"/>
              <w:jc w:val="center"/>
              <w:rPr>
                <w:color w:val="auto"/>
                <w:sz w:val="21"/>
                <w:highlight w:val="none"/>
              </w:rPr>
            </w:pPr>
            <w:r>
              <w:rPr>
                <w:rFonts w:hint="eastAsia"/>
                <w:color w:val="auto"/>
                <w:sz w:val="21"/>
                <w:highlight w:val="none"/>
              </w:rPr>
              <w:t>影</w:t>
            </w:r>
          </w:p>
          <w:p w14:paraId="5D8F2509">
            <w:pPr>
              <w:pStyle w:val="3"/>
              <w:spacing w:line="240" w:lineRule="auto"/>
              <w:ind w:firstLine="0" w:firstLineChars="0"/>
              <w:jc w:val="center"/>
              <w:rPr>
                <w:color w:val="auto"/>
                <w:sz w:val="21"/>
                <w:highlight w:val="none"/>
              </w:rPr>
            </w:pPr>
            <w:r>
              <w:rPr>
                <w:rFonts w:hint="eastAsia"/>
                <w:color w:val="auto"/>
                <w:sz w:val="21"/>
                <w:highlight w:val="none"/>
              </w:rPr>
              <w:t>响</w:t>
            </w:r>
          </w:p>
          <w:p w14:paraId="578CC17B">
            <w:pPr>
              <w:pStyle w:val="3"/>
              <w:spacing w:line="240" w:lineRule="auto"/>
              <w:ind w:firstLine="0" w:firstLineChars="0"/>
              <w:jc w:val="center"/>
              <w:rPr>
                <w:color w:val="auto"/>
                <w:sz w:val="21"/>
                <w:highlight w:val="none"/>
              </w:rPr>
            </w:pPr>
            <w:r>
              <w:rPr>
                <w:rFonts w:hint="eastAsia"/>
                <w:color w:val="auto"/>
                <w:sz w:val="21"/>
                <w:highlight w:val="none"/>
              </w:rPr>
              <w:t>分</w:t>
            </w:r>
          </w:p>
          <w:p w14:paraId="4DE76526">
            <w:pPr>
              <w:pStyle w:val="3"/>
              <w:spacing w:line="240" w:lineRule="auto"/>
              <w:ind w:firstLine="0" w:firstLineChars="0"/>
              <w:jc w:val="center"/>
              <w:rPr>
                <w:color w:val="auto"/>
                <w:sz w:val="21"/>
                <w:highlight w:val="none"/>
              </w:rPr>
            </w:pPr>
            <w:r>
              <w:rPr>
                <w:rFonts w:hint="eastAsia"/>
                <w:color w:val="auto"/>
                <w:sz w:val="21"/>
                <w:highlight w:val="none"/>
              </w:rPr>
              <w:t>析</w:t>
            </w:r>
          </w:p>
        </w:tc>
        <w:tc>
          <w:tcPr>
            <w:tcW w:w="7881" w:type="dxa"/>
            <w:tcMar>
              <w:top w:w="170" w:type="dxa"/>
              <w:left w:w="108" w:type="dxa"/>
              <w:bottom w:w="113" w:type="dxa"/>
              <w:right w:w="108" w:type="dxa"/>
            </w:tcMar>
            <w:vAlign w:val="center"/>
          </w:tcPr>
          <w:p w14:paraId="43C50DDF">
            <w:pPr>
              <w:adjustRightInd w:val="0"/>
              <w:snapToGrid w:val="0"/>
              <w:ind w:firstLine="420"/>
              <w:rPr>
                <w:rFonts w:hint="eastAsia"/>
                <w:color w:val="auto"/>
                <w:highlight w:val="none"/>
                <w:lang w:eastAsia="zh-CN"/>
              </w:rPr>
            </w:pPr>
            <w:r>
              <w:rPr>
                <w:rFonts w:hint="eastAsia"/>
                <w:color w:val="auto"/>
                <w:highlight w:val="none"/>
              </w:rPr>
              <w:t>本项目为勘探井，不涉及油气生产开采等工程，只分析施工期和封井期，不涉及运营期。本次勘探井若转为生产井，运营期环境影响应在确定开采规模后，在产能建设项目环境影响评价中进行分析</w:t>
            </w:r>
            <w:r>
              <w:rPr>
                <w:rFonts w:hint="eastAsia"/>
                <w:color w:val="auto"/>
                <w:highlight w:val="none"/>
                <w:lang w:eastAsia="zh-CN"/>
              </w:rPr>
              <w:t>。若不具备转产条件，则应根据</w:t>
            </w:r>
            <w:r>
              <w:rPr>
                <w:rFonts w:hint="eastAsia"/>
                <w:color w:val="auto"/>
                <w:szCs w:val="18"/>
                <w:highlight w:val="none"/>
                <w:lang w:eastAsia="zh-CN"/>
              </w:rPr>
              <w:t>《油气田开采废弃井永久性封井处置作业规程》（GB/T 43672-2024）、</w:t>
            </w:r>
            <w:r>
              <w:rPr>
                <w:rFonts w:hint="eastAsia"/>
                <w:color w:val="auto"/>
                <w:highlight w:val="none"/>
                <w:lang w:eastAsia="zh-CN"/>
              </w:rPr>
              <w:t>《废弃井封井回填技术指南（试行）》、《矿山生态环境保护与恢复治理技术规范（试行）》（HJ651-2013）的相关要求对新钻井进行封堵，并拆除相关设施，确保无土壤及地下水环境污染遗留问题、废弃物均得到妥善处置，制定生态恢复方案，做好生态保护措施。</w:t>
            </w:r>
          </w:p>
          <w:p w14:paraId="2A17021E">
            <w:pPr>
              <w:adjustRightInd w:val="0"/>
              <w:snapToGrid w:val="0"/>
              <w:ind w:firstLine="420"/>
              <w:rPr>
                <w:color w:val="auto"/>
                <w:highlight w:val="none"/>
              </w:rPr>
            </w:pPr>
            <w:r>
              <w:rPr>
                <w:rFonts w:hint="eastAsia"/>
                <w:color w:val="auto"/>
                <w:highlight w:val="none"/>
              </w:rPr>
              <w:t>1、封井期生态环境影响分析</w:t>
            </w:r>
          </w:p>
          <w:p w14:paraId="4FB8F6B7">
            <w:pPr>
              <w:adjustRightInd w:val="0"/>
              <w:snapToGrid w:val="0"/>
              <w:ind w:firstLine="420"/>
              <w:rPr>
                <w:color w:val="auto"/>
                <w:highlight w:val="none"/>
              </w:rPr>
            </w:pPr>
            <w:r>
              <w:rPr>
                <w:rFonts w:hint="eastAsia"/>
                <w:color w:val="auto"/>
                <w:highlight w:val="none"/>
              </w:rPr>
              <w:t>封井期，将进行一系列清理工作，包括地面设施拆除、封井、井场清理等，将会产生少量扬尘和固体废物。因此，封井施工操作中应注意采取降尘措施，同时，设备拆除后可再利用的用作下个井场施工，废弃的设备及井场清理产生的废弃残渣集中清理收集后外运，交由市政部门统一处理，防止封井期对周围环境造成新的影响。</w:t>
            </w:r>
          </w:p>
          <w:p w14:paraId="05DD9EB4">
            <w:pPr>
              <w:adjustRightInd w:val="0"/>
              <w:snapToGrid w:val="0"/>
              <w:ind w:firstLine="420"/>
              <w:rPr>
                <w:color w:val="auto"/>
                <w:highlight w:val="none"/>
              </w:rPr>
            </w:pPr>
            <w:bookmarkStart w:id="68" w:name="_Toc56429036"/>
            <w:r>
              <w:rPr>
                <w:rFonts w:hint="eastAsia"/>
                <w:color w:val="auto"/>
                <w:highlight w:val="none"/>
              </w:rPr>
              <w:t>2、封井期环境空气影响分析</w:t>
            </w:r>
            <w:bookmarkEnd w:id="68"/>
          </w:p>
          <w:p w14:paraId="221E192A">
            <w:pPr>
              <w:adjustRightInd w:val="0"/>
              <w:snapToGrid w:val="0"/>
              <w:ind w:firstLine="420"/>
              <w:rPr>
                <w:color w:val="auto"/>
                <w:highlight w:val="none"/>
              </w:rPr>
            </w:pPr>
            <w:r>
              <w:rPr>
                <w:rFonts w:hint="eastAsia"/>
                <w:color w:val="auto"/>
                <w:highlight w:val="none"/>
              </w:rPr>
              <w:t>封井期井场设备的拆除、井口封堵、井场清理等过程会产生少量的施工扬尘和施工机械废气（主要污染物为SO</w:t>
            </w:r>
            <w:r>
              <w:rPr>
                <w:rFonts w:hint="eastAsia"/>
                <w:color w:val="auto"/>
                <w:highlight w:val="none"/>
                <w:vertAlign w:val="subscript"/>
              </w:rPr>
              <w:t>2</w:t>
            </w:r>
            <w:r>
              <w:rPr>
                <w:rFonts w:hint="eastAsia"/>
                <w:color w:val="auto"/>
                <w:highlight w:val="none"/>
              </w:rPr>
              <w:t>、NO</w:t>
            </w:r>
            <w:r>
              <w:rPr>
                <w:rFonts w:hint="eastAsia"/>
                <w:color w:val="auto"/>
                <w:highlight w:val="none"/>
                <w:vertAlign w:val="subscript"/>
              </w:rPr>
              <w:t>2</w:t>
            </w:r>
            <w:r>
              <w:rPr>
                <w:rFonts w:hint="eastAsia"/>
                <w:color w:val="auto"/>
                <w:highlight w:val="none"/>
              </w:rPr>
              <w:t>、C</w:t>
            </w:r>
            <w:r>
              <w:rPr>
                <w:rFonts w:hint="eastAsia"/>
                <w:color w:val="auto"/>
                <w:highlight w:val="none"/>
                <w:vertAlign w:val="subscript"/>
              </w:rPr>
              <w:t>m</w:t>
            </w:r>
            <w:r>
              <w:rPr>
                <w:rFonts w:hint="eastAsia"/>
                <w:color w:val="auto"/>
                <w:highlight w:val="none"/>
              </w:rPr>
              <w:t>H</w:t>
            </w:r>
            <w:r>
              <w:rPr>
                <w:rFonts w:hint="eastAsia"/>
                <w:color w:val="auto"/>
                <w:highlight w:val="none"/>
                <w:vertAlign w:val="subscript"/>
              </w:rPr>
              <w:t>n</w:t>
            </w:r>
            <w:r>
              <w:rPr>
                <w:rFonts w:hint="eastAsia"/>
                <w:color w:val="auto"/>
                <w:highlight w:val="none"/>
              </w:rPr>
              <w:t>等）。由于废气量较小，且施工现场均在野外，有利于废气扩散，同时废气污染源具有间歇性和流动性，因此对局部地区的环境影响较轻。</w:t>
            </w:r>
          </w:p>
          <w:p w14:paraId="77B81574">
            <w:pPr>
              <w:adjustRightInd w:val="0"/>
              <w:snapToGrid w:val="0"/>
              <w:ind w:firstLine="420"/>
              <w:rPr>
                <w:color w:val="auto"/>
                <w:highlight w:val="none"/>
              </w:rPr>
            </w:pPr>
            <w:bookmarkStart w:id="69" w:name="_Toc56429037"/>
            <w:r>
              <w:rPr>
                <w:rFonts w:hint="eastAsia"/>
                <w:color w:val="auto"/>
                <w:highlight w:val="none"/>
              </w:rPr>
              <w:t>3、封井期声环境影响分析</w:t>
            </w:r>
            <w:bookmarkEnd w:id="69"/>
          </w:p>
          <w:p w14:paraId="6C1C01FE">
            <w:pPr>
              <w:adjustRightInd w:val="0"/>
              <w:snapToGrid w:val="0"/>
              <w:ind w:firstLine="420"/>
              <w:rPr>
                <w:color w:val="auto"/>
                <w:highlight w:val="none"/>
              </w:rPr>
            </w:pPr>
            <w:r>
              <w:rPr>
                <w:rFonts w:hint="eastAsia"/>
                <w:color w:val="auto"/>
                <w:highlight w:val="none"/>
              </w:rPr>
              <w:t>进入封井期时，噪声源主要源自井场拆卸设备，影响范围在声源周围200m范围内，且封井期噪声的影响随着封井完毕会消失，影响只是短暂的。</w:t>
            </w:r>
          </w:p>
          <w:p w14:paraId="09855B0C">
            <w:pPr>
              <w:adjustRightInd w:val="0"/>
              <w:snapToGrid w:val="0"/>
              <w:ind w:firstLine="420"/>
              <w:rPr>
                <w:color w:val="auto"/>
                <w:highlight w:val="none"/>
              </w:rPr>
            </w:pPr>
            <w:bookmarkStart w:id="70" w:name="_Toc56429038"/>
            <w:r>
              <w:rPr>
                <w:rFonts w:hint="eastAsia"/>
                <w:color w:val="auto"/>
                <w:highlight w:val="none"/>
              </w:rPr>
              <w:t>4、封井期固体废物环境影响分析</w:t>
            </w:r>
            <w:bookmarkEnd w:id="70"/>
          </w:p>
          <w:p w14:paraId="0EA727ED">
            <w:pPr>
              <w:adjustRightInd w:val="0"/>
              <w:snapToGrid w:val="0"/>
              <w:ind w:firstLine="420"/>
              <w:rPr>
                <w:color w:val="auto"/>
                <w:highlight w:val="none"/>
              </w:rPr>
            </w:pPr>
            <w:r>
              <w:rPr>
                <w:rFonts w:hint="eastAsia"/>
                <w:color w:val="auto"/>
                <w:highlight w:val="none"/>
              </w:rPr>
              <w:t>封井期主要进行地面设施拆除、井场清理等工作。设备拆除后可再利用的用作下个井场施工，井场清理产生的废弃残渣集中清理收集后外运，交由市政部门统一处理，防止封井期对周围环境造成新的影响。</w:t>
            </w:r>
          </w:p>
          <w:p w14:paraId="6CE642FD">
            <w:pPr>
              <w:adjustRightInd w:val="0"/>
              <w:snapToGrid w:val="0"/>
              <w:ind w:firstLine="420"/>
              <w:rPr>
                <w:color w:val="auto"/>
                <w:highlight w:val="none"/>
              </w:rPr>
            </w:pPr>
            <w:r>
              <w:rPr>
                <w:rFonts w:hint="eastAsia"/>
                <w:color w:val="auto"/>
                <w:highlight w:val="none"/>
              </w:rPr>
              <w:t>5、封井期生态环境影响分析</w:t>
            </w:r>
          </w:p>
          <w:p w14:paraId="50C7BAC5">
            <w:pPr>
              <w:adjustRightInd w:val="0"/>
              <w:snapToGrid w:val="0"/>
              <w:ind w:firstLine="420"/>
              <w:rPr>
                <w:color w:val="auto"/>
                <w:highlight w:val="none"/>
              </w:rPr>
            </w:pPr>
            <w:r>
              <w:rPr>
                <w:rFonts w:hint="eastAsia"/>
                <w:color w:val="auto"/>
                <w:highlight w:val="none"/>
              </w:rPr>
              <w:t>根据《土地复垦条例》（国务院令[2011]第592号），编制土地利用复垦方案，对井场临时占地进行土地复垦，土地复垦应当坚持科学规划、因地制宜、综合治理、经济可行、合理利用的原则，应因地制宜地建立植被与恢复体系，同时遵循破坏土地与周边现状保持一致的原则。</w:t>
            </w:r>
          </w:p>
          <w:p w14:paraId="7B40C3CB">
            <w:pPr>
              <w:adjustRightInd w:val="0"/>
              <w:snapToGrid w:val="0"/>
              <w:ind w:firstLine="420"/>
              <w:rPr>
                <w:color w:val="auto"/>
                <w:highlight w:val="none"/>
              </w:rPr>
            </w:pPr>
            <w:r>
              <w:rPr>
                <w:rFonts w:hint="eastAsia"/>
                <w:color w:val="auto"/>
                <w:highlight w:val="none"/>
              </w:rPr>
              <w:t>封井完成后，对钻井时产生的各种废弃物进行彻底清理，做到“工完、料尽、场地清”。将施工队伍使用的活动钢木基础、其他设备和活动营房拉走。将本项目建设的防渗放喷池等进行掩埋；及时对施工场地进行平整，尽量利用井场及临时道路施工时产生的表层土对临时占地进行覆盖，覆盖厚度根据植被恢复类型和场地用途决定；临时占地按照原有植被类型恢复地貌，临时占地内植被在未来3年～5年时间内通过自然降水及温度等因素得以恢复。</w:t>
            </w:r>
          </w:p>
        </w:tc>
      </w:tr>
      <w:tr w14:paraId="10B2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421" w:type="dxa"/>
            <w:tcMar>
              <w:top w:w="113" w:type="dxa"/>
              <w:bottom w:w="113" w:type="dxa"/>
            </w:tcMar>
            <w:vAlign w:val="center"/>
          </w:tcPr>
          <w:p w14:paraId="67F17AC8">
            <w:pPr>
              <w:pStyle w:val="3"/>
              <w:spacing w:line="240" w:lineRule="auto"/>
              <w:ind w:firstLine="0" w:firstLineChars="0"/>
              <w:jc w:val="center"/>
              <w:rPr>
                <w:color w:val="auto"/>
                <w:sz w:val="21"/>
                <w:highlight w:val="none"/>
              </w:rPr>
            </w:pPr>
            <w:r>
              <w:rPr>
                <w:rFonts w:hint="eastAsia"/>
                <w:color w:val="auto"/>
                <w:sz w:val="21"/>
                <w:highlight w:val="none"/>
              </w:rPr>
              <w:t>选</w:t>
            </w:r>
          </w:p>
          <w:p w14:paraId="360030B6">
            <w:pPr>
              <w:pStyle w:val="3"/>
              <w:spacing w:line="240" w:lineRule="auto"/>
              <w:ind w:firstLine="0" w:firstLineChars="0"/>
              <w:jc w:val="center"/>
              <w:rPr>
                <w:color w:val="auto"/>
                <w:sz w:val="21"/>
                <w:highlight w:val="none"/>
              </w:rPr>
            </w:pPr>
            <w:r>
              <w:rPr>
                <w:rFonts w:hint="eastAsia"/>
                <w:color w:val="auto"/>
                <w:sz w:val="21"/>
                <w:highlight w:val="none"/>
              </w:rPr>
              <w:t>址</w:t>
            </w:r>
          </w:p>
          <w:p w14:paraId="405978BB">
            <w:pPr>
              <w:pStyle w:val="3"/>
              <w:spacing w:line="240" w:lineRule="auto"/>
              <w:ind w:firstLine="0" w:firstLineChars="0"/>
              <w:jc w:val="center"/>
              <w:rPr>
                <w:color w:val="auto"/>
                <w:sz w:val="21"/>
                <w:highlight w:val="none"/>
              </w:rPr>
            </w:pPr>
            <w:r>
              <w:rPr>
                <w:rFonts w:hint="eastAsia"/>
                <w:color w:val="auto"/>
                <w:sz w:val="21"/>
                <w:highlight w:val="none"/>
              </w:rPr>
              <w:t>选</w:t>
            </w:r>
          </w:p>
          <w:p w14:paraId="437963C4">
            <w:pPr>
              <w:pStyle w:val="3"/>
              <w:spacing w:line="240" w:lineRule="auto"/>
              <w:ind w:firstLine="0" w:firstLineChars="0"/>
              <w:jc w:val="center"/>
              <w:rPr>
                <w:color w:val="auto"/>
                <w:sz w:val="21"/>
                <w:highlight w:val="none"/>
              </w:rPr>
            </w:pPr>
            <w:r>
              <w:rPr>
                <w:rFonts w:hint="eastAsia"/>
                <w:color w:val="auto"/>
                <w:sz w:val="21"/>
                <w:highlight w:val="none"/>
              </w:rPr>
              <w:t>线</w:t>
            </w:r>
          </w:p>
          <w:p w14:paraId="22F53B22">
            <w:pPr>
              <w:pStyle w:val="3"/>
              <w:spacing w:line="240" w:lineRule="auto"/>
              <w:ind w:firstLine="0" w:firstLineChars="0"/>
              <w:jc w:val="center"/>
              <w:rPr>
                <w:color w:val="auto"/>
                <w:sz w:val="21"/>
                <w:highlight w:val="none"/>
              </w:rPr>
            </w:pPr>
            <w:r>
              <w:rPr>
                <w:rFonts w:hint="eastAsia"/>
                <w:color w:val="auto"/>
                <w:sz w:val="21"/>
                <w:highlight w:val="none"/>
              </w:rPr>
              <w:t>环</w:t>
            </w:r>
          </w:p>
          <w:p w14:paraId="34EA5487">
            <w:pPr>
              <w:pStyle w:val="3"/>
              <w:spacing w:line="240" w:lineRule="auto"/>
              <w:ind w:firstLine="0" w:firstLineChars="0"/>
              <w:jc w:val="center"/>
              <w:rPr>
                <w:color w:val="auto"/>
                <w:sz w:val="21"/>
                <w:highlight w:val="none"/>
              </w:rPr>
            </w:pPr>
            <w:r>
              <w:rPr>
                <w:rFonts w:hint="eastAsia"/>
                <w:color w:val="auto"/>
                <w:sz w:val="21"/>
                <w:highlight w:val="none"/>
              </w:rPr>
              <w:t>境</w:t>
            </w:r>
          </w:p>
          <w:p w14:paraId="1CB99C55">
            <w:pPr>
              <w:pStyle w:val="3"/>
              <w:spacing w:line="240" w:lineRule="auto"/>
              <w:ind w:firstLine="0" w:firstLineChars="0"/>
              <w:jc w:val="center"/>
              <w:rPr>
                <w:color w:val="auto"/>
                <w:sz w:val="21"/>
                <w:highlight w:val="none"/>
              </w:rPr>
            </w:pPr>
            <w:r>
              <w:rPr>
                <w:rFonts w:hint="eastAsia"/>
                <w:color w:val="auto"/>
                <w:sz w:val="21"/>
                <w:highlight w:val="none"/>
              </w:rPr>
              <w:t>合</w:t>
            </w:r>
          </w:p>
          <w:p w14:paraId="17AF21D4">
            <w:pPr>
              <w:pStyle w:val="3"/>
              <w:spacing w:line="240" w:lineRule="auto"/>
              <w:ind w:firstLine="0" w:firstLineChars="0"/>
              <w:jc w:val="center"/>
              <w:rPr>
                <w:color w:val="auto"/>
                <w:sz w:val="21"/>
                <w:highlight w:val="none"/>
              </w:rPr>
            </w:pPr>
            <w:r>
              <w:rPr>
                <w:rFonts w:hint="eastAsia"/>
                <w:color w:val="auto"/>
                <w:sz w:val="21"/>
                <w:highlight w:val="none"/>
              </w:rPr>
              <w:t>理</w:t>
            </w:r>
          </w:p>
          <w:p w14:paraId="34B1774A">
            <w:pPr>
              <w:pStyle w:val="3"/>
              <w:spacing w:line="240" w:lineRule="auto"/>
              <w:ind w:firstLine="0" w:firstLineChars="0"/>
              <w:jc w:val="center"/>
              <w:rPr>
                <w:color w:val="auto"/>
                <w:sz w:val="21"/>
                <w:highlight w:val="none"/>
              </w:rPr>
            </w:pPr>
            <w:r>
              <w:rPr>
                <w:rFonts w:hint="eastAsia"/>
                <w:color w:val="auto"/>
                <w:sz w:val="21"/>
                <w:highlight w:val="none"/>
              </w:rPr>
              <w:t>性</w:t>
            </w:r>
          </w:p>
          <w:p w14:paraId="173A3158">
            <w:pPr>
              <w:pStyle w:val="3"/>
              <w:spacing w:line="240" w:lineRule="auto"/>
              <w:ind w:firstLine="0" w:firstLineChars="0"/>
              <w:jc w:val="center"/>
              <w:rPr>
                <w:color w:val="auto"/>
                <w:sz w:val="21"/>
                <w:highlight w:val="none"/>
              </w:rPr>
            </w:pPr>
            <w:r>
              <w:rPr>
                <w:rFonts w:hint="eastAsia"/>
                <w:color w:val="auto"/>
                <w:sz w:val="21"/>
                <w:highlight w:val="none"/>
              </w:rPr>
              <w:t>分</w:t>
            </w:r>
          </w:p>
          <w:p w14:paraId="2E83C02E">
            <w:pPr>
              <w:pStyle w:val="3"/>
              <w:spacing w:line="240" w:lineRule="auto"/>
              <w:ind w:firstLine="0" w:firstLineChars="0"/>
              <w:jc w:val="center"/>
              <w:rPr>
                <w:color w:val="auto"/>
                <w:sz w:val="21"/>
                <w:highlight w:val="none"/>
              </w:rPr>
            </w:pPr>
            <w:r>
              <w:rPr>
                <w:rFonts w:hint="eastAsia"/>
                <w:color w:val="auto"/>
                <w:sz w:val="21"/>
                <w:highlight w:val="none"/>
              </w:rPr>
              <w:t>析</w:t>
            </w:r>
          </w:p>
        </w:tc>
        <w:tc>
          <w:tcPr>
            <w:tcW w:w="7881" w:type="dxa"/>
            <w:tcMar>
              <w:top w:w="170" w:type="dxa"/>
              <w:left w:w="108" w:type="dxa"/>
              <w:bottom w:w="113" w:type="dxa"/>
              <w:right w:w="108" w:type="dxa"/>
            </w:tcMar>
            <w:vAlign w:val="center"/>
          </w:tcPr>
          <w:p w14:paraId="0F707BEE">
            <w:pPr>
              <w:pStyle w:val="3"/>
              <w:ind w:firstLine="420"/>
              <w:rPr>
                <w:color w:val="auto"/>
                <w:sz w:val="21"/>
                <w:highlight w:val="none"/>
              </w:rPr>
            </w:pPr>
            <w:r>
              <w:rPr>
                <w:rFonts w:hint="eastAsia"/>
                <w:color w:val="auto"/>
                <w:sz w:val="21"/>
                <w:szCs w:val="21"/>
                <w:highlight w:val="none"/>
              </w:rPr>
              <w:t>根据建设单位提供的钻井工程设计方案，本项目选址位于新疆维吾尔自治区昌吉回族自治州阜康市三工河哈萨克族乡西北侧16.4km。</w:t>
            </w:r>
            <w:r>
              <w:rPr>
                <w:rFonts w:hint="eastAsia"/>
                <w:color w:val="auto"/>
                <w:sz w:val="21"/>
                <w:highlight w:val="none"/>
              </w:rPr>
              <w:t>项目选址不涉及水源涵养区、水源保护区、自然保护区、风景名胜区、森林公园、重要湿地及人群密集区等生态敏感区域。</w:t>
            </w:r>
          </w:p>
          <w:p w14:paraId="694F1D6B">
            <w:pPr>
              <w:pStyle w:val="3"/>
              <w:ind w:firstLine="420"/>
              <w:rPr>
                <w:color w:val="auto"/>
                <w:sz w:val="21"/>
                <w:highlight w:val="none"/>
              </w:rPr>
            </w:pPr>
            <w:r>
              <w:rPr>
                <w:rFonts w:hint="eastAsia"/>
                <w:color w:val="auto"/>
                <w:sz w:val="21"/>
                <w:highlight w:val="none"/>
              </w:rPr>
              <w:t>《钻前工程及井场布置技术要求》（SY/T 5466-2013）指出“3.2.2 油、气井井口距高压线及其他永久性设施不小于75m，距民宅不小于100m，距铁路、高速公路不小于200m。距学校、医院和大型油库等人口密集性、高危性场所不小于500m。在地下矿产采掘区钻井，井筒与采掘坑道、矿井坑道之间的距离不小于100m。”</w:t>
            </w:r>
          </w:p>
          <w:p w14:paraId="1B288869">
            <w:pPr>
              <w:pStyle w:val="3"/>
              <w:ind w:firstLine="420"/>
              <w:rPr>
                <w:color w:val="auto"/>
                <w:sz w:val="21"/>
                <w:highlight w:val="none"/>
              </w:rPr>
            </w:pPr>
            <w:r>
              <w:rPr>
                <w:rFonts w:hint="eastAsia"/>
                <w:color w:val="auto"/>
                <w:sz w:val="21"/>
                <w:highlight w:val="none"/>
              </w:rPr>
              <w:t>本项目属于油气勘探项目，本项目井口周边75m范围内无高压线及其他永久性设施，井口周边100m范围内无居民，井口周边200m范围内无铁路及高速公路分布，井口500m范围内无医院、学校等人口密集区，所在区域无地下矿产开采区。项目满足《钻前工程及井场布置技术要求》（SY/T</w:t>
            </w:r>
            <w:r>
              <w:rPr>
                <w:color w:val="auto"/>
                <w:sz w:val="21"/>
                <w:highlight w:val="none"/>
              </w:rPr>
              <w:t xml:space="preserve"> </w:t>
            </w:r>
            <w:r>
              <w:rPr>
                <w:rFonts w:hint="eastAsia"/>
                <w:color w:val="auto"/>
                <w:sz w:val="21"/>
                <w:highlight w:val="none"/>
              </w:rPr>
              <w:t>5466-2013）标准要求。</w:t>
            </w:r>
          </w:p>
          <w:p w14:paraId="3BA16044">
            <w:pPr>
              <w:pStyle w:val="3"/>
              <w:ind w:firstLine="420"/>
              <w:rPr>
                <w:rFonts w:hint="eastAsia"/>
                <w:color w:val="auto"/>
                <w:sz w:val="21"/>
                <w:highlight w:val="none"/>
              </w:rPr>
            </w:pPr>
            <w:r>
              <w:rPr>
                <w:rFonts w:hint="eastAsia"/>
                <w:color w:val="auto"/>
                <w:sz w:val="21"/>
                <w:highlight w:val="none"/>
              </w:rPr>
              <w:t>因此从环境合理性角度分析，本项目选址合理。</w:t>
            </w:r>
          </w:p>
        </w:tc>
      </w:tr>
    </w:tbl>
    <w:p w14:paraId="345574DB">
      <w:pPr>
        <w:pStyle w:val="3"/>
        <w:ind w:firstLine="0" w:firstLineChars="0"/>
        <w:rPr>
          <w:color w:val="auto"/>
          <w:highlight w:val="none"/>
        </w:rPr>
        <w:sectPr>
          <w:pgSz w:w="11906" w:h="16838"/>
          <w:pgMar w:top="1440" w:right="1797" w:bottom="1304" w:left="1797" w:header="1021" w:footer="851" w:gutter="0"/>
          <w:cols w:space="425" w:num="1"/>
          <w:docGrid w:type="lines" w:linePitch="312" w:charSpace="0"/>
        </w:sectPr>
      </w:pPr>
    </w:p>
    <w:p w14:paraId="4D70CEF3">
      <w:pPr>
        <w:pStyle w:val="3"/>
        <w:ind w:firstLine="0" w:firstLineChars="0"/>
        <w:jc w:val="center"/>
        <w:outlineLvl w:val="0"/>
        <w:rPr>
          <w:rFonts w:ascii="黑体" w:hAnsi="黑体" w:eastAsia="黑体"/>
          <w:color w:val="auto"/>
          <w:sz w:val="30"/>
          <w:szCs w:val="30"/>
          <w:highlight w:val="none"/>
        </w:rPr>
      </w:pPr>
      <w:bookmarkStart w:id="71" w:name="_Toc11841"/>
      <w:bookmarkStart w:id="72" w:name="_Toc3677"/>
      <w:r>
        <w:rPr>
          <w:rFonts w:hint="eastAsia" w:ascii="黑体" w:hAnsi="黑体" w:eastAsia="黑体"/>
          <w:color w:val="auto"/>
          <w:sz w:val="30"/>
          <w:szCs w:val="30"/>
          <w:highlight w:val="none"/>
        </w:rPr>
        <w:t>五、主要生态环境保护措施</w:t>
      </w:r>
      <w:bookmarkEnd w:id="71"/>
      <w:bookmarkEnd w:id="72"/>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881"/>
      </w:tblGrid>
      <w:tr w14:paraId="7E74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7BC00E80">
            <w:pPr>
              <w:pStyle w:val="3"/>
              <w:spacing w:line="240" w:lineRule="auto"/>
              <w:ind w:firstLine="0" w:firstLineChars="0"/>
              <w:jc w:val="center"/>
              <w:rPr>
                <w:color w:val="auto"/>
                <w:sz w:val="21"/>
                <w:highlight w:val="none"/>
              </w:rPr>
            </w:pPr>
            <w:r>
              <w:rPr>
                <w:rFonts w:hint="eastAsia"/>
                <w:color w:val="auto"/>
                <w:sz w:val="21"/>
                <w:highlight w:val="none"/>
              </w:rPr>
              <w:t>施工期生态环境保护措施</w:t>
            </w:r>
          </w:p>
        </w:tc>
        <w:tc>
          <w:tcPr>
            <w:tcW w:w="7881" w:type="dxa"/>
            <w:tcMar>
              <w:top w:w="113" w:type="dxa"/>
              <w:left w:w="108" w:type="dxa"/>
              <w:bottom w:w="113" w:type="dxa"/>
              <w:right w:w="108" w:type="dxa"/>
            </w:tcMar>
            <w:vAlign w:val="center"/>
          </w:tcPr>
          <w:p w14:paraId="11F9369E">
            <w:pPr>
              <w:pStyle w:val="3"/>
              <w:numPr>
                <w:ilvl w:val="0"/>
                <w:numId w:val="43"/>
              </w:numPr>
              <w:spacing w:line="332" w:lineRule="auto"/>
              <w:ind w:firstLine="420"/>
              <w:rPr>
                <w:color w:val="auto"/>
                <w:sz w:val="21"/>
                <w:highlight w:val="none"/>
              </w:rPr>
            </w:pPr>
            <w:r>
              <w:rPr>
                <w:rFonts w:hint="eastAsia"/>
                <w:color w:val="auto"/>
                <w:sz w:val="21"/>
                <w:highlight w:val="none"/>
              </w:rPr>
              <w:t>生态保护措施</w:t>
            </w:r>
          </w:p>
          <w:p w14:paraId="20B11774">
            <w:pPr>
              <w:pStyle w:val="71"/>
              <w:numPr>
                <w:ilvl w:val="0"/>
                <w:numId w:val="44"/>
              </w:numPr>
              <w:spacing w:line="332" w:lineRule="auto"/>
              <w:ind w:firstLine="420" w:firstLineChars="200"/>
              <w:rPr>
                <w:color w:val="auto"/>
                <w:highlight w:val="none"/>
              </w:rPr>
            </w:pPr>
            <w:r>
              <w:rPr>
                <w:rFonts w:hint="eastAsia"/>
                <w:color w:val="auto"/>
                <w:highlight w:val="none"/>
              </w:rPr>
              <w:t>道路工程生态保护措施要求</w:t>
            </w:r>
          </w:p>
          <w:p w14:paraId="44DD7EA1">
            <w:pPr>
              <w:pStyle w:val="73"/>
              <w:numPr>
                <w:ilvl w:val="0"/>
                <w:numId w:val="45"/>
              </w:numPr>
              <w:ind w:firstLine="420" w:firstLineChars="200"/>
              <w:rPr>
                <w:color w:val="auto"/>
                <w:highlight w:val="none"/>
              </w:rPr>
            </w:pPr>
            <w:r>
              <w:rPr>
                <w:rFonts w:hint="eastAsia"/>
                <w:color w:val="auto"/>
                <w:highlight w:val="none"/>
              </w:rPr>
              <w:t>无道路区域作业车辆“一”字形行驶</w:t>
            </w:r>
          </w:p>
          <w:p w14:paraId="004FB6E4">
            <w:pPr>
              <w:pStyle w:val="3"/>
              <w:ind w:firstLine="420"/>
              <w:rPr>
                <w:color w:val="auto"/>
                <w:sz w:val="21"/>
                <w:highlight w:val="none"/>
              </w:rPr>
            </w:pPr>
            <w:r>
              <w:rPr>
                <w:rFonts w:hint="eastAsia"/>
                <w:color w:val="auto"/>
                <w:sz w:val="21"/>
                <w:highlight w:val="none"/>
              </w:rPr>
              <w:t>道路施工时，注意保护原始地表与天然植被，划定施工活动范围，严格控制和管理车辆及重型机械的运行范围，所有车辆采用“一”字形作业法，不得并行开辟新路，以减少风蚀沙化活动的范围。</w:t>
            </w:r>
          </w:p>
          <w:p w14:paraId="0D27F87C">
            <w:pPr>
              <w:pStyle w:val="73"/>
              <w:numPr>
                <w:ilvl w:val="0"/>
                <w:numId w:val="45"/>
              </w:numPr>
              <w:ind w:firstLine="420" w:firstLineChars="200"/>
              <w:rPr>
                <w:color w:val="auto"/>
                <w:highlight w:val="none"/>
              </w:rPr>
            </w:pPr>
            <w:r>
              <w:rPr>
                <w:rFonts w:hint="eastAsia"/>
                <w:color w:val="auto"/>
                <w:highlight w:val="none"/>
              </w:rPr>
              <w:t>道路选线过程中应尽量避让植被密集段。</w:t>
            </w:r>
          </w:p>
          <w:p w14:paraId="5174749B">
            <w:pPr>
              <w:pStyle w:val="73"/>
              <w:numPr>
                <w:ilvl w:val="0"/>
                <w:numId w:val="45"/>
              </w:numPr>
              <w:ind w:firstLine="420" w:firstLineChars="200"/>
              <w:rPr>
                <w:color w:val="auto"/>
                <w:highlight w:val="none"/>
              </w:rPr>
            </w:pPr>
            <w:r>
              <w:rPr>
                <w:rFonts w:hint="eastAsia"/>
                <w:color w:val="auto"/>
                <w:highlight w:val="none"/>
              </w:rPr>
              <w:t>严禁在道路两侧取弃土。</w:t>
            </w:r>
          </w:p>
          <w:p w14:paraId="7BAA3211">
            <w:pPr>
              <w:pStyle w:val="71"/>
              <w:numPr>
                <w:ilvl w:val="0"/>
                <w:numId w:val="44"/>
              </w:numPr>
              <w:spacing w:line="332" w:lineRule="auto"/>
              <w:ind w:firstLine="420" w:firstLineChars="200"/>
              <w:rPr>
                <w:color w:val="auto"/>
                <w:highlight w:val="none"/>
              </w:rPr>
            </w:pPr>
            <w:r>
              <w:rPr>
                <w:rFonts w:hint="eastAsia"/>
                <w:color w:val="auto"/>
                <w:highlight w:val="none"/>
              </w:rPr>
              <w:t>井场工程生态保护措施要求</w:t>
            </w:r>
          </w:p>
          <w:p w14:paraId="4B4FA9F1">
            <w:pPr>
              <w:pStyle w:val="73"/>
              <w:numPr>
                <w:ilvl w:val="0"/>
                <w:numId w:val="46"/>
              </w:numPr>
              <w:ind w:firstLine="420" w:firstLineChars="200"/>
              <w:rPr>
                <w:color w:val="auto"/>
                <w:highlight w:val="none"/>
              </w:rPr>
            </w:pPr>
            <w:r>
              <w:rPr>
                <w:rFonts w:hint="eastAsia"/>
                <w:color w:val="auto"/>
                <w:highlight w:val="none"/>
              </w:rPr>
              <w:t>施工过程中会产生较大的扬尘，施工现场尽量适时洒水，减少扬尘，施工使用的粉状材料，运输、堆放时应有遮盖。</w:t>
            </w:r>
          </w:p>
          <w:p w14:paraId="4A374E74">
            <w:pPr>
              <w:pStyle w:val="73"/>
              <w:numPr>
                <w:ilvl w:val="0"/>
                <w:numId w:val="46"/>
              </w:numPr>
              <w:ind w:firstLine="420" w:firstLineChars="200"/>
              <w:rPr>
                <w:color w:val="auto"/>
                <w:highlight w:val="none"/>
              </w:rPr>
            </w:pPr>
            <w:r>
              <w:rPr>
                <w:rFonts w:hint="eastAsia"/>
                <w:color w:val="auto"/>
                <w:highlight w:val="none"/>
              </w:rPr>
              <w:t>严格界定施工活动范围，尽可能缩小施工作业区域宽度，使用彩条带等措施严格限制施工活动范围。</w:t>
            </w:r>
          </w:p>
          <w:p w14:paraId="46C9920E">
            <w:pPr>
              <w:pStyle w:val="73"/>
              <w:numPr>
                <w:ilvl w:val="0"/>
                <w:numId w:val="46"/>
              </w:numPr>
              <w:ind w:firstLine="420" w:firstLineChars="200"/>
              <w:rPr>
                <w:color w:val="auto"/>
                <w:highlight w:val="none"/>
              </w:rPr>
            </w:pPr>
            <w:r>
              <w:rPr>
                <w:rFonts w:hint="eastAsia"/>
                <w:color w:val="auto"/>
                <w:highlight w:val="none"/>
              </w:rPr>
              <w:t>钻井过程中严格执行钻井生产环境保护管理规定，废弃泥浆采用“泥浆不落地”设备进行处理。</w:t>
            </w:r>
          </w:p>
          <w:p w14:paraId="3DF4FBBA">
            <w:pPr>
              <w:pStyle w:val="73"/>
              <w:numPr>
                <w:ilvl w:val="0"/>
                <w:numId w:val="46"/>
              </w:numPr>
              <w:ind w:firstLine="420" w:firstLineChars="200"/>
              <w:rPr>
                <w:color w:val="auto"/>
                <w:highlight w:val="none"/>
              </w:rPr>
            </w:pPr>
            <w:r>
              <w:rPr>
                <w:rFonts w:hint="eastAsia"/>
                <w:color w:val="auto"/>
                <w:highlight w:val="none"/>
              </w:rPr>
              <w:t>严格做好放喷池的防渗处理，并设置规范化的环保标识，防止污染土壤及地下水。</w:t>
            </w:r>
          </w:p>
          <w:p w14:paraId="7A69E3D6">
            <w:pPr>
              <w:pStyle w:val="73"/>
              <w:numPr>
                <w:ilvl w:val="0"/>
                <w:numId w:val="46"/>
              </w:numPr>
              <w:ind w:firstLine="420" w:firstLineChars="200"/>
              <w:rPr>
                <w:color w:val="auto"/>
                <w:highlight w:val="none"/>
              </w:rPr>
            </w:pPr>
            <w:r>
              <w:rPr>
                <w:rFonts w:hint="eastAsia"/>
                <w:color w:val="auto"/>
                <w:highlight w:val="none"/>
              </w:rPr>
              <w:t>项目建设完成后，对施工场地的废渣及一切废弃物资、设备应及时清理，对工地、料场、取土等地方，使用后应立即恢复原状，完井后井场须平整，做到无油污，无地坑，无三废，确保周围环境无污染。</w:t>
            </w:r>
          </w:p>
          <w:p w14:paraId="4B567DB4">
            <w:pPr>
              <w:pStyle w:val="71"/>
              <w:numPr>
                <w:ilvl w:val="0"/>
                <w:numId w:val="44"/>
              </w:numPr>
              <w:spacing w:line="332" w:lineRule="auto"/>
              <w:ind w:firstLine="420" w:firstLineChars="200"/>
              <w:rPr>
                <w:color w:val="auto"/>
                <w:highlight w:val="none"/>
              </w:rPr>
            </w:pPr>
            <w:r>
              <w:rPr>
                <w:rFonts w:hint="eastAsia"/>
                <w:color w:val="auto"/>
                <w:highlight w:val="none"/>
              </w:rPr>
              <w:t>对植被的生态保护措施要求</w:t>
            </w:r>
          </w:p>
          <w:p w14:paraId="5021510F">
            <w:pPr>
              <w:pStyle w:val="73"/>
              <w:numPr>
                <w:ilvl w:val="0"/>
                <w:numId w:val="47"/>
              </w:numPr>
              <w:ind w:firstLine="420" w:firstLineChars="200"/>
              <w:rPr>
                <w:color w:val="auto"/>
                <w:highlight w:val="none"/>
              </w:rPr>
            </w:pPr>
            <w:r>
              <w:rPr>
                <w:rFonts w:hint="eastAsia"/>
                <w:color w:val="auto"/>
                <w:highlight w:val="none"/>
              </w:rPr>
              <w:t>本项目在设计选址过程中，尽量避开植被较丰富的区域。对井场临时性占地等合理规划，严格控制占地面积，最大限度减少对植被生存环境的践踏破坏。</w:t>
            </w:r>
          </w:p>
          <w:p w14:paraId="292F9128">
            <w:pPr>
              <w:pStyle w:val="73"/>
              <w:numPr>
                <w:ilvl w:val="0"/>
                <w:numId w:val="47"/>
              </w:numPr>
              <w:ind w:firstLine="420" w:firstLineChars="200"/>
              <w:rPr>
                <w:color w:val="auto"/>
                <w:highlight w:val="none"/>
              </w:rPr>
            </w:pPr>
            <w:r>
              <w:rPr>
                <w:rFonts w:hint="eastAsia"/>
                <w:color w:val="auto"/>
                <w:highlight w:val="none"/>
              </w:rPr>
              <w:t>严格控制和管理车辆及重型机械的运行范围，所有车辆采用“一”字形作业法，避免并行开辟新路，以减少对地表植被的破坏。</w:t>
            </w:r>
          </w:p>
          <w:p w14:paraId="20E063CE">
            <w:pPr>
              <w:pStyle w:val="73"/>
              <w:numPr>
                <w:ilvl w:val="0"/>
                <w:numId w:val="47"/>
              </w:numPr>
              <w:ind w:firstLine="420" w:firstLineChars="200"/>
              <w:rPr>
                <w:color w:val="auto"/>
                <w:highlight w:val="none"/>
              </w:rPr>
            </w:pPr>
            <w:r>
              <w:rPr>
                <w:rFonts w:hint="eastAsia"/>
                <w:color w:val="auto"/>
                <w:highlight w:val="none"/>
              </w:rPr>
              <w:t>制定严格的施工操作规范，加强对施工人员的宣传和教育，确保各环保设施正常运行，避免各种污染物对土壤环境的影响，甚至进一步影响其上部生长的植被。</w:t>
            </w:r>
          </w:p>
          <w:p w14:paraId="01A3A68A">
            <w:pPr>
              <w:pStyle w:val="102"/>
              <w:snapToGrid w:val="0"/>
              <w:ind w:firstLine="420"/>
              <w:rPr>
                <w:color w:val="auto"/>
                <w:highlight w:val="none"/>
              </w:rPr>
            </w:pPr>
            <w:r>
              <w:rPr>
                <w:rFonts w:hint="eastAsia"/>
                <w:color w:val="auto"/>
                <w:highlight w:val="none"/>
              </w:rPr>
              <w:t>（4）工程施工占用公益林，应向自然资源主管部门办理相关手续，按照相关法律法规进行补偿和恢复；施工过程中，加</w:t>
            </w:r>
            <w:r>
              <w:rPr>
                <w:rFonts w:hint="eastAsia"/>
                <w:color w:val="auto"/>
                <w:highlight w:val="none"/>
                <w:lang w:eastAsia="zh-CN"/>
              </w:rPr>
              <w:t>强对</w:t>
            </w:r>
            <w:r>
              <w:rPr>
                <w:rFonts w:hint="eastAsia"/>
                <w:color w:val="auto"/>
                <w:highlight w:val="none"/>
              </w:rPr>
              <w:t>施工人员的管理，确保施工人员和车辆在规定范围内作业，严禁砍伐公益林植被作燃料，做好森林火灾的防范工作。</w:t>
            </w:r>
          </w:p>
          <w:p w14:paraId="5B61991F">
            <w:pPr>
              <w:pStyle w:val="71"/>
              <w:numPr>
                <w:ilvl w:val="0"/>
                <w:numId w:val="44"/>
              </w:numPr>
              <w:spacing w:line="332" w:lineRule="auto"/>
              <w:ind w:firstLine="420" w:firstLineChars="200"/>
              <w:rPr>
                <w:color w:val="auto"/>
                <w:highlight w:val="none"/>
              </w:rPr>
            </w:pPr>
            <w:r>
              <w:rPr>
                <w:rFonts w:hint="eastAsia"/>
                <w:color w:val="auto"/>
                <w:highlight w:val="none"/>
              </w:rPr>
              <w:t>对野生动物的生态保护措施要求</w:t>
            </w:r>
          </w:p>
          <w:p w14:paraId="4A3C1872">
            <w:pPr>
              <w:pStyle w:val="73"/>
              <w:numPr>
                <w:ilvl w:val="0"/>
                <w:numId w:val="48"/>
              </w:numPr>
              <w:ind w:firstLine="420" w:firstLineChars="200"/>
              <w:rPr>
                <w:color w:val="auto"/>
                <w:highlight w:val="none"/>
              </w:rPr>
            </w:pPr>
            <w:r>
              <w:rPr>
                <w:rFonts w:hint="eastAsia"/>
                <w:color w:val="auto"/>
                <w:highlight w:val="none"/>
              </w:rPr>
              <w:t>规划选址过程中，最大限度避免破坏野生动物的活动场所和生存环境。</w:t>
            </w:r>
          </w:p>
          <w:p w14:paraId="7E82B39D">
            <w:pPr>
              <w:pStyle w:val="73"/>
              <w:numPr>
                <w:ilvl w:val="0"/>
                <w:numId w:val="48"/>
              </w:numPr>
              <w:ind w:firstLine="420" w:firstLineChars="200"/>
              <w:rPr>
                <w:color w:val="auto"/>
                <w:highlight w:val="none"/>
              </w:rPr>
            </w:pPr>
            <w:r>
              <w:rPr>
                <w:rFonts w:hint="eastAsia"/>
                <w:color w:val="auto"/>
                <w:highlight w:val="none"/>
              </w:rPr>
              <w:t>为了更好</w:t>
            </w:r>
            <w:r>
              <w:rPr>
                <w:rFonts w:hint="eastAsia"/>
                <w:color w:val="auto"/>
                <w:highlight w:val="none"/>
                <w:lang w:eastAsia="zh-CN"/>
              </w:rPr>
              <w:t>地</w:t>
            </w:r>
            <w:r>
              <w:rPr>
                <w:rFonts w:hint="eastAsia"/>
                <w:color w:val="auto"/>
                <w:highlight w:val="none"/>
              </w:rPr>
              <w:t>保护野生动物，建设单位在项目实施过程中要严格规定工作人员的活动范围，使之限于在施工作业区域范围内活动，尽量不侵扰野生动物的栖息地。</w:t>
            </w:r>
          </w:p>
          <w:p w14:paraId="773184F1">
            <w:pPr>
              <w:pStyle w:val="73"/>
              <w:numPr>
                <w:ilvl w:val="0"/>
                <w:numId w:val="48"/>
              </w:numPr>
              <w:ind w:firstLine="420" w:firstLineChars="200"/>
              <w:rPr>
                <w:color w:val="auto"/>
                <w:highlight w:val="none"/>
              </w:rPr>
            </w:pPr>
            <w:r>
              <w:rPr>
                <w:rFonts w:hint="eastAsia"/>
                <w:color w:val="auto"/>
                <w:highlight w:val="none"/>
              </w:rPr>
              <w:t>对施工人员开展保护野生动物宣传教育工作，强化保护野生动物的观念，禁止施工人员随意惊吓、捕猎、宰杀野生动物。</w:t>
            </w:r>
          </w:p>
          <w:p w14:paraId="41C61BF2">
            <w:pPr>
              <w:pStyle w:val="73"/>
              <w:numPr>
                <w:ilvl w:val="0"/>
                <w:numId w:val="48"/>
              </w:numPr>
              <w:ind w:firstLine="420" w:firstLineChars="200"/>
              <w:rPr>
                <w:color w:val="auto"/>
                <w:highlight w:val="none"/>
              </w:rPr>
            </w:pPr>
            <w:r>
              <w:rPr>
                <w:rFonts w:hint="eastAsia"/>
                <w:color w:val="auto"/>
                <w:highlight w:val="none"/>
              </w:rPr>
              <w:t>加强管理，确保各生产设施的正常运行，避免强噪声环境的出现，避免对野生动物的惊扰。</w:t>
            </w:r>
          </w:p>
          <w:p w14:paraId="682AD945">
            <w:pPr>
              <w:pStyle w:val="71"/>
              <w:numPr>
                <w:ilvl w:val="0"/>
                <w:numId w:val="44"/>
              </w:numPr>
              <w:spacing w:line="332" w:lineRule="auto"/>
              <w:ind w:firstLine="420" w:firstLineChars="200"/>
              <w:rPr>
                <w:color w:val="auto"/>
                <w:highlight w:val="none"/>
              </w:rPr>
            </w:pPr>
            <w:r>
              <w:rPr>
                <w:rFonts w:hint="eastAsia"/>
                <w:color w:val="auto"/>
                <w:highlight w:val="none"/>
              </w:rPr>
              <w:t>其他生态保护措施要求</w:t>
            </w:r>
          </w:p>
          <w:p w14:paraId="4EDE1B69">
            <w:pPr>
              <w:pStyle w:val="73"/>
              <w:numPr>
                <w:ilvl w:val="0"/>
                <w:numId w:val="49"/>
              </w:numPr>
              <w:ind w:firstLine="420" w:firstLineChars="200"/>
              <w:rPr>
                <w:color w:val="auto"/>
                <w:highlight w:val="none"/>
              </w:rPr>
            </w:pPr>
            <w:r>
              <w:rPr>
                <w:rFonts w:hint="eastAsia"/>
                <w:color w:val="auto"/>
                <w:highlight w:val="none"/>
              </w:rPr>
              <w:t>严禁施工人员进行非石油生产的其他活动，如：狩猎、采集动植物等。车辆在有野生动物的地区行驶时，禁鸣喇叭。</w:t>
            </w:r>
          </w:p>
          <w:p w14:paraId="39CE61D6">
            <w:pPr>
              <w:pStyle w:val="73"/>
              <w:numPr>
                <w:ilvl w:val="0"/>
                <w:numId w:val="49"/>
              </w:numPr>
              <w:ind w:firstLine="420" w:firstLineChars="200"/>
              <w:rPr>
                <w:color w:val="auto"/>
                <w:highlight w:val="none"/>
              </w:rPr>
            </w:pPr>
            <w:r>
              <w:rPr>
                <w:rFonts w:hint="eastAsia"/>
                <w:color w:val="auto"/>
                <w:highlight w:val="none"/>
              </w:rPr>
              <w:t>施工期避开大风天气作业，避免风蚀引起的水土流失。</w:t>
            </w:r>
          </w:p>
          <w:p w14:paraId="3D8C2EA7">
            <w:pPr>
              <w:pStyle w:val="73"/>
              <w:numPr>
                <w:ilvl w:val="0"/>
                <w:numId w:val="49"/>
              </w:numPr>
              <w:ind w:firstLine="420" w:firstLineChars="200"/>
              <w:rPr>
                <w:color w:val="auto"/>
                <w:highlight w:val="none"/>
              </w:rPr>
            </w:pPr>
            <w:r>
              <w:rPr>
                <w:rFonts w:hint="eastAsia"/>
                <w:color w:val="auto"/>
                <w:highlight w:val="none"/>
              </w:rPr>
              <w:t>施工结束后，恢复地表原状，将施工迹地平整压实，做到工完料净场地清，以利于植被的恢复。</w:t>
            </w:r>
          </w:p>
          <w:p w14:paraId="45E68353">
            <w:pPr>
              <w:pStyle w:val="3"/>
              <w:numPr>
                <w:ilvl w:val="0"/>
                <w:numId w:val="43"/>
              </w:numPr>
              <w:spacing w:line="332" w:lineRule="auto"/>
              <w:ind w:firstLine="420"/>
              <w:rPr>
                <w:color w:val="auto"/>
                <w:sz w:val="21"/>
                <w:highlight w:val="none"/>
              </w:rPr>
            </w:pPr>
            <w:r>
              <w:rPr>
                <w:rFonts w:hint="eastAsia"/>
                <w:color w:val="auto"/>
                <w:sz w:val="21"/>
                <w:highlight w:val="none"/>
              </w:rPr>
              <w:t>本项目生态环境恢复治理方案</w:t>
            </w:r>
          </w:p>
          <w:p w14:paraId="5C07B745">
            <w:pPr>
              <w:pStyle w:val="3"/>
              <w:ind w:firstLine="420"/>
              <w:rPr>
                <w:rFonts w:hint="eastAsia"/>
                <w:color w:val="auto"/>
                <w:sz w:val="21"/>
                <w:highlight w:val="none"/>
              </w:rPr>
            </w:pPr>
            <w:r>
              <w:rPr>
                <w:rFonts w:hint="eastAsia"/>
                <w:color w:val="auto"/>
                <w:sz w:val="21"/>
                <w:highlight w:val="none"/>
              </w:rPr>
              <w:t>根据《关于加强沙区建设项目环境影响评价工作的通知</w:t>
            </w:r>
            <w:r>
              <w:rPr>
                <w:rFonts w:hint="eastAsia"/>
                <w:color w:val="auto"/>
                <w:sz w:val="21"/>
                <w:highlight w:val="none"/>
                <w:lang w:eastAsia="zh-CN"/>
              </w:rPr>
              <w:t>》《</w:t>
            </w:r>
            <w:r>
              <w:rPr>
                <w:rFonts w:hint="eastAsia"/>
                <w:color w:val="auto"/>
                <w:sz w:val="21"/>
                <w:highlight w:val="none"/>
              </w:rPr>
              <w:t>陆上石油天然气开采业绿色矿山建设规范》（DZ/T</w:t>
            </w:r>
            <w:r>
              <w:rPr>
                <w:rFonts w:hint="eastAsia"/>
                <w:color w:val="auto"/>
                <w:sz w:val="21"/>
                <w:highlight w:val="none"/>
                <w:lang w:val="en-US" w:eastAsia="zh-CN"/>
              </w:rPr>
              <w:t xml:space="preserve"> </w:t>
            </w:r>
            <w:r>
              <w:rPr>
                <w:rFonts w:hint="eastAsia"/>
                <w:color w:val="auto"/>
                <w:sz w:val="21"/>
                <w:highlight w:val="none"/>
              </w:rPr>
              <w:t>0317-2018）的有关要求进行生态恢复。施工前需对占地范围内表土进行剥离 ，剥离后用砂石料对井场和探临道路进行铺垫，剥离表土单独堆放，用于完井后临时占地的恢复。施工结束后，施工单位应负责及时清理现场，做到井场整洁 、无杂物，完井后施工机械 、设备及时撤离 ，对生活营地和探临道路等占地进行清理平整， 废水和固体废物全部妥善处置，禁止现场遗留； 尽量利用井场及探临道路施工时产生的表层土对临时占地进行覆盖，植被主要靠自然恢复。施工为分段施工，建议“边施工、边修复”。具体措施如下：</w:t>
            </w:r>
          </w:p>
          <w:p w14:paraId="3748EC02">
            <w:pPr>
              <w:pStyle w:val="71"/>
              <w:numPr>
                <w:ilvl w:val="0"/>
                <w:numId w:val="50"/>
              </w:numPr>
              <w:spacing w:line="332" w:lineRule="auto"/>
              <w:ind w:firstLine="420" w:firstLineChars="200"/>
              <w:rPr>
                <w:color w:val="auto"/>
                <w:highlight w:val="none"/>
              </w:rPr>
            </w:pPr>
            <w:r>
              <w:rPr>
                <w:rFonts w:hint="eastAsia"/>
                <w:color w:val="auto"/>
                <w:highlight w:val="none"/>
              </w:rPr>
              <w:t>井场生态恢复</w:t>
            </w:r>
          </w:p>
          <w:p w14:paraId="259EFAA0">
            <w:pPr>
              <w:pStyle w:val="3"/>
              <w:ind w:firstLine="420"/>
              <w:rPr>
                <w:rFonts w:hint="eastAsia"/>
                <w:color w:val="auto"/>
                <w:sz w:val="21"/>
                <w:highlight w:val="none"/>
              </w:rPr>
            </w:pPr>
            <w:r>
              <w:rPr>
                <w:rFonts w:hint="eastAsia"/>
                <w:color w:val="auto"/>
                <w:sz w:val="21"/>
                <w:highlight w:val="none"/>
              </w:rPr>
              <w:t>工程施工结束后，及时撤离井场设备，妥善处置固体废物，现场禁止遗留；土地进行平整，恢复原地貌；放喷池进行覆土掩埋，恢复原地貌。</w:t>
            </w:r>
          </w:p>
          <w:p w14:paraId="0392CEF0">
            <w:pPr>
              <w:pStyle w:val="3"/>
              <w:ind w:firstLine="420"/>
              <w:rPr>
                <w:color w:val="auto"/>
                <w:sz w:val="21"/>
                <w:highlight w:val="none"/>
              </w:rPr>
            </w:pPr>
            <w:r>
              <w:rPr>
                <w:rFonts w:hint="eastAsia"/>
                <w:color w:val="auto"/>
                <w:sz w:val="21"/>
                <w:highlight w:val="none"/>
              </w:rPr>
              <w:t>建设单位严格按照“工完、料尽、场地清”的要求，彻底清除各类生产设施、防渗膜及建筑垃圾。随后进行生态恢复，清除</w:t>
            </w:r>
            <w:r>
              <w:rPr>
                <w:rFonts w:hint="eastAsia"/>
                <w:color w:val="auto"/>
                <w:sz w:val="21"/>
                <w:highlight w:val="none"/>
                <w:lang w:val="en-US" w:eastAsia="zh-CN"/>
              </w:rPr>
              <w:t>现场杂物</w:t>
            </w:r>
            <w:r>
              <w:rPr>
                <w:rFonts w:hint="eastAsia"/>
                <w:color w:val="auto"/>
                <w:sz w:val="21"/>
                <w:highlight w:val="none"/>
              </w:rPr>
              <w:t>，对被机械压实的场地进行深翻松土（深度约20-30cm</w:t>
            </w:r>
            <w:r>
              <w:rPr>
                <w:rFonts w:hint="eastAsia"/>
                <w:color w:val="auto"/>
                <w:sz w:val="21"/>
                <w:highlight w:val="none"/>
                <w:lang w:eastAsia="zh-CN"/>
              </w:rPr>
              <w:t>）</w:t>
            </w:r>
            <w:r>
              <w:rPr>
                <w:rFonts w:hint="eastAsia"/>
                <w:color w:val="auto"/>
                <w:sz w:val="21"/>
                <w:highlight w:val="none"/>
              </w:rPr>
              <w:t>，消除土壤板结</w:t>
            </w:r>
            <w:r>
              <w:rPr>
                <w:rFonts w:hint="eastAsia"/>
                <w:color w:val="auto"/>
                <w:sz w:val="21"/>
                <w:highlight w:val="none"/>
                <w:lang w:eastAsia="zh-CN"/>
              </w:rPr>
              <w:t>。</w:t>
            </w:r>
            <w:r>
              <w:rPr>
                <w:rFonts w:hint="eastAsia"/>
                <w:color w:val="auto"/>
                <w:sz w:val="21"/>
                <w:highlight w:val="none"/>
              </w:rPr>
              <w:t>随后，将前期集中保护的剥离表土0.2m厚度）均匀回铺于井场和临时道路表面。鉴于干旱区自然恢复极慢，严禁单纯依赖自然恢复。表土回铺后，应采用人工辅助撒播的方式恢复植被。草种</w:t>
            </w:r>
            <w:r>
              <w:rPr>
                <w:rFonts w:hint="eastAsia"/>
                <w:color w:val="auto"/>
                <w:sz w:val="21"/>
                <w:highlight w:val="none"/>
                <w:lang w:val="en-US" w:eastAsia="zh-CN"/>
              </w:rPr>
              <w:t>优先选择当地耐旱、耐盐碱的乡土物种，树苗优先选用原树种或者本地乡土树种的良种壮苗进行原地补种</w:t>
            </w:r>
            <w:r>
              <w:rPr>
                <w:rFonts w:hint="eastAsia"/>
                <w:color w:val="auto"/>
                <w:sz w:val="21"/>
                <w:highlight w:val="none"/>
              </w:rPr>
              <w:t>。播种结束后的1</w:t>
            </w:r>
            <w:r>
              <w:rPr>
                <w:rFonts w:hint="eastAsia"/>
                <w:color w:val="auto"/>
                <w:sz w:val="21"/>
                <w:highlight w:val="none"/>
                <w:lang w:val="en-US" w:eastAsia="zh-CN"/>
              </w:rPr>
              <w:t>～</w:t>
            </w:r>
            <w:r>
              <w:rPr>
                <w:rFonts w:hint="eastAsia"/>
                <w:color w:val="auto"/>
                <w:sz w:val="21"/>
                <w:highlight w:val="none"/>
              </w:rPr>
              <w:t>2年内是植被定植的关键期，建设单位或其委托的管护方必须落实人工管护及定期浇水措施，以切实提高幼苗的成活率及抗逆性。在易发生风蚀的裸露起沙地段，播种后表面应铺设草方格或采用碎石、砾石进行覆盖，以重建地表砾幕层，达到防风固沙、保墒蓄水的作用。临时占地内</w:t>
            </w:r>
            <w:r>
              <w:rPr>
                <w:rFonts w:hint="eastAsia"/>
                <w:color w:val="auto"/>
                <w:sz w:val="21"/>
                <w:highlight w:val="none"/>
                <w:lang w:val="en-US" w:eastAsia="zh-CN"/>
              </w:rPr>
              <w:t>其他</w:t>
            </w:r>
            <w:r>
              <w:rPr>
                <w:rFonts w:hint="eastAsia"/>
                <w:color w:val="auto"/>
                <w:sz w:val="21"/>
                <w:highlight w:val="none"/>
              </w:rPr>
              <w:t>植被在未来3年～5年时间内通过植物生长季节和气象条件等因素自然恢复。</w:t>
            </w:r>
          </w:p>
          <w:p w14:paraId="3219883B">
            <w:pPr>
              <w:pStyle w:val="71"/>
              <w:numPr>
                <w:ilvl w:val="0"/>
                <w:numId w:val="50"/>
              </w:numPr>
              <w:spacing w:line="332" w:lineRule="auto"/>
              <w:ind w:firstLine="420" w:firstLineChars="200"/>
              <w:rPr>
                <w:color w:val="auto"/>
                <w:highlight w:val="none"/>
              </w:rPr>
            </w:pPr>
            <w:r>
              <w:rPr>
                <w:rFonts w:hint="eastAsia"/>
                <w:color w:val="auto"/>
                <w:highlight w:val="none"/>
              </w:rPr>
              <w:t>道路生态恢复</w:t>
            </w:r>
          </w:p>
          <w:p w14:paraId="188C1E5F">
            <w:pPr>
              <w:pStyle w:val="3"/>
              <w:ind w:firstLine="420"/>
              <w:rPr>
                <w:color w:val="auto"/>
                <w:sz w:val="21"/>
                <w:highlight w:val="none"/>
              </w:rPr>
            </w:pPr>
            <w:r>
              <w:rPr>
                <w:rFonts w:hint="eastAsia"/>
                <w:color w:val="auto"/>
                <w:sz w:val="21"/>
                <w:highlight w:val="none"/>
              </w:rPr>
              <w:t>施工前对项目占地范围内表层土剥离，剥离厚度20cm～50cm，剥离表层土集中专门堆放，并做好排水引流。施工结束后，及时回填、平整、压实，充分利用前期收集的表层土覆盖表层，对临时占地进行植被和景观恢复，与原有地貌和景观协调。</w:t>
            </w:r>
          </w:p>
          <w:p w14:paraId="419FB7C1">
            <w:pPr>
              <w:pStyle w:val="71"/>
              <w:numPr>
                <w:ilvl w:val="0"/>
                <w:numId w:val="50"/>
              </w:numPr>
              <w:spacing w:line="332" w:lineRule="auto"/>
              <w:ind w:firstLine="420" w:firstLineChars="200"/>
              <w:rPr>
                <w:color w:val="auto"/>
                <w:highlight w:val="none"/>
              </w:rPr>
            </w:pPr>
            <w:r>
              <w:rPr>
                <w:rFonts w:hint="eastAsia"/>
                <w:color w:val="auto"/>
                <w:highlight w:val="none"/>
              </w:rPr>
              <w:t>水土流失防治</w:t>
            </w:r>
          </w:p>
          <w:p w14:paraId="27594FF1">
            <w:pPr>
              <w:pStyle w:val="3"/>
              <w:ind w:firstLine="420"/>
              <w:rPr>
                <w:color w:val="auto"/>
                <w:sz w:val="21"/>
                <w:highlight w:val="none"/>
              </w:rPr>
            </w:pPr>
            <w:r>
              <w:rPr>
                <w:rFonts w:hint="eastAsia"/>
                <w:color w:val="auto"/>
                <w:sz w:val="21"/>
                <w:highlight w:val="none"/>
              </w:rPr>
              <w:t>本项目施工时，首先要特别注意保护地表与植被，划定施工活动范围，严格控制和管理车辆及重型机械的行驶范围，所有车辆采用“一”字形作业法，避免并行开辟新路，以减少风蚀沙化活动的范围；施工中严格按照施工占地要求，划定适宜的堆料场。路基修筑开挖等作业避免在大风天施工；严格按规划的施工范围进行施工作业，不得随意开辟施工便道。施工车辆不得随意驶离便道。施工后期，及时做好施工后期的迹地恢复工作，包括土地平整，创造局部小环境以利于植被的恢复等。建设单位在保证做到以上措施的情况下，对防止风沙流动、促进生态环境的恢复会起到良好作用，可将水土流失的程度降低到最小限度。</w:t>
            </w:r>
          </w:p>
          <w:p w14:paraId="285C8873">
            <w:pPr>
              <w:pStyle w:val="71"/>
              <w:numPr>
                <w:ilvl w:val="0"/>
                <w:numId w:val="50"/>
              </w:numPr>
              <w:spacing w:line="332" w:lineRule="auto"/>
              <w:ind w:firstLine="420" w:firstLineChars="200"/>
              <w:rPr>
                <w:color w:val="auto"/>
                <w:highlight w:val="none"/>
              </w:rPr>
            </w:pPr>
            <w:r>
              <w:rPr>
                <w:rFonts w:hint="eastAsia"/>
                <w:color w:val="auto"/>
                <w:highlight w:val="none"/>
              </w:rPr>
              <w:t>保障措施</w:t>
            </w:r>
          </w:p>
          <w:p w14:paraId="00EB6A97">
            <w:pPr>
              <w:pStyle w:val="73"/>
              <w:numPr>
                <w:ilvl w:val="0"/>
                <w:numId w:val="51"/>
              </w:numPr>
              <w:ind w:firstLine="420" w:firstLineChars="200"/>
              <w:rPr>
                <w:color w:val="auto"/>
                <w:highlight w:val="none"/>
              </w:rPr>
            </w:pPr>
            <w:r>
              <w:rPr>
                <w:rFonts w:hint="eastAsia"/>
                <w:color w:val="auto"/>
                <w:highlight w:val="none"/>
              </w:rPr>
              <w:t>组织领导</w:t>
            </w:r>
          </w:p>
          <w:p w14:paraId="6264C8EB">
            <w:pPr>
              <w:pStyle w:val="3"/>
              <w:ind w:firstLine="420"/>
              <w:rPr>
                <w:color w:val="auto"/>
                <w:sz w:val="21"/>
                <w:highlight w:val="none"/>
              </w:rPr>
            </w:pPr>
            <w:r>
              <w:rPr>
                <w:rFonts w:hint="eastAsia"/>
                <w:color w:val="auto"/>
                <w:sz w:val="21"/>
                <w:highlight w:val="none"/>
              </w:rPr>
              <w:t>项目场地应成立专门的环境保护行动领导小组，由一名项目班组长专门负责环保行动的顺利有序进行，对项目区环境保护设备加以保护和检修，以保证其正常运行。</w:t>
            </w:r>
          </w:p>
          <w:p w14:paraId="4F7CC3B3">
            <w:pPr>
              <w:pStyle w:val="73"/>
              <w:numPr>
                <w:ilvl w:val="0"/>
                <w:numId w:val="51"/>
              </w:numPr>
              <w:ind w:firstLine="420" w:firstLineChars="200"/>
              <w:rPr>
                <w:color w:val="auto"/>
                <w:highlight w:val="none"/>
              </w:rPr>
            </w:pPr>
            <w:r>
              <w:rPr>
                <w:rFonts w:hint="eastAsia"/>
                <w:color w:val="auto"/>
                <w:highlight w:val="none"/>
              </w:rPr>
              <w:t>资金保障</w:t>
            </w:r>
          </w:p>
          <w:p w14:paraId="006C97A7">
            <w:pPr>
              <w:pStyle w:val="3"/>
              <w:ind w:firstLine="420"/>
              <w:rPr>
                <w:color w:val="auto"/>
                <w:sz w:val="21"/>
                <w:highlight w:val="none"/>
              </w:rPr>
            </w:pPr>
            <w:r>
              <w:rPr>
                <w:rFonts w:hint="eastAsia"/>
                <w:color w:val="auto"/>
                <w:sz w:val="21"/>
                <w:highlight w:val="none"/>
              </w:rPr>
              <w:t>从项目总投资中设立环保专用资金，用于迹地恢复、水土保持以及各项环境保护处理措施的顺利进行。一定做到专款专用，保证环保资金用于环境保护行动中，禁止挪用环保专用资金。</w:t>
            </w:r>
          </w:p>
          <w:p w14:paraId="61028B2D">
            <w:pPr>
              <w:pStyle w:val="73"/>
              <w:numPr>
                <w:ilvl w:val="0"/>
                <w:numId w:val="51"/>
              </w:numPr>
              <w:ind w:firstLine="420" w:firstLineChars="200"/>
              <w:rPr>
                <w:color w:val="auto"/>
                <w:highlight w:val="none"/>
              </w:rPr>
            </w:pPr>
            <w:r>
              <w:rPr>
                <w:rFonts w:hint="eastAsia"/>
                <w:color w:val="auto"/>
                <w:highlight w:val="none"/>
              </w:rPr>
              <w:t>宣传教育</w:t>
            </w:r>
          </w:p>
          <w:p w14:paraId="39A22F51">
            <w:pPr>
              <w:pStyle w:val="3"/>
              <w:ind w:firstLine="420"/>
              <w:rPr>
                <w:color w:val="auto"/>
                <w:sz w:val="21"/>
                <w:highlight w:val="none"/>
              </w:rPr>
            </w:pPr>
            <w:r>
              <w:rPr>
                <w:rFonts w:hint="eastAsia"/>
                <w:color w:val="auto"/>
                <w:sz w:val="21"/>
                <w:highlight w:val="none"/>
              </w:rPr>
              <w:t>加大对施工人员的宣传教育力度，使其懂得环境保护的重要性，能够养成良好的习惯，积极主动加入环境保护的行列。</w:t>
            </w:r>
          </w:p>
          <w:p w14:paraId="1DFDFFEF">
            <w:pPr>
              <w:pStyle w:val="71"/>
              <w:numPr>
                <w:ilvl w:val="0"/>
                <w:numId w:val="50"/>
              </w:numPr>
              <w:spacing w:line="332" w:lineRule="auto"/>
              <w:ind w:firstLine="420" w:firstLineChars="200"/>
              <w:rPr>
                <w:color w:val="auto"/>
                <w:highlight w:val="none"/>
              </w:rPr>
            </w:pPr>
            <w:r>
              <w:rPr>
                <w:rFonts w:hint="eastAsia"/>
                <w:color w:val="auto"/>
                <w:highlight w:val="none"/>
              </w:rPr>
              <w:t>小结</w:t>
            </w:r>
          </w:p>
          <w:p w14:paraId="561D57A8">
            <w:pPr>
              <w:pStyle w:val="3"/>
              <w:ind w:firstLine="420"/>
              <w:rPr>
                <w:rFonts w:hint="eastAsia"/>
                <w:color w:val="auto"/>
                <w:sz w:val="21"/>
                <w:highlight w:val="none"/>
              </w:rPr>
            </w:pPr>
            <w:r>
              <w:rPr>
                <w:rFonts w:hint="eastAsia"/>
                <w:color w:val="auto"/>
                <w:sz w:val="21"/>
                <w:highlight w:val="none"/>
              </w:rPr>
              <w:t>本项目生态恢复治理措施全面实施后，破坏的植被可逐步恢复，可有效地吸滞粉尘，净化空气，提高环境空气质量，还可防风固沙，减少水土流失、减少土壤水分蒸发，改善土地利用状况。总之，通过实施生态恢复治理措施，本项目的污染被减小，局部生态环境得到改善和恢复。</w:t>
            </w:r>
          </w:p>
          <w:p w14:paraId="44DD32F8">
            <w:pPr>
              <w:pStyle w:val="3"/>
              <w:numPr>
                <w:ilvl w:val="0"/>
                <w:numId w:val="43"/>
              </w:numPr>
              <w:spacing w:line="332" w:lineRule="auto"/>
              <w:ind w:firstLine="420"/>
              <w:rPr>
                <w:color w:val="auto"/>
                <w:highlight w:val="none"/>
              </w:rPr>
            </w:pPr>
            <w:r>
              <w:rPr>
                <w:rFonts w:hint="eastAsia"/>
                <w:color w:val="auto"/>
                <w:sz w:val="21"/>
                <w:highlight w:val="none"/>
                <w:lang w:val="en-US" w:eastAsia="zh-CN"/>
              </w:rPr>
              <w:t>井场防沙治沙防治措施</w:t>
            </w:r>
          </w:p>
          <w:p w14:paraId="622A87A5">
            <w:pPr>
              <w:pStyle w:val="3"/>
              <w:ind w:firstLine="420"/>
              <w:rPr>
                <w:rFonts w:hint="eastAsia"/>
                <w:color w:val="auto"/>
                <w:sz w:val="21"/>
                <w:highlight w:val="none"/>
                <w:lang w:val="en-US" w:eastAsia="zh-CN"/>
              </w:rPr>
            </w:pPr>
            <w:r>
              <w:rPr>
                <w:rFonts w:hint="eastAsia"/>
                <w:color w:val="auto"/>
                <w:sz w:val="21"/>
                <w:highlight w:val="none"/>
                <w:lang w:val="en-US" w:eastAsia="zh-CN"/>
              </w:rPr>
              <w:t>本次评价要求建设单位严格按照《中华人民共和国防沙治沙法》（2018）、《关于加强沙区建设项目环境影响评价工作的通知》（ 新环环评发〔2020〕138 号）和《新疆维吾尔自治区实施〈中华人民共和国防沙治沙法〉办法》中有关规定，执行以下防沙治沙措施：</w:t>
            </w:r>
          </w:p>
          <w:p w14:paraId="79E20994">
            <w:pPr>
              <w:pStyle w:val="3"/>
              <w:ind w:firstLine="420"/>
              <w:rPr>
                <w:rFonts w:hint="eastAsia"/>
                <w:color w:val="auto"/>
                <w:sz w:val="21"/>
                <w:highlight w:val="none"/>
                <w:lang w:val="en-US" w:eastAsia="zh-CN"/>
              </w:rPr>
            </w:pPr>
            <w:r>
              <w:rPr>
                <w:rFonts w:hint="eastAsia"/>
                <w:color w:val="auto"/>
                <w:sz w:val="21"/>
                <w:highlight w:val="none"/>
                <w:lang w:val="en-US" w:eastAsia="zh-CN"/>
              </w:rPr>
              <w:t>1)加强宣传《中华人民共和国防沙治沙法》和《新疆维吾尔自治区实施〈中华人民共和国防沙治沙法〉办法》，使施工人员知法、懂法、守法，自觉保护林草植被， 自觉履行防治义务；</w:t>
            </w:r>
          </w:p>
          <w:p w14:paraId="59C3F7A5">
            <w:pPr>
              <w:pStyle w:val="3"/>
              <w:ind w:firstLine="420"/>
              <w:rPr>
                <w:rFonts w:hint="eastAsia"/>
                <w:color w:val="auto"/>
                <w:sz w:val="21"/>
                <w:highlight w:val="none"/>
                <w:lang w:val="en-US" w:eastAsia="zh-CN"/>
              </w:rPr>
            </w:pPr>
            <w:r>
              <w:rPr>
                <w:rFonts w:hint="eastAsia"/>
                <w:color w:val="auto"/>
                <w:sz w:val="21"/>
                <w:highlight w:val="none"/>
                <w:lang w:val="en-US" w:eastAsia="zh-CN"/>
              </w:rPr>
              <w:t>2)优化施工组织，缩短施工时间，避免在大风天气作业，避免造成土壤风蚀影响；</w:t>
            </w:r>
          </w:p>
          <w:p w14:paraId="2B2DD6E4">
            <w:pPr>
              <w:pStyle w:val="3"/>
              <w:ind w:firstLine="420"/>
              <w:rPr>
                <w:rFonts w:hint="eastAsia"/>
                <w:color w:val="auto"/>
                <w:sz w:val="21"/>
                <w:highlight w:val="none"/>
                <w:lang w:val="en-US" w:eastAsia="zh-CN"/>
              </w:rPr>
            </w:pPr>
            <w:r>
              <w:rPr>
                <w:rFonts w:hint="eastAsia"/>
                <w:color w:val="auto"/>
                <w:sz w:val="21"/>
                <w:highlight w:val="none"/>
                <w:lang w:val="en-US" w:eastAsia="zh-CN"/>
              </w:rPr>
              <w:t>3)严格控制井场、道路等工程的临时占地，按施工方案严格控制扰动范围；</w:t>
            </w:r>
          </w:p>
          <w:p w14:paraId="2F470A3E">
            <w:pPr>
              <w:pStyle w:val="3"/>
              <w:ind w:firstLine="420"/>
              <w:rPr>
                <w:rFonts w:hint="eastAsia"/>
                <w:color w:val="auto"/>
                <w:sz w:val="21"/>
                <w:highlight w:val="none"/>
                <w:lang w:val="en-US" w:eastAsia="zh-CN"/>
              </w:rPr>
            </w:pPr>
            <w:r>
              <w:rPr>
                <w:rFonts w:hint="eastAsia"/>
                <w:color w:val="auto"/>
                <w:sz w:val="21"/>
                <w:highlight w:val="none"/>
                <w:lang w:val="en-US" w:eastAsia="zh-CN"/>
              </w:rPr>
              <w:t>4)道路施工时，划定施工活动范围，严格控制和管理车辆及重型机械的运行范围 ，所有车辆采用“一”字型作业法，临探道路选取最短路径与油田现有公路相连接，不开辟新路，以减少风蚀沙化活动的范围；</w:t>
            </w:r>
          </w:p>
          <w:p w14:paraId="3598F723">
            <w:pPr>
              <w:pStyle w:val="3"/>
              <w:ind w:firstLine="420"/>
              <w:rPr>
                <w:rFonts w:hint="eastAsia"/>
                <w:color w:val="auto"/>
                <w:sz w:val="21"/>
                <w:highlight w:val="none"/>
                <w:lang w:val="en-US" w:eastAsia="zh-CN"/>
              </w:rPr>
            </w:pPr>
            <w:r>
              <w:rPr>
                <w:rFonts w:hint="eastAsia"/>
                <w:color w:val="auto"/>
                <w:sz w:val="21"/>
                <w:highlight w:val="none"/>
                <w:lang w:val="en-US" w:eastAsia="zh-CN"/>
              </w:rPr>
              <w:t>5)为减少因施工破坏植被造成局部区域的沙化，本环评要求建设单位和施工人员须征得当地林业管理部门的批准后方可开展施工作业。建议尽可能完整保存拟建选址区域的原生植株，在施工期结束后恢复原有植被或栽种同类沙地植物，最大限度减少沙化的可能性；</w:t>
            </w:r>
          </w:p>
          <w:p w14:paraId="431AE6D8">
            <w:pPr>
              <w:pStyle w:val="3"/>
              <w:ind w:firstLine="420"/>
              <w:rPr>
                <w:rFonts w:hint="eastAsia"/>
                <w:color w:val="auto"/>
                <w:sz w:val="21"/>
                <w:highlight w:val="none"/>
                <w:lang w:val="en-US" w:eastAsia="zh-CN"/>
              </w:rPr>
            </w:pPr>
            <w:r>
              <w:rPr>
                <w:rFonts w:hint="eastAsia"/>
                <w:color w:val="auto"/>
                <w:sz w:val="21"/>
                <w:highlight w:val="none"/>
                <w:lang w:val="en-US" w:eastAsia="zh-CN"/>
              </w:rPr>
              <w:t>6)对于无植被生长的纯沙地区域，在施工结束时建议对遭受扰动的临时占地区域设置草方格进行固沙，阻止沙化进一步发展；</w:t>
            </w:r>
          </w:p>
          <w:p w14:paraId="33F3B60B">
            <w:pPr>
              <w:pStyle w:val="3"/>
              <w:ind w:firstLine="420"/>
              <w:rPr>
                <w:rFonts w:hint="eastAsia"/>
                <w:color w:val="auto"/>
                <w:sz w:val="21"/>
                <w:highlight w:val="none"/>
                <w:lang w:val="en-US" w:eastAsia="zh-CN"/>
              </w:rPr>
            </w:pPr>
            <w:r>
              <w:rPr>
                <w:rFonts w:hint="eastAsia"/>
                <w:color w:val="auto"/>
                <w:sz w:val="21"/>
                <w:highlight w:val="none"/>
                <w:lang w:val="en-US" w:eastAsia="zh-CN"/>
              </w:rPr>
              <w:t>7)施工过程中及施工期结束土壤环境恢复过程中发现临时占用土地出现沙化或者沙化程度加重的，应当及时报告当地生态环境部门和人民政府 ，并根据专业意见开展防沙治沙措施；</w:t>
            </w:r>
          </w:p>
          <w:p w14:paraId="53918BAD">
            <w:pPr>
              <w:pStyle w:val="3"/>
              <w:ind w:firstLine="420"/>
              <w:rPr>
                <w:rFonts w:hint="eastAsia"/>
                <w:color w:val="auto"/>
                <w:sz w:val="21"/>
                <w:highlight w:val="none"/>
                <w:lang w:val="en-US" w:eastAsia="zh-CN"/>
              </w:rPr>
            </w:pPr>
            <w:r>
              <w:rPr>
                <w:rFonts w:hint="eastAsia"/>
                <w:color w:val="auto"/>
                <w:sz w:val="21"/>
                <w:highlight w:val="none"/>
                <w:lang w:val="en-US" w:eastAsia="zh-CN"/>
              </w:rPr>
              <w:t>8)应在施工场地外围迎风面一侧设置移动式围挡 ， 最大限度减少因风力作用加重局部区域沙化；</w:t>
            </w:r>
          </w:p>
          <w:p w14:paraId="3AF16C7C">
            <w:pPr>
              <w:pStyle w:val="3"/>
              <w:ind w:firstLine="420"/>
              <w:rPr>
                <w:rFonts w:hint="eastAsia"/>
                <w:color w:val="auto"/>
                <w:sz w:val="21"/>
                <w:highlight w:val="none"/>
                <w:lang w:val="en-US" w:eastAsia="zh-CN"/>
              </w:rPr>
            </w:pPr>
            <w:r>
              <w:rPr>
                <w:rFonts w:hint="eastAsia"/>
                <w:color w:val="auto"/>
                <w:sz w:val="21"/>
                <w:highlight w:val="none"/>
                <w:lang w:val="en-US" w:eastAsia="zh-CN"/>
              </w:rPr>
              <w:t>9)施工结束时，应拆除并移走全部施工设备 ， 清理所有施工固废及生活垃圾，将钻井平台、道路等临时占地范围进行平整 ，并覆土压实覆盖一层砾石， 防止风蚀现象发生。</w:t>
            </w:r>
          </w:p>
          <w:p w14:paraId="56BA6803">
            <w:pPr>
              <w:pStyle w:val="3"/>
              <w:ind w:firstLine="420"/>
              <w:rPr>
                <w:rFonts w:hint="default"/>
                <w:color w:val="auto"/>
                <w:sz w:val="21"/>
                <w:highlight w:val="none"/>
                <w:lang w:val="en-US"/>
              </w:rPr>
            </w:pPr>
            <w:r>
              <w:rPr>
                <w:rFonts w:hint="eastAsia"/>
                <w:color w:val="auto"/>
                <w:sz w:val="21"/>
                <w:highlight w:val="none"/>
                <w:lang w:val="en-US" w:eastAsia="zh-CN"/>
              </w:rPr>
              <w:t>通过采取上述措施，可将项目建设对所在区域土壤环境造成的水土流失和沙化影响降至可接受水平。</w:t>
            </w:r>
          </w:p>
          <w:p w14:paraId="03175A1B">
            <w:pPr>
              <w:pStyle w:val="3"/>
              <w:numPr>
                <w:ilvl w:val="0"/>
                <w:numId w:val="43"/>
              </w:numPr>
              <w:spacing w:line="332" w:lineRule="auto"/>
              <w:ind w:firstLine="420"/>
              <w:rPr>
                <w:color w:val="auto"/>
                <w:sz w:val="21"/>
                <w:highlight w:val="none"/>
              </w:rPr>
            </w:pPr>
            <w:r>
              <w:rPr>
                <w:rFonts w:hint="eastAsia"/>
                <w:color w:val="auto"/>
                <w:sz w:val="21"/>
                <w:highlight w:val="none"/>
              </w:rPr>
              <w:t>大气环境保护措施</w:t>
            </w:r>
          </w:p>
          <w:p w14:paraId="31E860BA">
            <w:pPr>
              <w:pStyle w:val="3"/>
              <w:ind w:firstLine="420"/>
              <w:rPr>
                <w:color w:val="auto"/>
                <w:sz w:val="21"/>
                <w:highlight w:val="none"/>
              </w:rPr>
            </w:pPr>
            <w:r>
              <w:rPr>
                <w:rFonts w:hint="eastAsia"/>
                <w:color w:val="auto"/>
                <w:sz w:val="21"/>
                <w:highlight w:val="none"/>
              </w:rPr>
              <w:t>本项目在施工期对环境空气的影响主要为：钻井期和试油期柴油机尾气、施工机械尾气、伴生气燃放废气、试油期烃类无组织废气以及施工扬尘。</w:t>
            </w:r>
          </w:p>
          <w:p w14:paraId="3AD38BC6">
            <w:pPr>
              <w:pStyle w:val="71"/>
              <w:numPr>
                <w:ilvl w:val="0"/>
                <w:numId w:val="52"/>
              </w:numPr>
              <w:spacing w:line="332" w:lineRule="auto"/>
              <w:ind w:firstLine="420" w:firstLineChars="200"/>
              <w:rPr>
                <w:color w:val="auto"/>
                <w:highlight w:val="none"/>
              </w:rPr>
            </w:pPr>
            <w:r>
              <w:rPr>
                <w:rFonts w:hint="eastAsia"/>
                <w:color w:val="auto"/>
                <w:highlight w:val="none"/>
              </w:rPr>
              <w:t>柴油机烟气和汽车尾气的影响分析</w:t>
            </w:r>
          </w:p>
          <w:p w14:paraId="60A6115B">
            <w:pPr>
              <w:pStyle w:val="3"/>
              <w:ind w:firstLine="420"/>
              <w:rPr>
                <w:color w:val="auto"/>
                <w:sz w:val="21"/>
                <w:highlight w:val="none"/>
              </w:rPr>
            </w:pPr>
            <w:r>
              <w:rPr>
                <w:rFonts w:hint="eastAsia"/>
                <w:color w:val="auto"/>
                <w:sz w:val="21"/>
                <w:highlight w:val="none"/>
              </w:rPr>
              <w:t>项目施工、试油过程中均使用符合国家标准的燃料，提高效率，减少污染物排放，项目施工、试油期较短，且周边地域空旷，扩散条件良好。施工、试油期废气排放时段较为集中，且属于阶段性排放源，随项目工程的结束影响随之结束，对周围环境影响较小。</w:t>
            </w:r>
          </w:p>
          <w:p w14:paraId="5DF4B583">
            <w:pPr>
              <w:pStyle w:val="71"/>
              <w:numPr>
                <w:ilvl w:val="0"/>
                <w:numId w:val="52"/>
              </w:numPr>
              <w:spacing w:line="332" w:lineRule="auto"/>
              <w:ind w:firstLine="420" w:firstLineChars="200"/>
              <w:rPr>
                <w:color w:val="auto"/>
                <w:highlight w:val="none"/>
              </w:rPr>
            </w:pPr>
            <w:r>
              <w:rPr>
                <w:rFonts w:hint="eastAsia"/>
                <w:color w:val="auto"/>
                <w:highlight w:val="none"/>
              </w:rPr>
              <w:t>伴生气燃放废气的影响分析</w:t>
            </w:r>
          </w:p>
          <w:p w14:paraId="0FE43A2F">
            <w:pPr>
              <w:pStyle w:val="3"/>
              <w:ind w:firstLine="420"/>
              <w:rPr>
                <w:color w:val="auto"/>
                <w:sz w:val="21"/>
                <w:highlight w:val="none"/>
              </w:rPr>
            </w:pPr>
            <w:r>
              <w:rPr>
                <w:rFonts w:hint="eastAsia"/>
                <w:color w:val="auto"/>
                <w:sz w:val="21"/>
                <w:highlight w:val="none"/>
              </w:rPr>
              <w:t>本工程试油期，伴生气能满足点火条件的通过放喷管线引入放喷池燃烧，不满足点火条件的通过放喷管排放，属于阶段性排放，随着试油的结束而停止排放。伴生气燃放属短时偶发工况，且伴生气为天然气，燃烧后污染物较少，对环境影响小。</w:t>
            </w:r>
          </w:p>
          <w:p w14:paraId="4198DD83">
            <w:pPr>
              <w:pStyle w:val="71"/>
              <w:numPr>
                <w:ilvl w:val="0"/>
                <w:numId w:val="52"/>
              </w:numPr>
              <w:spacing w:line="332" w:lineRule="auto"/>
              <w:ind w:firstLine="420" w:firstLineChars="200"/>
              <w:rPr>
                <w:color w:val="auto"/>
                <w:highlight w:val="none"/>
              </w:rPr>
            </w:pPr>
            <w:r>
              <w:rPr>
                <w:rFonts w:hint="eastAsia"/>
                <w:color w:val="auto"/>
                <w:highlight w:val="none"/>
              </w:rPr>
              <w:t>扬尘的影响分析</w:t>
            </w:r>
          </w:p>
          <w:p w14:paraId="2076CC86">
            <w:pPr>
              <w:pStyle w:val="3"/>
              <w:ind w:firstLine="420"/>
              <w:rPr>
                <w:color w:val="auto"/>
                <w:sz w:val="21"/>
                <w:highlight w:val="none"/>
              </w:rPr>
            </w:pPr>
            <w:r>
              <w:rPr>
                <w:rFonts w:hint="eastAsia"/>
                <w:color w:val="auto"/>
                <w:sz w:val="21"/>
                <w:highlight w:val="none"/>
              </w:rPr>
              <w:t>项目施工过程中，车辆运输及井场基础建设均会产生扬尘污染，施工现场采取洒水、围挡措施，物料集中堆放采取遮盖，车辆不要装载过满并采取密闭或者遮盖等措施后可以有效地抑制扬尘，对周围环境影响较小。</w:t>
            </w:r>
          </w:p>
          <w:p w14:paraId="0890F3AB">
            <w:pPr>
              <w:pStyle w:val="71"/>
              <w:numPr>
                <w:ilvl w:val="0"/>
                <w:numId w:val="52"/>
              </w:numPr>
              <w:spacing w:line="332" w:lineRule="auto"/>
              <w:ind w:firstLine="420" w:firstLineChars="200"/>
              <w:rPr>
                <w:color w:val="auto"/>
                <w:highlight w:val="none"/>
              </w:rPr>
            </w:pPr>
            <w:r>
              <w:rPr>
                <w:rFonts w:hint="eastAsia"/>
                <w:color w:val="auto"/>
                <w:highlight w:val="none"/>
              </w:rPr>
              <w:t>试油期烃类无组织废气</w:t>
            </w:r>
          </w:p>
          <w:p w14:paraId="3BE0A96F">
            <w:pPr>
              <w:pStyle w:val="3"/>
              <w:ind w:firstLine="420"/>
              <w:rPr>
                <w:color w:val="auto"/>
                <w:sz w:val="21"/>
                <w:highlight w:val="none"/>
              </w:rPr>
            </w:pPr>
            <w:r>
              <w:rPr>
                <w:rFonts w:hint="eastAsia"/>
                <w:color w:val="auto"/>
                <w:sz w:val="21"/>
                <w:highlight w:val="none"/>
              </w:rPr>
              <w:t>试油期采出液储存、转移、输送过程中会产生一定量的VOCs排放，属于阶段性排放，随着试油的结束而停止排放。经计算，本项目试油期无组织非甲烷总烃排放量较小，类比同类井场数据，试油井场的厂界非甲烷总烃浓度能够满足《陆上石油天然气开采工业大气污染物排放标准》（GB 39728-2020）中的无组织排放浓度限值（4.0mg/m</w:t>
            </w:r>
            <w:r>
              <w:rPr>
                <w:rFonts w:hint="eastAsia"/>
                <w:color w:val="auto"/>
                <w:sz w:val="21"/>
                <w:highlight w:val="none"/>
                <w:vertAlign w:val="superscript"/>
              </w:rPr>
              <w:t>3</w:t>
            </w:r>
            <w:r>
              <w:rPr>
                <w:rFonts w:hint="eastAsia"/>
                <w:color w:val="auto"/>
                <w:sz w:val="21"/>
                <w:highlight w:val="none"/>
              </w:rPr>
              <w:t>）。在保证设施正常运行，采用密闭流程，加强管理的前提下，试油期无组织烃类废气不会对区域环境空气产生明显影响。</w:t>
            </w:r>
          </w:p>
          <w:p w14:paraId="34D0D7A6">
            <w:pPr>
              <w:pStyle w:val="3"/>
              <w:numPr>
                <w:ilvl w:val="0"/>
                <w:numId w:val="43"/>
              </w:numPr>
              <w:spacing w:line="332" w:lineRule="auto"/>
              <w:ind w:firstLine="420"/>
              <w:rPr>
                <w:color w:val="auto"/>
                <w:sz w:val="21"/>
                <w:highlight w:val="none"/>
              </w:rPr>
            </w:pPr>
            <w:r>
              <w:rPr>
                <w:rFonts w:hint="eastAsia"/>
                <w:color w:val="auto"/>
                <w:sz w:val="21"/>
                <w:highlight w:val="none"/>
              </w:rPr>
              <w:t>水环境保护措施</w:t>
            </w:r>
          </w:p>
          <w:p w14:paraId="4AEDCA5B">
            <w:pPr>
              <w:pStyle w:val="71"/>
              <w:numPr>
                <w:ilvl w:val="0"/>
                <w:numId w:val="53"/>
              </w:numPr>
              <w:spacing w:line="332" w:lineRule="auto"/>
              <w:ind w:firstLine="420" w:firstLineChars="200"/>
              <w:rPr>
                <w:color w:val="auto"/>
                <w:highlight w:val="none"/>
              </w:rPr>
            </w:pPr>
            <w:r>
              <w:rPr>
                <w:rFonts w:hint="eastAsia"/>
                <w:color w:val="auto"/>
                <w:highlight w:val="none"/>
              </w:rPr>
              <w:t>井下作业废液、压裂返排液</w:t>
            </w:r>
          </w:p>
          <w:p w14:paraId="1F78D0BD">
            <w:pPr>
              <w:pStyle w:val="3"/>
              <w:ind w:firstLine="420"/>
              <w:rPr>
                <w:color w:val="auto"/>
                <w:sz w:val="21"/>
                <w:highlight w:val="none"/>
              </w:rPr>
            </w:pPr>
            <w:r>
              <w:rPr>
                <w:rFonts w:hint="eastAsia"/>
                <w:color w:val="auto"/>
                <w:sz w:val="21"/>
                <w:highlight w:val="none"/>
              </w:rPr>
              <w:t>本项目井下作业废液、压裂返排液定期由罐车拉运至</w:t>
            </w:r>
            <w:r>
              <w:rPr>
                <w:rFonts w:hint="eastAsia"/>
                <w:color w:val="auto"/>
                <w:sz w:val="21"/>
                <w:highlight w:val="none"/>
                <w:lang w:eastAsia="zh-CN"/>
              </w:rPr>
              <w:t>春风联合站</w:t>
            </w:r>
            <w:r>
              <w:rPr>
                <w:rFonts w:hint="eastAsia"/>
                <w:color w:val="auto"/>
                <w:sz w:val="21"/>
                <w:highlight w:val="none"/>
              </w:rPr>
              <w:t>采出水处理系统处理，最终用于回注水开发利用，不外排。回注水须满足《碎屑岩油藏注水水质指标技术要求及分析方法》（SY/T 5329-2022）对应储层空气渗透率下的水质主要控制指标。</w:t>
            </w:r>
          </w:p>
          <w:p w14:paraId="78ECA7AA">
            <w:pPr>
              <w:pStyle w:val="71"/>
              <w:numPr>
                <w:ilvl w:val="0"/>
                <w:numId w:val="53"/>
              </w:numPr>
              <w:spacing w:line="332" w:lineRule="auto"/>
              <w:ind w:firstLine="420" w:firstLineChars="200"/>
              <w:rPr>
                <w:color w:val="auto"/>
                <w:highlight w:val="none"/>
              </w:rPr>
            </w:pPr>
            <w:r>
              <w:rPr>
                <w:rFonts w:hint="eastAsia"/>
                <w:color w:val="auto"/>
                <w:highlight w:val="none"/>
              </w:rPr>
              <w:t>生活污水</w:t>
            </w:r>
          </w:p>
          <w:p w14:paraId="29E93020">
            <w:pPr>
              <w:pStyle w:val="3"/>
              <w:ind w:firstLine="420"/>
              <w:rPr>
                <w:color w:val="auto"/>
                <w:sz w:val="21"/>
                <w:highlight w:val="none"/>
              </w:rPr>
            </w:pPr>
            <w:r>
              <w:rPr>
                <w:rFonts w:hint="eastAsia"/>
                <w:color w:val="auto"/>
                <w:sz w:val="21"/>
                <w:highlight w:val="none"/>
              </w:rPr>
              <w:t>新建1座环保厕所（有效纳污容积为6m</w:t>
            </w:r>
            <w:r>
              <w:rPr>
                <w:rFonts w:hint="eastAsia"/>
                <w:color w:val="auto"/>
                <w:sz w:val="21"/>
                <w:highlight w:val="none"/>
                <w:vertAlign w:val="superscript"/>
              </w:rPr>
              <w:t>3</w:t>
            </w:r>
            <w:r>
              <w:rPr>
                <w:rFonts w:hint="eastAsia"/>
                <w:color w:val="auto"/>
                <w:sz w:val="21"/>
                <w:highlight w:val="none"/>
              </w:rPr>
              <w:t>）和1座50m</w:t>
            </w:r>
            <w:r>
              <w:rPr>
                <w:rFonts w:hint="eastAsia"/>
                <w:color w:val="auto"/>
                <w:sz w:val="21"/>
                <w:highlight w:val="none"/>
                <w:vertAlign w:val="superscript"/>
              </w:rPr>
              <w:t>3</w:t>
            </w:r>
            <w:r>
              <w:rPr>
                <w:rFonts w:hint="eastAsia"/>
                <w:color w:val="auto"/>
                <w:sz w:val="21"/>
                <w:highlight w:val="none"/>
              </w:rPr>
              <w:t>生活污水收集罐。</w:t>
            </w:r>
          </w:p>
          <w:p w14:paraId="71E80FC4">
            <w:pPr>
              <w:pStyle w:val="3"/>
              <w:ind w:firstLine="420"/>
              <w:rPr>
                <w:color w:val="auto"/>
                <w:sz w:val="21"/>
                <w:highlight w:val="none"/>
              </w:rPr>
            </w:pPr>
            <w:r>
              <w:rPr>
                <w:rFonts w:hint="eastAsia"/>
                <w:color w:val="auto"/>
                <w:sz w:val="21"/>
                <w:highlight w:val="none"/>
                <w:lang w:val="en-US" w:eastAsia="zh-CN"/>
              </w:rPr>
              <w:t>生活污水排入环保厕所和生活污水收集罐，</w:t>
            </w:r>
            <w:r>
              <w:rPr>
                <w:rFonts w:hint="eastAsia"/>
                <w:color w:val="auto"/>
                <w:sz w:val="21"/>
                <w:highlight w:val="none"/>
              </w:rPr>
              <w:t>定期由新疆熙祥运输公司拉运至五家渠城华市政六运湖分公司</w:t>
            </w:r>
            <w:r>
              <w:rPr>
                <w:rFonts w:hint="eastAsia"/>
                <w:color w:val="auto"/>
                <w:sz w:val="21"/>
                <w:highlight w:val="none"/>
                <w:lang w:val="en-US" w:eastAsia="zh-CN"/>
              </w:rPr>
              <w:t>污水处理厂</w:t>
            </w:r>
            <w:r>
              <w:rPr>
                <w:rFonts w:hint="eastAsia"/>
                <w:color w:val="auto"/>
                <w:sz w:val="21"/>
                <w:highlight w:val="none"/>
              </w:rPr>
              <w:t>处理。</w:t>
            </w:r>
          </w:p>
          <w:p w14:paraId="6EB1D1BB">
            <w:pPr>
              <w:pStyle w:val="71"/>
              <w:numPr>
                <w:ilvl w:val="0"/>
                <w:numId w:val="53"/>
              </w:numPr>
              <w:spacing w:line="332" w:lineRule="auto"/>
              <w:ind w:firstLine="420" w:firstLineChars="200"/>
              <w:rPr>
                <w:color w:val="auto"/>
                <w:highlight w:val="none"/>
              </w:rPr>
            </w:pPr>
            <w:r>
              <w:rPr>
                <w:rFonts w:hint="eastAsia"/>
                <w:color w:val="auto"/>
                <w:highlight w:val="none"/>
              </w:rPr>
              <w:t>地下水及土壤污染防治措施</w:t>
            </w:r>
          </w:p>
          <w:p w14:paraId="36C7D2C5">
            <w:pPr>
              <w:pStyle w:val="73"/>
              <w:numPr>
                <w:ilvl w:val="0"/>
                <w:numId w:val="54"/>
              </w:numPr>
              <w:ind w:firstLine="420" w:firstLineChars="200"/>
              <w:rPr>
                <w:color w:val="auto"/>
                <w:highlight w:val="none"/>
              </w:rPr>
            </w:pPr>
            <w:r>
              <w:rPr>
                <w:rFonts w:hint="eastAsia"/>
                <w:color w:val="auto"/>
                <w:highlight w:val="none"/>
              </w:rPr>
              <w:t>本项目无废水排入外环境，同时本次钻井过程中采用套管与地层隔离开，并在套管与地层之间注入水泥进行固井，水泥浆返至地面，封隔疏松地层和水层。套管的深度远远超出本区域地下水含水层深度，有效隔断了油井与含水层之间的联系，可保护地下水环境不受污染。试油目的层与地下水处于不同层系，在施工过程中确保套管下入指定深度，保证固井质量合格，可以有效控制钻井液在地层中的漏失，减轻对地下水环境的影响。</w:t>
            </w:r>
          </w:p>
          <w:p w14:paraId="2AED8F55">
            <w:pPr>
              <w:pStyle w:val="73"/>
              <w:numPr>
                <w:ilvl w:val="0"/>
                <w:numId w:val="54"/>
              </w:numPr>
              <w:ind w:firstLine="420" w:firstLineChars="200"/>
              <w:rPr>
                <w:color w:val="auto"/>
                <w:highlight w:val="none"/>
              </w:rPr>
            </w:pPr>
            <w:r>
              <w:rPr>
                <w:rFonts w:hint="eastAsia"/>
                <w:color w:val="auto"/>
                <w:highlight w:val="none"/>
              </w:rPr>
              <w:t>根据《环境影响评价技术导则 地下水环境》（HJ 610-2016），本项目通过采取分区防渗措施，加强井场防渗等级，避免钻井工程污染物入渗土壤及地下水环境。按照《环境影响评价技术导则 地下水环境》（HJ 610-2016）标准中典型污染防治分区表，本项目分为重点防渗区、一般防渗区和简单防渗区。</w:t>
            </w:r>
          </w:p>
          <w:p w14:paraId="76A07975">
            <w:pPr>
              <w:pStyle w:val="73"/>
              <w:numPr>
                <w:ilvl w:val="0"/>
                <w:numId w:val="54"/>
              </w:numPr>
              <w:ind w:firstLine="420" w:firstLineChars="200"/>
              <w:rPr>
                <w:color w:val="auto"/>
                <w:highlight w:val="none"/>
              </w:rPr>
            </w:pPr>
            <w:r>
              <w:rPr>
                <w:rFonts w:hint="eastAsia"/>
                <w:color w:val="auto"/>
                <w:highlight w:val="none"/>
              </w:rPr>
              <w:t>严格控制施工期临时占地面积，按设计及规划的施工范围进行施工作业，减少土壤扰动；试油作业时采用船形围堰，防止产生落地原油，防止落地油散落地面污染土壤和地下水；定期检查储罐罐体、施工车带罐作业等，避免形成落地油；发生土壤污染事件，及时对受污染土壤进行收集处理，最终委托有资质单位处理。</w:t>
            </w:r>
          </w:p>
          <w:p w14:paraId="05606595">
            <w:pPr>
              <w:pStyle w:val="3"/>
              <w:numPr>
                <w:ilvl w:val="0"/>
                <w:numId w:val="43"/>
              </w:numPr>
              <w:spacing w:line="332" w:lineRule="auto"/>
              <w:ind w:firstLine="420"/>
              <w:rPr>
                <w:color w:val="auto"/>
                <w:sz w:val="21"/>
                <w:highlight w:val="none"/>
              </w:rPr>
            </w:pPr>
            <w:r>
              <w:rPr>
                <w:rFonts w:hint="eastAsia"/>
                <w:color w:val="auto"/>
                <w:sz w:val="21"/>
                <w:highlight w:val="none"/>
              </w:rPr>
              <w:t>声环境保护措施</w:t>
            </w:r>
          </w:p>
          <w:p w14:paraId="5E25C424">
            <w:pPr>
              <w:pStyle w:val="3"/>
              <w:ind w:firstLine="420"/>
              <w:rPr>
                <w:color w:val="auto"/>
                <w:sz w:val="21"/>
                <w:highlight w:val="none"/>
              </w:rPr>
            </w:pPr>
            <w:r>
              <w:rPr>
                <w:rFonts w:hint="eastAsia"/>
                <w:color w:val="auto"/>
                <w:sz w:val="21"/>
                <w:highlight w:val="none"/>
              </w:rPr>
              <w:t>经现场踏勘，本项目拟建井场50m范围内无噪声敏感目标，施工单位应参照《建筑施工噪声排放标准》(GB 12523-2025)的要求进行施工，并采取以下措施：</w:t>
            </w:r>
          </w:p>
          <w:p w14:paraId="69E29010">
            <w:pPr>
              <w:pStyle w:val="71"/>
              <w:numPr>
                <w:ilvl w:val="0"/>
                <w:numId w:val="55"/>
              </w:numPr>
              <w:spacing w:line="332" w:lineRule="auto"/>
              <w:ind w:firstLine="420" w:firstLineChars="200"/>
              <w:rPr>
                <w:color w:val="auto"/>
                <w:highlight w:val="none"/>
              </w:rPr>
            </w:pPr>
            <w:r>
              <w:rPr>
                <w:rFonts w:hint="eastAsia"/>
                <w:color w:val="auto"/>
                <w:highlight w:val="none"/>
              </w:rPr>
              <w:t>合理布局钻井现场，将高噪声设备布置在远离井场生活区，尽量选用低噪声设备。</w:t>
            </w:r>
          </w:p>
          <w:p w14:paraId="33BDA0BC">
            <w:pPr>
              <w:pStyle w:val="71"/>
              <w:numPr>
                <w:ilvl w:val="0"/>
                <w:numId w:val="55"/>
              </w:numPr>
              <w:spacing w:line="332" w:lineRule="auto"/>
              <w:ind w:firstLine="420" w:firstLineChars="200"/>
              <w:rPr>
                <w:color w:val="auto"/>
                <w:highlight w:val="none"/>
              </w:rPr>
            </w:pPr>
            <w:r>
              <w:rPr>
                <w:rFonts w:hint="eastAsia"/>
                <w:color w:val="auto"/>
                <w:highlight w:val="none"/>
              </w:rPr>
              <w:t>制定施工计划时，尽可能避免大量高噪声设备同时施工。</w:t>
            </w:r>
          </w:p>
          <w:p w14:paraId="0CCC2DDB">
            <w:pPr>
              <w:pStyle w:val="71"/>
              <w:numPr>
                <w:ilvl w:val="0"/>
                <w:numId w:val="55"/>
              </w:numPr>
              <w:spacing w:line="332" w:lineRule="auto"/>
              <w:ind w:firstLine="420" w:firstLineChars="200"/>
              <w:rPr>
                <w:color w:val="auto"/>
                <w:highlight w:val="none"/>
              </w:rPr>
            </w:pPr>
            <w:r>
              <w:rPr>
                <w:rFonts w:hint="eastAsia"/>
                <w:color w:val="auto"/>
                <w:highlight w:val="none"/>
              </w:rPr>
              <w:t>加强施工管理和设备维护，发现设备存在的问题及时维修，保证设备正常运转；整体设备要安放稳固，并与地面保持良好接触，有条件的应使用减振机座，柴油机、发电机和各种机泵等要安装消声隔声设施，最大限度地降低噪声源的噪声。</w:t>
            </w:r>
          </w:p>
          <w:p w14:paraId="1007F112">
            <w:pPr>
              <w:pStyle w:val="71"/>
              <w:numPr>
                <w:ilvl w:val="0"/>
                <w:numId w:val="55"/>
              </w:numPr>
              <w:spacing w:line="332" w:lineRule="auto"/>
              <w:ind w:firstLine="420" w:firstLineChars="200"/>
              <w:rPr>
                <w:color w:val="auto"/>
                <w:highlight w:val="none"/>
              </w:rPr>
            </w:pPr>
            <w:r>
              <w:rPr>
                <w:rFonts w:hint="eastAsia"/>
                <w:color w:val="auto"/>
                <w:highlight w:val="none"/>
              </w:rPr>
              <w:t>加强对运输车辆的管理及疏导，尽量压缩施工区汽车数量和行车密度，控制汽车鸣笛。</w:t>
            </w:r>
          </w:p>
          <w:p w14:paraId="1BB7F018">
            <w:pPr>
              <w:pStyle w:val="3"/>
              <w:ind w:firstLine="420"/>
              <w:rPr>
                <w:color w:val="auto"/>
                <w:sz w:val="21"/>
                <w:highlight w:val="none"/>
              </w:rPr>
            </w:pPr>
            <w:r>
              <w:rPr>
                <w:rFonts w:hint="eastAsia"/>
                <w:color w:val="auto"/>
                <w:sz w:val="21"/>
                <w:highlight w:val="none"/>
              </w:rPr>
              <w:t>由于钻井期和试油期较短，施工噪声随钻井和试油结束即可消失，通过采取上述措施后，项目施工期噪声能够满足《建筑施工噪声排放标准》(GB 12523-2025)的要求。因此，施工机械产生噪声对周围环境的影响较小。</w:t>
            </w:r>
          </w:p>
          <w:p w14:paraId="7A82972A">
            <w:pPr>
              <w:pStyle w:val="3"/>
              <w:numPr>
                <w:ilvl w:val="0"/>
                <w:numId w:val="43"/>
              </w:numPr>
              <w:spacing w:line="332" w:lineRule="auto"/>
              <w:ind w:firstLine="420"/>
              <w:rPr>
                <w:color w:val="auto"/>
                <w:sz w:val="21"/>
                <w:highlight w:val="none"/>
              </w:rPr>
            </w:pPr>
            <w:r>
              <w:rPr>
                <w:rFonts w:hint="eastAsia"/>
                <w:color w:val="auto"/>
                <w:sz w:val="21"/>
                <w:highlight w:val="none"/>
              </w:rPr>
              <w:t>固体废物处置措施</w:t>
            </w:r>
          </w:p>
          <w:p w14:paraId="7EEE2D46">
            <w:pPr>
              <w:pStyle w:val="71"/>
              <w:numPr>
                <w:ilvl w:val="0"/>
                <w:numId w:val="56"/>
              </w:numPr>
              <w:spacing w:line="332" w:lineRule="auto"/>
              <w:ind w:firstLine="420" w:firstLineChars="200"/>
              <w:rPr>
                <w:color w:val="auto"/>
                <w:highlight w:val="none"/>
              </w:rPr>
            </w:pPr>
            <w:r>
              <w:rPr>
                <w:rFonts w:hint="eastAsia"/>
                <w:color w:val="auto"/>
                <w:highlight w:val="none"/>
              </w:rPr>
              <w:t>钻井固废影响分析</w:t>
            </w:r>
          </w:p>
          <w:p w14:paraId="124BE2EC">
            <w:pPr>
              <w:pStyle w:val="3"/>
              <w:ind w:firstLine="420"/>
              <w:rPr>
                <w:color w:val="auto"/>
                <w:sz w:val="21"/>
                <w:highlight w:val="none"/>
              </w:rPr>
            </w:pPr>
            <w:r>
              <w:rPr>
                <w:rFonts w:hint="eastAsia"/>
                <w:color w:val="auto"/>
                <w:sz w:val="21"/>
                <w:highlight w:val="none"/>
              </w:rPr>
              <w:t>钻井固废采用“泥浆不落地”系统。</w:t>
            </w:r>
          </w:p>
          <w:p w14:paraId="044D4165">
            <w:pPr>
              <w:pStyle w:val="3"/>
              <w:ind w:firstLine="420"/>
              <w:rPr>
                <w:color w:val="auto"/>
                <w:sz w:val="21"/>
                <w:highlight w:val="none"/>
              </w:rPr>
            </w:pPr>
            <w:r>
              <w:rPr>
                <w:rFonts w:hint="eastAsia"/>
                <w:color w:val="auto"/>
                <w:sz w:val="21"/>
                <w:highlight w:val="none"/>
              </w:rPr>
              <w:t>导管、一开、二开井段产生的钻井固废集中拉运至</w:t>
            </w:r>
            <w:r>
              <w:rPr>
                <w:rFonts w:hint="eastAsia"/>
                <w:color w:val="auto"/>
                <w:sz w:val="21"/>
                <w:highlight w:val="none"/>
                <w:lang w:eastAsia="zh-CN"/>
              </w:rPr>
              <w:t>山东奥友环保工程有限责任公司乌苏分公司</w:t>
            </w:r>
            <w:r>
              <w:rPr>
                <w:rFonts w:hint="eastAsia"/>
                <w:color w:val="auto"/>
                <w:sz w:val="21"/>
                <w:highlight w:val="none"/>
              </w:rPr>
              <w:t>处理；钻井固废检测达到《油气田钻井固体废物综合利用污染控制要求》（DB65/T 3997-2017）相关标准限值后用于油田区块铺路、铺垫井场综合利用，未达标的产物将进入处置系统再次进行处理，不得随意排放。三开产生的钻井固废（HW08 071-002-08）属于危险废物，委托有资质单位清运处置。</w:t>
            </w:r>
          </w:p>
          <w:p w14:paraId="22D26203">
            <w:pPr>
              <w:pStyle w:val="71"/>
              <w:numPr>
                <w:ilvl w:val="0"/>
                <w:numId w:val="56"/>
              </w:numPr>
              <w:spacing w:line="332" w:lineRule="auto"/>
              <w:ind w:firstLine="420" w:firstLineChars="200"/>
              <w:rPr>
                <w:color w:val="auto"/>
                <w:highlight w:val="none"/>
              </w:rPr>
            </w:pPr>
            <w:r>
              <w:rPr>
                <w:rFonts w:hint="eastAsia"/>
                <w:color w:val="auto"/>
                <w:highlight w:val="none"/>
              </w:rPr>
              <w:t>生活垃圾影响分析</w:t>
            </w:r>
          </w:p>
          <w:p w14:paraId="7C06C7E8">
            <w:pPr>
              <w:pStyle w:val="3"/>
              <w:ind w:firstLine="420"/>
              <w:rPr>
                <w:color w:val="auto"/>
                <w:sz w:val="21"/>
                <w:highlight w:val="none"/>
              </w:rPr>
            </w:pPr>
            <w:r>
              <w:rPr>
                <w:rFonts w:hint="eastAsia"/>
                <w:color w:val="auto"/>
                <w:sz w:val="21"/>
                <w:highlight w:val="none"/>
              </w:rPr>
              <w:t>新建1个生活垃圾收集箱，用于生活垃圾的临时储存，定期拉运至阜康市</w:t>
            </w:r>
            <w:r>
              <w:rPr>
                <w:rFonts w:hint="eastAsia"/>
                <w:color w:val="auto"/>
                <w:sz w:val="21"/>
                <w:highlight w:val="none"/>
                <w:lang w:val="en-US" w:eastAsia="zh-CN"/>
              </w:rPr>
              <w:t>宏翔环境卫生服务有限公司阜康市生活垃圾填埋场</w:t>
            </w:r>
            <w:r>
              <w:rPr>
                <w:rFonts w:hint="eastAsia"/>
                <w:color w:val="auto"/>
                <w:sz w:val="21"/>
                <w:highlight w:val="none"/>
              </w:rPr>
              <w:t>处理。</w:t>
            </w:r>
          </w:p>
          <w:p w14:paraId="2B2FFFAD">
            <w:pPr>
              <w:pStyle w:val="71"/>
              <w:numPr>
                <w:ilvl w:val="0"/>
                <w:numId w:val="56"/>
              </w:numPr>
              <w:spacing w:line="332" w:lineRule="auto"/>
              <w:ind w:firstLine="420" w:firstLineChars="200"/>
              <w:rPr>
                <w:color w:val="auto"/>
                <w:highlight w:val="none"/>
              </w:rPr>
            </w:pPr>
            <w:r>
              <w:rPr>
                <w:rFonts w:hint="eastAsia"/>
                <w:color w:val="auto"/>
                <w:highlight w:val="none"/>
              </w:rPr>
              <w:t>其他危险废物影响分析</w:t>
            </w:r>
          </w:p>
          <w:p w14:paraId="6B705501">
            <w:pPr>
              <w:pStyle w:val="3"/>
              <w:ind w:firstLine="420"/>
              <w:rPr>
                <w:color w:val="auto"/>
                <w:sz w:val="21"/>
                <w:highlight w:val="none"/>
              </w:rPr>
            </w:pPr>
            <w:r>
              <w:rPr>
                <w:rFonts w:hint="eastAsia"/>
                <w:color w:val="auto"/>
                <w:sz w:val="21"/>
                <w:highlight w:val="none"/>
              </w:rPr>
              <w:t>新建1处危废贮存点，面积为10m</w:t>
            </w:r>
            <w:r>
              <w:rPr>
                <w:rFonts w:hint="eastAsia"/>
                <w:color w:val="auto"/>
                <w:sz w:val="21"/>
                <w:highlight w:val="none"/>
                <w:vertAlign w:val="superscript"/>
              </w:rPr>
              <w:t>2</w:t>
            </w:r>
            <w:r>
              <w:rPr>
                <w:rFonts w:hint="eastAsia"/>
                <w:color w:val="auto"/>
                <w:sz w:val="21"/>
                <w:highlight w:val="none"/>
              </w:rPr>
              <w:t>，选址远离油罐等危险区域，按照《危险废物贮存污染控制标准》（GB 18597-2023）建设，危险废物贮存点内分区暂存各类危险废物。</w:t>
            </w:r>
          </w:p>
          <w:p w14:paraId="4F79FA4D">
            <w:pPr>
              <w:pStyle w:val="3"/>
              <w:ind w:firstLine="420"/>
              <w:rPr>
                <w:color w:val="auto"/>
                <w:sz w:val="21"/>
                <w:highlight w:val="none"/>
              </w:rPr>
            </w:pPr>
            <w:r>
              <w:rPr>
                <w:rFonts w:hint="eastAsia"/>
                <w:color w:val="auto"/>
                <w:sz w:val="21"/>
                <w:highlight w:val="none"/>
              </w:rPr>
              <w:t>使用过程中如产生不可利用的废防渗材料（HW08 900-249-08）、废润滑油（HW08 900-217-08）、废润滑油桶（HW08 900-249-08）、沾染有毒有害物质的</w:t>
            </w:r>
            <w:r>
              <w:rPr>
                <w:rFonts w:hint="eastAsia"/>
                <w:color w:val="auto"/>
                <w:sz w:val="21"/>
                <w:highlight w:val="none"/>
                <w:lang w:val="en-US" w:eastAsia="zh-CN"/>
              </w:rPr>
              <w:t>废弃包装物</w:t>
            </w:r>
            <w:r>
              <w:rPr>
                <w:rFonts w:hint="eastAsia"/>
                <w:color w:val="auto"/>
                <w:sz w:val="21"/>
                <w:highlight w:val="none"/>
              </w:rPr>
              <w:t>（HW49 900-041-49）、废弃的含油抹布、劳保用品（HW49</w:t>
            </w:r>
            <w:r>
              <w:rPr>
                <w:rFonts w:hint="eastAsia"/>
                <w:color w:val="auto"/>
                <w:sz w:val="21"/>
                <w:highlight w:val="none"/>
                <w:lang w:val="en-US" w:eastAsia="zh-CN"/>
              </w:rPr>
              <w:t xml:space="preserve"> </w:t>
            </w:r>
            <w:r>
              <w:rPr>
                <w:rFonts w:hint="eastAsia"/>
                <w:color w:val="auto"/>
                <w:sz w:val="21"/>
                <w:highlight w:val="none"/>
              </w:rPr>
              <w:t>900-041-49），前述危险废物暂存于危废贮存点，定期委托有资质单位处置。</w:t>
            </w:r>
          </w:p>
          <w:p w14:paraId="15844E64">
            <w:pPr>
              <w:pStyle w:val="3"/>
              <w:ind w:firstLine="420"/>
              <w:rPr>
                <w:color w:val="auto"/>
                <w:sz w:val="21"/>
                <w:highlight w:val="none"/>
              </w:rPr>
            </w:pPr>
            <w:r>
              <w:rPr>
                <w:rFonts w:hint="eastAsia"/>
                <w:color w:val="auto"/>
                <w:sz w:val="21"/>
                <w:highlight w:val="none"/>
              </w:rPr>
              <w:t>未沾染有毒有害物质的防渗材料循环利用，未沾染有毒有害物质的</w:t>
            </w:r>
            <w:r>
              <w:rPr>
                <w:rFonts w:hint="eastAsia"/>
                <w:color w:val="auto"/>
                <w:sz w:val="21"/>
                <w:highlight w:val="none"/>
                <w:lang w:val="en-US" w:eastAsia="zh-CN"/>
              </w:rPr>
              <w:t>废弃包装物</w:t>
            </w:r>
            <w:r>
              <w:rPr>
                <w:rFonts w:hint="eastAsia"/>
                <w:color w:val="auto"/>
                <w:sz w:val="21"/>
                <w:highlight w:val="none"/>
              </w:rPr>
              <w:t>由厂家回收。</w:t>
            </w:r>
          </w:p>
          <w:p w14:paraId="0FC013D2">
            <w:pPr>
              <w:pStyle w:val="3"/>
              <w:numPr>
                <w:ilvl w:val="0"/>
                <w:numId w:val="43"/>
              </w:numPr>
              <w:spacing w:line="332" w:lineRule="auto"/>
              <w:ind w:firstLine="420"/>
              <w:rPr>
                <w:color w:val="auto"/>
                <w:sz w:val="21"/>
                <w:highlight w:val="none"/>
              </w:rPr>
            </w:pPr>
            <w:r>
              <w:rPr>
                <w:rFonts w:hint="eastAsia"/>
                <w:color w:val="auto"/>
                <w:sz w:val="21"/>
                <w:highlight w:val="none"/>
              </w:rPr>
              <w:t>风险防范措施</w:t>
            </w:r>
          </w:p>
          <w:p w14:paraId="56C50953">
            <w:pPr>
              <w:pStyle w:val="71"/>
              <w:numPr>
                <w:ilvl w:val="0"/>
                <w:numId w:val="57"/>
              </w:numPr>
              <w:spacing w:line="332" w:lineRule="auto"/>
              <w:ind w:firstLine="420" w:firstLineChars="200"/>
              <w:rPr>
                <w:color w:val="auto"/>
                <w:highlight w:val="none"/>
              </w:rPr>
            </w:pPr>
            <w:r>
              <w:rPr>
                <w:rFonts w:hint="eastAsia"/>
                <w:color w:val="auto"/>
                <w:highlight w:val="none"/>
              </w:rPr>
              <w:t>管理措施</w:t>
            </w:r>
          </w:p>
          <w:p w14:paraId="60038B2B">
            <w:pPr>
              <w:pStyle w:val="3"/>
              <w:ind w:firstLine="420"/>
              <w:rPr>
                <w:color w:val="auto"/>
                <w:sz w:val="21"/>
                <w:highlight w:val="none"/>
              </w:rPr>
            </w:pPr>
            <w:r>
              <w:rPr>
                <w:rFonts w:hint="eastAsia"/>
                <w:color w:val="auto"/>
                <w:sz w:val="21"/>
                <w:highlight w:val="none"/>
              </w:rPr>
              <w:t>建设单位以及施工钻井队结合行业作业规范，设置有专职安全环保管理人员，把安全、环境管理纳入生产管理的各个环节，为防止事故的发生起到非常积极的作用。</w:t>
            </w:r>
          </w:p>
          <w:p w14:paraId="02FEDE8C">
            <w:pPr>
              <w:pStyle w:val="3"/>
              <w:ind w:firstLine="420"/>
              <w:rPr>
                <w:color w:val="auto"/>
                <w:sz w:val="21"/>
                <w:highlight w:val="none"/>
              </w:rPr>
            </w:pPr>
            <w:r>
              <w:rPr>
                <w:rFonts w:hint="eastAsia"/>
                <w:color w:val="auto"/>
                <w:sz w:val="21"/>
                <w:highlight w:val="none"/>
              </w:rPr>
              <w:t>建设单位依托项目管理部门负责指导本项目的环境保护和安全工作，建立事故应急领导小组，设置抢险组、消防组、救护组、警戒组和环境保护组，负责整个工程的环境风险管理，建立与地方政府的环境风险应急联动机制。本项目按照二级井控要求落实好环境风险防范、应急措施以及管理措施。</w:t>
            </w:r>
          </w:p>
          <w:p w14:paraId="06AC3FE2">
            <w:pPr>
              <w:pStyle w:val="71"/>
              <w:numPr>
                <w:ilvl w:val="0"/>
                <w:numId w:val="57"/>
              </w:numPr>
              <w:spacing w:line="332" w:lineRule="auto"/>
              <w:ind w:firstLine="420" w:firstLineChars="200"/>
              <w:rPr>
                <w:color w:val="auto"/>
                <w:highlight w:val="none"/>
              </w:rPr>
            </w:pPr>
            <w:r>
              <w:rPr>
                <w:rFonts w:hint="eastAsia"/>
                <w:color w:val="auto"/>
                <w:highlight w:val="none"/>
              </w:rPr>
              <w:t>井喷失控风险防范措施</w:t>
            </w:r>
          </w:p>
          <w:p w14:paraId="191B7C3A">
            <w:pPr>
              <w:pStyle w:val="73"/>
              <w:numPr>
                <w:ilvl w:val="0"/>
                <w:numId w:val="58"/>
              </w:numPr>
              <w:ind w:firstLine="420" w:firstLineChars="200"/>
              <w:rPr>
                <w:color w:val="auto"/>
                <w:highlight w:val="none"/>
              </w:rPr>
            </w:pPr>
            <w:r>
              <w:rPr>
                <w:rFonts w:hint="eastAsia"/>
                <w:color w:val="auto"/>
                <w:highlight w:val="none"/>
              </w:rPr>
              <w:t>钻井工程中确保钻井液密度及其他性能符合设计要求，并按设计要求储备压井液、加重剂、堵漏材料和其他处理剂，储备加重钻井液定期循环处理，防止沉淀；准备一根防喷单根或防喷立柱（上端接旋塞），防喷单根（防喷立柱）在提下钻铤前，应置于坡道或便于快速取用的位置；各岗位必须按分工规定，对井控装置进行维护、保养、检查，保证井控装置及工具灵活好用，始终处于待命状态；落实溢流监测岗位、关井操作岗和钻井队干部24h值班制度；严格执行钻开油气层前的申报、审批制度以及程序。</w:t>
            </w:r>
          </w:p>
          <w:p w14:paraId="4E796D3D">
            <w:pPr>
              <w:pStyle w:val="73"/>
              <w:numPr>
                <w:ilvl w:val="0"/>
                <w:numId w:val="58"/>
              </w:numPr>
              <w:ind w:firstLine="420" w:firstLineChars="200"/>
              <w:rPr>
                <w:color w:val="auto"/>
                <w:highlight w:val="none"/>
              </w:rPr>
            </w:pPr>
            <w:r>
              <w:rPr>
                <w:rFonts w:hint="eastAsia"/>
                <w:color w:val="auto"/>
                <w:highlight w:val="none"/>
              </w:rPr>
              <w:t>钻进油层后：落实专人坐岗观察井口和循环池液面变化，发现溢流立即关井，疑似液流关井检查；加强溢流预兆显示的观察，及时发现溢流。坐岗人员发现溢流、井漏及油气显示等异常情况，应立即报告司钻；钻开油、气层后，每次起下钻（离上次活动时间间隔超过5d）对闸板防喷器及手动锁紧装置开关活动一次，定期对井控装置进行试压；起钻杆时每3～5柱向环空灌满钻井液，起钻铤要连续灌浆，做好记录、校对，若灌入钻井液量大于或小于灌入量，均应停止起钻作业，进行观察。如有溢流，应及时关井。如有井漏，应及时采取相应措施。起完钻要及时下钻，检修设备时应保持井内有一定数量的钻具，并安排专人观察出口罐钻井液返出情况。严禁在空井情况下检修设备；钻开油气层后，所有车辆应停放在距井口30m以外，必须进入距井口30m以内的车辆，应安装阻火器，车头朝外停放。</w:t>
            </w:r>
          </w:p>
          <w:p w14:paraId="2360A640">
            <w:pPr>
              <w:pStyle w:val="73"/>
              <w:numPr>
                <w:ilvl w:val="0"/>
                <w:numId w:val="58"/>
              </w:numPr>
              <w:ind w:firstLine="420" w:firstLineChars="200"/>
              <w:rPr>
                <w:color w:val="auto"/>
                <w:highlight w:val="none"/>
              </w:rPr>
            </w:pPr>
            <w:r>
              <w:rPr>
                <w:rFonts w:hint="eastAsia"/>
                <w:color w:val="auto"/>
                <w:highlight w:val="none"/>
              </w:rPr>
              <w:t>井喷事件发生时，通过放喷管线将井喷液体排放至池内，待事故结束后，对放喷池内物体进行清理，污染的土壤由有相应处理资质单位转运、处理。</w:t>
            </w:r>
          </w:p>
          <w:p w14:paraId="4DD6A264">
            <w:pPr>
              <w:pStyle w:val="73"/>
              <w:numPr>
                <w:ilvl w:val="0"/>
                <w:numId w:val="58"/>
              </w:numPr>
              <w:ind w:firstLine="420" w:firstLineChars="200"/>
              <w:rPr>
                <w:color w:val="auto"/>
                <w:highlight w:val="none"/>
              </w:rPr>
            </w:pPr>
            <w:r>
              <w:rPr>
                <w:rFonts w:hint="eastAsia"/>
                <w:color w:val="auto"/>
                <w:highlight w:val="none"/>
              </w:rPr>
              <w:t>溢流处理和压井措施：最大允许关井套压不得超过井口装置额定工作压力、套管抗内压强度的80%和薄弱地层破裂压力所允许关井套压三者中的最小值。在允许关井套压内严禁放喷。天然气溢流不允许长时间关井不作处理。在等候加重材料或加重过程中，视情况间隔一段时间向井内灌注加重钻井液，同时用节流管汇控制回压，保持井底压力要略大于地层压力，排放井口附近含气钻井液。若等候时间长，应及时实施司钻法第一时间排除溢流，防止井口压力过高。空井溢流关井后，根据溢流的严重程度，可采用强行下钻分段压井法、置换法、压回法等方法进行处置。</w:t>
            </w:r>
          </w:p>
          <w:p w14:paraId="53C32D72">
            <w:pPr>
              <w:pStyle w:val="73"/>
              <w:numPr>
                <w:ilvl w:val="0"/>
                <w:numId w:val="58"/>
              </w:numPr>
              <w:ind w:firstLine="420" w:firstLineChars="200"/>
              <w:rPr>
                <w:color w:val="auto"/>
                <w:spacing w:val="7"/>
                <w:highlight w:val="none"/>
              </w:rPr>
            </w:pPr>
            <w:r>
              <w:rPr>
                <w:rFonts w:hint="eastAsia"/>
                <w:color w:val="auto"/>
                <w:highlight w:val="none"/>
              </w:rPr>
              <w:t>测井、固井、完井等作业时，要严格执行安全操作规程和井控措施，避免发生井下复杂情况和井喷失控事故。</w:t>
            </w:r>
            <w:r>
              <w:rPr>
                <w:color w:val="auto"/>
                <w:spacing w:val="9"/>
                <w:highlight w:val="none"/>
              </w:rPr>
              <w:t>电测前井内情况应正常</w:t>
            </w:r>
            <w:r>
              <w:rPr>
                <w:color w:val="auto"/>
                <w:spacing w:val="-23"/>
                <w:highlight w:val="none"/>
              </w:rPr>
              <w:t xml:space="preserve"> </w:t>
            </w:r>
            <w:r>
              <w:rPr>
                <w:color w:val="auto"/>
                <w:spacing w:val="9"/>
                <w:highlight w:val="none"/>
              </w:rPr>
              <w:t>、稳定；</w:t>
            </w:r>
            <w:r>
              <w:rPr>
                <w:color w:val="auto"/>
                <w:spacing w:val="-46"/>
                <w:highlight w:val="none"/>
              </w:rPr>
              <w:t xml:space="preserve"> </w:t>
            </w:r>
            <w:r>
              <w:rPr>
                <w:color w:val="auto"/>
                <w:spacing w:val="9"/>
                <w:highlight w:val="none"/>
              </w:rPr>
              <w:t>测井队到井后应</w:t>
            </w:r>
            <w:r>
              <w:rPr>
                <w:color w:val="auto"/>
                <w:spacing w:val="8"/>
                <w:highlight w:val="none"/>
              </w:rPr>
              <w:t>向井队了解井况，确认油气上窜安全作业时间，若电测时间超过等值时间</w:t>
            </w:r>
            <w:r>
              <w:rPr>
                <w:color w:val="auto"/>
                <w:spacing w:val="7"/>
                <w:highlight w:val="none"/>
              </w:rPr>
              <w:t>，应中途通井循环再电测。测井队专用剪切工具应放置在钻台上，随时处于待命状态。发生溢流征兆应立即停止电测 ，尽快起出井内电缆，当危及井控安全时，立即实施剪断电缆并关井。由钻井队队长决定何时切断电缆并进行关井作业，测井队队长负责实施剪断电缆工作。不允许用关闭环形防喷器的方法起电缆。</w:t>
            </w:r>
          </w:p>
          <w:p w14:paraId="22863D44">
            <w:pPr>
              <w:pStyle w:val="3"/>
              <w:ind w:firstLine="420"/>
              <w:rPr>
                <w:rFonts w:hint="eastAsia"/>
                <w:color w:val="auto"/>
                <w:sz w:val="21"/>
                <w:highlight w:val="none"/>
              </w:rPr>
            </w:pPr>
            <w:r>
              <w:rPr>
                <w:rFonts w:hint="eastAsia"/>
                <w:color w:val="auto"/>
                <w:sz w:val="21"/>
                <w:highlight w:val="none"/>
              </w:rPr>
              <w:t>一旦发生井喷突发事件，应立即启动相应的环境突发事件专项应急预案，立即关闭井口切断污染源，控制原油污染面积，对放喷液进行集中收集处理，同时及时通知可能受影响的人员进行疏散；切断一切可能扩大污染范围的环节，严防污染区域的扩大。采取围、堵等措施限制固体废弃物和溢油扩散范围；将溢油最大限度地回收，对少量确实无法回收的油以及受污染的土壤形成的落地油，采用铲除油泥层等有效方法，落地油泥用专用罐收集，最终交由有危险废物处置资质的单位处置，以降低残油对生态环境的污染程度；同时迅速布点监测，在第一时间确定污染物种类和浓度，出具监测数据，评估污染物转移、扩散速率；对污染状况进行跟踪调查，根据监测数据分析，预测污染迁移强度、速度和影响范围，及时调整对策。</w:t>
            </w:r>
          </w:p>
          <w:p w14:paraId="085524D0">
            <w:pPr>
              <w:pStyle w:val="73"/>
              <w:numPr>
                <w:ilvl w:val="1"/>
                <w:numId w:val="0"/>
              </w:numPr>
              <w:ind w:leftChars="200"/>
              <w:rPr>
                <w:color w:val="auto"/>
                <w:highlight w:val="none"/>
              </w:rPr>
            </w:pPr>
            <w:r>
              <w:rPr>
                <w:rFonts w:hint="eastAsia"/>
                <w:color w:val="auto"/>
                <w:highlight w:val="none"/>
                <w:lang w:val="en-US" w:eastAsia="zh-CN"/>
              </w:rPr>
              <w:t>3）</w:t>
            </w:r>
            <w:r>
              <w:rPr>
                <w:rFonts w:hint="eastAsia"/>
                <w:color w:val="auto"/>
                <w:highlight w:val="none"/>
              </w:rPr>
              <w:t>硫化氢防范措施</w:t>
            </w:r>
          </w:p>
          <w:p w14:paraId="4571F164">
            <w:pPr>
              <w:pStyle w:val="73"/>
              <w:numPr>
                <w:ilvl w:val="0"/>
                <w:numId w:val="59"/>
              </w:numPr>
              <w:ind w:firstLine="420" w:firstLineChars="200"/>
              <w:rPr>
                <w:color w:val="auto"/>
                <w:highlight w:val="none"/>
              </w:rPr>
            </w:pPr>
            <w:r>
              <w:rPr>
                <w:rFonts w:hint="eastAsia"/>
                <w:color w:val="auto"/>
                <w:highlight w:val="none"/>
              </w:rPr>
              <w:t>在钻井、试油作业过程中配备便携式硫化氢监测仪，做好硫化氢监测预警工作，并制定防硫化氢应急预案。</w:t>
            </w:r>
          </w:p>
          <w:p w14:paraId="3F465B26">
            <w:pPr>
              <w:pStyle w:val="73"/>
              <w:numPr>
                <w:ilvl w:val="0"/>
                <w:numId w:val="59"/>
              </w:numPr>
              <w:ind w:firstLine="420" w:firstLineChars="200"/>
              <w:rPr>
                <w:color w:val="auto"/>
                <w:highlight w:val="none"/>
              </w:rPr>
            </w:pPr>
            <w:r>
              <w:rPr>
                <w:rFonts w:hint="eastAsia"/>
                <w:color w:val="auto"/>
                <w:highlight w:val="none"/>
              </w:rPr>
              <w:t>钻井期在作业现场显著位置设置5处风向标；试油期设置2处风向标，并在不同方向上划定2个紧急集合点，并规划撤离路线，发生紧急情况时向上风向撤离。</w:t>
            </w:r>
          </w:p>
          <w:p w14:paraId="0923A822">
            <w:pPr>
              <w:pStyle w:val="73"/>
              <w:numPr>
                <w:ilvl w:val="0"/>
                <w:numId w:val="59"/>
              </w:numPr>
              <w:ind w:firstLine="420" w:firstLineChars="200"/>
              <w:rPr>
                <w:color w:val="auto"/>
                <w:highlight w:val="none"/>
              </w:rPr>
            </w:pPr>
            <w:r>
              <w:rPr>
                <w:rFonts w:hint="eastAsia"/>
                <w:color w:val="auto"/>
                <w:highlight w:val="none"/>
              </w:rPr>
              <w:t>当监测到硫化氢浓度大于75mg/m</w:t>
            </w:r>
            <w:r>
              <w:rPr>
                <w:rFonts w:hint="eastAsia"/>
                <w:color w:val="auto"/>
                <w:highlight w:val="none"/>
                <w:vertAlign w:val="superscript"/>
              </w:rPr>
              <w:t>3</w:t>
            </w:r>
            <w:r>
              <w:rPr>
                <w:rFonts w:hint="eastAsia"/>
                <w:color w:val="auto"/>
                <w:highlight w:val="none"/>
              </w:rPr>
              <w:t>（50ppm）时，按照《硫化氢环境人身防护规范》（SY/T 6277-2017）和《硫化氢环境天然气采集与处理安全规范》（SY/T 6137-2024）含硫油气井作业规程执行。</w:t>
            </w:r>
          </w:p>
          <w:p w14:paraId="37F5E656">
            <w:pPr>
              <w:pStyle w:val="73"/>
              <w:numPr>
                <w:ilvl w:val="0"/>
                <w:numId w:val="59"/>
              </w:numPr>
              <w:ind w:firstLine="420" w:firstLineChars="200"/>
              <w:rPr>
                <w:color w:val="auto"/>
                <w:highlight w:val="none"/>
              </w:rPr>
            </w:pPr>
            <w:r>
              <w:rPr>
                <w:rFonts w:hint="eastAsia"/>
                <w:color w:val="auto"/>
                <w:highlight w:val="none"/>
              </w:rPr>
              <w:t>作业人员巡检时应携带硫化氢监测仪，在相关区域工作时应时刻注意是否有报警信号，作业人员须接受过救护技术培训，同时应备有必要的救护设备，包括适用的呼吸器具等。</w:t>
            </w:r>
          </w:p>
          <w:p w14:paraId="6F923DBE">
            <w:pPr>
              <w:pStyle w:val="71"/>
              <w:numPr>
                <w:ilvl w:val="0"/>
                <w:numId w:val="57"/>
              </w:numPr>
              <w:spacing w:line="332" w:lineRule="auto"/>
              <w:ind w:firstLine="420" w:firstLineChars="200"/>
              <w:rPr>
                <w:color w:val="auto"/>
                <w:highlight w:val="none"/>
              </w:rPr>
            </w:pPr>
            <w:r>
              <w:rPr>
                <w:rFonts w:hint="eastAsia"/>
                <w:color w:val="auto"/>
                <w:highlight w:val="none"/>
              </w:rPr>
              <w:t>柴油罐环境风险防范措施</w:t>
            </w:r>
          </w:p>
          <w:p w14:paraId="58578D52">
            <w:pPr>
              <w:pStyle w:val="3"/>
              <w:ind w:firstLine="420"/>
              <w:rPr>
                <w:color w:val="auto"/>
                <w:sz w:val="21"/>
                <w:highlight w:val="none"/>
              </w:rPr>
            </w:pPr>
            <w:r>
              <w:rPr>
                <w:rFonts w:hint="eastAsia"/>
                <w:color w:val="auto"/>
                <w:sz w:val="21"/>
                <w:highlight w:val="none"/>
              </w:rPr>
              <w:t>柴油罐区周边设置警示标识，严禁烟火和不相关人员靠近。日常加强油罐的管理及安全检查，防止发生泄漏等安全事故。为尽量避免罐体破裂事故的发生，减轻泄漏事故对环境的影响，应该采取以下安全环保措施：</w:t>
            </w:r>
          </w:p>
          <w:p w14:paraId="31D560D3">
            <w:pPr>
              <w:pStyle w:val="73"/>
              <w:numPr>
                <w:ilvl w:val="0"/>
                <w:numId w:val="60"/>
              </w:numPr>
              <w:ind w:firstLine="420" w:firstLineChars="200"/>
              <w:rPr>
                <w:color w:val="auto"/>
                <w:highlight w:val="none"/>
              </w:rPr>
            </w:pPr>
            <w:r>
              <w:rPr>
                <w:rFonts w:hint="eastAsia"/>
                <w:color w:val="auto"/>
                <w:highlight w:val="none"/>
              </w:rPr>
              <w:t>设置一定容积的围堰，确保在发生罐体泄漏时柴油不会发生溢散；</w:t>
            </w:r>
          </w:p>
          <w:p w14:paraId="61F056EB">
            <w:pPr>
              <w:pStyle w:val="73"/>
              <w:numPr>
                <w:ilvl w:val="0"/>
                <w:numId w:val="60"/>
              </w:numPr>
              <w:ind w:firstLine="420" w:firstLineChars="200"/>
              <w:rPr>
                <w:color w:val="auto"/>
                <w:highlight w:val="none"/>
              </w:rPr>
            </w:pPr>
            <w:r>
              <w:rPr>
                <w:rFonts w:hint="eastAsia"/>
                <w:color w:val="auto"/>
                <w:highlight w:val="none"/>
              </w:rPr>
              <w:t>围堰下方铺设有环保型HDPE防渗材料（渗透系数K≤1×10</w:t>
            </w:r>
            <w:r>
              <w:rPr>
                <w:rFonts w:hint="eastAsia"/>
                <w:color w:val="auto"/>
                <w:highlight w:val="none"/>
                <w:vertAlign w:val="superscript"/>
              </w:rPr>
              <w:t>-10</w:t>
            </w:r>
            <w:r>
              <w:rPr>
                <w:rFonts w:hint="eastAsia"/>
                <w:color w:val="auto"/>
                <w:highlight w:val="none"/>
              </w:rPr>
              <w:t>cm/s）来进行防渗处理；</w:t>
            </w:r>
          </w:p>
          <w:p w14:paraId="5C434E29">
            <w:pPr>
              <w:pStyle w:val="73"/>
              <w:numPr>
                <w:ilvl w:val="0"/>
                <w:numId w:val="60"/>
              </w:numPr>
              <w:ind w:firstLine="420" w:firstLineChars="200"/>
              <w:rPr>
                <w:color w:val="auto"/>
                <w:highlight w:val="none"/>
              </w:rPr>
            </w:pPr>
            <w:r>
              <w:rPr>
                <w:rFonts w:hint="eastAsia"/>
                <w:color w:val="auto"/>
                <w:highlight w:val="none"/>
              </w:rPr>
              <w:t>加强巡检，发现问题及时处理；</w:t>
            </w:r>
          </w:p>
          <w:p w14:paraId="52AD225B">
            <w:pPr>
              <w:pStyle w:val="73"/>
              <w:numPr>
                <w:ilvl w:val="0"/>
                <w:numId w:val="60"/>
              </w:numPr>
              <w:ind w:firstLine="420" w:firstLineChars="200"/>
              <w:rPr>
                <w:color w:val="auto"/>
                <w:highlight w:val="none"/>
              </w:rPr>
            </w:pPr>
            <w:r>
              <w:rPr>
                <w:rFonts w:hint="eastAsia"/>
                <w:color w:val="auto"/>
                <w:highlight w:val="none"/>
              </w:rPr>
              <w:t>加强防腐措施。金属腐蚀的本质在于金属原子在腐蚀介质的作用下，失去电子变成离子而转移到腐蚀介质中，导致金属发生破坏。本项目采用良好的绝缘涂层隔断金属表面与腐蚀介质的接触，阻止电子从金属表面流动腐蚀介质中，使金属免遭腐蚀。</w:t>
            </w:r>
          </w:p>
          <w:p w14:paraId="570BE1E9">
            <w:pPr>
              <w:pStyle w:val="71"/>
              <w:numPr>
                <w:ilvl w:val="0"/>
                <w:numId w:val="57"/>
              </w:numPr>
              <w:spacing w:line="332" w:lineRule="auto"/>
              <w:ind w:firstLine="420" w:firstLineChars="200"/>
              <w:rPr>
                <w:color w:val="auto"/>
                <w:highlight w:val="none"/>
              </w:rPr>
            </w:pPr>
            <w:r>
              <w:rPr>
                <w:rFonts w:hint="eastAsia"/>
                <w:color w:val="auto"/>
                <w:highlight w:val="none"/>
              </w:rPr>
              <w:t>加强环境风险管理监督，完善技术措施和管理制度</w:t>
            </w:r>
          </w:p>
          <w:p w14:paraId="7DE69436">
            <w:pPr>
              <w:pStyle w:val="3"/>
              <w:ind w:firstLine="420"/>
              <w:rPr>
                <w:color w:val="auto"/>
                <w:sz w:val="21"/>
                <w:highlight w:val="none"/>
              </w:rPr>
            </w:pPr>
            <w:r>
              <w:rPr>
                <w:rFonts w:hint="eastAsia"/>
                <w:color w:val="auto"/>
                <w:sz w:val="21"/>
                <w:highlight w:val="none"/>
              </w:rPr>
              <w:t>根据中石化新疆新春石油开发有限责任公司在环境风险管理上建立的健康、安全与环境管理体系，减少项目施工对周围环境的影响，落实各项环保和安全措施。不断完善的技术措施和管理制度，用于消除人为的操作风险。</w:t>
            </w:r>
          </w:p>
          <w:p w14:paraId="11D0E364">
            <w:pPr>
              <w:pStyle w:val="71"/>
              <w:numPr>
                <w:ilvl w:val="0"/>
                <w:numId w:val="57"/>
              </w:numPr>
              <w:spacing w:line="332" w:lineRule="auto"/>
              <w:ind w:firstLine="420" w:firstLineChars="200"/>
              <w:rPr>
                <w:color w:val="auto"/>
                <w:highlight w:val="none"/>
              </w:rPr>
            </w:pPr>
            <w:r>
              <w:rPr>
                <w:rFonts w:hint="eastAsia"/>
                <w:color w:val="auto"/>
                <w:highlight w:val="none"/>
              </w:rPr>
              <w:t>环境风险应急预案</w:t>
            </w:r>
          </w:p>
          <w:p w14:paraId="15B02BE7">
            <w:pPr>
              <w:pStyle w:val="73"/>
              <w:numPr>
                <w:ilvl w:val="0"/>
                <w:numId w:val="61"/>
              </w:numPr>
              <w:ind w:firstLine="420" w:firstLineChars="200"/>
              <w:rPr>
                <w:color w:val="auto"/>
                <w:highlight w:val="none"/>
              </w:rPr>
            </w:pPr>
            <w:r>
              <w:rPr>
                <w:rFonts w:hint="eastAsia"/>
                <w:color w:val="auto"/>
                <w:highlight w:val="none"/>
              </w:rPr>
              <w:t>应急预案编制</w:t>
            </w:r>
          </w:p>
          <w:p w14:paraId="2290F5B7">
            <w:pPr>
              <w:pStyle w:val="3"/>
              <w:ind w:firstLine="420"/>
              <w:rPr>
                <w:color w:val="auto"/>
                <w:sz w:val="21"/>
                <w:highlight w:val="none"/>
              </w:rPr>
            </w:pPr>
            <w:r>
              <w:rPr>
                <w:rFonts w:hint="eastAsia"/>
                <w:color w:val="auto"/>
                <w:sz w:val="21"/>
                <w:highlight w:val="none"/>
              </w:rPr>
              <w:t>根据钻井工程特点和经验，从环境保护角度，有完备的井控措施和《井喷及井喷失控应急预案》。应急预案应包括针对井喷失控的应急监测、抢险、救援、疏散及消除、减缓、控制技术方法和设施等相关内容。</w:t>
            </w:r>
          </w:p>
          <w:p w14:paraId="2E2F3B2F">
            <w:pPr>
              <w:pStyle w:val="73"/>
              <w:numPr>
                <w:ilvl w:val="0"/>
                <w:numId w:val="61"/>
              </w:numPr>
              <w:ind w:firstLine="420" w:firstLineChars="200"/>
              <w:rPr>
                <w:color w:val="auto"/>
                <w:highlight w:val="none"/>
              </w:rPr>
            </w:pPr>
            <w:r>
              <w:rPr>
                <w:rFonts w:hint="eastAsia"/>
                <w:color w:val="auto"/>
                <w:highlight w:val="none"/>
              </w:rPr>
              <w:t>应急演练和物资储备</w:t>
            </w:r>
          </w:p>
          <w:p w14:paraId="64FE3B69">
            <w:pPr>
              <w:pStyle w:val="3"/>
              <w:ind w:firstLine="420"/>
              <w:rPr>
                <w:color w:val="auto"/>
                <w:sz w:val="21"/>
                <w:highlight w:val="none"/>
              </w:rPr>
            </w:pPr>
            <w:r>
              <w:rPr>
                <w:rFonts w:hint="eastAsia"/>
                <w:color w:val="auto"/>
                <w:sz w:val="21"/>
                <w:highlight w:val="none"/>
              </w:rPr>
              <w:t>应急演练应定期开展，通过演练掌握应急人员在应急抢险中对预案的熟悉程度和能力，同时加强抢险应急设备的维护保养，检查是否备足所需应急材料。</w:t>
            </w:r>
          </w:p>
          <w:p w14:paraId="083A13F9">
            <w:pPr>
              <w:pStyle w:val="71"/>
              <w:numPr>
                <w:ilvl w:val="0"/>
                <w:numId w:val="57"/>
              </w:numPr>
              <w:spacing w:line="332" w:lineRule="auto"/>
              <w:ind w:firstLine="420" w:firstLineChars="200"/>
              <w:rPr>
                <w:color w:val="auto"/>
                <w:highlight w:val="none"/>
              </w:rPr>
            </w:pPr>
            <w:r>
              <w:rPr>
                <w:rFonts w:hint="eastAsia"/>
                <w:color w:val="auto"/>
                <w:highlight w:val="none"/>
              </w:rPr>
              <w:t>结论</w:t>
            </w:r>
          </w:p>
          <w:p w14:paraId="371CEF5B">
            <w:pPr>
              <w:pStyle w:val="3"/>
              <w:ind w:firstLine="420"/>
              <w:rPr>
                <w:color w:val="auto"/>
                <w:sz w:val="21"/>
                <w:highlight w:val="none"/>
              </w:rPr>
            </w:pPr>
            <w:r>
              <w:rPr>
                <w:rFonts w:hint="eastAsia"/>
                <w:color w:val="auto"/>
                <w:sz w:val="21"/>
                <w:highlight w:val="none"/>
              </w:rPr>
              <w:t>本项目发生井喷事件的概率极小，本项目制定了较为周全的风险事故防范措施和事故应急预案，当发生风险事故时立即启动事故应急预案，确保事故不扩大，不会对周边环境造成较大危害。在采取严格安全防护和风险防范措施后，风险处于环境可接受水平。</w:t>
            </w:r>
          </w:p>
          <w:p w14:paraId="6C173CDD">
            <w:pPr>
              <w:pStyle w:val="3"/>
              <w:numPr>
                <w:ilvl w:val="0"/>
                <w:numId w:val="43"/>
              </w:numPr>
              <w:spacing w:line="332" w:lineRule="auto"/>
              <w:ind w:firstLine="420"/>
              <w:rPr>
                <w:color w:val="auto"/>
                <w:sz w:val="21"/>
                <w:highlight w:val="none"/>
              </w:rPr>
            </w:pPr>
            <w:r>
              <w:rPr>
                <w:rFonts w:hint="eastAsia"/>
                <w:color w:val="auto"/>
                <w:sz w:val="21"/>
                <w:highlight w:val="none"/>
              </w:rPr>
              <w:t>环境管理</w:t>
            </w:r>
          </w:p>
          <w:p w14:paraId="5286DD13">
            <w:pPr>
              <w:pStyle w:val="3"/>
              <w:ind w:firstLine="420"/>
              <w:rPr>
                <w:color w:val="auto"/>
                <w:sz w:val="21"/>
                <w:szCs w:val="21"/>
                <w:highlight w:val="none"/>
              </w:rPr>
            </w:pPr>
            <w:r>
              <w:rPr>
                <w:rFonts w:hint="eastAsia"/>
                <w:color w:val="auto"/>
                <w:sz w:val="21"/>
                <w:szCs w:val="21"/>
                <w:highlight w:val="none"/>
              </w:rPr>
              <w:t>本项目实施过程中，将根据中石化新疆新春石油开发有限责任公司在环境管理上建立的健康、安全与环境管理体系（HSE管理体系），减少项目开发对周围环境的影响，落实各项环保和安全措施。为确保本项目环保措施的落实，最大限度地减轻施工作业对环境的影响，本报告提出的环境管理主要内容详见</w:t>
            </w:r>
            <w:r>
              <w:rPr>
                <w:rFonts w:hint="eastAsia"/>
                <w:color w:val="auto"/>
                <w:sz w:val="21"/>
                <w:szCs w:val="21"/>
                <w:highlight w:val="none"/>
              </w:rPr>
              <w:fldChar w:fldCharType="begin"/>
            </w:r>
            <w:r>
              <w:rPr>
                <w:color w:val="auto"/>
                <w:highlight w:val="none"/>
              </w:rPr>
              <w:instrText xml:space="preserve"> REF _Ref20891 \h  \* MERGEFORMAT</w:instrText>
            </w:r>
            <w:r>
              <w:rPr>
                <w:rFonts w:hint="eastAsia"/>
                <w:color w:val="auto"/>
                <w:sz w:val="21"/>
                <w:szCs w:val="21"/>
                <w:highlight w:val="none"/>
              </w:rPr>
              <w:fldChar w:fldCharType="separate"/>
            </w:r>
            <w:r>
              <w:rPr>
                <w:rFonts w:hint="eastAsia"/>
                <w:color w:val="auto"/>
                <w:sz w:val="21"/>
                <w:szCs w:val="21"/>
                <w:highlight w:val="none"/>
              </w:rPr>
              <w:t>表39</w:t>
            </w:r>
            <w:r>
              <w:rPr>
                <w:rFonts w:hint="eastAsia"/>
                <w:color w:val="auto"/>
                <w:sz w:val="21"/>
                <w:szCs w:val="21"/>
                <w:highlight w:val="none"/>
              </w:rPr>
              <w:fldChar w:fldCharType="end"/>
            </w:r>
            <w:r>
              <w:rPr>
                <w:rFonts w:hint="eastAsia"/>
                <w:color w:val="auto"/>
                <w:sz w:val="21"/>
                <w:szCs w:val="21"/>
                <w:highlight w:val="none"/>
              </w:rPr>
              <w:t>。</w:t>
            </w:r>
          </w:p>
          <w:p w14:paraId="2CAC63BF">
            <w:pPr>
              <w:pStyle w:val="13"/>
              <w:bidi w:val="0"/>
              <w:rPr>
                <w:color w:val="auto"/>
                <w:highlight w:val="none"/>
              </w:rPr>
            </w:pPr>
            <w:bookmarkStart w:id="73" w:name="_Ref20891"/>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39</w:t>
            </w:r>
            <w:r>
              <w:rPr>
                <w:rFonts w:hint="eastAsia"/>
                <w:color w:val="auto"/>
                <w:highlight w:val="none"/>
              </w:rPr>
              <w:fldChar w:fldCharType="end"/>
            </w:r>
            <w:bookmarkEnd w:id="73"/>
            <w:r>
              <w:rPr>
                <w:rFonts w:hint="eastAsia"/>
                <w:color w:val="auto"/>
                <w:highlight w:val="none"/>
              </w:rPr>
              <w:t xml:space="preserve">  施工期环境管理一览表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951"/>
              <w:gridCol w:w="6273"/>
            </w:tblGrid>
            <w:tr w14:paraId="08EA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Mar>
                    <w:top w:w="57" w:type="dxa"/>
                    <w:left w:w="108" w:type="dxa"/>
                    <w:bottom w:w="57" w:type="dxa"/>
                    <w:right w:w="108" w:type="dxa"/>
                  </w:tcMar>
                  <w:vAlign w:val="center"/>
                </w:tcPr>
                <w:p w14:paraId="6C7B72B2">
                  <w:pPr>
                    <w:pStyle w:val="41"/>
                    <w:rPr>
                      <w:bCs/>
                      <w:color w:val="auto"/>
                      <w:szCs w:val="18"/>
                      <w:highlight w:val="none"/>
                    </w:rPr>
                  </w:pPr>
                  <w:r>
                    <w:rPr>
                      <w:rFonts w:hint="eastAsia"/>
                      <w:color w:val="auto"/>
                      <w:szCs w:val="18"/>
                      <w:highlight w:val="none"/>
                    </w:rPr>
                    <w:t>序号</w:t>
                  </w:r>
                </w:p>
              </w:tc>
              <w:tc>
                <w:tcPr>
                  <w:tcW w:w="621" w:type="pct"/>
                  <w:tcMar>
                    <w:top w:w="57" w:type="dxa"/>
                    <w:left w:w="108" w:type="dxa"/>
                    <w:bottom w:w="57" w:type="dxa"/>
                    <w:right w:w="108" w:type="dxa"/>
                  </w:tcMar>
                  <w:vAlign w:val="center"/>
                </w:tcPr>
                <w:p w14:paraId="56EC0E79">
                  <w:pPr>
                    <w:pStyle w:val="41"/>
                    <w:rPr>
                      <w:bCs/>
                      <w:color w:val="auto"/>
                      <w:szCs w:val="18"/>
                      <w:highlight w:val="none"/>
                    </w:rPr>
                  </w:pPr>
                  <w:r>
                    <w:rPr>
                      <w:rFonts w:hint="eastAsia"/>
                      <w:color w:val="auto"/>
                      <w:szCs w:val="18"/>
                      <w:highlight w:val="none"/>
                    </w:rPr>
                    <w:t>影响因素</w:t>
                  </w:r>
                </w:p>
              </w:tc>
              <w:tc>
                <w:tcPr>
                  <w:tcW w:w="4096" w:type="pct"/>
                  <w:tcMar>
                    <w:top w:w="57" w:type="dxa"/>
                    <w:left w:w="108" w:type="dxa"/>
                    <w:bottom w:w="57" w:type="dxa"/>
                    <w:right w:w="108" w:type="dxa"/>
                  </w:tcMar>
                  <w:vAlign w:val="center"/>
                </w:tcPr>
                <w:p w14:paraId="38F422E1">
                  <w:pPr>
                    <w:pStyle w:val="41"/>
                    <w:rPr>
                      <w:bCs/>
                      <w:color w:val="auto"/>
                      <w:szCs w:val="18"/>
                      <w:highlight w:val="none"/>
                    </w:rPr>
                  </w:pPr>
                  <w:r>
                    <w:rPr>
                      <w:rFonts w:hint="eastAsia"/>
                      <w:color w:val="auto"/>
                      <w:szCs w:val="18"/>
                      <w:highlight w:val="none"/>
                    </w:rPr>
                    <w:t>环境管理</w:t>
                  </w:r>
                </w:p>
              </w:tc>
            </w:tr>
            <w:tr w14:paraId="341D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Mar>
                    <w:top w:w="57" w:type="dxa"/>
                    <w:left w:w="108" w:type="dxa"/>
                    <w:bottom w:w="57" w:type="dxa"/>
                    <w:right w:w="108" w:type="dxa"/>
                  </w:tcMar>
                  <w:vAlign w:val="center"/>
                </w:tcPr>
                <w:p w14:paraId="3884711E">
                  <w:pPr>
                    <w:pStyle w:val="41"/>
                    <w:rPr>
                      <w:bCs/>
                      <w:color w:val="auto"/>
                      <w:szCs w:val="18"/>
                      <w:highlight w:val="none"/>
                    </w:rPr>
                  </w:pPr>
                  <w:r>
                    <w:rPr>
                      <w:rFonts w:hint="eastAsia"/>
                      <w:color w:val="auto"/>
                      <w:szCs w:val="18"/>
                      <w:highlight w:val="none"/>
                    </w:rPr>
                    <w:t>1</w:t>
                  </w:r>
                </w:p>
              </w:tc>
              <w:tc>
                <w:tcPr>
                  <w:tcW w:w="621" w:type="pct"/>
                  <w:tcMar>
                    <w:top w:w="57" w:type="dxa"/>
                    <w:left w:w="108" w:type="dxa"/>
                    <w:bottom w:w="57" w:type="dxa"/>
                    <w:right w:w="108" w:type="dxa"/>
                  </w:tcMar>
                  <w:vAlign w:val="center"/>
                </w:tcPr>
                <w:p w14:paraId="4BF462D1">
                  <w:pPr>
                    <w:pStyle w:val="41"/>
                    <w:rPr>
                      <w:bCs/>
                      <w:color w:val="auto"/>
                      <w:szCs w:val="18"/>
                      <w:highlight w:val="none"/>
                    </w:rPr>
                  </w:pPr>
                  <w:r>
                    <w:rPr>
                      <w:rFonts w:hint="eastAsia"/>
                      <w:color w:val="auto"/>
                      <w:szCs w:val="18"/>
                      <w:highlight w:val="none"/>
                    </w:rPr>
                    <w:t>大气环境</w:t>
                  </w:r>
                </w:p>
              </w:tc>
              <w:tc>
                <w:tcPr>
                  <w:tcW w:w="4096" w:type="pct"/>
                  <w:tcMar>
                    <w:top w:w="57" w:type="dxa"/>
                    <w:left w:w="108" w:type="dxa"/>
                    <w:bottom w:w="57" w:type="dxa"/>
                    <w:right w:w="108" w:type="dxa"/>
                  </w:tcMar>
                  <w:vAlign w:val="center"/>
                </w:tcPr>
                <w:p w14:paraId="797FBA5F">
                  <w:pPr>
                    <w:pStyle w:val="41"/>
                    <w:jc w:val="both"/>
                    <w:rPr>
                      <w:bCs/>
                      <w:color w:val="auto"/>
                      <w:szCs w:val="18"/>
                      <w:highlight w:val="none"/>
                    </w:rPr>
                  </w:pPr>
                  <w:r>
                    <w:rPr>
                      <w:rFonts w:hint="eastAsia"/>
                      <w:color w:val="auto"/>
                      <w:szCs w:val="18"/>
                      <w:highlight w:val="none"/>
                    </w:rPr>
                    <w:t>施工单位在钻井时应使用符合国家标准的柴油，并定期对设备进行保养维护，柴油机燃烧充分，合理匹配载荷。严禁焚烧各类废弃物。</w:t>
                  </w:r>
                </w:p>
              </w:tc>
            </w:tr>
            <w:tr w14:paraId="6700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Mar>
                    <w:top w:w="57" w:type="dxa"/>
                    <w:left w:w="108" w:type="dxa"/>
                    <w:bottom w:w="57" w:type="dxa"/>
                    <w:right w:w="108" w:type="dxa"/>
                  </w:tcMar>
                  <w:vAlign w:val="center"/>
                </w:tcPr>
                <w:p w14:paraId="7795A888">
                  <w:pPr>
                    <w:pStyle w:val="41"/>
                    <w:rPr>
                      <w:bCs/>
                      <w:color w:val="auto"/>
                      <w:szCs w:val="18"/>
                      <w:highlight w:val="none"/>
                    </w:rPr>
                  </w:pPr>
                  <w:r>
                    <w:rPr>
                      <w:rFonts w:hint="eastAsia"/>
                      <w:color w:val="auto"/>
                      <w:szCs w:val="18"/>
                      <w:highlight w:val="none"/>
                    </w:rPr>
                    <w:t>2</w:t>
                  </w:r>
                </w:p>
              </w:tc>
              <w:tc>
                <w:tcPr>
                  <w:tcW w:w="621" w:type="pct"/>
                  <w:tcMar>
                    <w:top w:w="57" w:type="dxa"/>
                    <w:left w:w="108" w:type="dxa"/>
                    <w:bottom w:w="57" w:type="dxa"/>
                    <w:right w:w="108" w:type="dxa"/>
                  </w:tcMar>
                  <w:vAlign w:val="center"/>
                </w:tcPr>
                <w:p w14:paraId="436F5959">
                  <w:pPr>
                    <w:pStyle w:val="41"/>
                    <w:rPr>
                      <w:bCs/>
                      <w:color w:val="auto"/>
                      <w:szCs w:val="18"/>
                      <w:highlight w:val="none"/>
                    </w:rPr>
                  </w:pPr>
                  <w:r>
                    <w:rPr>
                      <w:rFonts w:hint="eastAsia"/>
                      <w:color w:val="auto"/>
                      <w:szCs w:val="18"/>
                      <w:highlight w:val="none"/>
                    </w:rPr>
                    <w:t>声环境</w:t>
                  </w:r>
                </w:p>
              </w:tc>
              <w:tc>
                <w:tcPr>
                  <w:tcW w:w="4096" w:type="pct"/>
                  <w:tcMar>
                    <w:top w:w="57" w:type="dxa"/>
                    <w:left w:w="108" w:type="dxa"/>
                    <w:bottom w:w="57" w:type="dxa"/>
                    <w:right w:w="108" w:type="dxa"/>
                  </w:tcMar>
                  <w:vAlign w:val="center"/>
                </w:tcPr>
                <w:p w14:paraId="21C3938F">
                  <w:pPr>
                    <w:pStyle w:val="41"/>
                    <w:jc w:val="both"/>
                    <w:rPr>
                      <w:bCs/>
                      <w:color w:val="auto"/>
                      <w:szCs w:val="18"/>
                      <w:highlight w:val="none"/>
                    </w:rPr>
                  </w:pPr>
                  <w:r>
                    <w:rPr>
                      <w:rFonts w:hint="eastAsia"/>
                      <w:color w:val="auto"/>
                      <w:szCs w:val="18"/>
                      <w:highlight w:val="none"/>
                    </w:rPr>
                    <w:t>施工单位应使用低噪声的施工设备、机械，并定期进行检修和维护，使其处于运行良好的状态，受噪声影响的工作人员应佩戴个人防护用品。</w:t>
                  </w:r>
                </w:p>
              </w:tc>
            </w:tr>
            <w:tr w14:paraId="31C4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Mar>
                    <w:top w:w="57" w:type="dxa"/>
                    <w:left w:w="108" w:type="dxa"/>
                    <w:bottom w:w="57" w:type="dxa"/>
                    <w:right w:w="108" w:type="dxa"/>
                  </w:tcMar>
                  <w:vAlign w:val="center"/>
                </w:tcPr>
                <w:p w14:paraId="1E4D036E">
                  <w:pPr>
                    <w:pStyle w:val="41"/>
                    <w:rPr>
                      <w:bCs/>
                      <w:color w:val="auto"/>
                      <w:szCs w:val="18"/>
                      <w:highlight w:val="none"/>
                    </w:rPr>
                  </w:pPr>
                  <w:r>
                    <w:rPr>
                      <w:rFonts w:hint="eastAsia"/>
                      <w:color w:val="auto"/>
                      <w:szCs w:val="18"/>
                      <w:highlight w:val="none"/>
                    </w:rPr>
                    <w:t>3</w:t>
                  </w:r>
                </w:p>
              </w:tc>
              <w:tc>
                <w:tcPr>
                  <w:tcW w:w="621" w:type="pct"/>
                  <w:tcMar>
                    <w:top w:w="57" w:type="dxa"/>
                    <w:left w:w="108" w:type="dxa"/>
                    <w:bottom w:w="57" w:type="dxa"/>
                    <w:right w:w="108" w:type="dxa"/>
                  </w:tcMar>
                  <w:vAlign w:val="center"/>
                </w:tcPr>
                <w:p w14:paraId="0B895C65">
                  <w:pPr>
                    <w:pStyle w:val="41"/>
                    <w:rPr>
                      <w:bCs/>
                      <w:color w:val="auto"/>
                      <w:szCs w:val="18"/>
                      <w:highlight w:val="none"/>
                    </w:rPr>
                  </w:pPr>
                  <w:r>
                    <w:rPr>
                      <w:rFonts w:hint="eastAsia"/>
                      <w:color w:val="auto"/>
                      <w:szCs w:val="18"/>
                      <w:highlight w:val="none"/>
                    </w:rPr>
                    <w:t>水环境</w:t>
                  </w:r>
                </w:p>
              </w:tc>
              <w:tc>
                <w:tcPr>
                  <w:tcW w:w="4096" w:type="pct"/>
                  <w:tcMar>
                    <w:top w:w="57" w:type="dxa"/>
                    <w:left w:w="108" w:type="dxa"/>
                    <w:bottom w:w="57" w:type="dxa"/>
                    <w:right w:w="108" w:type="dxa"/>
                  </w:tcMar>
                  <w:vAlign w:val="center"/>
                </w:tcPr>
                <w:p w14:paraId="2FAA4278">
                  <w:pPr>
                    <w:pStyle w:val="41"/>
                    <w:jc w:val="both"/>
                    <w:rPr>
                      <w:color w:val="auto"/>
                      <w:szCs w:val="18"/>
                      <w:highlight w:val="none"/>
                    </w:rPr>
                  </w:pPr>
                  <w:r>
                    <w:rPr>
                      <w:rFonts w:hint="eastAsia"/>
                      <w:color w:val="auto"/>
                      <w:sz w:val="18"/>
                      <w:szCs w:val="18"/>
                      <w:highlight w:val="none"/>
                    </w:rPr>
                    <w:t>生活污水排入环保厕所</w:t>
                  </w:r>
                  <w:r>
                    <w:rPr>
                      <w:rFonts w:hint="eastAsia"/>
                      <w:color w:val="auto"/>
                      <w:sz w:val="18"/>
                      <w:szCs w:val="18"/>
                      <w:highlight w:val="none"/>
                      <w:lang w:val="en-US" w:eastAsia="zh-CN"/>
                    </w:rPr>
                    <w:t>和</w:t>
                  </w:r>
                  <w:r>
                    <w:rPr>
                      <w:rFonts w:hint="eastAsia"/>
                      <w:color w:val="auto"/>
                      <w:sz w:val="18"/>
                      <w:szCs w:val="18"/>
                      <w:highlight w:val="none"/>
                    </w:rPr>
                    <w:t>生活污水收集罐</w:t>
                  </w:r>
                  <w:r>
                    <w:rPr>
                      <w:rFonts w:hint="eastAsia"/>
                      <w:color w:val="auto"/>
                      <w:highlight w:val="none"/>
                      <w:lang w:val="en-US" w:eastAsia="zh-CN"/>
                    </w:rPr>
                    <w:t>，</w:t>
                  </w:r>
                  <w:r>
                    <w:rPr>
                      <w:rFonts w:hint="eastAsia"/>
                      <w:color w:val="auto"/>
                      <w:kern w:val="0"/>
                      <w:szCs w:val="18"/>
                      <w:highlight w:val="none"/>
                    </w:rPr>
                    <w:t>定期由新疆熙祥运输公司拉运至五家渠城华市政六运湖分公司</w:t>
                  </w:r>
                  <w:r>
                    <w:rPr>
                      <w:rFonts w:hint="eastAsia"/>
                      <w:color w:val="auto"/>
                      <w:highlight w:val="none"/>
                      <w:lang w:val="en-US" w:eastAsia="zh-CN"/>
                    </w:rPr>
                    <w:t>污水处理厂</w:t>
                  </w:r>
                  <w:r>
                    <w:rPr>
                      <w:rFonts w:hint="eastAsia"/>
                      <w:color w:val="auto"/>
                      <w:kern w:val="0"/>
                      <w:szCs w:val="18"/>
                      <w:highlight w:val="none"/>
                    </w:rPr>
                    <w:t>处理。；井下作业废液、压裂返排液拉运至</w:t>
                  </w:r>
                  <w:r>
                    <w:rPr>
                      <w:rFonts w:hint="eastAsia"/>
                      <w:color w:val="auto"/>
                      <w:kern w:val="0"/>
                      <w:szCs w:val="18"/>
                      <w:highlight w:val="none"/>
                      <w:lang w:eastAsia="zh-CN"/>
                    </w:rPr>
                    <w:t>春风联合站</w:t>
                  </w:r>
                  <w:r>
                    <w:rPr>
                      <w:rFonts w:hint="eastAsia"/>
                      <w:color w:val="auto"/>
                      <w:kern w:val="0"/>
                      <w:szCs w:val="18"/>
                      <w:highlight w:val="none"/>
                    </w:rPr>
                    <w:t>采出水处理系统处理，经处理达到《碎屑岩油藏注水水质指标技术要求及分析方法》（SY/T 5329-2022）对应储层空气渗透率下的水质主要控制指标后回注含油层用于产能开发，不外排。</w:t>
                  </w:r>
                </w:p>
              </w:tc>
            </w:tr>
            <w:tr w14:paraId="7211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Mar>
                    <w:top w:w="57" w:type="dxa"/>
                    <w:left w:w="108" w:type="dxa"/>
                    <w:bottom w:w="57" w:type="dxa"/>
                    <w:right w:w="108" w:type="dxa"/>
                  </w:tcMar>
                  <w:vAlign w:val="center"/>
                </w:tcPr>
                <w:p w14:paraId="638AE732">
                  <w:pPr>
                    <w:pStyle w:val="41"/>
                    <w:rPr>
                      <w:bCs/>
                      <w:color w:val="auto"/>
                      <w:szCs w:val="18"/>
                      <w:highlight w:val="none"/>
                    </w:rPr>
                  </w:pPr>
                  <w:r>
                    <w:rPr>
                      <w:rFonts w:hint="eastAsia"/>
                      <w:color w:val="auto"/>
                      <w:szCs w:val="18"/>
                      <w:highlight w:val="none"/>
                    </w:rPr>
                    <w:t>4</w:t>
                  </w:r>
                </w:p>
              </w:tc>
              <w:tc>
                <w:tcPr>
                  <w:tcW w:w="621" w:type="pct"/>
                  <w:tcMar>
                    <w:top w:w="57" w:type="dxa"/>
                    <w:left w:w="108" w:type="dxa"/>
                    <w:bottom w:w="57" w:type="dxa"/>
                    <w:right w:w="108" w:type="dxa"/>
                  </w:tcMar>
                  <w:vAlign w:val="center"/>
                </w:tcPr>
                <w:p w14:paraId="62D45F40">
                  <w:pPr>
                    <w:pStyle w:val="41"/>
                    <w:rPr>
                      <w:bCs/>
                      <w:color w:val="auto"/>
                      <w:szCs w:val="18"/>
                      <w:highlight w:val="none"/>
                    </w:rPr>
                  </w:pPr>
                  <w:r>
                    <w:rPr>
                      <w:rFonts w:hint="eastAsia"/>
                      <w:color w:val="auto"/>
                      <w:szCs w:val="18"/>
                      <w:highlight w:val="none"/>
                    </w:rPr>
                    <w:t>固体废物</w:t>
                  </w:r>
                </w:p>
              </w:tc>
              <w:tc>
                <w:tcPr>
                  <w:tcW w:w="4096" w:type="pct"/>
                  <w:tcMar>
                    <w:top w:w="57" w:type="dxa"/>
                    <w:left w:w="108" w:type="dxa"/>
                    <w:bottom w:w="57" w:type="dxa"/>
                    <w:right w:w="108" w:type="dxa"/>
                  </w:tcMar>
                  <w:vAlign w:val="center"/>
                </w:tcPr>
                <w:p w14:paraId="0856FE48">
                  <w:pPr>
                    <w:pStyle w:val="41"/>
                    <w:jc w:val="both"/>
                    <w:rPr>
                      <w:color w:val="auto"/>
                      <w:szCs w:val="18"/>
                      <w:highlight w:val="none"/>
                    </w:rPr>
                  </w:pPr>
                  <w:r>
                    <w:rPr>
                      <w:color w:val="auto"/>
                      <w:szCs w:val="18"/>
                      <w:highlight w:val="none"/>
                    </w:rPr>
                    <w:t>本项目</w:t>
                  </w:r>
                  <w:r>
                    <w:rPr>
                      <w:rFonts w:hint="eastAsia"/>
                      <w:snapToGrid w:val="0"/>
                      <w:color w:val="auto"/>
                      <w:szCs w:val="18"/>
                      <w:highlight w:val="none"/>
                    </w:rPr>
                    <w:t>生活垃圾集中在生活垃圾收集箱内，定期拉运至阜康市</w:t>
                  </w:r>
                  <w:r>
                    <w:rPr>
                      <w:rFonts w:hint="eastAsia"/>
                      <w:snapToGrid w:val="0"/>
                      <w:color w:val="auto"/>
                      <w:szCs w:val="18"/>
                      <w:highlight w:val="none"/>
                      <w:lang w:val="en-US" w:eastAsia="zh-CN"/>
                    </w:rPr>
                    <w:t>宏翔环境卫生服务有限公司</w:t>
                  </w:r>
                  <w:r>
                    <w:rPr>
                      <w:rFonts w:hint="eastAsia"/>
                      <w:color w:val="auto"/>
                      <w:sz w:val="18"/>
                      <w:szCs w:val="18"/>
                      <w:highlight w:val="none"/>
                      <w:lang w:val="en-US" w:eastAsia="zh-CN"/>
                    </w:rPr>
                    <w:t>阜康市生活垃圾填埋场</w:t>
                  </w:r>
                  <w:r>
                    <w:rPr>
                      <w:rFonts w:hint="eastAsia"/>
                      <w:snapToGrid w:val="0"/>
                      <w:color w:val="auto"/>
                      <w:szCs w:val="18"/>
                      <w:highlight w:val="none"/>
                      <w:lang w:val="en-US" w:eastAsia="zh-CN"/>
                    </w:rPr>
                    <w:t>处理</w:t>
                  </w:r>
                  <w:r>
                    <w:rPr>
                      <w:rFonts w:hint="eastAsia"/>
                      <w:color w:val="auto"/>
                      <w:szCs w:val="18"/>
                      <w:highlight w:val="none"/>
                    </w:rPr>
                    <w:t>。</w:t>
                  </w:r>
                </w:p>
                <w:p w14:paraId="0C65D671">
                  <w:pPr>
                    <w:pStyle w:val="41"/>
                    <w:jc w:val="both"/>
                    <w:rPr>
                      <w:bCs/>
                      <w:color w:val="auto"/>
                      <w:szCs w:val="18"/>
                      <w:highlight w:val="none"/>
                    </w:rPr>
                  </w:pPr>
                  <w:r>
                    <w:rPr>
                      <w:color w:val="auto"/>
                      <w:szCs w:val="18"/>
                      <w:highlight w:val="none"/>
                    </w:rPr>
                    <w:t>钻井固废</w:t>
                  </w:r>
                  <w:r>
                    <w:rPr>
                      <w:rFonts w:hint="eastAsia"/>
                      <w:bCs/>
                      <w:color w:val="auto"/>
                      <w:szCs w:val="18"/>
                      <w:highlight w:val="none"/>
                    </w:rPr>
                    <w:t>采用“泥浆不落地”系统，导管、一开、二开产生的钻井固废集中拉运至</w:t>
                  </w:r>
                  <w:r>
                    <w:rPr>
                      <w:rFonts w:hint="eastAsia"/>
                      <w:bCs/>
                      <w:color w:val="auto"/>
                      <w:szCs w:val="18"/>
                      <w:highlight w:val="none"/>
                      <w:lang w:eastAsia="zh-CN"/>
                    </w:rPr>
                    <w:t>山东奥友环保工程有限责任公司乌苏分公司</w:t>
                  </w:r>
                  <w:r>
                    <w:rPr>
                      <w:rFonts w:hint="eastAsia"/>
                      <w:bCs/>
                      <w:color w:val="auto"/>
                      <w:szCs w:val="18"/>
                      <w:highlight w:val="none"/>
                    </w:rPr>
                    <w:t>处理；钻井固废检测达到《油气田钻井固体废物综合利用污染控制要求》（DB65/T 3997-2017）相关标准限值后用于油田区块铺路、铺垫井场综合利用，未达标的产物将进入处置系统再次进行处理，不得随意排放。三开产生的钻井固废（HW08 071-002-08）属于危险废物，委托有资质单位清运处置。</w:t>
                  </w:r>
                </w:p>
                <w:p w14:paraId="39E06F10">
                  <w:pPr>
                    <w:pStyle w:val="41"/>
                    <w:jc w:val="both"/>
                    <w:rPr>
                      <w:color w:val="auto"/>
                      <w:szCs w:val="18"/>
                      <w:highlight w:val="none"/>
                    </w:rPr>
                  </w:pPr>
                  <w:r>
                    <w:rPr>
                      <w:rFonts w:hint="eastAsia" w:cs="宋体"/>
                      <w:color w:val="auto"/>
                      <w:szCs w:val="18"/>
                      <w:highlight w:val="none"/>
                    </w:rPr>
                    <w:t>防渗材料正常情况循环利用，使用过程中如产生不可利用的废防渗材料，</w:t>
                  </w:r>
                  <w:r>
                    <w:rPr>
                      <w:rFonts w:hint="eastAsia"/>
                      <w:color w:val="auto"/>
                      <w:szCs w:val="18"/>
                      <w:highlight w:val="none"/>
                    </w:rPr>
                    <w:t>和废润滑油、废润滑油桶、沾染有毒有害物质的</w:t>
                  </w:r>
                  <w:r>
                    <w:rPr>
                      <w:rFonts w:hint="eastAsia"/>
                      <w:color w:val="auto"/>
                      <w:szCs w:val="18"/>
                      <w:highlight w:val="none"/>
                      <w:lang w:val="en-US" w:eastAsia="zh-CN"/>
                    </w:rPr>
                    <w:t>废弃包装物</w:t>
                  </w:r>
                  <w:r>
                    <w:rPr>
                      <w:rFonts w:hint="eastAsia"/>
                      <w:color w:val="auto"/>
                      <w:szCs w:val="18"/>
                      <w:highlight w:val="none"/>
                    </w:rPr>
                    <w:t>、废弃的含油抹布、劳保用品直接委托有资质单位处置。</w:t>
                  </w:r>
                </w:p>
              </w:tc>
            </w:tr>
            <w:tr w14:paraId="677F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Mar>
                    <w:top w:w="57" w:type="dxa"/>
                    <w:left w:w="108" w:type="dxa"/>
                    <w:bottom w:w="57" w:type="dxa"/>
                    <w:right w:w="108" w:type="dxa"/>
                  </w:tcMar>
                  <w:vAlign w:val="center"/>
                </w:tcPr>
                <w:p w14:paraId="275940A9">
                  <w:pPr>
                    <w:pStyle w:val="41"/>
                    <w:rPr>
                      <w:bCs/>
                      <w:color w:val="auto"/>
                      <w:szCs w:val="18"/>
                      <w:highlight w:val="none"/>
                    </w:rPr>
                  </w:pPr>
                  <w:r>
                    <w:rPr>
                      <w:rFonts w:hint="eastAsia"/>
                      <w:color w:val="auto"/>
                      <w:szCs w:val="18"/>
                      <w:highlight w:val="none"/>
                    </w:rPr>
                    <w:t>5</w:t>
                  </w:r>
                </w:p>
              </w:tc>
              <w:tc>
                <w:tcPr>
                  <w:tcW w:w="621" w:type="pct"/>
                  <w:tcMar>
                    <w:top w:w="57" w:type="dxa"/>
                    <w:left w:w="108" w:type="dxa"/>
                    <w:bottom w:w="57" w:type="dxa"/>
                    <w:right w:w="108" w:type="dxa"/>
                  </w:tcMar>
                  <w:vAlign w:val="center"/>
                </w:tcPr>
                <w:p w14:paraId="26125DA6">
                  <w:pPr>
                    <w:pStyle w:val="41"/>
                    <w:rPr>
                      <w:bCs/>
                      <w:color w:val="auto"/>
                      <w:szCs w:val="18"/>
                      <w:highlight w:val="none"/>
                    </w:rPr>
                  </w:pPr>
                  <w:r>
                    <w:rPr>
                      <w:rFonts w:hint="eastAsia"/>
                      <w:color w:val="auto"/>
                      <w:szCs w:val="18"/>
                      <w:highlight w:val="none"/>
                    </w:rPr>
                    <w:t>生态环境</w:t>
                  </w:r>
                </w:p>
              </w:tc>
              <w:tc>
                <w:tcPr>
                  <w:tcW w:w="4096" w:type="pct"/>
                  <w:tcMar>
                    <w:top w:w="57" w:type="dxa"/>
                    <w:left w:w="108" w:type="dxa"/>
                    <w:bottom w:w="57" w:type="dxa"/>
                    <w:right w:w="108" w:type="dxa"/>
                  </w:tcMar>
                  <w:vAlign w:val="center"/>
                </w:tcPr>
                <w:p w14:paraId="299F835F">
                  <w:pPr>
                    <w:pStyle w:val="41"/>
                    <w:jc w:val="both"/>
                    <w:rPr>
                      <w:bCs/>
                      <w:color w:val="auto"/>
                      <w:szCs w:val="18"/>
                      <w:highlight w:val="none"/>
                    </w:rPr>
                  </w:pPr>
                  <w:bookmarkStart w:id="74" w:name="_Hlk41985386"/>
                  <w:r>
                    <w:rPr>
                      <w:rFonts w:hint="eastAsia"/>
                      <w:color w:val="auto"/>
                      <w:szCs w:val="18"/>
                      <w:highlight w:val="none"/>
                    </w:rPr>
                    <w:t>用地面积按实际征地面积划定，</w:t>
                  </w:r>
                  <w:bookmarkEnd w:id="74"/>
                  <w:r>
                    <w:rPr>
                      <w:rFonts w:hint="eastAsia"/>
                      <w:color w:val="auto"/>
                      <w:szCs w:val="18"/>
                      <w:highlight w:val="none"/>
                    </w:rPr>
                    <w:t>不得超过规定面积。施工车辆严格按规定路线行驶，严禁随意开道，碾压植被、扰动土壤。严禁破坏植被、捕杀野生动物。施工结束后应对施工场地进行平整，恢复地貌。</w:t>
                  </w:r>
                </w:p>
              </w:tc>
            </w:tr>
            <w:tr w14:paraId="6BB0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 w:type="pct"/>
                  <w:tcMar>
                    <w:top w:w="57" w:type="dxa"/>
                    <w:left w:w="108" w:type="dxa"/>
                    <w:bottom w:w="57" w:type="dxa"/>
                    <w:right w:w="108" w:type="dxa"/>
                  </w:tcMar>
                  <w:vAlign w:val="center"/>
                </w:tcPr>
                <w:p w14:paraId="24531399">
                  <w:pPr>
                    <w:pStyle w:val="41"/>
                    <w:rPr>
                      <w:bCs/>
                      <w:color w:val="auto"/>
                      <w:szCs w:val="18"/>
                      <w:highlight w:val="none"/>
                    </w:rPr>
                  </w:pPr>
                  <w:r>
                    <w:rPr>
                      <w:rFonts w:hint="eastAsia"/>
                      <w:color w:val="auto"/>
                      <w:szCs w:val="18"/>
                      <w:highlight w:val="none"/>
                    </w:rPr>
                    <w:t>6</w:t>
                  </w:r>
                </w:p>
              </w:tc>
              <w:tc>
                <w:tcPr>
                  <w:tcW w:w="621" w:type="pct"/>
                  <w:tcMar>
                    <w:top w:w="57" w:type="dxa"/>
                    <w:left w:w="108" w:type="dxa"/>
                    <w:bottom w:w="57" w:type="dxa"/>
                    <w:right w:w="108" w:type="dxa"/>
                  </w:tcMar>
                  <w:vAlign w:val="center"/>
                </w:tcPr>
                <w:p w14:paraId="2223A3EF">
                  <w:pPr>
                    <w:pStyle w:val="41"/>
                    <w:rPr>
                      <w:bCs/>
                      <w:color w:val="auto"/>
                      <w:szCs w:val="18"/>
                      <w:highlight w:val="none"/>
                    </w:rPr>
                  </w:pPr>
                  <w:r>
                    <w:rPr>
                      <w:rFonts w:hint="eastAsia"/>
                      <w:color w:val="auto"/>
                      <w:szCs w:val="18"/>
                      <w:highlight w:val="none"/>
                    </w:rPr>
                    <w:t>环境管理</w:t>
                  </w:r>
                </w:p>
              </w:tc>
              <w:tc>
                <w:tcPr>
                  <w:tcW w:w="4096" w:type="pct"/>
                  <w:tcMar>
                    <w:top w:w="57" w:type="dxa"/>
                    <w:left w:w="108" w:type="dxa"/>
                    <w:bottom w:w="57" w:type="dxa"/>
                    <w:right w:w="108" w:type="dxa"/>
                  </w:tcMar>
                  <w:vAlign w:val="center"/>
                </w:tcPr>
                <w:p w14:paraId="4C54C903">
                  <w:pPr>
                    <w:pStyle w:val="41"/>
                    <w:jc w:val="both"/>
                    <w:rPr>
                      <w:color w:val="auto"/>
                      <w:szCs w:val="18"/>
                      <w:highlight w:val="none"/>
                    </w:rPr>
                  </w:pPr>
                  <w:r>
                    <w:rPr>
                      <w:rFonts w:hint="eastAsia"/>
                      <w:color w:val="auto"/>
                      <w:szCs w:val="18"/>
                      <w:highlight w:val="none"/>
                    </w:rPr>
                    <w:t>施工单位应建立环境保护档案，保存施工前后项目区的影像资料，使施工全过程各类污染物产生、去向和各个污染措施及实施情况均记录在案。建设单位要求施工单位在钻井工程开工前进行环保自查，建设单位安全环保部门对施工单位钻井期间进行环保日常检查并做好记录；完工交井前，建设单位主管部门现场验收，合格后方可记录为完工，做到工完料净场地清，并做好记录。</w:t>
                  </w:r>
                </w:p>
              </w:tc>
            </w:tr>
          </w:tbl>
          <w:p w14:paraId="666C2752">
            <w:pPr>
              <w:pStyle w:val="3"/>
              <w:ind w:firstLine="0" w:firstLineChars="0"/>
              <w:rPr>
                <w:color w:val="auto"/>
                <w:sz w:val="21"/>
                <w:highlight w:val="none"/>
              </w:rPr>
            </w:pPr>
          </w:p>
          <w:p w14:paraId="5E2D6135">
            <w:pPr>
              <w:pStyle w:val="3"/>
              <w:numPr>
                <w:ilvl w:val="0"/>
                <w:numId w:val="43"/>
              </w:numPr>
              <w:spacing w:line="332" w:lineRule="auto"/>
              <w:ind w:firstLine="420"/>
              <w:rPr>
                <w:color w:val="auto"/>
                <w:sz w:val="21"/>
                <w:highlight w:val="none"/>
              </w:rPr>
            </w:pPr>
            <w:r>
              <w:rPr>
                <w:rFonts w:hint="eastAsia"/>
                <w:color w:val="auto"/>
                <w:sz w:val="21"/>
                <w:highlight w:val="none"/>
              </w:rPr>
              <w:t>环境监测</w:t>
            </w:r>
          </w:p>
          <w:p w14:paraId="0DF72817">
            <w:pPr>
              <w:pStyle w:val="71"/>
              <w:numPr>
                <w:ilvl w:val="0"/>
                <w:numId w:val="62"/>
              </w:numPr>
              <w:spacing w:line="332" w:lineRule="auto"/>
              <w:ind w:firstLine="420" w:firstLineChars="200"/>
              <w:rPr>
                <w:color w:val="auto"/>
                <w:highlight w:val="none"/>
              </w:rPr>
            </w:pPr>
            <w:r>
              <w:rPr>
                <w:rFonts w:hint="eastAsia"/>
                <w:color w:val="auto"/>
                <w:highlight w:val="none"/>
              </w:rPr>
              <w:t>常规监测计划</w:t>
            </w:r>
          </w:p>
          <w:p w14:paraId="5DC9BB2B">
            <w:pPr>
              <w:pStyle w:val="3"/>
              <w:ind w:firstLine="420"/>
              <w:rPr>
                <w:color w:val="auto"/>
                <w:sz w:val="21"/>
                <w:highlight w:val="none"/>
              </w:rPr>
            </w:pPr>
            <w:r>
              <w:rPr>
                <w:rFonts w:hint="eastAsia"/>
                <w:color w:val="auto"/>
                <w:sz w:val="21"/>
                <w:highlight w:val="none"/>
              </w:rPr>
              <w:t>本次施工期监测对</w:t>
            </w:r>
            <w:r>
              <w:rPr>
                <w:rFonts w:hint="eastAsia"/>
                <w:color w:val="auto"/>
                <w:sz w:val="21"/>
                <w:szCs w:val="21"/>
                <w:highlight w:val="none"/>
              </w:rPr>
              <w:t>象主要是钻井固废，对作业场所监测可视具体情况、当地生态环境保护部门要求等情况而定。施工期环境监测计划见</w:t>
            </w:r>
            <w:r>
              <w:rPr>
                <w:rFonts w:hint="eastAsia"/>
                <w:color w:val="auto"/>
                <w:sz w:val="21"/>
                <w:szCs w:val="21"/>
                <w:highlight w:val="none"/>
              </w:rPr>
              <w:fldChar w:fldCharType="begin"/>
            </w:r>
            <w:r>
              <w:rPr>
                <w:color w:val="auto"/>
                <w:highlight w:val="none"/>
              </w:rPr>
              <w:instrText xml:space="preserve"> REF _Ref1740689542 \h  \* MERGEFORMAT</w:instrText>
            </w:r>
            <w:r>
              <w:rPr>
                <w:rFonts w:hint="eastAsia"/>
                <w:color w:val="auto"/>
                <w:sz w:val="21"/>
                <w:szCs w:val="21"/>
                <w:highlight w:val="none"/>
              </w:rPr>
              <w:fldChar w:fldCharType="separate"/>
            </w:r>
            <w:r>
              <w:rPr>
                <w:rFonts w:hint="eastAsia"/>
                <w:color w:val="auto"/>
                <w:sz w:val="21"/>
                <w:szCs w:val="21"/>
                <w:highlight w:val="none"/>
              </w:rPr>
              <w:t>表40</w:t>
            </w:r>
            <w:r>
              <w:rPr>
                <w:rFonts w:hint="eastAsia"/>
                <w:color w:val="auto"/>
                <w:sz w:val="21"/>
                <w:szCs w:val="21"/>
                <w:highlight w:val="none"/>
              </w:rPr>
              <w:fldChar w:fldCharType="end"/>
            </w:r>
            <w:r>
              <w:rPr>
                <w:rFonts w:hint="eastAsia"/>
                <w:color w:val="auto"/>
                <w:sz w:val="21"/>
                <w:szCs w:val="21"/>
                <w:highlight w:val="none"/>
              </w:rPr>
              <w:t>。</w:t>
            </w:r>
          </w:p>
          <w:p w14:paraId="1F1E3F08">
            <w:pPr>
              <w:pStyle w:val="13"/>
              <w:bidi w:val="0"/>
              <w:rPr>
                <w:color w:val="auto"/>
                <w:highlight w:val="none"/>
              </w:rPr>
            </w:pPr>
            <w:bookmarkStart w:id="75" w:name="_Ref1740689542"/>
            <w:bookmarkStart w:id="76" w:name="_Ref2136958361"/>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40</w:t>
            </w:r>
            <w:r>
              <w:rPr>
                <w:rFonts w:hint="eastAsia"/>
                <w:color w:val="auto"/>
                <w:highlight w:val="none"/>
              </w:rPr>
              <w:fldChar w:fldCharType="end"/>
            </w:r>
            <w:bookmarkEnd w:id="75"/>
            <w:r>
              <w:rPr>
                <w:rFonts w:hint="eastAsia"/>
                <w:color w:val="auto"/>
                <w:highlight w:val="none"/>
              </w:rPr>
              <w:t xml:space="preserve">  环境监测计划一览表</w:t>
            </w:r>
            <w:bookmarkEnd w:id="76"/>
            <w:r>
              <w:rPr>
                <w:rFonts w:hint="eastAsia"/>
                <w:color w:val="auto"/>
                <w:highlight w:val="none"/>
              </w:rPr>
              <w:t>（常规）</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179"/>
              <w:gridCol w:w="2117"/>
              <w:gridCol w:w="1295"/>
              <w:gridCol w:w="1648"/>
            </w:tblGrid>
            <w:tr w14:paraId="0086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3" w:type="pct"/>
                  <w:vAlign w:val="center"/>
                </w:tcPr>
                <w:p w14:paraId="6664EAA6">
                  <w:pPr>
                    <w:pStyle w:val="41"/>
                    <w:rPr>
                      <w:bCs/>
                      <w:color w:val="auto"/>
                      <w:szCs w:val="18"/>
                      <w:highlight w:val="none"/>
                    </w:rPr>
                  </w:pPr>
                  <w:r>
                    <w:rPr>
                      <w:rFonts w:hint="eastAsia"/>
                      <w:bCs/>
                      <w:color w:val="auto"/>
                      <w:szCs w:val="18"/>
                      <w:highlight w:val="none"/>
                    </w:rPr>
                    <w:t>环境要素</w:t>
                  </w:r>
                </w:p>
              </w:tc>
              <w:tc>
                <w:tcPr>
                  <w:tcW w:w="770" w:type="pct"/>
                  <w:vAlign w:val="center"/>
                </w:tcPr>
                <w:p w14:paraId="488ACCDA">
                  <w:pPr>
                    <w:pStyle w:val="41"/>
                    <w:rPr>
                      <w:bCs/>
                      <w:color w:val="auto"/>
                      <w:szCs w:val="18"/>
                      <w:highlight w:val="none"/>
                    </w:rPr>
                  </w:pPr>
                  <w:r>
                    <w:rPr>
                      <w:rFonts w:hint="eastAsia"/>
                      <w:bCs/>
                      <w:color w:val="auto"/>
                      <w:szCs w:val="18"/>
                      <w:highlight w:val="none"/>
                    </w:rPr>
                    <w:t>监测地点</w:t>
                  </w:r>
                </w:p>
              </w:tc>
              <w:tc>
                <w:tcPr>
                  <w:tcW w:w="1383" w:type="pct"/>
                  <w:vAlign w:val="center"/>
                </w:tcPr>
                <w:p w14:paraId="0FE1AC47">
                  <w:pPr>
                    <w:pStyle w:val="41"/>
                    <w:rPr>
                      <w:bCs/>
                      <w:color w:val="auto"/>
                      <w:szCs w:val="18"/>
                      <w:highlight w:val="none"/>
                    </w:rPr>
                  </w:pPr>
                  <w:r>
                    <w:rPr>
                      <w:rFonts w:hint="eastAsia"/>
                      <w:bCs/>
                      <w:color w:val="auto"/>
                      <w:szCs w:val="18"/>
                      <w:highlight w:val="none"/>
                    </w:rPr>
                    <w:t>监测项目</w:t>
                  </w:r>
                </w:p>
              </w:tc>
              <w:tc>
                <w:tcPr>
                  <w:tcW w:w="846" w:type="pct"/>
                  <w:vAlign w:val="center"/>
                </w:tcPr>
                <w:p w14:paraId="5F9AD48A">
                  <w:pPr>
                    <w:pStyle w:val="41"/>
                    <w:rPr>
                      <w:bCs/>
                      <w:color w:val="auto"/>
                      <w:szCs w:val="18"/>
                      <w:highlight w:val="none"/>
                    </w:rPr>
                  </w:pPr>
                  <w:r>
                    <w:rPr>
                      <w:rFonts w:hint="eastAsia"/>
                      <w:bCs/>
                      <w:color w:val="auto"/>
                      <w:szCs w:val="18"/>
                      <w:highlight w:val="none"/>
                    </w:rPr>
                    <w:t>监测频次</w:t>
                  </w:r>
                </w:p>
              </w:tc>
              <w:tc>
                <w:tcPr>
                  <w:tcW w:w="1076" w:type="pct"/>
                  <w:vAlign w:val="center"/>
                </w:tcPr>
                <w:p w14:paraId="51D8AD8A">
                  <w:pPr>
                    <w:pStyle w:val="41"/>
                    <w:rPr>
                      <w:bCs/>
                      <w:color w:val="auto"/>
                      <w:szCs w:val="18"/>
                      <w:highlight w:val="none"/>
                    </w:rPr>
                  </w:pPr>
                  <w:r>
                    <w:rPr>
                      <w:rFonts w:hint="eastAsia"/>
                      <w:bCs/>
                      <w:color w:val="auto"/>
                      <w:szCs w:val="18"/>
                      <w:highlight w:val="none"/>
                    </w:rPr>
                    <w:t>监测时间</w:t>
                  </w:r>
                </w:p>
              </w:tc>
            </w:tr>
            <w:tr w14:paraId="74DF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3" w:type="pct"/>
                  <w:vAlign w:val="center"/>
                </w:tcPr>
                <w:p w14:paraId="3F319765">
                  <w:pPr>
                    <w:pStyle w:val="41"/>
                    <w:rPr>
                      <w:bCs/>
                      <w:color w:val="auto"/>
                      <w:szCs w:val="18"/>
                      <w:highlight w:val="none"/>
                    </w:rPr>
                  </w:pPr>
                  <w:r>
                    <w:rPr>
                      <w:rFonts w:hint="eastAsia"/>
                      <w:bCs/>
                      <w:color w:val="auto"/>
                      <w:szCs w:val="18"/>
                      <w:highlight w:val="none"/>
                    </w:rPr>
                    <w:t>污染物监测</w:t>
                  </w:r>
                </w:p>
              </w:tc>
              <w:tc>
                <w:tcPr>
                  <w:tcW w:w="770" w:type="pct"/>
                  <w:vAlign w:val="center"/>
                </w:tcPr>
                <w:p w14:paraId="6C89DA4D">
                  <w:pPr>
                    <w:pStyle w:val="41"/>
                    <w:rPr>
                      <w:bCs/>
                      <w:color w:val="auto"/>
                      <w:szCs w:val="18"/>
                      <w:highlight w:val="none"/>
                    </w:rPr>
                  </w:pPr>
                  <w:r>
                    <w:rPr>
                      <w:rFonts w:hint="eastAsia"/>
                      <w:bCs/>
                      <w:color w:val="auto"/>
                      <w:szCs w:val="18"/>
                      <w:highlight w:val="none"/>
                    </w:rPr>
                    <w:t>钻井固废</w:t>
                  </w:r>
                </w:p>
              </w:tc>
              <w:tc>
                <w:tcPr>
                  <w:tcW w:w="1383" w:type="pct"/>
                  <w:vAlign w:val="center"/>
                </w:tcPr>
                <w:p w14:paraId="7F88B4C1">
                  <w:pPr>
                    <w:pStyle w:val="41"/>
                    <w:rPr>
                      <w:bCs/>
                      <w:color w:val="auto"/>
                      <w:szCs w:val="18"/>
                      <w:highlight w:val="none"/>
                    </w:rPr>
                  </w:pPr>
                  <w:r>
                    <w:rPr>
                      <w:rFonts w:hint="eastAsia"/>
                      <w:bCs/>
                      <w:color w:val="auto"/>
                      <w:szCs w:val="18"/>
                      <w:highlight w:val="none"/>
                    </w:rPr>
                    <w:t>pH、六价铬、铜、锌、镍、铅、镉、砷、苯并[a]芘、含油率、含水率</w:t>
                  </w:r>
                </w:p>
              </w:tc>
              <w:tc>
                <w:tcPr>
                  <w:tcW w:w="846" w:type="pct"/>
                  <w:vAlign w:val="center"/>
                </w:tcPr>
                <w:p w14:paraId="3A8B48D3">
                  <w:pPr>
                    <w:pStyle w:val="41"/>
                    <w:rPr>
                      <w:bCs/>
                      <w:color w:val="auto"/>
                      <w:szCs w:val="18"/>
                      <w:highlight w:val="none"/>
                    </w:rPr>
                  </w:pPr>
                  <w:r>
                    <w:rPr>
                      <w:rFonts w:hint="eastAsia"/>
                      <w:bCs/>
                      <w:color w:val="auto"/>
                      <w:szCs w:val="18"/>
                      <w:highlight w:val="none"/>
                    </w:rPr>
                    <w:t>1次/钻井周期</w:t>
                  </w:r>
                </w:p>
              </w:tc>
              <w:tc>
                <w:tcPr>
                  <w:tcW w:w="1076" w:type="pct"/>
                  <w:vAlign w:val="center"/>
                </w:tcPr>
                <w:p w14:paraId="1572EC47">
                  <w:pPr>
                    <w:pStyle w:val="41"/>
                    <w:rPr>
                      <w:bCs/>
                      <w:color w:val="auto"/>
                      <w:szCs w:val="18"/>
                      <w:highlight w:val="none"/>
                    </w:rPr>
                  </w:pPr>
                  <w:r>
                    <w:rPr>
                      <w:rFonts w:hint="eastAsia"/>
                      <w:bCs/>
                      <w:color w:val="auto"/>
                      <w:szCs w:val="18"/>
                      <w:highlight w:val="none"/>
                    </w:rPr>
                    <w:t>钻井固废处理后</w:t>
                  </w:r>
                </w:p>
              </w:tc>
            </w:tr>
          </w:tbl>
          <w:p w14:paraId="3079A722">
            <w:pPr>
              <w:pStyle w:val="3"/>
              <w:ind w:firstLine="420"/>
              <w:rPr>
                <w:color w:val="auto"/>
                <w:sz w:val="21"/>
                <w:highlight w:val="none"/>
              </w:rPr>
            </w:pPr>
          </w:p>
          <w:p w14:paraId="460D80B8">
            <w:pPr>
              <w:pStyle w:val="71"/>
              <w:numPr>
                <w:ilvl w:val="0"/>
                <w:numId w:val="62"/>
              </w:numPr>
              <w:spacing w:line="332" w:lineRule="auto"/>
              <w:ind w:firstLine="420" w:firstLineChars="200"/>
              <w:rPr>
                <w:color w:val="auto"/>
                <w:highlight w:val="none"/>
              </w:rPr>
            </w:pPr>
            <w:r>
              <w:rPr>
                <w:rFonts w:hint="eastAsia"/>
                <w:color w:val="auto"/>
                <w:highlight w:val="none"/>
              </w:rPr>
              <w:t>应急监测计划</w:t>
            </w:r>
          </w:p>
          <w:p w14:paraId="0F0FE39F">
            <w:pPr>
              <w:pStyle w:val="73"/>
              <w:numPr>
                <w:ilvl w:val="0"/>
                <w:numId w:val="63"/>
              </w:numPr>
              <w:ind w:firstLine="420" w:firstLineChars="200"/>
              <w:rPr>
                <w:color w:val="auto"/>
                <w:highlight w:val="none"/>
              </w:rPr>
            </w:pPr>
            <w:r>
              <w:rPr>
                <w:rFonts w:hint="eastAsia"/>
                <w:color w:val="auto"/>
                <w:highlight w:val="none"/>
              </w:rPr>
              <w:t>适用范围</w:t>
            </w:r>
          </w:p>
          <w:p w14:paraId="6F9BF6E4">
            <w:pPr>
              <w:pStyle w:val="3"/>
              <w:ind w:firstLine="420"/>
              <w:rPr>
                <w:color w:val="auto"/>
                <w:sz w:val="21"/>
                <w:highlight w:val="none"/>
              </w:rPr>
            </w:pPr>
            <w:r>
              <w:rPr>
                <w:rFonts w:hint="eastAsia"/>
                <w:color w:val="auto"/>
                <w:sz w:val="21"/>
                <w:highlight w:val="none"/>
              </w:rPr>
              <w:t>本监测计划适用于项目范围内发生的环保事故和应急情况的监测。</w:t>
            </w:r>
          </w:p>
          <w:p w14:paraId="4D5B8881">
            <w:pPr>
              <w:pStyle w:val="73"/>
              <w:numPr>
                <w:ilvl w:val="0"/>
                <w:numId w:val="63"/>
              </w:numPr>
              <w:ind w:firstLine="420" w:firstLineChars="200"/>
              <w:rPr>
                <w:color w:val="auto"/>
                <w:highlight w:val="none"/>
              </w:rPr>
            </w:pPr>
            <w:r>
              <w:rPr>
                <w:rFonts w:hint="eastAsia"/>
                <w:color w:val="auto"/>
                <w:highlight w:val="none"/>
              </w:rPr>
              <w:t>应急监测措施</w:t>
            </w:r>
          </w:p>
          <w:p w14:paraId="4B90AA7C">
            <w:pPr>
              <w:pStyle w:val="3"/>
              <w:ind w:firstLine="420"/>
              <w:rPr>
                <w:color w:val="auto"/>
                <w:sz w:val="21"/>
                <w:highlight w:val="none"/>
              </w:rPr>
            </w:pPr>
            <w:r>
              <w:rPr>
                <w:rFonts w:hint="eastAsia"/>
                <w:color w:val="auto"/>
                <w:sz w:val="21"/>
                <w:highlight w:val="none"/>
              </w:rPr>
              <w:t>应急指挥中心办公室、环境监测部门接到环保事故信息后，根据接报的情况判断可能的污染物质，进行应急准备，并立即组织有关人员，分别进行现场的监测采样和实验室的准备工作。</w:t>
            </w:r>
          </w:p>
          <w:p w14:paraId="07E926ED">
            <w:pPr>
              <w:pStyle w:val="73"/>
              <w:numPr>
                <w:ilvl w:val="0"/>
                <w:numId w:val="63"/>
              </w:numPr>
              <w:ind w:firstLine="420" w:firstLineChars="200"/>
              <w:rPr>
                <w:color w:val="auto"/>
                <w:highlight w:val="none"/>
              </w:rPr>
            </w:pPr>
            <w:r>
              <w:rPr>
                <w:rFonts w:hint="eastAsia"/>
                <w:color w:val="auto"/>
                <w:highlight w:val="none"/>
              </w:rPr>
              <w:t>应急监测方案</w:t>
            </w:r>
          </w:p>
          <w:p w14:paraId="1686F757">
            <w:pPr>
              <w:pStyle w:val="3"/>
              <w:ind w:firstLine="420"/>
              <w:rPr>
                <w:color w:val="auto"/>
                <w:sz w:val="21"/>
                <w:highlight w:val="none"/>
              </w:rPr>
            </w:pPr>
            <w:r>
              <w:rPr>
                <w:rFonts w:hint="eastAsia"/>
                <w:color w:val="auto"/>
                <w:sz w:val="21"/>
                <w:highlight w:val="none"/>
              </w:rPr>
              <w:t>本项目应急环</w:t>
            </w:r>
            <w:r>
              <w:rPr>
                <w:rFonts w:hint="eastAsia"/>
                <w:color w:val="auto"/>
                <w:sz w:val="21"/>
                <w:szCs w:val="21"/>
                <w:highlight w:val="none"/>
              </w:rPr>
              <w:t>境监测方案详见</w:t>
            </w:r>
            <w:r>
              <w:rPr>
                <w:rFonts w:hint="eastAsia"/>
                <w:color w:val="auto"/>
                <w:sz w:val="21"/>
                <w:szCs w:val="21"/>
                <w:highlight w:val="none"/>
              </w:rPr>
              <w:fldChar w:fldCharType="begin"/>
            </w:r>
            <w:r>
              <w:rPr>
                <w:color w:val="auto"/>
                <w:highlight w:val="none"/>
              </w:rPr>
              <w:instrText xml:space="preserve"> REF _Ref1741244173 \h  \* MERGEFORMAT</w:instrText>
            </w:r>
            <w:r>
              <w:rPr>
                <w:rFonts w:hint="eastAsia"/>
                <w:color w:val="auto"/>
                <w:sz w:val="21"/>
                <w:szCs w:val="21"/>
                <w:highlight w:val="none"/>
              </w:rPr>
              <w:fldChar w:fldCharType="separate"/>
            </w:r>
            <w:r>
              <w:rPr>
                <w:rFonts w:hint="eastAsia"/>
                <w:color w:val="auto"/>
                <w:sz w:val="21"/>
                <w:szCs w:val="21"/>
                <w:highlight w:val="none"/>
              </w:rPr>
              <w:t>表41</w:t>
            </w:r>
            <w:r>
              <w:rPr>
                <w:rFonts w:hint="eastAsia"/>
                <w:color w:val="auto"/>
                <w:sz w:val="21"/>
                <w:szCs w:val="21"/>
                <w:highlight w:val="none"/>
              </w:rPr>
              <w:fldChar w:fldCharType="end"/>
            </w:r>
            <w:r>
              <w:rPr>
                <w:rFonts w:hint="eastAsia"/>
                <w:color w:val="auto"/>
                <w:sz w:val="21"/>
                <w:szCs w:val="21"/>
                <w:highlight w:val="none"/>
              </w:rPr>
              <w:t>。</w:t>
            </w:r>
          </w:p>
          <w:p w14:paraId="52CB82A5">
            <w:pPr>
              <w:pStyle w:val="13"/>
              <w:bidi w:val="0"/>
              <w:rPr>
                <w:color w:val="auto"/>
                <w:highlight w:val="none"/>
              </w:rPr>
            </w:pPr>
            <w:bookmarkStart w:id="77" w:name="_Ref1741244173"/>
            <w:bookmarkStart w:id="78" w:name="_Ref507844507"/>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41</w:t>
            </w:r>
            <w:r>
              <w:rPr>
                <w:rFonts w:hint="eastAsia"/>
                <w:color w:val="auto"/>
                <w:highlight w:val="none"/>
              </w:rPr>
              <w:fldChar w:fldCharType="end"/>
            </w:r>
            <w:bookmarkEnd w:id="77"/>
            <w:r>
              <w:rPr>
                <w:rFonts w:hint="eastAsia"/>
                <w:color w:val="auto"/>
                <w:highlight w:val="none"/>
              </w:rPr>
              <w:t xml:space="preserve">  环境监测计划一览表</w:t>
            </w:r>
            <w:bookmarkEnd w:id="78"/>
            <w:r>
              <w:rPr>
                <w:rFonts w:hint="eastAsia"/>
                <w:color w:val="auto"/>
                <w:highlight w:val="none"/>
              </w:rPr>
              <w:t>（应急）</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1407"/>
              <w:gridCol w:w="3027"/>
              <w:gridCol w:w="2171"/>
            </w:tblGrid>
            <w:tr w14:paraId="4382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4" w:type="pct"/>
                  <w:vAlign w:val="center"/>
                </w:tcPr>
                <w:p w14:paraId="645FDD10">
                  <w:pPr>
                    <w:pStyle w:val="41"/>
                    <w:rPr>
                      <w:bCs/>
                      <w:color w:val="auto"/>
                      <w:szCs w:val="18"/>
                      <w:highlight w:val="none"/>
                    </w:rPr>
                  </w:pPr>
                  <w:r>
                    <w:rPr>
                      <w:rFonts w:hint="eastAsia"/>
                      <w:bCs/>
                      <w:color w:val="auto"/>
                      <w:szCs w:val="18"/>
                      <w:highlight w:val="none"/>
                    </w:rPr>
                    <w:t>监测项目</w:t>
                  </w:r>
                </w:p>
              </w:tc>
              <w:tc>
                <w:tcPr>
                  <w:tcW w:w="919" w:type="pct"/>
                  <w:vAlign w:val="center"/>
                </w:tcPr>
                <w:p w14:paraId="4CB0A8F2">
                  <w:pPr>
                    <w:pStyle w:val="41"/>
                    <w:rPr>
                      <w:bCs/>
                      <w:color w:val="auto"/>
                      <w:szCs w:val="18"/>
                      <w:highlight w:val="none"/>
                    </w:rPr>
                  </w:pPr>
                  <w:r>
                    <w:rPr>
                      <w:rFonts w:hint="eastAsia"/>
                      <w:bCs/>
                      <w:color w:val="auto"/>
                      <w:szCs w:val="18"/>
                      <w:highlight w:val="none"/>
                    </w:rPr>
                    <w:t>监测因子</w:t>
                  </w:r>
                </w:p>
              </w:tc>
              <w:tc>
                <w:tcPr>
                  <w:tcW w:w="1977" w:type="pct"/>
                  <w:vAlign w:val="center"/>
                </w:tcPr>
                <w:p w14:paraId="304E289A">
                  <w:pPr>
                    <w:pStyle w:val="41"/>
                    <w:rPr>
                      <w:bCs/>
                      <w:color w:val="auto"/>
                      <w:szCs w:val="18"/>
                      <w:highlight w:val="none"/>
                    </w:rPr>
                  </w:pPr>
                  <w:r>
                    <w:rPr>
                      <w:rFonts w:hint="eastAsia"/>
                      <w:bCs/>
                      <w:color w:val="auto"/>
                      <w:szCs w:val="18"/>
                      <w:highlight w:val="none"/>
                    </w:rPr>
                    <w:t>监测点位</w:t>
                  </w:r>
                </w:p>
              </w:tc>
              <w:tc>
                <w:tcPr>
                  <w:tcW w:w="1418" w:type="pct"/>
                  <w:vAlign w:val="center"/>
                </w:tcPr>
                <w:p w14:paraId="417869DF">
                  <w:pPr>
                    <w:pStyle w:val="41"/>
                    <w:rPr>
                      <w:bCs/>
                      <w:color w:val="auto"/>
                      <w:szCs w:val="18"/>
                      <w:highlight w:val="none"/>
                    </w:rPr>
                  </w:pPr>
                  <w:r>
                    <w:rPr>
                      <w:rFonts w:hint="eastAsia"/>
                      <w:bCs/>
                      <w:color w:val="auto"/>
                      <w:szCs w:val="18"/>
                      <w:highlight w:val="none"/>
                    </w:rPr>
                    <w:t>监测时间和频率</w:t>
                  </w:r>
                </w:p>
              </w:tc>
            </w:tr>
            <w:tr w14:paraId="4A19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4" w:type="pct"/>
                  <w:vAlign w:val="center"/>
                </w:tcPr>
                <w:p w14:paraId="7C99A812">
                  <w:pPr>
                    <w:pStyle w:val="41"/>
                    <w:rPr>
                      <w:bCs/>
                      <w:color w:val="auto"/>
                      <w:szCs w:val="18"/>
                      <w:highlight w:val="none"/>
                    </w:rPr>
                  </w:pPr>
                  <w:r>
                    <w:rPr>
                      <w:rFonts w:hint="eastAsia"/>
                      <w:bCs/>
                      <w:color w:val="auto"/>
                      <w:szCs w:val="18"/>
                      <w:highlight w:val="none"/>
                    </w:rPr>
                    <w:t>环境空气</w:t>
                  </w:r>
                </w:p>
              </w:tc>
              <w:tc>
                <w:tcPr>
                  <w:tcW w:w="919" w:type="pct"/>
                  <w:vAlign w:val="center"/>
                </w:tcPr>
                <w:p w14:paraId="2DD1C04A">
                  <w:pPr>
                    <w:pStyle w:val="41"/>
                    <w:rPr>
                      <w:bCs/>
                      <w:color w:val="auto"/>
                      <w:szCs w:val="18"/>
                      <w:highlight w:val="none"/>
                    </w:rPr>
                  </w:pPr>
                  <w:r>
                    <w:rPr>
                      <w:rFonts w:hint="eastAsia"/>
                      <w:bCs/>
                      <w:color w:val="auto"/>
                      <w:szCs w:val="18"/>
                      <w:highlight w:val="none"/>
                    </w:rPr>
                    <w:t>非甲烷总烃、硫化氢、一氧化碳、二氧化硫</w:t>
                  </w:r>
                </w:p>
              </w:tc>
              <w:tc>
                <w:tcPr>
                  <w:tcW w:w="1977" w:type="pct"/>
                  <w:vAlign w:val="center"/>
                </w:tcPr>
                <w:p w14:paraId="62CA9333">
                  <w:pPr>
                    <w:pStyle w:val="41"/>
                    <w:rPr>
                      <w:bCs/>
                      <w:color w:val="auto"/>
                      <w:szCs w:val="18"/>
                      <w:highlight w:val="none"/>
                    </w:rPr>
                  </w:pPr>
                  <w:r>
                    <w:rPr>
                      <w:rFonts w:hint="eastAsia"/>
                      <w:bCs/>
                      <w:color w:val="auto"/>
                      <w:szCs w:val="18"/>
                      <w:highlight w:val="none"/>
                    </w:rPr>
                    <w:t>在上风向（对照点）和下风向（按一定间隔的扇形或圆形布点），各设1个监测点。采样过程中应注意风向变化，及时调整采样点位置</w:t>
                  </w:r>
                </w:p>
              </w:tc>
              <w:tc>
                <w:tcPr>
                  <w:tcW w:w="1418" w:type="pct"/>
                  <w:vAlign w:val="center"/>
                </w:tcPr>
                <w:p w14:paraId="107DEDD6">
                  <w:pPr>
                    <w:pStyle w:val="41"/>
                    <w:rPr>
                      <w:bCs/>
                      <w:color w:val="auto"/>
                      <w:szCs w:val="18"/>
                      <w:highlight w:val="none"/>
                    </w:rPr>
                  </w:pPr>
                  <w:r>
                    <w:rPr>
                      <w:rFonts w:hint="eastAsia"/>
                      <w:bCs/>
                      <w:color w:val="auto"/>
                      <w:szCs w:val="18"/>
                      <w:highlight w:val="none"/>
                    </w:rPr>
                    <w:t>按照事故持续时间决定监测时间，根据事故严重性决定监测频次。事故发生后尽快进行监测，随事故控制减弱，适当减少监测频次。事故发生1h内每15min取样进行监测，事故后4h、12h、24h各监测一次</w:t>
                  </w:r>
                </w:p>
              </w:tc>
            </w:tr>
            <w:tr w14:paraId="7879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4" w:type="pct"/>
                  <w:vAlign w:val="center"/>
                </w:tcPr>
                <w:p w14:paraId="5F3AC752">
                  <w:pPr>
                    <w:pStyle w:val="41"/>
                    <w:rPr>
                      <w:bCs/>
                      <w:color w:val="auto"/>
                      <w:szCs w:val="18"/>
                      <w:highlight w:val="none"/>
                    </w:rPr>
                  </w:pPr>
                  <w:r>
                    <w:rPr>
                      <w:rFonts w:hint="eastAsia"/>
                      <w:bCs/>
                      <w:color w:val="auto"/>
                      <w:szCs w:val="18"/>
                      <w:highlight w:val="none"/>
                    </w:rPr>
                    <w:t>地下水</w:t>
                  </w:r>
                </w:p>
              </w:tc>
              <w:tc>
                <w:tcPr>
                  <w:tcW w:w="919" w:type="pct"/>
                  <w:vAlign w:val="center"/>
                </w:tcPr>
                <w:p w14:paraId="6CFD8D59">
                  <w:pPr>
                    <w:pStyle w:val="41"/>
                    <w:rPr>
                      <w:bCs/>
                      <w:color w:val="auto"/>
                      <w:szCs w:val="18"/>
                      <w:highlight w:val="none"/>
                    </w:rPr>
                  </w:pPr>
                  <w:r>
                    <w:rPr>
                      <w:rFonts w:hint="eastAsia"/>
                      <w:bCs/>
                      <w:color w:val="auto"/>
                      <w:szCs w:val="18"/>
                      <w:highlight w:val="none"/>
                    </w:rPr>
                    <w:t>耗氧量、石油类</w:t>
                  </w:r>
                </w:p>
              </w:tc>
              <w:tc>
                <w:tcPr>
                  <w:tcW w:w="1977" w:type="pct"/>
                  <w:vAlign w:val="center"/>
                </w:tcPr>
                <w:p w14:paraId="56247323">
                  <w:pPr>
                    <w:pStyle w:val="41"/>
                    <w:rPr>
                      <w:bCs/>
                      <w:color w:val="auto"/>
                      <w:szCs w:val="18"/>
                      <w:highlight w:val="none"/>
                    </w:rPr>
                  </w:pPr>
                  <w:r>
                    <w:rPr>
                      <w:rFonts w:hint="eastAsia"/>
                      <w:bCs/>
                      <w:color w:val="auto"/>
                      <w:szCs w:val="18"/>
                      <w:highlight w:val="none"/>
                    </w:rPr>
                    <w:t>以事故地点为中心，根据本地区地下水流向采用网格法或辐射法布设监测点采样，同时视地下水主要补给来源，在垂直于地下水流的上方向，设置对照监测点采样</w:t>
                  </w:r>
                </w:p>
              </w:tc>
              <w:tc>
                <w:tcPr>
                  <w:tcW w:w="1418" w:type="pct"/>
                  <w:vMerge w:val="restart"/>
                  <w:vAlign w:val="center"/>
                </w:tcPr>
                <w:p w14:paraId="4F61DD75">
                  <w:pPr>
                    <w:pStyle w:val="41"/>
                    <w:rPr>
                      <w:bCs/>
                      <w:color w:val="auto"/>
                      <w:szCs w:val="18"/>
                      <w:highlight w:val="none"/>
                    </w:rPr>
                  </w:pPr>
                  <w:r>
                    <w:rPr>
                      <w:rFonts w:hint="eastAsia"/>
                      <w:bCs/>
                      <w:color w:val="auto"/>
                      <w:szCs w:val="18"/>
                      <w:highlight w:val="none"/>
                    </w:rPr>
                    <w:t>按照事故持续时间决定监测时间，根据事故严重性决定监测频次。事故发生后尽快进行监测，随事故控制减弱，适当减少监测频次。事故发生1h内每30min取样进行监测，事故后12h、24h各监测一次</w:t>
                  </w:r>
                </w:p>
              </w:tc>
            </w:tr>
            <w:tr w14:paraId="3A18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84" w:type="pct"/>
                  <w:vAlign w:val="center"/>
                </w:tcPr>
                <w:p w14:paraId="6CF7546D">
                  <w:pPr>
                    <w:pStyle w:val="41"/>
                    <w:rPr>
                      <w:bCs/>
                      <w:color w:val="auto"/>
                      <w:szCs w:val="18"/>
                      <w:highlight w:val="none"/>
                    </w:rPr>
                  </w:pPr>
                  <w:r>
                    <w:rPr>
                      <w:rFonts w:hint="eastAsia"/>
                      <w:bCs/>
                      <w:color w:val="auto"/>
                      <w:szCs w:val="18"/>
                      <w:highlight w:val="none"/>
                    </w:rPr>
                    <w:t>土壤</w:t>
                  </w:r>
                </w:p>
              </w:tc>
              <w:tc>
                <w:tcPr>
                  <w:tcW w:w="919" w:type="pct"/>
                  <w:vAlign w:val="center"/>
                </w:tcPr>
                <w:p w14:paraId="676EC3C5">
                  <w:pPr>
                    <w:pStyle w:val="41"/>
                    <w:rPr>
                      <w:bCs/>
                      <w:color w:val="auto"/>
                      <w:szCs w:val="18"/>
                      <w:highlight w:val="none"/>
                    </w:rPr>
                  </w:pPr>
                  <w:r>
                    <w:rPr>
                      <w:rFonts w:hint="eastAsia"/>
                      <w:bCs/>
                      <w:color w:val="auto"/>
                      <w:szCs w:val="18"/>
                      <w:highlight w:val="none"/>
                    </w:rPr>
                    <w:t>石油烃（C</w:t>
                  </w:r>
                  <w:r>
                    <w:rPr>
                      <w:rFonts w:hint="eastAsia"/>
                      <w:bCs/>
                      <w:color w:val="auto"/>
                      <w:szCs w:val="18"/>
                      <w:highlight w:val="none"/>
                      <w:vertAlign w:val="subscript"/>
                    </w:rPr>
                    <w:t>10</w:t>
                  </w:r>
                  <w:r>
                    <w:rPr>
                      <w:rFonts w:hint="eastAsia"/>
                      <w:bCs/>
                      <w:color w:val="auto"/>
                      <w:szCs w:val="18"/>
                      <w:highlight w:val="none"/>
                    </w:rPr>
                    <w:t>-C</w:t>
                  </w:r>
                  <w:r>
                    <w:rPr>
                      <w:rFonts w:hint="eastAsia"/>
                      <w:bCs/>
                      <w:color w:val="auto"/>
                      <w:szCs w:val="18"/>
                      <w:highlight w:val="none"/>
                      <w:vertAlign w:val="subscript"/>
                    </w:rPr>
                    <w:t>40</w:t>
                  </w:r>
                  <w:r>
                    <w:rPr>
                      <w:rFonts w:hint="eastAsia"/>
                      <w:bCs/>
                      <w:color w:val="auto"/>
                      <w:szCs w:val="18"/>
                      <w:highlight w:val="none"/>
                    </w:rPr>
                    <w:t>）</w:t>
                  </w:r>
                </w:p>
              </w:tc>
              <w:tc>
                <w:tcPr>
                  <w:tcW w:w="1977" w:type="pct"/>
                  <w:vAlign w:val="center"/>
                </w:tcPr>
                <w:p w14:paraId="1F59453E">
                  <w:pPr>
                    <w:pStyle w:val="41"/>
                    <w:rPr>
                      <w:bCs/>
                      <w:color w:val="auto"/>
                      <w:szCs w:val="18"/>
                      <w:highlight w:val="none"/>
                    </w:rPr>
                  </w:pPr>
                  <w:r>
                    <w:rPr>
                      <w:rFonts w:hint="eastAsia"/>
                      <w:bCs/>
                      <w:color w:val="auto"/>
                      <w:szCs w:val="18"/>
                      <w:highlight w:val="none"/>
                    </w:rPr>
                    <w:t>以事故地为中心，按一定间隔的圆形布点采样，并根据污染物的特性在不同深度采样，同时采集对照样品，必要时在事故地附近采集作物样品</w:t>
                  </w:r>
                </w:p>
              </w:tc>
              <w:tc>
                <w:tcPr>
                  <w:tcW w:w="1418" w:type="pct"/>
                  <w:vMerge w:val="continue"/>
                  <w:vAlign w:val="center"/>
                </w:tcPr>
                <w:p w14:paraId="3EC22BD9">
                  <w:pPr>
                    <w:pStyle w:val="41"/>
                    <w:rPr>
                      <w:bCs/>
                      <w:color w:val="auto"/>
                      <w:szCs w:val="18"/>
                      <w:highlight w:val="none"/>
                    </w:rPr>
                  </w:pPr>
                </w:p>
              </w:tc>
            </w:tr>
          </w:tbl>
          <w:p w14:paraId="6A2A93C7">
            <w:pPr>
              <w:pStyle w:val="3"/>
              <w:ind w:firstLine="0" w:firstLineChars="0"/>
              <w:rPr>
                <w:color w:val="auto"/>
                <w:sz w:val="21"/>
                <w:highlight w:val="none"/>
              </w:rPr>
            </w:pPr>
          </w:p>
        </w:tc>
      </w:tr>
      <w:tr w14:paraId="5E2B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48AF72C3">
            <w:pPr>
              <w:pStyle w:val="3"/>
              <w:spacing w:line="240" w:lineRule="auto"/>
              <w:ind w:firstLine="0" w:firstLineChars="0"/>
              <w:jc w:val="center"/>
              <w:rPr>
                <w:color w:val="auto"/>
                <w:sz w:val="21"/>
                <w:highlight w:val="none"/>
              </w:rPr>
            </w:pPr>
            <w:r>
              <w:rPr>
                <w:rFonts w:hint="eastAsia"/>
                <w:color w:val="auto"/>
                <w:sz w:val="21"/>
                <w:highlight w:val="none"/>
              </w:rPr>
              <w:t>运营期生态环境保护措施</w:t>
            </w:r>
          </w:p>
        </w:tc>
        <w:tc>
          <w:tcPr>
            <w:tcW w:w="7881" w:type="dxa"/>
            <w:tcMar>
              <w:top w:w="113" w:type="dxa"/>
              <w:bottom w:w="113" w:type="dxa"/>
            </w:tcMar>
            <w:vAlign w:val="center"/>
          </w:tcPr>
          <w:p w14:paraId="109C7816">
            <w:pPr>
              <w:pStyle w:val="43"/>
              <w:adjustRightInd w:val="0"/>
              <w:snapToGrid w:val="0"/>
              <w:spacing w:before="48" w:line="289" w:lineRule="auto"/>
              <w:ind w:left="34" w:right="105" w:firstLine="558"/>
              <w:jc w:val="both"/>
              <w:rPr>
                <w:rFonts w:hint="eastAsia" w:ascii="宋体" w:hAnsi="宋体" w:eastAsia="宋体" w:cstheme="minorBidi"/>
                <w:color w:val="auto"/>
                <w:kern w:val="2"/>
                <w:sz w:val="21"/>
                <w:szCs w:val="21"/>
                <w:highlight w:val="none"/>
                <w:lang w:val="en-US" w:eastAsia="zh-CN" w:bidi="ar-SA"/>
              </w:rPr>
            </w:pPr>
            <w:r>
              <w:rPr>
                <w:rFonts w:hint="eastAsia" w:ascii="宋体" w:hAnsi="宋体" w:eastAsia="宋体" w:cstheme="minorBidi"/>
                <w:color w:val="auto"/>
                <w:kern w:val="2"/>
                <w:sz w:val="21"/>
                <w:szCs w:val="21"/>
                <w:highlight w:val="none"/>
                <w:lang w:val="en-US" w:eastAsia="zh-CN" w:bidi="ar-SA"/>
              </w:rPr>
              <w:t>由于本项目属于勘探井，不涉及油气生产开采等工程，本次勘探井若转为生产井，则需重新进行环境影响评价，对其环境影响进行分析预测，并提出相应的保护措施。因此，本报告不对其运营期环境影响进行评价。若不具备转产条件，则应根据《油气田开采废弃井永久性封井处置作业规程》（GB/T 43672-2024）、《废弃井封井回填技术指南（试行）》、《矿山生态环境保护与恢复治理技术规范（试行）》（HJ651-2013）相关要求对新钻井进行封堵，并拆除相关设施，确保无土壤及地下水环境污染遗留问题、废弃物均得到妥善处置，制定生态恢复方案，并做好以下生态保护措施：</w:t>
            </w:r>
          </w:p>
          <w:p w14:paraId="17F88DB8">
            <w:pPr>
              <w:pStyle w:val="43"/>
              <w:adjustRightInd w:val="0"/>
              <w:snapToGrid w:val="0"/>
              <w:spacing w:before="48" w:line="289" w:lineRule="auto"/>
              <w:ind w:left="34" w:right="105" w:firstLine="558"/>
              <w:jc w:val="both"/>
              <w:rPr>
                <w:rFonts w:hint="eastAsia" w:ascii="宋体" w:hAnsi="宋体" w:eastAsia="宋体" w:cstheme="minorBidi"/>
                <w:color w:val="auto"/>
                <w:kern w:val="2"/>
                <w:sz w:val="21"/>
                <w:szCs w:val="21"/>
                <w:highlight w:val="none"/>
                <w:lang w:val="en-US" w:eastAsia="zh-CN" w:bidi="ar-SA"/>
              </w:rPr>
            </w:pPr>
            <w:r>
              <w:rPr>
                <w:rFonts w:hint="eastAsia" w:ascii="宋体" w:hAnsi="宋体" w:eastAsia="宋体" w:cstheme="minorBidi"/>
                <w:color w:val="auto"/>
                <w:kern w:val="2"/>
                <w:sz w:val="21"/>
                <w:szCs w:val="21"/>
                <w:highlight w:val="none"/>
                <w:lang w:val="en-US" w:eastAsia="zh-CN" w:bidi="ar-SA"/>
              </w:rPr>
              <w:t>（1）封井材料应无污染，不得使用可能对地下水造成污染的材料。</w:t>
            </w:r>
          </w:p>
          <w:p w14:paraId="3C6722C5">
            <w:pPr>
              <w:pStyle w:val="43"/>
              <w:adjustRightInd w:val="0"/>
              <w:snapToGrid w:val="0"/>
              <w:spacing w:before="48" w:line="289" w:lineRule="auto"/>
              <w:ind w:left="34" w:right="105" w:firstLine="558"/>
              <w:jc w:val="both"/>
              <w:rPr>
                <w:rFonts w:hint="eastAsia" w:ascii="宋体" w:hAnsi="宋体" w:eastAsia="宋体" w:cstheme="minorBidi"/>
                <w:color w:val="auto"/>
                <w:kern w:val="2"/>
                <w:sz w:val="21"/>
                <w:szCs w:val="21"/>
                <w:highlight w:val="none"/>
                <w:lang w:val="en-US" w:eastAsia="zh-CN" w:bidi="ar-SA"/>
              </w:rPr>
            </w:pPr>
            <w:r>
              <w:rPr>
                <w:rFonts w:hint="eastAsia" w:ascii="宋体" w:hAnsi="宋体" w:eastAsia="宋体" w:cstheme="minorBidi"/>
                <w:color w:val="auto"/>
                <w:kern w:val="2"/>
                <w:sz w:val="21"/>
                <w:szCs w:val="21"/>
                <w:highlight w:val="none"/>
                <w:lang w:val="en-US" w:eastAsia="zh-CN" w:bidi="ar-SA"/>
              </w:rPr>
              <w:t>（2）应开展井盖封堵或密闭填充，对废弃井进行封井回填并做好井口处置，确保地表污染物不进入井内，各层位地下水不连通。</w:t>
            </w:r>
          </w:p>
          <w:p w14:paraId="76278C23">
            <w:pPr>
              <w:pStyle w:val="43"/>
              <w:adjustRightInd w:val="0"/>
              <w:snapToGrid w:val="0"/>
              <w:spacing w:before="48" w:line="289" w:lineRule="auto"/>
              <w:ind w:left="34" w:right="105" w:firstLine="558"/>
              <w:jc w:val="both"/>
              <w:rPr>
                <w:rFonts w:hint="eastAsia" w:ascii="宋体" w:hAnsi="宋体" w:eastAsia="宋体" w:cstheme="minorBidi"/>
                <w:color w:val="auto"/>
                <w:kern w:val="2"/>
                <w:sz w:val="21"/>
                <w:szCs w:val="21"/>
                <w:highlight w:val="none"/>
                <w:lang w:val="en-US" w:eastAsia="zh-CN" w:bidi="ar-SA"/>
              </w:rPr>
            </w:pPr>
            <w:r>
              <w:rPr>
                <w:rFonts w:hint="eastAsia" w:ascii="宋体" w:hAnsi="宋体" w:eastAsia="宋体" w:cstheme="minorBidi"/>
                <w:color w:val="auto"/>
                <w:kern w:val="2"/>
                <w:sz w:val="21"/>
                <w:szCs w:val="21"/>
                <w:highlight w:val="none"/>
                <w:lang w:val="en-US" w:eastAsia="zh-CN" w:bidi="ar-SA"/>
              </w:rPr>
              <w:t>（3）确保封井质量合格。</w:t>
            </w:r>
          </w:p>
          <w:p w14:paraId="15BF209F">
            <w:pPr>
              <w:pStyle w:val="43"/>
              <w:adjustRightInd w:val="0"/>
              <w:snapToGrid w:val="0"/>
              <w:spacing w:before="48" w:line="289" w:lineRule="auto"/>
              <w:ind w:left="34" w:right="105" w:firstLine="558"/>
              <w:jc w:val="both"/>
              <w:rPr>
                <w:color w:val="auto"/>
                <w:sz w:val="21"/>
                <w:highlight w:val="none"/>
              </w:rPr>
            </w:pPr>
            <w:r>
              <w:rPr>
                <w:rFonts w:hint="eastAsia" w:ascii="宋体" w:hAnsi="宋体" w:eastAsia="宋体" w:cstheme="minorBidi"/>
                <w:color w:val="auto"/>
                <w:kern w:val="2"/>
                <w:sz w:val="21"/>
                <w:szCs w:val="21"/>
                <w:highlight w:val="none"/>
                <w:lang w:val="en-US" w:eastAsia="zh-CN" w:bidi="ar-SA"/>
              </w:rPr>
              <w:t>（4）封井作业结束后及时清理作业现场，各个建构筑物和基础设施应全部拆除，做到“工完、料尽、场地清”，确保采取的封井措施有效可行。施工区域采用临时占地剥离表土对其进行覆盖，以便植被自然恢复。各个建构筑物和基础设施拆除过程中会产生一定扬尘，应避开大风天气施工。</w:t>
            </w:r>
          </w:p>
        </w:tc>
      </w:tr>
      <w:tr w14:paraId="5E56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450F77CD">
            <w:pPr>
              <w:pStyle w:val="3"/>
              <w:spacing w:line="240" w:lineRule="auto"/>
              <w:ind w:firstLine="0" w:firstLineChars="0"/>
              <w:jc w:val="center"/>
              <w:rPr>
                <w:color w:val="auto"/>
                <w:sz w:val="21"/>
                <w:highlight w:val="none"/>
              </w:rPr>
            </w:pPr>
            <w:r>
              <w:rPr>
                <w:rFonts w:hint="eastAsia"/>
                <w:color w:val="auto"/>
                <w:sz w:val="21"/>
                <w:highlight w:val="none"/>
              </w:rPr>
              <w:t>其他</w:t>
            </w:r>
          </w:p>
        </w:tc>
        <w:tc>
          <w:tcPr>
            <w:tcW w:w="7881" w:type="dxa"/>
            <w:tcMar>
              <w:top w:w="113" w:type="dxa"/>
              <w:bottom w:w="113" w:type="dxa"/>
            </w:tcMar>
            <w:vAlign w:val="center"/>
          </w:tcPr>
          <w:p w14:paraId="7D73CB96">
            <w:pPr>
              <w:pStyle w:val="3"/>
              <w:spacing w:line="240" w:lineRule="auto"/>
              <w:ind w:firstLine="0" w:firstLineChars="0"/>
              <w:jc w:val="center"/>
              <w:rPr>
                <w:color w:val="auto"/>
                <w:sz w:val="21"/>
                <w:highlight w:val="none"/>
              </w:rPr>
            </w:pPr>
            <w:r>
              <w:rPr>
                <w:rFonts w:hint="eastAsia"/>
                <w:color w:val="auto"/>
                <w:sz w:val="21"/>
                <w:highlight w:val="none"/>
              </w:rPr>
              <w:t>无</w:t>
            </w:r>
          </w:p>
        </w:tc>
      </w:tr>
      <w:tr w14:paraId="5533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14:paraId="2AB14D47">
            <w:pPr>
              <w:pStyle w:val="3"/>
              <w:spacing w:line="240" w:lineRule="auto"/>
              <w:ind w:firstLine="0" w:firstLineChars="0"/>
              <w:jc w:val="center"/>
              <w:rPr>
                <w:color w:val="auto"/>
                <w:sz w:val="21"/>
                <w:highlight w:val="none"/>
              </w:rPr>
            </w:pPr>
            <w:r>
              <w:rPr>
                <w:rFonts w:hint="eastAsia"/>
                <w:color w:val="auto"/>
                <w:sz w:val="21"/>
                <w:highlight w:val="none"/>
              </w:rPr>
              <w:t>环保投资</w:t>
            </w:r>
          </w:p>
        </w:tc>
        <w:tc>
          <w:tcPr>
            <w:tcW w:w="7881" w:type="dxa"/>
            <w:tcMar>
              <w:top w:w="113" w:type="dxa"/>
              <w:bottom w:w="113" w:type="dxa"/>
            </w:tcMar>
            <w:vAlign w:val="center"/>
          </w:tcPr>
          <w:p w14:paraId="6EEE695E">
            <w:pPr>
              <w:pStyle w:val="3"/>
              <w:ind w:firstLine="420"/>
              <w:rPr>
                <w:color w:val="auto"/>
                <w:sz w:val="21"/>
                <w:szCs w:val="21"/>
                <w:highlight w:val="none"/>
              </w:rPr>
            </w:pPr>
            <w:r>
              <w:rPr>
                <w:rFonts w:hint="eastAsia"/>
                <w:color w:val="auto"/>
                <w:sz w:val="21"/>
                <w:szCs w:val="21"/>
                <w:highlight w:val="none"/>
              </w:rPr>
              <w:t>本项目总投资为8479万元，其中环保投资</w:t>
            </w:r>
            <w:r>
              <w:rPr>
                <w:color w:val="auto"/>
                <w:sz w:val="21"/>
                <w:szCs w:val="21"/>
                <w:highlight w:val="none"/>
              </w:rPr>
              <w:t>462</w:t>
            </w:r>
            <w:r>
              <w:rPr>
                <w:rFonts w:hint="eastAsia"/>
                <w:color w:val="auto"/>
                <w:sz w:val="21"/>
                <w:szCs w:val="21"/>
                <w:highlight w:val="none"/>
              </w:rPr>
              <w:t>万元，占总投资的5.45%，环保工程清单及投资见</w:t>
            </w:r>
            <w:r>
              <w:rPr>
                <w:rFonts w:hint="eastAsia"/>
                <w:color w:val="auto"/>
                <w:sz w:val="21"/>
                <w:szCs w:val="21"/>
                <w:highlight w:val="none"/>
              </w:rPr>
              <w:fldChar w:fldCharType="begin"/>
            </w:r>
            <w:r>
              <w:rPr>
                <w:color w:val="auto"/>
                <w:highlight w:val="none"/>
              </w:rPr>
              <w:instrText xml:space="preserve"> REF _Ref205827231 \h  \* MERGEFORMAT</w:instrText>
            </w:r>
            <w:r>
              <w:rPr>
                <w:rFonts w:hint="eastAsia"/>
                <w:color w:val="auto"/>
                <w:sz w:val="21"/>
                <w:szCs w:val="21"/>
                <w:highlight w:val="none"/>
              </w:rPr>
              <w:fldChar w:fldCharType="separate"/>
            </w:r>
            <w:r>
              <w:rPr>
                <w:rFonts w:hint="eastAsia"/>
                <w:color w:val="auto"/>
                <w:sz w:val="21"/>
                <w:szCs w:val="21"/>
                <w:highlight w:val="none"/>
              </w:rPr>
              <w:t>表42</w:t>
            </w:r>
            <w:r>
              <w:rPr>
                <w:rFonts w:hint="eastAsia"/>
                <w:color w:val="auto"/>
                <w:sz w:val="21"/>
                <w:szCs w:val="21"/>
                <w:highlight w:val="none"/>
              </w:rPr>
              <w:fldChar w:fldCharType="end"/>
            </w:r>
            <w:r>
              <w:rPr>
                <w:rFonts w:hint="eastAsia"/>
                <w:color w:val="auto"/>
                <w:sz w:val="21"/>
                <w:szCs w:val="21"/>
                <w:highlight w:val="none"/>
              </w:rPr>
              <w:t>。</w:t>
            </w:r>
          </w:p>
          <w:p w14:paraId="2FAB9A37">
            <w:pPr>
              <w:pStyle w:val="13"/>
              <w:bidi w:val="0"/>
              <w:rPr>
                <w:color w:val="auto"/>
                <w:highlight w:val="none"/>
              </w:rPr>
            </w:pPr>
            <w:bookmarkStart w:id="79" w:name="_Ref205827231"/>
            <w:r>
              <w:rPr>
                <w:rFonts w:hint="eastAsia"/>
                <w:color w:val="auto"/>
                <w:highlight w:val="none"/>
              </w:rPr>
              <w:t>表</w:t>
            </w:r>
            <w:r>
              <w:rPr>
                <w:rFonts w:hint="eastAsia"/>
                <w:color w:val="auto"/>
                <w:highlight w:val="none"/>
              </w:rPr>
              <w:fldChar w:fldCharType="begin"/>
            </w:r>
            <w:r>
              <w:rPr>
                <w:rFonts w:hint="eastAsia"/>
                <w:color w:val="auto"/>
                <w:highlight w:val="none"/>
              </w:rPr>
              <w:instrText xml:space="preserve"> SEQ 表 \*ARABIC </w:instrText>
            </w:r>
            <w:r>
              <w:rPr>
                <w:rFonts w:hint="eastAsia"/>
                <w:color w:val="auto"/>
                <w:highlight w:val="none"/>
              </w:rPr>
              <w:fldChar w:fldCharType="separate"/>
            </w:r>
            <w:r>
              <w:rPr>
                <w:rFonts w:hint="eastAsia"/>
                <w:color w:val="auto"/>
                <w:highlight w:val="none"/>
              </w:rPr>
              <w:t>42</w:t>
            </w:r>
            <w:r>
              <w:rPr>
                <w:rFonts w:hint="eastAsia"/>
                <w:color w:val="auto"/>
                <w:highlight w:val="none"/>
              </w:rPr>
              <w:fldChar w:fldCharType="end"/>
            </w:r>
            <w:bookmarkEnd w:id="79"/>
            <w:r>
              <w:rPr>
                <w:rFonts w:hint="eastAsia"/>
                <w:color w:val="auto"/>
                <w:highlight w:val="none"/>
              </w:rPr>
              <w:t xml:space="preserve">  环保工程清单及投资估算</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2176"/>
              <w:gridCol w:w="3384"/>
              <w:gridCol w:w="1037"/>
            </w:tblGrid>
            <w:tr w14:paraId="1822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shd w:val="clear" w:color="auto" w:fill="auto"/>
                  <w:tcMar>
                    <w:top w:w="57" w:type="dxa"/>
                    <w:left w:w="108" w:type="dxa"/>
                    <w:bottom w:w="57" w:type="dxa"/>
                    <w:right w:w="108" w:type="dxa"/>
                  </w:tcMar>
                  <w:vAlign w:val="center"/>
                </w:tcPr>
                <w:p w14:paraId="6547EE3E">
                  <w:pPr>
                    <w:pStyle w:val="41"/>
                    <w:rPr>
                      <w:rFonts w:cs="宋体"/>
                      <w:color w:val="auto"/>
                      <w:kern w:val="0"/>
                      <w:szCs w:val="18"/>
                      <w:highlight w:val="none"/>
                    </w:rPr>
                  </w:pPr>
                  <w:r>
                    <w:rPr>
                      <w:rFonts w:hint="eastAsia" w:cs="宋体"/>
                      <w:color w:val="auto"/>
                      <w:kern w:val="0"/>
                      <w:szCs w:val="18"/>
                      <w:highlight w:val="none"/>
                    </w:rPr>
                    <w:t>项目</w:t>
                  </w:r>
                </w:p>
              </w:tc>
              <w:tc>
                <w:tcPr>
                  <w:tcW w:w="3631" w:type="pct"/>
                  <w:gridSpan w:val="2"/>
                  <w:shd w:val="clear" w:color="auto" w:fill="auto"/>
                  <w:tcMar>
                    <w:top w:w="57" w:type="dxa"/>
                    <w:left w:w="108" w:type="dxa"/>
                    <w:bottom w:w="57" w:type="dxa"/>
                    <w:right w:w="108" w:type="dxa"/>
                  </w:tcMar>
                  <w:vAlign w:val="center"/>
                </w:tcPr>
                <w:p w14:paraId="138BBE8E">
                  <w:pPr>
                    <w:pStyle w:val="41"/>
                    <w:rPr>
                      <w:rFonts w:cs="宋体"/>
                      <w:color w:val="auto"/>
                      <w:kern w:val="0"/>
                      <w:szCs w:val="18"/>
                      <w:highlight w:val="none"/>
                    </w:rPr>
                  </w:pPr>
                  <w:r>
                    <w:rPr>
                      <w:rFonts w:hint="eastAsia" w:cs="宋体"/>
                      <w:color w:val="auto"/>
                      <w:kern w:val="0"/>
                      <w:szCs w:val="18"/>
                      <w:highlight w:val="none"/>
                    </w:rPr>
                    <w:t>作用</w:t>
                  </w:r>
                </w:p>
              </w:tc>
              <w:tc>
                <w:tcPr>
                  <w:tcW w:w="677" w:type="pct"/>
                  <w:tcMar>
                    <w:top w:w="57" w:type="dxa"/>
                    <w:left w:w="108" w:type="dxa"/>
                    <w:bottom w:w="57" w:type="dxa"/>
                    <w:right w:w="108" w:type="dxa"/>
                  </w:tcMar>
                  <w:vAlign w:val="center"/>
                </w:tcPr>
                <w:p w14:paraId="731A14FD">
                  <w:pPr>
                    <w:pStyle w:val="41"/>
                    <w:rPr>
                      <w:rFonts w:cs="宋体"/>
                      <w:color w:val="auto"/>
                      <w:kern w:val="0"/>
                      <w:szCs w:val="18"/>
                      <w:highlight w:val="none"/>
                    </w:rPr>
                  </w:pPr>
                  <w:r>
                    <w:rPr>
                      <w:rFonts w:hint="eastAsia" w:cs="宋体"/>
                      <w:color w:val="auto"/>
                      <w:kern w:val="0"/>
                      <w:szCs w:val="18"/>
                      <w:highlight w:val="none"/>
                    </w:rPr>
                    <w:t>投资估算</w:t>
                  </w:r>
                </w:p>
                <w:p w14:paraId="4AA43215">
                  <w:pPr>
                    <w:pStyle w:val="41"/>
                    <w:rPr>
                      <w:rFonts w:cs="宋体"/>
                      <w:color w:val="auto"/>
                      <w:kern w:val="0"/>
                      <w:szCs w:val="18"/>
                      <w:highlight w:val="none"/>
                    </w:rPr>
                  </w:pPr>
                  <w:r>
                    <w:rPr>
                      <w:rFonts w:hint="eastAsia" w:cs="宋体"/>
                      <w:color w:val="auto"/>
                      <w:kern w:val="0"/>
                      <w:szCs w:val="18"/>
                      <w:highlight w:val="none"/>
                    </w:rPr>
                    <w:t>（万元）</w:t>
                  </w:r>
                </w:p>
              </w:tc>
            </w:tr>
            <w:tr w14:paraId="55F6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vMerge w:val="restart"/>
                  <w:tcMar>
                    <w:top w:w="57" w:type="dxa"/>
                    <w:left w:w="108" w:type="dxa"/>
                    <w:bottom w:w="57" w:type="dxa"/>
                    <w:right w:w="108" w:type="dxa"/>
                  </w:tcMar>
                  <w:vAlign w:val="center"/>
                </w:tcPr>
                <w:p w14:paraId="73FF16D8">
                  <w:pPr>
                    <w:pStyle w:val="41"/>
                    <w:rPr>
                      <w:rFonts w:cs="宋体"/>
                      <w:color w:val="auto"/>
                      <w:kern w:val="0"/>
                      <w:szCs w:val="18"/>
                      <w:highlight w:val="none"/>
                    </w:rPr>
                  </w:pPr>
                  <w:r>
                    <w:rPr>
                      <w:rFonts w:hint="eastAsia" w:cs="宋体"/>
                      <w:color w:val="auto"/>
                      <w:kern w:val="0"/>
                      <w:szCs w:val="18"/>
                      <w:highlight w:val="none"/>
                    </w:rPr>
                    <w:t>废水处理设施</w:t>
                  </w:r>
                </w:p>
              </w:tc>
              <w:tc>
                <w:tcPr>
                  <w:tcW w:w="1421" w:type="pct"/>
                  <w:tcMar>
                    <w:top w:w="57" w:type="dxa"/>
                    <w:left w:w="108" w:type="dxa"/>
                    <w:bottom w:w="57" w:type="dxa"/>
                    <w:right w:w="108" w:type="dxa"/>
                  </w:tcMar>
                  <w:vAlign w:val="center"/>
                </w:tcPr>
                <w:p w14:paraId="1C1C64EA">
                  <w:pPr>
                    <w:pStyle w:val="41"/>
                    <w:rPr>
                      <w:rFonts w:cs="宋体"/>
                      <w:color w:val="auto"/>
                      <w:kern w:val="0"/>
                      <w:szCs w:val="18"/>
                      <w:highlight w:val="none"/>
                    </w:rPr>
                  </w:pPr>
                  <w:r>
                    <w:rPr>
                      <w:rFonts w:hint="eastAsia" w:cs="宋体"/>
                      <w:color w:val="auto"/>
                      <w:kern w:val="0"/>
                      <w:szCs w:val="18"/>
                      <w:highlight w:val="none"/>
                    </w:rPr>
                    <w:t>生活污水处理</w:t>
                  </w:r>
                </w:p>
              </w:tc>
              <w:tc>
                <w:tcPr>
                  <w:tcW w:w="2210" w:type="pct"/>
                  <w:tcMar>
                    <w:top w:w="57" w:type="dxa"/>
                    <w:left w:w="108" w:type="dxa"/>
                    <w:bottom w:w="57" w:type="dxa"/>
                    <w:right w:w="108" w:type="dxa"/>
                  </w:tcMar>
                  <w:vAlign w:val="center"/>
                </w:tcPr>
                <w:p w14:paraId="08583602">
                  <w:pPr>
                    <w:pStyle w:val="41"/>
                    <w:rPr>
                      <w:rFonts w:cs="宋体"/>
                      <w:color w:val="auto"/>
                      <w:kern w:val="0"/>
                      <w:szCs w:val="18"/>
                      <w:highlight w:val="none"/>
                    </w:rPr>
                  </w:pPr>
                  <w:r>
                    <w:rPr>
                      <w:rFonts w:hint="eastAsia" w:cs="宋体"/>
                      <w:color w:val="auto"/>
                      <w:kern w:val="0"/>
                      <w:szCs w:val="18"/>
                      <w:highlight w:val="none"/>
                    </w:rPr>
                    <w:t>环保厕所</w:t>
                  </w:r>
                  <w:r>
                    <w:rPr>
                      <w:rFonts w:hint="eastAsia" w:cs="宋体"/>
                      <w:color w:val="auto"/>
                      <w:kern w:val="0"/>
                      <w:szCs w:val="18"/>
                      <w:highlight w:val="none"/>
                      <w:lang w:eastAsia="zh-CN"/>
                    </w:rPr>
                    <w:t>、</w:t>
                  </w:r>
                  <w:r>
                    <w:rPr>
                      <w:rFonts w:hint="eastAsia" w:cs="宋体"/>
                      <w:color w:val="auto"/>
                      <w:kern w:val="0"/>
                      <w:szCs w:val="18"/>
                      <w:highlight w:val="none"/>
                      <w:lang w:val="en-US" w:eastAsia="zh-CN"/>
                    </w:rPr>
                    <w:t>生活污水收集罐</w:t>
                  </w:r>
                  <w:r>
                    <w:rPr>
                      <w:rFonts w:hint="eastAsia" w:cs="宋体"/>
                      <w:color w:val="auto"/>
                      <w:kern w:val="0"/>
                      <w:szCs w:val="18"/>
                      <w:highlight w:val="none"/>
                    </w:rPr>
                    <w:t>及清运费用</w:t>
                  </w:r>
                </w:p>
              </w:tc>
              <w:tc>
                <w:tcPr>
                  <w:tcW w:w="677" w:type="pct"/>
                  <w:tcMar>
                    <w:top w:w="57" w:type="dxa"/>
                    <w:left w:w="108" w:type="dxa"/>
                    <w:bottom w:w="57" w:type="dxa"/>
                    <w:right w:w="108" w:type="dxa"/>
                  </w:tcMar>
                  <w:vAlign w:val="center"/>
                </w:tcPr>
                <w:p w14:paraId="3B1CABC4">
                  <w:pPr>
                    <w:pStyle w:val="41"/>
                    <w:rPr>
                      <w:rFonts w:cs="宋体"/>
                      <w:color w:val="auto"/>
                      <w:kern w:val="0"/>
                      <w:szCs w:val="18"/>
                      <w:highlight w:val="none"/>
                    </w:rPr>
                  </w:pPr>
                  <w:r>
                    <w:rPr>
                      <w:rFonts w:hint="eastAsia" w:cs="宋体"/>
                      <w:color w:val="auto"/>
                      <w:kern w:val="0"/>
                      <w:szCs w:val="18"/>
                      <w:highlight w:val="none"/>
                    </w:rPr>
                    <w:t>12</w:t>
                  </w:r>
                </w:p>
              </w:tc>
            </w:tr>
            <w:tr w14:paraId="58D8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vMerge w:val="continue"/>
                  <w:tcMar>
                    <w:top w:w="57" w:type="dxa"/>
                    <w:left w:w="108" w:type="dxa"/>
                    <w:bottom w:w="57" w:type="dxa"/>
                    <w:right w:w="108" w:type="dxa"/>
                  </w:tcMar>
                  <w:vAlign w:val="center"/>
                </w:tcPr>
                <w:p w14:paraId="64AE05E9">
                  <w:pPr>
                    <w:pStyle w:val="41"/>
                    <w:rPr>
                      <w:rFonts w:cs="宋体"/>
                      <w:color w:val="auto"/>
                      <w:kern w:val="0"/>
                      <w:szCs w:val="18"/>
                      <w:highlight w:val="none"/>
                    </w:rPr>
                  </w:pPr>
                </w:p>
              </w:tc>
              <w:tc>
                <w:tcPr>
                  <w:tcW w:w="1421" w:type="pct"/>
                  <w:tcMar>
                    <w:top w:w="57" w:type="dxa"/>
                    <w:left w:w="108" w:type="dxa"/>
                    <w:bottom w:w="57" w:type="dxa"/>
                    <w:right w:w="108" w:type="dxa"/>
                  </w:tcMar>
                  <w:vAlign w:val="center"/>
                </w:tcPr>
                <w:p w14:paraId="0325A752">
                  <w:pPr>
                    <w:pStyle w:val="41"/>
                    <w:rPr>
                      <w:rFonts w:cs="宋体"/>
                      <w:color w:val="auto"/>
                      <w:kern w:val="0"/>
                      <w:szCs w:val="18"/>
                      <w:highlight w:val="none"/>
                    </w:rPr>
                  </w:pPr>
                  <w:r>
                    <w:rPr>
                      <w:rFonts w:hint="eastAsia" w:cs="宋体"/>
                      <w:color w:val="auto"/>
                      <w:kern w:val="0"/>
                      <w:szCs w:val="18"/>
                      <w:highlight w:val="none"/>
                    </w:rPr>
                    <w:t>井下作业废液、压裂返排液处理</w:t>
                  </w:r>
                </w:p>
              </w:tc>
              <w:tc>
                <w:tcPr>
                  <w:tcW w:w="2210" w:type="pct"/>
                  <w:tcMar>
                    <w:top w:w="57" w:type="dxa"/>
                    <w:left w:w="108" w:type="dxa"/>
                    <w:bottom w:w="57" w:type="dxa"/>
                    <w:right w:w="108" w:type="dxa"/>
                  </w:tcMar>
                  <w:vAlign w:val="center"/>
                </w:tcPr>
                <w:p w14:paraId="5690A8F0">
                  <w:pPr>
                    <w:pStyle w:val="41"/>
                    <w:rPr>
                      <w:rFonts w:cs="宋体"/>
                      <w:color w:val="auto"/>
                      <w:kern w:val="0"/>
                      <w:szCs w:val="18"/>
                      <w:highlight w:val="none"/>
                    </w:rPr>
                  </w:pPr>
                  <w:r>
                    <w:rPr>
                      <w:rFonts w:hint="eastAsia" w:cs="宋体"/>
                      <w:color w:val="auto"/>
                      <w:kern w:val="0"/>
                      <w:szCs w:val="18"/>
                      <w:highlight w:val="none"/>
                    </w:rPr>
                    <w:t>井场废水储罐及清运费用</w:t>
                  </w:r>
                </w:p>
              </w:tc>
              <w:tc>
                <w:tcPr>
                  <w:tcW w:w="677" w:type="pct"/>
                  <w:tcMar>
                    <w:top w:w="57" w:type="dxa"/>
                    <w:left w:w="108" w:type="dxa"/>
                    <w:bottom w:w="57" w:type="dxa"/>
                    <w:right w:w="108" w:type="dxa"/>
                  </w:tcMar>
                  <w:vAlign w:val="center"/>
                </w:tcPr>
                <w:p w14:paraId="06ADE938">
                  <w:pPr>
                    <w:pStyle w:val="41"/>
                    <w:rPr>
                      <w:rFonts w:cs="宋体"/>
                      <w:color w:val="auto"/>
                      <w:kern w:val="0"/>
                      <w:szCs w:val="18"/>
                      <w:highlight w:val="none"/>
                    </w:rPr>
                  </w:pPr>
                  <w:r>
                    <w:rPr>
                      <w:rFonts w:hint="eastAsia" w:cs="宋体"/>
                      <w:color w:val="auto"/>
                      <w:kern w:val="0"/>
                      <w:szCs w:val="18"/>
                      <w:highlight w:val="none"/>
                    </w:rPr>
                    <w:t>35</w:t>
                  </w:r>
                </w:p>
              </w:tc>
            </w:tr>
            <w:tr w14:paraId="13EA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tcMar>
                    <w:top w:w="57" w:type="dxa"/>
                    <w:left w:w="108" w:type="dxa"/>
                    <w:bottom w:w="57" w:type="dxa"/>
                    <w:right w:w="108" w:type="dxa"/>
                  </w:tcMar>
                  <w:vAlign w:val="center"/>
                </w:tcPr>
                <w:p w14:paraId="0BA2EF0E">
                  <w:pPr>
                    <w:pStyle w:val="41"/>
                    <w:rPr>
                      <w:rFonts w:cs="宋体"/>
                      <w:color w:val="auto"/>
                      <w:kern w:val="0"/>
                      <w:szCs w:val="18"/>
                      <w:highlight w:val="none"/>
                    </w:rPr>
                  </w:pPr>
                  <w:r>
                    <w:rPr>
                      <w:rFonts w:hint="eastAsia" w:cs="宋体"/>
                      <w:color w:val="auto"/>
                      <w:kern w:val="0"/>
                      <w:szCs w:val="18"/>
                      <w:highlight w:val="none"/>
                    </w:rPr>
                    <w:t>废气处理设施</w:t>
                  </w:r>
                </w:p>
              </w:tc>
              <w:tc>
                <w:tcPr>
                  <w:tcW w:w="1421" w:type="pct"/>
                  <w:tcMar>
                    <w:top w:w="57" w:type="dxa"/>
                    <w:left w:w="108" w:type="dxa"/>
                    <w:bottom w:w="57" w:type="dxa"/>
                    <w:right w:w="108" w:type="dxa"/>
                  </w:tcMar>
                  <w:vAlign w:val="center"/>
                </w:tcPr>
                <w:p w14:paraId="04B998F9">
                  <w:pPr>
                    <w:pStyle w:val="41"/>
                    <w:rPr>
                      <w:rFonts w:cs="宋体"/>
                      <w:color w:val="auto"/>
                      <w:kern w:val="0"/>
                      <w:szCs w:val="18"/>
                      <w:highlight w:val="none"/>
                    </w:rPr>
                  </w:pPr>
                  <w:r>
                    <w:rPr>
                      <w:rFonts w:hint="eastAsia" w:cs="宋体"/>
                      <w:color w:val="auto"/>
                      <w:kern w:val="0"/>
                      <w:szCs w:val="18"/>
                      <w:highlight w:val="none"/>
                    </w:rPr>
                    <w:t>围挡、遮盖措施</w:t>
                  </w:r>
                </w:p>
              </w:tc>
              <w:tc>
                <w:tcPr>
                  <w:tcW w:w="2210" w:type="pct"/>
                  <w:tcMar>
                    <w:top w:w="57" w:type="dxa"/>
                    <w:left w:w="108" w:type="dxa"/>
                    <w:bottom w:w="57" w:type="dxa"/>
                    <w:right w:w="108" w:type="dxa"/>
                  </w:tcMar>
                  <w:vAlign w:val="center"/>
                </w:tcPr>
                <w:p w14:paraId="5F2E345D">
                  <w:pPr>
                    <w:pStyle w:val="41"/>
                    <w:rPr>
                      <w:rFonts w:cs="宋体"/>
                      <w:color w:val="auto"/>
                      <w:kern w:val="0"/>
                      <w:szCs w:val="18"/>
                      <w:highlight w:val="none"/>
                    </w:rPr>
                  </w:pPr>
                  <w:r>
                    <w:rPr>
                      <w:rFonts w:hint="eastAsia" w:cs="宋体"/>
                      <w:color w:val="auto"/>
                      <w:kern w:val="0"/>
                      <w:szCs w:val="18"/>
                      <w:highlight w:val="none"/>
                    </w:rPr>
                    <w:t>采取洒水、围挡、遮盖措施</w:t>
                  </w:r>
                </w:p>
              </w:tc>
              <w:tc>
                <w:tcPr>
                  <w:tcW w:w="677" w:type="pct"/>
                  <w:tcMar>
                    <w:top w:w="57" w:type="dxa"/>
                    <w:left w:w="108" w:type="dxa"/>
                    <w:bottom w:w="57" w:type="dxa"/>
                    <w:right w:w="108" w:type="dxa"/>
                  </w:tcMar>
                  <w:vAlign w:val="center"/>
                </w:tcPr>
                <w:p w14:paraId="0A9BBE90">
                  <w:pPr>
                    <w:pStyle w:val="41"/>
                    <w:rPr>
                      <w:rFonts w:cs="宋体"/>
                      <w:color w:val="auto"/>
                      <w:kern w:val="0"/>
                      <w:szCs w:val="18"/>
                      <w:highlight w:val="none"/>
                    </w:rPr>
                  </w:pPr>
                  <w:bookmarkStart w:id="80" w:name="_1736837312"/>
                  <w:bookmarkEnd w:id="80"/>
                  <w:bookmarkStart w:id="81" w:name="_1738656674"/>
                  <w:bookmarkEnd w:id="81"/>
                  <w:r>
                    <w:rPr>
                      <w:rFonts w:hint="eastAsia" w:cs="宋体"/>
                      <w:color w:val="auto"/>
                      <w:kern w:val="0"/>
                      <w:szCs w:val="18"/>
                      <w:highlight w:val="none"/>
                    </w:rPr>
                    <w:t>8</w:t>
                  </w:r>
                </w:p>
              </w:tc>
            </w:tr>
            <w:tr w14:paraId="0E8A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vMerge w:val="restart"/>
                  <w:tcMar>
                    <w:top w:w="57" w:type="dxa"/>
                    <w:left w:w="108" w:type="dxa"/>
                    <w:bottom w:w="57" w:type="dxa"/>
                    <w:right w:w="108" w:type="dxa"/>
                  </w:tcMar>
                  <w:vAlign w:val="center"/>
                </w:tcPr>
                <w:p w14:paraId="1DC87ACB">
                  <w:pPr>
                    <w:pStyle w:val="41"/>
                    <w:rPr>
                      <w:rFonts w:cs="宋体"/>
                      <w:color w:val="auto"/>
                      <w:kern w:val="0"/>
                      <w:szCs w:val="18"/>
                      <w:highlight w:val="none"/>
                    </w:rPr>
                  </w:pPr>
                  <w:r>
                    <w:rPr>
                      <w:rFonts w:hint="eastAsia" w:cs="宋体"/>
                      <w:color w:val="auto"/>
                      <w:kern w:val="0"/>
                      <w:szCs w:val="18"/>
                      <w:highlight w:val="none"/>
                    </w:rPr>
                    <w:t>固体废物处理设施</w:t>
                  </w:r>
                </w:p>
              </w:tc>
              <w:tc>
                <w:tcPr>
                  <w:tcW w:w="1421" w:type="pct"/>
                  <w:tcMar>
                    <w:top w:w="57" w:type="dxa"/>
                    <w:left w:w="108" w:type="dxa"/>
                    <w:bottom w:w="57" w:type="dxa"/>
                    <w:right w:w="108" w:type="dxa"/>
                  </w:tcMar>
                  <w:vAlign w:val="center"/>
                </w:tcPr>
                <w:p w14:paraId="2F1B6D8D">
                  <w:pPr>
                    <w:pStyle w:val="41"/>
                    <w:rPr>
                      <w:rFonts w:cs="宋体"/>
                      <w:color w:val="auto"/>
                      <w:kern w:val="0"/>
                      <w:szCs w:val="18"/>
                      <w:highlight w:val="none"/>
                    </w:rPr>
                  </w:pPr>
                  <w:r>
                    <w:rPr>
                      <w:rFonts w:hint="eastAsia" w:cs="宋体"/>
                      <w:color w:val="auto"/>
                      <w:kern w:val="0"/>
                      <w:szCs w:val="18"/>
                      <w:highlight w:val="none"/>
                    </w:rPr>
                    <w:t>钻井井口防喷器、应急放喷池</w:t>
                  </w:r>
                </w:p>
              </w:tc>
              <w:tc>
                <w:tcPr>
                  <w:tcW w:w="2210" w:type="pct"/>
                  <w:tcMar>
                    <w:top w:w="57" w:type="dxa"/>
                    <w:left w:w="108" w:type="dxa"/>
                    <w:bottom w:w="57" w:type="dxa"/>
                    <w:right w:w="108" w:type="dxa"/>
                  </w:tcMar>
                  <w:vAlign w:val="center"/>
                </w:tcPr>
                <w:p w14:paraId="4A468FB7">
                  <w:pPr>
                    <w:pStyle w:val="41"/>
                    <w:rPr>
                      <w:rFonts w:cs="宋体"/>
                      <w:color w:val="auto"/>
                      <w:kern w:val="0"/>
                      <w:szCs w:val="18"/>
                      <w:highlight w:val="none"/>
                    </w:rPr>
                  </w:pPr>
                  <w:r>
                    <w:rPr>
                      <w:rFonts w:hint="eastAsia" w:cs="宋体"/>
                      <w:color w:val="auto"/>
                      <w:kern w:val="0"/>
                      <w:szCs w:val="18"/>
                      <w:highlight w:val="none"/>
                    </w:rPr>
                    <w:t>放喷原油、伴生气</w:t>
                  </w:r>
                </w:p>
              </w:tc>
              <w:tc>
                <w:tcPr>
                  <w:tcW w:w="677" w:type="pct"/>
                  <w:tcMar>
                    <w:top w:w="57" w:type="dxa"/>
                    <w:left w:w="108" w:type="dxa"/>
                    <w:bottom w:w="57" w:type="dxa"/>
                    <w:right w:w="108" w:type="dxa"/>
                  </w:tcMar>
                  <w:vAlign w:val="center"/>
                </w:tcPr>
                <w:p w14:paraId="100442FD">
                  <w:pPr>
                    <w:pStyle w:val="41"/>
                    <w:rPr>
                      <w:rFonts w:cs="宋体"/>
                      <w:color w:val="auto"/>
                      <w:kern w:val="0"/>
                      <w:szCs w:val="18"/>
                      <w:highlight w:val="none"/>
                    </w:rPr>
                  </w:pPr>
                  <w:bookmarkStart w:id="82" w:name="_1736837329"/>
                  <w:bookmarkEnd w:id="82"/>
                  <w:bookmarkStart w:id="83" w:name="_1738656678"/>
                  <w:bookmarkEnd w:id="83"/>
                  <w:r>
                    <w:rPr>
                      <w:rFonts w:hint="eastAsia" w:cs="宋体"/>
                      <w:color w:val="auto"/>
                      <w:kern w:val="0"/>
                      <w:szCs w:val="18"/>
                      <w:highlight w:val="none"/>
                    </w:rPr>
                    <w:t>15</w:t>
                  </w:r>
                </w:p>
              </w:tc>
            </w:tr>
            <w:tr w14:paraId="3E24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vMerge w:val="continue"/>
                  <w:tcMar>
                    <w:top w:w="57" w:type="dxa"/>
                    <w:left w:w="108" w:type="dxa"/>
                    <w:bottom w:w="57" w:type="dxa"/>
                    <w:right w:w="108" w:type="dxa"/>
                  </w:tcMar>
                  <w:vAlign w:val="center"/>
                </w:tcPr>
                <w:p w14:paraId="77207426">
                  <w:pPr>
                    <w:widowControl/>
                    <w:ind w:firstLine="360"/>
                    <w:jc w:val="center"/>
                    <w:rPr>
                      <w:color w:val="auto"/>
                      <w:sz w:val="18"/>
                      <w:szCs w:val="18"/>
                      <w:highlight w:val="none"/>
                    </w:rPr>
                  </w:pPr>
                </w:p>
              </w:tc>
              <w:tc>
                <w:tcPr>
                  <w:tcW w:w="1421" w:type="pct"/>
                  <w:tcMar>
                    <w:top w:w="57" w:type="dxa"/>
                    <w:left w:w="108" w:type="dxa"/>
                    <w:bottom w:w="57" w:type="dxa"/>
                    <w:right w:w="108" w:type="dxa"/>
                  </w:tcMar>
                  <w:vAlign w:val="center"/>
                </w:tcPr>
                <w:p w14:paraId="3314D45C">
                  <w:pPr>
                    <w:pStyle w:val="41"/>
                    <w:rPr>
                      <w:rFonts w:cs="宋体"/>
                      <w:color w:val="auto"/>
                      <w:kern w:val="0"/>
                      <w:szCs w:val="18"/>
                      <w:highlight w:val="none"/>
                    </w:rPr>
                  </w:pPr>
                  <w:r>
                    <w:rPr>
                      <w:rFonts w:hint="eastAsia" w:cs="宋体"/>
                      <w:color w:val="auto"/>
                      <w:kern w:val="0"/>
                      <w:szCs w:val="18"/>
                      <w:highlight w:val="none"/>
                    </w:rPr>
                    <w:t>危险废物贮存点及危废处置</w:t>
                  </w:r>
                </w:p>
              </w:tc>
              <w:tc>
                <w:tcPr>
                  <w:tcW w:w="2210" w:type="pct"/>
                  <w:tcMar>
                    <w:top w:w="57" w:type="dxa"/>
                    <w:left w:w="108" w:type="dxa"/>
                    <w:bottom w:w="57" w:type="dxa"/>
                    <w:right w:w="108" w:type="dxa"/>
                  </w:tcMar>
                  <w:vAlign w:val="center"/>
                </w:tcPr>
                <w:p w14:paraId="41239F52">
                  <w:pPr>
                    <w:pStyle w:val="41"/>
                    <w:rPr>
                      <w:rFonts w:cs="宋体"/>
                      <w:color w:val="auto"/>
                      <w:kern w:val="0"/>
                      <w:szCs w:val="18"/>
                      <w:highlight w:val="none"/>
                    </w:rPr>
                  </w:pPr>
                  <w:r>
                    <w:rPr>
                      <w:rFonts w:hint="eastAsia" w:cs="宋体"/>
                      <w:color w:val="auto"/>
                      <w:kern w:val="0"/>
                      <w:szCs w:val="18"/>
                      <w:highlight w:val="none"/>
                    </w:rPr>
                    <w:t>建设危险废物贮存点及危废处置费用</w:t>
                  </w:r>
                </w:p>
              </w:tc>
              <w:tc>
                <w:tcPr>
                  <w:tcW w:w="677" w:type="pct"/>
                  <w:tcMar>
                    <w:top w:w="57" w:type="dxa"/>
                    <w:left w:w="108" w:type="dxa"/>
                    <w:bottom w:w="57" w:type="dxa"/>
                    <w:right w:w="108" w:type="dxa"/>
                  </w:tcMar>
                  <w:vAlign w:val="center"/>
                </w:tcPr>
                <w:p w14:paraId="0EA3D4B9">
                  <w:pPr>
                    <w:pStyle w:val="41"/>
                    <w:rPr>
                      <w:rFonts w:cs="宋体"/>
                      <w:color w:val="auto"/>
                      <w:kern w:val="0"/>
                      <w:szCs w:val="18"/>
                      <w:highlight w:val="none"/>
                    </w:rPr>
                  </w:pPr>
                  <w:r>
                    <w:rPr>
                      <w:rFonts w:hint="eastAsia" w:cs="宋体"/>
                      <w:color w:val="auto"/>
                      <w:kern w:val="0"/>
                      <w:szCs w:val="18"/>
                      <w:highlight w:val="none"/>
                    </w:rPr>
                    <w:t>120</w:t>
                  </w:r>
                </w:p>
              </w:tc>
            </w:tr>
            <w:tr w14:paraId="7A7C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vMerge w:val="continue"/>
                  <w:tcMar>
                    <w:top w:w="57" w:type="dxa"/>
                    <w:left w:w="108" w:type="dxa"/>
                    <w:bottom w:w="57" w:type="dxa"/>
                    <w:right w:w="108" w:type="dxa"/>
                  </w:tcMar>
                  <w:vAlign w:val="center"/>
                </w:tcPr>
                <w:p w14:paraId="192BA26B">
                  <w:pPr>
                    <w:widowControl/>
                    <w:ind w:firstLine="360"/>
                    <w:jc w:val="center"/>
                    <w:rPr>
                      <w:color w:val="auto"/>
                      <w:sz w:val="18"/>
                      <w:szCs w:val="18"/>
                      <w:highlight w:val="none"/>
                    </w:rPr>
                  </w:pPr>
                </w:p>
              </w:tc>
              <w:tc>
                <w:tcPr>
                  <w:tcW w:w="1421" w:type="pct"/>
                  <w:tcMar>
                    <w:top w:w="57" w:type="dxa"/>
                    <w:left w:w="108" w:type="dxa"/>
                    <w:bottom w:w="57" w:type="dxa"/>
                    <w:right w:w="108" w:type="dxa"/>
                  </w:tcMar>
                  <w:vAlign w:val="center"/>
                </w:tcPr>
                <w:p w14:paraId="3A02A449">
                  <w:pPr>
                    <w:pStyle w:val="41"/>
                    <w:rPr>
                      <w:rFonts w:cs="宋体"/>
                      <w:color w:val="auto"/>
                      <w:kern w:val="0"/>
                      <w:szCs w:val="18"/>
                      <w:highlight w:val="none"/>
                    </w:rPr>
                  </w:pPr>
                  <w:r>
                    <w:rPr>
                      <w:rFonts w:hint="eastAsia" w:cs="宋体"/>
                      <w:color w:val="auto"/>
                      <w:kern w:val="0"/>
                      <w:szCs w:val="18"/>
                      <w:highlight w:val="none"/>
                    </w:rPr>
                    <w:t>生活垃圾处理</w:t>
                  </w:r>
                </w:p>
              </w:tc>
              <w:tc>
                <w:tcPr>
                  <w:tcW w:w="2210" w:type="pct"/>
                  <w:tcMar>
                    <w:top w:w="57" w:type="dxa"/>
                    <w:left w:w="108" w:type="dxa"/>
                    <w:bottom w:w="57" w:type="dxa"/>
                    <w:right w:w="108" w:type="dxa"/>
                  </w:tcMar>
                  <w:vAlign w:val="center"/>
                </w:tcPr>
                <w:p w14:paraId="12654DF4">
                  <w:pPr>
                    <w:pStyle w:val="41"/>
                    <w:rPr>
                      <w:rFonts w:cs="宋体"/>
                      <w:color w:val="auto"/>
                      <w:kern w:val="0"/>
                      <w:szCs w:val="18"/>
                      <w:highlight w:val="none"/>
                    </w:rPr>
                  </w:pPr>
                  <w:r>
                    <w:rPr>
                      <w:rFonts w:hint="eastAsia" w:cs="宋体"/>
                      <w:color w:val="auto"/>
                      <w:kern w:val="0"/>
                      <w:szCs w:val="18"/>
                      <w:highlight w:val="none"/>
                    </w:rPr>
                    <w:t>垃圾桶及清运费用</w:t>
                  </w:r>
                </w:p>
              </w:tc>
              <w:tc>
                <w:tcPr>
                  <w:tcW w:w="677" w:type="pct"/>
                  <w:tcMar>
                    <w:top w:w="57" w:type="dxa"/>
                    <w:left w:w="108" w:type="dxa"/>
                    <w:bottom w:w="57" w:type="dxa"/>
                    <w:right w:w="108" w:type="dxa"/>
                  </w:tcMar>
                  <w:vAlign w:val="center"/>
                </w:tcPr>
                <w:p w14:paraId="536C3D6A">
                  <w:pPr>
                    <w:pStyle w:val="41"/>
                    <w:rPr>
                      <w:rFonts w:cs="宋体"/>
                      <w:color w:val="auto"/>
                      <w:kern w:val="0"/>
                      <w:szCs w:val="18"/>
                      <w:highlight w:val="none"/>
                    </w:rPr>
                  </w:pPr>
                  <w:bookmarkStart w:id="84" w:name="_1736837334"/>
                  <w:bookmarkEnd w:id="84"/>
                  <w:bookmarkStart w:id="85" w:name="_1738656680"/>
                  <w:bookmarkEnd w:id="85"/>
                  <w:r>
                    <w:rPr>
                      <w:rFonts w:hint="eastAsia" w:cs="宋体"/>
                      <w:color w:val="auto"/>
                      <w:kern w:val="0"/>
                      <w:szCs w:val="18"/>
                      <w:highlight w:val="none"/>
                    </w:rPr>
                    <w:t>2</w:t>
                  </w:r>
                </w:p>
              </w:tc>
            </w:tr>
            <w:tr w14:paraId="5B42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vMerge w:val="continue"/>
                  <w:tcMar>
                    <w:top w:w="57" w:type="dxa"/>
                    <w:left w:w="108" w:type="dxa"/>
                    <w:bottom w:w="57" w:type="dxa"/>
                    <w:right w:w="108" w:type="dxa"/>
                  </w:tcMar>
                  <w:vAlign w:val="center"/>
                </w:tcPr>
                <w:p w14:paraId="276B56FE">
                  <w:pPr>
                    <w:widowControl/>
                    <w:ind w:firstLine="360"/>
                    <w:jc w:val="center"/>
                    <w:rPr>
                      <w:color w:val="auto"/>
                      <w:sz w:val="18"/>
                      <w:szCs w:val="18"/>
                      <w:highlight w:val="none"/>
                    </w:rPr>
                  </w:pPr>
                </w:p>
              </w:tc>
              <w:tc>
                <w:tcPr>
                  <w:tcW w:w="1421" w:type="pct"/>
                  <w:tcMar>
                    <w:top w:w="57" w:type="dxa"/>
                    <w:left w:w="108" w:type="dxa"/>
                    <w:bottom w:w="57" w:type="dxa"/>
                    <w:right w:w="108" w:type="dxa"/>
                  </w:tcMar>
                  <w:vAlign w:val="center"/>
                </w:tcPr>
                <w:p w14:paraId="5BF51E12">
                  <w:pPr>
                    <w:pStyle w:val="41"/>
                    <w:rPr>
                      <w:rFonts w:cs="宋体"/>
                      <w:color w:val="auto"/>
                      <w:kern w:val="0"/>
                      <w:szCs w:val="18"/>
                      <w:highlight w:val="none"/>
                    </w:rPr>
                  </w:pPr>
                  <w:r>
                    <w:rPr>
                      <w:rFonts w:hint="eastAsia" w:cs="宋体"/>
                      <w:color w:val="auto"/>
                      <w:kern w:val="0"/>
                      <w:szCs w:val="18"/>
                      <w:highlight w:val="none"/>
                    </w:rPr>
                    <w:t>泥浆不落地系统</w:t>
                  </w:r>
                </w:p>
              </w:tc>
              <w:tc>
                <w:tcPr>
                  <w:tcW w:w="2210" w:type="pct"/>
                  <w:tcMar>
                    <w:top w:w="57" w:type="dxa"/>
                    <w:left w:w="108" w:type="dxa"/>
                    <w:bottom w:w="57" w:type="dxa"/>
                    <w:right w:w="108" w:type="dxa"/>
                  </w:tcMar>
                  <w:vAlign w:val="center"/>
                </w:tcPr>
                <w:p w14:paraId="658F8389">
                  <w:pPr>
                    <w:pStyle w:val="41"/>
                    <w:rPr>
                      <w:rFonts w:cs="宋体"/>
                      <w:color w:val="auto"/>
                      <w:kern w:val="0"/>
                      <w:szCs w:val="18"/>
                      <w:highlight w:val="none"/>
                    </w:rPr>
                  </w:pPr>
                  <w:r>
                    <w:rPr>
                      <w:rFonts w:hint="eastAsia" w:cs="宋体"/>
                      <w:color w:val="auto"/>
                      <w:kern w:val="0"/>
                      <w:szCs w:val="18"/>
                      <w:highlight w:val="none"/>
                    </w:rPr>
                    <w:t>钻井泥浆、岩屑处理</w:t>
                  </w:r>
                </w:p>
              </w:tc>
              <w:tc>
                <w:tcPr>
                  <w:tcW w:w="677" w:type="pct"/>
                  <w:tcMar>
                    <w:top w:w="57" w:type="dxa"/>
                    <w:left w:w="108" w:type="dxa"/>
                    <w:bottom w:w="57" w:type="dxa"/>
                    <w:right w:w="108" w:type="dxa"/>
                  </w:tcMar>
                  <w:vAlign w:val="center"/>
                </w:tcPr>
                <w:p w14:paraId="4DB6074B">
                  <w:pPr>
                    <w:pStyle w:val="41"/>
                    <w:rPr>
                      <w:rFonts w:cs="宋体"/>
                      <w:color w:val="auto"/>
                      <w:kern w:val="0"/>
                      <w:szCs w:val="18"/>
                      <w:highlight w:val="none"/>
                    </w:rPr>
                  </w:pPr>
                  <w:r>
                    <w:rPr>
                      <w:rFonts w:hint="eastAsia" w:cs="宋体"/>
                      <w:color w:val="auto"/>
                      <w:kern w:val="0"/>
                      <w:szCs w:val="18"/>
                      <w:highlight w:val="none"/>
                    </w:rPr>
                    <w:t>70</w:t>
                  </w:r>
                </w:p>
              </w:tc>
            </w:tr>
            <w:tr w14:paraId="5186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vMerge w:val="restart"/>
                  <w:tcMar>
                    <w:top w:w="57" w:type="dxa"/>
                    <w:left w:w="108" w:type="dxa"/>
                    <w:bottom w:w="57" w:type="dxa"/>
                    <w:right w:w="108" w:type="dxa"/>
                  </w:tcMar>
                  <w:vAlign w:val="center"/>
                </w:tcPr>
                <w:p w14:paraId="288CFDEE">
                  <w:pPr>
                    <w:pStyle w:val="41"/>
                    <w:rPr>
                      <w:rFonts w:cs="宋体"/>
                      <w:color w:val="auto"/>
                      <w:kern w:val="0"/>
                      <w:szCs w:val="18"/>
                      <w:highlight w:val="none"/>
                    </w:rPr>
                  </w:pPr>
                  <w:r>
                    <w:rPr>
                      <w:rFonts w:hint="eastAsia" w:cs="宋体"/>
                      <w:color w:val="auto"/>
                      <w:kern w:val="0"/>
                      <w:szCs w:val="18"/>
                      <w:highlight w:val="none"/>
                    </w:rPr>
                    <w:t>生态与水土保持</w:t>
                  </w:r>
                </w:p>
              </w:tc>
              <w:tc>
                <w:tcPr>
                  <w:tcW w:w="1421" w:type="pct"/>
                  <w:tcMar>
                    <w:top w:w="57" w:type="dxa"/>
                    <w:left w:w="108" w:type="dxa"/>
                    <w:bottom w:w="57" w:type="dxa"/>
                    <w:right w:w="108" w:type="dxa"/>
                  </w:tcMar>
                  <w:vAlign w:val="center"/>
                </w:tcPr>
                <w:p w14:paraId="43F65E64">
                  <w:pPr>
                    <w:pStyle w:val="41"/>
                    <w:rPr>
                      <w:rFonts w:cs="宋体"/>
                      <w:color w:val="auto"/>
                      <w:kern w:val="0"/>
                      <w:szCs w:val="18"/>
                      <w:highlight w:val="none"/>
                    </w:rPr>
                  </w:pPr>
                  <w:r>
                    <w:rPr>
                      <w:rFonts w:hint="eastAsia" w:cs="宋体"/>
                      <w:color w:val="auto"/>
                      <w:kern w:val="0"/>
                      <w:szCs w:val="18"/>
                      <w:highlight w:val="none"/>
                    </w:rPr>
                    <w:t>井场平整</w:t>
                  </w:r>
                </w:p>
              </w:tc>
              <w:tc>
                <w:tcPr>
                  <w:tcW w:w="2210" w:type="pct"/>
                  <w:tcMar>
                    <w:top w:w="57" w:type="dxa"/>
                    <w:left w:w="108" w:type="dxa"/>
                    <w:bottom w:w="57" w:type="dxa"/>
                    <w:right w:w="108" w:type="dxa"/>
                  </w:tcMar>
                  <w:vAlign w:val="center"/>
                </w:tcPr>
                <w:p w14:paraId="5D8FEE61">
                  <w:pPr>
                    <w:pStyle w:val="41"/>
                    <w:rPr>
                      <w:rFonts w:cs="宋体"/>
                      <w:color w:val="auto"/>
                      <w:kern w:val="0"/>
                      <w:szCs w:val="18"/>
                      <w:highlight w:val="none"/>
                    </w:rPr>
                  </w:pPr>
                  <w:r>
                    <w:rPr>
                      <w:rFonts w:hint="eastAsia" w:cs="宋体"/>
                      <w:color w:val="auto"/>
                      <w:kern w:val="0"/>
                      <w:szCs w:val="18"/>
                      <w:highlight w:val="none"/>
                    </w:rPr>
                    <w:t>临时占地平整</w:t>
                  </w:r>
                </w:p>
              </w:tc>
              <w:tc>
                <w:tcPr>
                  <w:tcW w:w="677" w:type="pct"/>
                  <w:tcMar>
                    <w:top w:w="57" w:type="dxa"/>
                    <w:left w:w="108" w:type="dxa"/>
                    <w:bottom w:w="57" w:type="dxa"/>
                    <w:right w:w="108" w:type="dxa"/>
                  </w:tcMar>
                  <w:vAlign w:val="center"/>
                </w:tcPr>
                <w:p w14:paraId="75B8E716">
                  <w:pPr>
                    <w:pStyle w:val="41"/>
                    <w:rPr>
                      <w:rFonts w:cs="宋体"/>
                      <w:color w:val="auto"/>
                      <w:kern w:val="0"/>
                      <w:szCs w:val="18"/>
                      <w:highlight w:val="none"/>
                    </w:rPr>
                  </w:pPr>
                  <w:bookmarkStart w:id="86" w:name="_1736837344"/>
                  <w:bookmarkEnd w:id="86"/>
                  <w:bookmarkStart w:id="87" w:name="_1738656682"/>
                  <w:bookmarkEnd w:id="87"/>
                  <w:r>
                    <w:rPr>
                      <w:rFonts w:hint="eastAsia" w:cs="宋体"/>
                      <w:color w:val="auto"/>
                      <w:kern w:val="0"/>
                      <w:szCs w:val="18"/>
                      <w:highlight w:val="none"/>
                    </w:rPr>
                    <w:t>38</w:t>
                  </w:r>
                </w:p>
              </w:tc>
            </w:tr>
            <w:tr w14:paraId="016D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vMerge w:val="continue"/>
                  <w:tcMar>
                    <w:top w:w="57" w:type="dxa"/>
                    <w:left w:w="108" w:type="dxa"/>
                    <w:bottom w:w="57" w:type="dxa"/>
                    <w:right w:w="108" w:type="dxa"/>
                  </w:tcMar>
                  <w:vAlign w:val="center"/>
                </w:tcPr>
                <w:p w14:paraId="23961B35">
                  <w:pPr>
                    <w:widowControl/>
                    <w:ind w:firstLine="360"/>
                    <w:jc w:val="center"/>
                    <w:rPr>
                      <w:color w:val="auto"/>
                      <w:sz w:val="18"/>
                      <w:szCs w:val="18"/>
                      <w:highlight w:val="none"/>
                    </w:rPr>
                  </w:pPr>
                </w:p>
              </w:tc>
              <w:tc>
                <w:tcPr>
                  <w:tcW w:w="1421" w:type="pct"/>
                  <w:tcMar>
                    <w:top w:w="57" w:type="dxa"/>
                    <w:left w:w="108" w:type="dxa"/>
                    <w:bottom w:w="57" w:type="dxa"/>
                    <w:right w:w="108" w:type="dxa"/>
                  </w:tcMar>
                  <w:vAlign w:val="center"/>
                </w:tcPr>
                <w:p w14:paraId="509E8EC7">
                  <w:pPr>
                    <w:pStyle w:val="41"/>
                    <w:rPr>
                      <w:rFonts w:cs="宋体"/>
                      <w:color w:val="auto"/>
                      <w:kern w:val="0"/>
                      <w:szCs w:val="18"/>
                      <w:highlight w:val="none"/>
                    </w:rPr>
                  </w:pPr>
                  <w:r>
                    <w:rPr>
                      <w:rFonts w:hint="eastAsia" w:cs="宋体"/>
                      <w:color w:val="auto"/>
                      <w:kern w:val="0"/>
                      <w:szCs w:val="18"/>
                      <w:highlight w:val="none"/>
                    </w:rPr>
                    <w:t>路面硬化</w:t>
                  </w:r>
                </w:p>
              </w:tc>
              <w:tc>
                <w:tcPr>
                  <w:tcW w:w="2210" w:type="pct"/>
                  <w:tcMar>
                    <w:top w:w="57" w:type="dxa"/>
                    <w:left w:w="108" w:type="dxa"/>
                    <w:bottom w:w="57" w:type="dxa"/>
                    <w:right w:w="108" w:type="dxa"/>
                  </w:tcMar>
                  <w:vAlign w:val="center"/>
                </w:tcPr>
                <w:p w14:paraId="6DD84FEB">
                  <w:pPr>
                    <w:pStyle w:val="41"/>
                    <w:rPr>
                      <w:rFonts w:cs="宋体"/>
                      <w:color w:val="auto"/>
                      <w:kern w:val="0"/>
                      <w:szCs w:val="18"/>
                      <w:highlight w:val="none"/>
                    </w:rPr>
                  </w:pPr>
                  <w:r>
                    <w:rPr>
                      <w:rFonts w:hint="eastAsia" w:cs="宋体"/>
                      <w:color w:val="auto"/>
                      <w:kern w:val="0"/>
                      <w:szCs w:val="18"/>
                      <w:highlight w:val="none"/>
                    </w:rPr>
                    <w:t>降尘、防水土流失</w:t>
                  </w:r>
                </w:p>
              </w:tc>
              <w:tc>
                <w:tcPr>
                  <w:tcW w:w="677" w:type="pct"/>
                  <w:tcMar>
                    <w:top w:w="57" w:type="dxa"/>
                    <w:left w:w="108" w:type="dxa"/>
                    <w:bottom w:w="57" w:type="dxa"/>
                    <w:right w:w="108" w:type="dxa"/>
                  </w:tcMar>
                  <w:vAlign w:val="center"/>
                </w:tcPr>
                <w:p w14:paraId="1E7ECC3B">
                  <w:pPr>
                    <w:pStyle w:val="41"/>
                    <w:rPr>
                      <w:rFonts w:cs="宋体"/>
                      <w:color w:val="auto"/>
                      <w:kern w:val="0"/>
                      <w:szCs w:val="18"/>
                      <w:highlight w:val="none"/>
                    </w:rPr>
                  </w:pPr>
                  <w:bookmarkStart w:id="88" w:name="_1736837349"/>
                  <w:bookmarkEnd w:id="88"/>
                  <w:bookmarkStart w:id="89" w:name="_1738656684"/>
                  <w:bookmarkEnd w:id="89"/>
                  <w:r>
                    <w:rPr>
                      <w:rFonts w:hint="eastAsia" w:cs="宋体"/>
                      <w:color w:val="auto"/>
                      <w:kern w:val="0"/>
                      <w:szCs w:val="18"/>
                      <w:highlight w:val="none"/>
                    </w:rPr>
                    <w:t>4</w:t>
                  </w:r>
                </w:p>
              </w:tc>
            </w:tr>
            <w:tr w14:paraId="083F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tcMar>
                    <w:top w:w="57" w:type="dxa"/>
                    <w:left w:w="108" w:type="dxa"/>
                    <w:bottom w:w="57" w:type="dxa"/>
                    <w:right w:w="108" w:type="dxa"/>
                  </w:tcMar>
                  <w:vAlign w:val="center"/>
                </w:tcPr>
                <w:p w14:paraId="67F67B50">
                  <w:pPr>
                    <w:pStyle w:val="41"/>
                    <w:rPr>
                      <w:rFonts w:cs="宋体"/>
                      <w:color w:val="auto"/>
                      <w:kern w:val="0"/>
                      <w:szCs w:val="18"/>
                      <w:highlight w:val="none"/>
                    </w:rPr>
                  </w:pPr>
                  <w:r>
                    <w:rPr>
                      <w:rFonts w:hint="eastAsia" w:cs="宋体"/>
                      <w:color w:val="auto"/>
                      <w:kern w:val="0"/>
                      <w:szCs w:val="18"/>
                      <w:highlight w:val="none"/>
                    </w:rPr>
                    <w:t>噪声治理</w:t>
                  </w:r>
                </w:p>
              </w:tc>
              <w:tc>
                <w:tcPr>
                  <w:tcW w:w="1421" w:type="pct"/>
                  <w:tcMar>
                    <w:top w:w="57" w:type="dxa"/>
                    <w:left w:w="108" w:type="dxa"/>
                    <w:bottom w:w="57" w:type="dxa"/>
                    <w:right w:w="108" w:type="dxa"/>
                  </w:tcMar>
                  <w:vAlign w:val="center"/>
                </w:tcPr>
                <w:p w14:paraId="75E59A21">
                  <w:pPr>
                    <w:pStyle w:val="41"/>
                    <w:rPr>
                      <w:rFonts w:cs="宋体"/>
                      <w:color w:val="auto"/>
                      <w:kern w:val="0"/>
                      <w:szCs w:val="18"/>
                      <w:highlight w:val="none"/>
                    </w:rPr>
                  </w:pPr>
                  <w:r>
                    <w:rPr>
                      <w:rFonts w:hint="eastAsia" w:cs="宋体"/>
                      <w:color w:val="auto"/>
                      <w:kern w:val="0"/>
                      <w:szCs w:val="18"/>
                      <w:highlight w:val="none"/>
                    </w:rPr>
                    <w:t>基础减振</w:t>
                  </w:r>
                </w:p>
              </w:tc>
              <w:tc>
                <w:tcPr>
                  <w:tcW w:w="2210" w:type="pct"/>
                  <w:tcMar>
                    <w:top w:w="57" w:type="dxa"/>
                    <w:left w:w="108" w:type="dxa"/>
                    <w:bottom w:w="57" w:type="dxa"/>
                    <w:right w:w="108" w:type="dxa"/>
                  </w:tcMar>
                  <w:vAlign w:val="center"/>
                </w:tcPr>
                <w:p w14:paraId="0456E924">
                  <w:pPr>
                    <w:pStyle w:val="41"/>
                    <w:rPr>
                      <w:rFonts w:cs="宋体"/>
                      <w:color w:val="auto"/>
                      <w:kern w:val="0"/>
                      <w:szCs w:val="18"/>
                      <w:highlight w:val="none"/>
                    </w:rPr>
                  </w:pPr>
                  <w:r>
                    <w:rPr>
                      <w:rFonts w:hint="eastAsia" w:cs="宋体"/>
                      <w:color w:val="auto"/>
                      <w:kern w:val="0"/>
                      <w:szCs w:val="18"/>
                      <w:highlight w:val="none"/>
                    </w:rPr>
                    <w:t>噪声治理</w:t>
                  </w:r>
                </w:p>
              </w:tc>
              <w:tc>
                <w:tcPr>
                  <w:tcW w:w="677" w:type="pct"/>
                  <w:tcMar>
                    <w:top w:w="57" w:type="dxa"/>
                    <w:left w:w="108" w:type="dxa"/>
                    <w:bottom w:w="57" w:type="dxa"/>
                    <w:right w:w="108" w:type="dxa"/>
                  </w:tcMar>
                  <w:vAlign w:val="center"/>
                </w:tcPr>
                <w:p w14:paraId="153AB504">
                  <w:pPr>
                    <w:pStyle w:val="41"/>
                    <w:rPr>
                      <w:rFonts w:cs="宋体"/>
                      <w:color w:val="auto"/>
                      <w:kern w:val="0"/>
                      <w:szCs w:val="18"/>
                      <w:highlight w:val="none"/>
                    </w:rPr>
                  </w:pPr>
                  <w:bookmarkStart w:id="90" w:name="_1736837359"/>
                  <w:bookmarkEnd w:id="90"/>
                  <w:bookmarkStart w:id="91" w:name="_1738656686"/>
                  <w:bookmarkEnd w:id="91"/>
                  <w:r>
                    <w:rPr>
                      <w:rFonts w:hint="eastAsia" w:cs="宋体"/>
                      <w:color w:val="auto"/>
                      <w:kern w:val="0"/>
                      <w:szCs w:val="18"/>
                      <w:highlight w:val="none"/>
                    </w:rPr>
                    <w:t>8</w:t>
                  </w:r>
                </w:p>
              </w:tc>
            </w:tr>
            <w:tr w14:paraId="28A8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tcMar>
                    <w:top w:w="57" w:type="dxa"/>
                    <w:left w:w="108" w:type="dxa"/>
                    <w:bottom w:w="57" w:type="dxa"/>
                    <w:right w:w="108" w:type="dxa"/>
                  </w:tcMar>
                  <w:vAlign w:val="center"/>
                </w:tcPr>
                <w:p w14:paraId="767C0FD4">
                  <w:pPr>
                    <w:pStyle w:val="41"/>
                    <w:rPr>
                      <w:rFonts w:cs="宋体"/>
                      <w:color w:val="auto"/>
                      <w:kern w:val="0"/>
                      <w:szCs w:val="18"/>
                      <w:highlight w:val="none"/>
                    </w:rPr>
                  </w:pPr>
                  <w:r>
                    <w:rPr>
                      <w:rFonts w:hint="eastAsia" w:cs="宋体"/>
                      <w:color w:val="auto"/>
                      <w:kern w:val="0"/>
                      <w:szCs w:val="18"/>
                      <w:highlight w:val="none"/>
                    </w:rPr>
                    <w:t>生态修复工程</w:t>
                  </w:r>
                </w:p>
              </w:tc>
              <w:tc>
                <w:tcPr>
                  <w:tcW w:w="1421" w:type="pct"/>
                  <w:tcMar>
                    <w:top w:w="57" w:type="dxa"/>
                    <w:left w:w="108" w:type="dxa"/>
                    <w:bottom w:w="57" w:type="dxa"/>
                    <w:right w:w="108" w:type="dxa"/>
                  </w:tcMar>
                  <w:vAlign w:val="center"/>
                </w:tcPr>
                <w:p w14:paraId="10782843">
                  <w:pPr>
                    <w:pStyle w:val="41"/>
                    <w:rPr>
                      <w:rFonts w:cs="宋体"/>
                      <w:color w:val="auto"/>
                      <w:kern w:val="0"/>
                      <w:szCs w:val="18"/>
                      <w:highlight w:val="none"/>
                    </w:rPr>
                  </w:pPr>
                  <w:r>
                    <w:rPr>
                      <w:rFonts w:hint="eastAsia" w:cs="宋体"/>
                      <w:color w:val="auto"/>
                      <w:kern w:val="0"/>
                      <w:szCs w:val="18"/>
                      <w:highlight w:val="none"/>
                    </w:rPr>
                    <w:t>恢复地表原状</w:t>
                  </w:r>
                </w:p>
              </w:tc>
              <w:tc>
                <w:tcPr>
                  <w:tcW w:w="2210" w:type="pct"/>
                  <w:tcMar>
                    <w:top w:w="57" w:type="dxa"/>
                    <w:left w:w="108" w:type="dxa"/>
                    <w:bottom w:w="57" w:type="dxa"/>
                    <w:right w:w="108" w:type="dxa"/>
                  </w:tcMar>
                  <w:vAlign w:val="center"/>
                </w:tcPr>
                <w:p w14:paraId="6CAD49B6">
                  <w:pPr>
                    <w:pStyle w:val="41"/>
                    <w:rPr>
                      <w:rFonts w:cs="宋体"/>
                      <w:color w:val="auto"/>
                      <w:kern w:val="0"/>
                      <w:szCs w:val="18"/>
                      <w:highlight w:val="none"/>
                    </w:rPr>
                  </w:pPr>
                  <w:r>
                    <w:rPr>
                      <w:rFonts w:hint="eastAsia" w:cs="宋体"/>
                      <w:color w:val="auto"/>
                      <w:kern w:val="0"/>
                      <w:szCs w:val="18"/>
                      <w:highlight w:val="none"/>
                    </w:rPr>
                    <w:t>临时占地按照原有植被类型恢复地貌</w:t>
                  </w:r>
                </w:p>
              </w:tc>
              <w:tc>
                <w:tcPr>
                  <w:tcW w:w="677" w:type="pct"/>
                  <w:tcMar>
                    <w:top w:w="57" w:type="dxa"/>
                    <w:left w:w="108" w:type="dxa"/>
                    <w:bottom w:w="57" w:type="dxa"/>
                    <w:right w:w="108" w:type="dxa"/>
                  </w:tcMar>
                  <w:vAlign w:val="center"/>
                </w:tcPr>
                <w:p w14:paraId="4EF1ADDF">
                  <w:pPr>
                    <w:pStyle w:val="41"/>
                    <w:rPr>
                      <w:rFonts w:cs="宋体"/>
                      <w:color w:val="auto"/>
                      <w:kern w:val="0"/>
                      <w:szCs w:val="18"/>
                      <w:highlight w:val="none"/>
                    </w:rPr>
                  </w:pPr>
                  <w:bookmarkStart w:id="92" w:name="_1736837364"/>
                  <w:bookmarkEnd w:id="92"/>
                  <w:bookmarkStart w:id="93" w:name="_1738656688"/>
                  <w:bookmarkEnd w:id="93"/>
                  <w:r>
                    <w:rPr>
                      <w:rFonts w:hint="eastAsia" w:cs="宋体"/>
                      <w:color w:val="auto"/>
                      <w:kern w:val="0"/>
                      <w:szCs w:val="18"/>
                      <w:highlight w:val="none"/>
                    </w:rPr>
                    <w:t>60</w:t>
                  </w:r>
                </w:p>
              </w:tc>
            </w:tr>
            <w:tr w14:paraId="6E2E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1" w:type="pct"/>
                  <w:shd w:val="clear" w:color="auto" w:fill="auto"/>
                  <w:tcMar>
                    <w:top w:w="57" w:type="dxa"/>
                    <w:left w:w="108" w:type="dxa"/>
                    <w:bottom w:w="57" w:type="dxa"/>
                    <w:right w:w="108" w:type="dxa"/>
                  </w:tcMar>
                  <w:vAlign w:val="center"/>
                </w:tcPr>
                <w:p w14:paraId="56E3EAF7">
                  <w:pPr>
                    <w:pStyle w:val="41"/>
                    <w:rPr>
                      <w:rFonts w:cs="宋体"/>
                      <w:color w:val="auto"/>
                      <w:kern w:val="0"/>
                      <w:szCs w:val="18"/>
                      <w:highlight w:val="none"/>
                    </w:rPr>
                  </w:pPr>
                  <w:r>
                    <w:rPr>
                      <w:rFonts w:hint="eastAsia" w:cs="宋体"/>
                      <w:color w:val="auto"/>
                      <w:kern w:val="0"/>
                      <w:szCs w:val="18"/>
                      <w:highlight w:val="none"/>
                    </w:rPr>
                    <w:t>风险防控</w:t>
                  </w:r>
                </w:p>
              </w:tc>
              <w:tc>
                <w:tcPr>
                  <w:tcW w:w="1421" w:type="pct"/>
                  <w:shd w:val="clear" w:color="auto" w:fill="auto"/>
                  <w:tcMar>
                    <w:top w:w="57" w:type="dxa"/>
                    <w:left w:w="108" w:type="dxa"/>
                    <w:bottom w:w="57" w:type="dxa"/>
                    <w:right w:w="108" w:type="dxa"/>
                  </w:tcMar>
                  <w:vAlign w:val="center"/>
                </w:tcPr>
                <w:p w14:paraId="00B9F84D">
                  <w:pPr>
                    <w:pStyle w:val="41"/>
                    <w:rPr>
                      <w:rFonts w:cs="宋体"/>
                      <w:color w:val="auto"/>
                      <w:kern w:val="0"/>
                      <w:szCs w:val="18"/>
                      <w:highlight w:val="none"/>
                    </w:rPr>
                  </w:pPr>
                  <w:r>
                    <w:rPr>
                      <w:rFonts w:hint="eastAsia" w:cs="宋体"/>
                      <w:color w:val="auto"/>
                      <w:kern w:val="0"/>
                      <w:szCs w:val="18"/>
                      <w:highlight w:val="none"/>
                    </w:rPr>
                    <w:t>风险防范物资，应急监测，井区防渗</w:t>
                  </w:r>
                </w:p>
              </w:tc>
              <w:tc>
                <w:tcPr>
                  <w:tcW w:w="2210" w:type="pct"/>
                  <w:shd w:val="clear" w:color="auto" w:fill="auto"/>
                  <w:tcMar>
                    <w:top w:w="57" w:type="dxa"/>
                    <w:left w:w="108" w:type="dxa"/>
                    <w:bottom w:w="57" w:type="dxa"/>
                    <w:right w:w="108" w:type="dxa"/>
                  </w:tcMar>
                  <w:vAlign w:val="center"/>
                </w:tcPr>
                <w:p w14:paraId="79774B08">
                  <w:pPr>
                    <w:pStyle w:val="41"/>
                    <w:rPr>
                      <w:rFonts w:cs="宋体"/>
                      <w:color w:val="auto"/>
                      <w:kern w:val="0"/>
                      <w:szCs w:val="18"/>
                      <w:highlight w:val="none"/>
                    </w:rPr>
                  </w:pPr>
                  <w:r>
                    <w:rPr>
                      <w:rFonts w:hint="eastAsia" w:cs="宋体"/>
                      <w:color w:val="auto"/>
                      <w:kern w:val="0"/>
                      <w:szCs w:val="18"/>
                      <w:highlight w:val="none"/>
                    </w:rPr>
                    <w:t>施工现场配备应急物资；制定应急监测方案，委托检测费用；“泥浆不落地”设备、柴油罐等重点污染防治区防渗</w:t>
                  </w:r>
                </w:p>
              </w:tc>
              <w:tc>
                <w:tcPr>
                  <w:tcW w:w="677" w:type="pct"/>
                  <w:shd w:val="clear" w:color="auto" w:fill="auto"/>
                  <w:tcMar>
                    <w:top w:w="57" w:type="dxa"/>
                    <w:left w:w="108" w:type="dxa"/>
                    <w:bottom w:w="57" w:type="dxa"/>
                    <w:right w:w="108" w:type="dxa"/>
                  </w:tcMar>
                  <w:vAlign w:val="center"/>
                </w:tcPr>
                <w:p w14:paraId="7086606D">
                  <w:pPr>
                    <w:pStyle w:val="41"/>
                    <w:rPr>
                      <w:rFonts w:cs="宋体"/>
                      <w:color w:val="auto"/>
                      <w:kern w:val="0"/>
                      <w:szCs w:val="18"/>
                      <w:highlight w:val="none"/>
                    </w:rPr>
                  </w:pPr>
                  <w:r>
                    <w:rPr>
                      <w:rFonts w:hint="eastAsia" w:cs="宋体"/>
                      <w:color w:val="auto"/>
                      <w:kern w:val="0"/>
                      <w:szCs w:val="18"/>
                      <w:highlight w:val="none"/>
                    </w:rPr>
                    <w:t>90</w:t>
                  </w:r>
                </w:p>
              </w:tc>
            </w:tr>
            <w:tr w14:paraId="58B8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322" w:type="pct"/>
                  <w:gridSpan w:val="3"/>
                  <w:tcMar>
                    <w:top w:w="57" w:type="dxa"/>
                    <w:left w:w="108" w:type="dxa"/>
                    <w:bottom w:w="57" w:type="dxa"/>
                    <w:right w:w="108" w:type="dxa"/>
                  </w:tcMar>
                  <w:vAlign w:val="center"/>
                </w:tcPr>
                <w:p w14:paraId="795ABEB0">
                  <w:pPr>
                    <w:pStyle w:val="41"/>
                    <w:rPr>
                      <w:rFonts w:cs="宋体"/>
                      <w:color w:val="auto"/>
                      <w:kern w:val="0"/>
                      <w:szCs w:val="18"/>
                      <w:highlight w:val="none"/>
                    </w:rPr>
                  </w:pPr>
                  <w:r>
                    <w:rPr>
                      <w:rFonts w:hint="eastAsia" w:cs="宋体"/>
                      <w:color w:val="auto"/>
                      <w:kern w:val="0"/>
                      <w:szCs w:val="18"/>
                      <w:highlight w:val="none"/>
                    </w:rPr>
                    <w:t>合计</w:t>
                  </w:r>
                </w:p>
              </w:tc>
              <w:tc>
                <w:tcPr>
                  <w:tcW w:w="677" w:type="pct"/>
                  <w:tcMar>
                    <w:top w:w="57" w:type="dxa"/>
                    <w:left w:w="108" w:type="dxa"/>
                    <w:bottom w:w="57" w:type="dxa"/>
                    <w:right w:w="108" w:type="dxa"/>
                  </w:tcMar>
                  <w:vAlign w:val="center"/>
                </w:tcPr>
                <w:p w14:paraId="2952634B">
                  <w:pPr>
                    <w:pStyle w:val="41"/>
                    <w:rPr>
                      <w:rFonts w:cs="宋体"/>
                      <w:color w:val="auto"/>
                      <w:kern w:val="0"/>
                      <w:szCs w:val="18"/>
                      <w:highlight w:val="none"/>
                    </w:rPr>
                  </w:pPr>
                  <w:bookmarkStart w:id="94" w:name="_1736837739"/>
                  <w:bookmarkEnd w:id="94"/>
                  <w:r>
                    <w:rPr>
                      <w:rFonts w:hint="eastAsia" w:cs="宋体"/>
                      <w:color w:val="auto"/>
                      <w:kern w:val="0"/>
                      <w:szCs w:val="18"/>
                      <w:highlight w:val="none"/>
                    </w:rPr>
                    <w:t>462</w:t>
                  </w:r>
                </w:p>
              </w:tc>
            </w:tr>
          </w:tbl>
          <w:p w14:paraId="275A7B2B">
            <w:pPr>
              <w:pStyle w:val="3"/>
              <w:ind w:firstLine="0" w:firstLineChars="0"/>
              <w:rPr>
                <w:color w:val="auto"/>
                <w:sz w:val="21"/>
                <w:highlight w:val="none"/>
              </w:rPr>
            </w:pPr>
          </w:p>
          <w:p w14:paraId="57AC94CA">
            <w:pPr>
              <w:pStyle w:val="3"/>
              <w:ind w:firstLine="0" w:firstLineChars="0"/>
              <w:rPr>
                <w:color w:val="auto"/>
                <w:sz w:val="21"/>
                <w:highlight w:val="none"/>
              </w:rPr>
            </w:pPr>
          </w:p>
          <w:p w14:paraId="2803CA85">
            <w:pPr>
              <w:pStyle w:val="3"/>
              <w:ind w:firstLine="0" w:firstLineChars="0"/>
              <w:rPr>
                <w:color w:val="auto"/>
                <w:sz w:val="21"/>
                <w:highlight w:val="none"/>
              </w:rPr>
            </w:pPr>
          </w:p>
          <w:p w14:paraId="6990133B">
            <w:pPr>
              <w:pStyle w:val="3"/>
              <w:ind w:firstLine="0" w:firstLineChars="0"/>
              <w:rPr>
                <w:color w:val="auto"/>
                <w:sz w:val="21"/>
                <w:highlight w:val="none"/>
              </w:rPr>
            </w:pPr>
          </w:p>
          <w:p w14:paraId="06924D3A">
            <w:pPr>
              <w:pStyle w:val="3"/>
              <w:ind w:firstLine="0" w:firstLineChars="0"/>
              <w:rPr>
                <w:color w:val="auto"/>
                <w:sz w:val="21"/>
                <w:highlight w:val="none"/>
              </w:rPr>
            </w:pPr>
          </w:p>
          <w:p w14:paraId="75BD84DA">
            <w:pPr>
              <w:pStyle w:val="3"/>
              <w:ind w:firstLine="0" w:firstLineChars="0"/>
              <w:rPr>
                <w:color w:val="auto"/>
                <w:sz w:val="21"/>
                <w:highlight w:val="none"/>
              </w:rPr>
            </w:pPr>
          </w:p>
          <w:p w14:paraId="6C426075">
            <w:pPr>
              <w:pStyle w:val="3"/>
              <w:ind w:firstLine="0" w:firstLineChars="0"/>
              <w:rPr>
                <w:color w:val="auto"/>
                <w:sz w:val="21"/>
                <w:highlight w:val="none"/>
              </w:rPr>
            </w:pPr>
          </w:p>
          <w:p w14:paraId="7D9410E4">
            <w:pPr>
              <w:pStyle w:val="3"/>
              <w:ind w:firstLine="0" w:firstLineChars="0"/>
              <w:rPr>
                <w:color w:val="auto"/>
                <w:sz w:val="21"/>
                <w:highlight w:val="none"/>
              </w:rPr>
            </w:pPr>
          </w:p>
          <w:p w14:paraId="316B0C8B">
            <w:pPr>
              <w:pStyle w:val="3"/>
              <w:ind w:firstLine="0" w:firstLineChars="0"/>
              <w:rPr>
                <w:color w:val="auto"/>
                <w:sz w:val="21"/>
                <w:highlight w:val="none"/>
              </w:rPr>
            </w:pPr>
          </w:p>
          <w:p w14:paraId="2835B71A">
            <w:pPr>
              <w:pStyle w:val="3"/>
              <w:ind w:firstLine="0" w:firstLineChars="0"/>
              <w:rPr>
                <w:color w:val="auto"/>
                <w:sz w:val="21"/>
                <w:highlight w:val="none"/>
              </w:rPr>
            </w:pPr>
          </w:p>
          <w:p w14:paraId="5B2660D4">
            <w:pPr>
              <w:pStyle w:val="3"/>
              <w:ind w:firstLine="0" w:firstLineChars="0"/>
              <w:rPr>
                <w:color w:val="auto"/>
                <w:sz w:val="21"/>
                <w:highlight w:val="none"/>
              </w:rPr>
            </w:pPr>
          </w:p>
          <w:p w14:paraId="1AD0A561">
            <w:pPr>
              <w:pStyle w:val="3"/>
              <w:ind w:firstLine="0" w:firstLineChars="0"/>
              <w:rPr>
                <w:color w:val="auto"/>
                <w:sz w:val="21"/>
                <w:highlight w:val="none"/>
              </w:rPr>
            </w:pPr>
          </w:p>
          <w:p w14:paraId="431573B0">
            <w:pPr>
              <w:pStyle w:val="3"/>
              <w:ind w:firstLine="0" w:firstLineChars="0"/>
              <w:rPr>
                <w:color w:val="auto"/>
                <w:sz w:val="21"/>
                <w:highlight w:val="none"/>
              </w:rPr>
            </w:pPr>
          </w:p>
          <w:p w14:paraId="58643BED">
            <w:pPr>
              <w:pStyle w:val="3"/>
              <w:ind w:firstLine="0" w:firstLineChars="0"/>
              <w:rPr>
                <w:color w:val="auto"/>
                <w:sz w:val="21"/>
                <w:highlight w:val="none"/>
              </w:rPr>
            </w:pPr>
          </w:p>
          <w:p w14:paraId="610ADCEA">
            <w:pPr>
              <w:pStyle w:val="3"/>
              <w:ind w:firstLine="0" w:firstLineChars="0"/>
              <w:rPr>
                <w:color w:val="auto"/>
                <w:sz w:val="21"/>
                <w:highlight w:val="none"/>
              </w:rPr>
            </w:pPr>
          </w:p>
          <w:p w14:paraId="11FA0AC3">
            <w:pPr>
              <w:pStyle w:val="3"/>
              <w:ind w:firstLine="0" w:firstLineChars="0"/>
              <w:rPr>
                <w:color w:val="auto"/>
                <w:sz w:val="21"/>
                <w:highlight w:val="none"/>
              </w:rPr>
            </w:pPr>
          </w:p>
          <w:p w14:paraId="554F4AB6">
            <w:pPr>
              <w:pStyle w:val="3"/>
              <w:ind w:firstLine="0" w:firstLineChars="0"/>
              <w:rPr>
                <w:color w:val="auto"/>
                <w:sz w:val="21"/>
                <w:highlight w:val="none"/>
              </w:rPr>
            </w:pPr>
          </w:p>
          <w:p w14:paraId="4FC99783">
            <w:pPr>
              <w:pStyle w:val="3"/>
              <w:ind w:firstLine="0" w:firstLineChars="0"/>
              <w:rPr>
                <w:color w:val="auto"/>
                <w:sz w:val="21"/>
                <w:highlight w:val="none"/>
              </w:rPr>
            </w:pPr>
          </w:p>
          <w:p w14:paraId="0F0BB3B5">
            <w:pPr>
              <w:pStyle w:val="3"/>
              <w:ind w:firstLine="0" w:firstLineChars="0"/>
              <w:rPr>
                <w:color w:val="auto"/>
                <w:sz w:val="21"/>
                <w:highlight w:val="none"/>
              </w:rPr>
            </w:pPr>
          </w:p>
          <w:p w14:paraId="50E2C061">
            <w:pPr>
              <w:pStyle w:val="3"/>
              <w:ind w:firstLine="0" w:firstLineChars="0"/>
              <w:rPr>
                <w:color w:val="auto"/>
                <w:sz w:val="21"/>
                <w:highlight w:val="none"/>
              </w:rPr>
            </w:pPr>
          </w:p>
          <w:p w14:paraId="6B5D4AE0">
            <w:pPr>
              <w:pStyle w:val="3"/>
              <w:ind w:firstLine="0" w:firstLineChars="0"/>
              <w:rPr>
                <w:color w:val="auto"/>
                <w:sz w:val="21"/>
                <w:highlight w:val="none"/>
              </w:rPr>
            </w:pPr>
          </w:p>
          <w:p w14:paraId="6E063D2C">
            <w:pPr>
              <w:pStyle w:val="3"/>
              <w:ind w:firstLine="0" w:firstLineChars="0"/>
              <w:rPr>
                <w:color w:val="auto"/>
                <w:sz w:val="21"/>
                <w:highlight w:val="none"/>
              </w:rPr>
            </w:pPr>
          </w:p>
        </w:tc>
      </w:tr>
    </w:tbl>
    <w:p w14:paraId="7991DD41">
      <w:pPr>
        <w:pStyle w:val="3"/>
        <w:ind w:firstLine="0" w:firstLineChars="0"/>
        <w:rPr>
          <w:color w:val="auto"/>
          <w:highlight w:val="none"/>
        </w:rPr>
        <w:sectPr>
          <w:pgSz w:w="11906" w:h="16838"/>
          <w:pgMar w:top="1440" w:right="1797" w:bottom="1304" w:left="1797" w:header="1021" w:footer="851" w:gutter="0"/>
          <w:cols w:space="425" w:num="1"/>
          <w:docGrid w:type="lines" w:linePitch="312" w:charSpace="0"/>
        </w:sectPr>
      </w:pPr>
    </w:p>
    <w:p w14:paraId="6BE1FECC">
      <w:pPr>
        <w:pStyle w:val="3"/>
        <w:ind w:firstLine="0" w:firstLineChars="0"/>
        <w:jc w:val="center"/>
        <w:outlineLvl w:val="0"/>
        <w:rPr>
          <w:rFonts w:ascii="黑体" w:hAnsi="黑体" w:eastAsia="黑体"/>
          <w:color w:val="auto"/>
          <w:sz w:val="30"/>
          <w:szCs w:val="30"/>
          <w:highlight w:val="none"/>
        </w:rPr>
      </w:pPr>
      <w:bookmarkStart w:id="95" w:name="_Toc14791"/>
      <w:bookmarkStart w:id="96" w:name="_Toc15653"/>
      <w:r>
        <w:rPr>
          <w:rFonts w:hint="eastAsia" w:ascii="黑体" w:hAnsi="黑体" w:eastAsia="黑体"/>
          <w:color w:val="auto"/>
          <w:sz w:val="30"/>
          <w:szCs w:val="30"/>
          <w:highlight w:val="none"/>
        </w:rPr>
        <w:t>六、生态环境保护措施监督检查清单</w:t>
      </w:r>
      <w:bookmarkEnd w:id="95"/>
      <w:bookmarkEnd w:id="96"/>
    </w:p>
    <w:tbl>
      <w:tblPr>
        <w:tblStyle w:val="6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7323"/>
        <w:gridCol w:w="2928"/>
        <w:gridCol w:w="1543"/>
        <w:gridCol w:w="1391"/>
      </w:tblGrid>
      <w:tr w14:paraId="2E3F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93" w:type="pct"/>
            <w:vMerge w:val="restart"/>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tcMar>
              <w:top w:w="57" w:type="dxa"/>
              <w:left w:w="108" w:type="dxa"/>
              <w:bottom w:w="57" w:type="dxa"/>
              <w:right w:w="108" w:type="dxa"/>
            </w:tcMar>
            <w:vAlign w:val="center"/>
          </w:tcPr>
          <w:p w14:paraId="57F8BF6F">
            <w:pPr>
              <w:pStyle w:val="3"/>
              <w:spacing w:line="240" w:lineRule="auto"/>
              <w:ind w:firstLine="0" w:firstLineChars="0"/>
              <w:jc w:val="right"/>
              <w:rPr>
                <w:color w:val="auto"/>
                <w:sz w:val="21"/>
                <w:highlight w:val="none"/>
              </w:rPr>
            </w:pPr>
            <w:r>
              <w:rPr>
                <w:rFonts w:hint="eastAsia"/>
                <w:color w:val="auto"/>
                <w:sz w:val="21"/>
                <w:highlight w:val="none"/>
              </w:rPr>
              <w:t>内容</w:t>
            </w:r>
          </w:p>
          <w:p w14:paraId="7CD4F1BE">
            <w:pPr>
              <w:pStyle w:val="3"/>
              <w:spacing w:line="240" w:lineRule="auto"/>
              <w:ind w:firstLine="0" w:firstLineChars="0"/>
              <w:rPr>
                <w:color w:val="auto"/>
                <w:sz w:val="21"/>
                <w:highlight w:val="none"/>
              </w:rPr>
            </w:pPr>
            <w:r>
              <w:rPr>
                <w:rFonts w:hint="eastAsia"/>
                <w:color w:val="auto"/>
                <w:sz w:val="21"/>
                <w:highlight w:val="none"/>
              </w:rPr>
              <w:t>要素</w:t>
            </w:r>
          </w:p>
        </w:tc>
        <w:tc>
          <w:tcPr>
            <w:tcW w:w="3581" w:type="pct"/>
            <w:gridSpan w:val="2"/>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104AFFDC">
            <w:pPr>
              <w:pStyle w:val="3"/>
              <w:spacing w:line="240" w:lineRule="auto"/>
              <w:ind w:firstLine="0" w:firstLineChars="0"/>
              <w:jc w:val="center"/>
              <w:rPr>
                <w:color w:val="auto"/>
                <w:sz w:val="21"/>
                <w:highlight w:val="none"/>
              </w:rPr>
            </w:pPr>
            <w:r>
              <w:rPr>
                <w:rFonts w:hint="eastAsia"/>
                <w:color w:val="auto"/>
                <w:sz w:val="21"/>
                <w:highlight w:val="none"/>
              </w:rPr>
              <w:t>施工期</w:t>
            </w:r>
          </w:p>
        </w:tc>
        <w:tc>
          <w:tcPr>
            <w:tcW w:w="1025" w:type="pct"/>
            <w:gridSpan w:val="2"/>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28465BE3">
            <w:pPr>
              <w:pStyle w:val="3"/>
              <w:spacing w:line="240" w:lineRule="auto"/>
              <w:ind w:firstLine="0" w:firstLineChars="0"/>
              <w:jc w:val="center"/>
              <w:rPr>
                <w:color w:val="auto"/>
                <w:sz w:val="21"/>
                <w:highlight w:val="none"/>
              </w:rPr>
            </w:pPr>
            <w:r>
              <w:rPr>
                <w:rFonts w:hint="eastAsia"/>
                <w:color w:val="auto"/>
                <w:sz w:val="21"/>
                <w:highlight w:val="none"/>
              </w:rPr>
              <w:t>运营期</w:t>
            </w:r>
          </w:p>
        </w:tc>
      </w:tr>
      <w:tr w14:paraId="29EB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93" w:type="pct"/>
            <w:vMerge w:val="continue"/>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285DD47">
            <w:pPr>
              <w:pStyle w:val="3"/>
              <w:spacing w:line="240" w:lineRule="auto"/>
              <w:ind w:firstLine="0" w:firstLineChars="0"/>
              <w:jc w:val="center"/>
              <w:rPr>
                <w:color w:val="auto"/>
                <w:sz w:val="21"/>
                <w:highlight w:val="none"/>
              </w:rPr>
            </w:pP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4486D817">
            <w:pPr>
              <w:pStyle w:val="3"/>
              <w:spacing w:line="240" w:lineRule="auto"/>
              <w:ind w:firstLine="0" w:firstLineChars="0"/>
              <w:jc w:val="center"/>
              <w:rPr>
                <w:color w:val="auto"/>
                <w:sz w:val="21"/>
                <w:highlight w:val="none"/>
              </w:rPr>
            </w:pPr>
            <w:r>
              <w:rPr>
                <w:rFonts w:hint="eastAsia"/>
                <w:color w:val="auto"/>
                <w:sz w:val="21"/>
                <w:highlight w:val="none"/>
              </w:rPr>
              <w:t>环境保护措施</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041CC865">
            <w:pPr>
              <w:pStyle w:val="3"/>
              <w:spacing w:line="240" w:lineRule="auto"/>
              <w:ind w:firstLine="0" w:firstLineChars="0"/>
              <w:jc w:val="center"/>
              <w:rPr>
                <w:color w:val="auto"/>
                <w:sz w:val="21"/>
                <w:highlight w:val="none"/>
              </w:rPr>
            </w:pPr>
            <w:r>
              <w:rPr>
                <w:rFonts w:hint="eastAsia"/>
                <w:color w:val="auto"/>
                <w:sz w:val="21"/>
                <w:highlight w:val="none"/>
              </w:rPr>
              <w:t>验收要求</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F407C98">
            <w:pPr>
              <w:pStyle w:val="3"/>
              <w:spacing w:line="240" w:lineRule="auto"/>
              <w:ind w:firstLine="0" w:firstLineChars="0"/>
              <w:jc w:val="center"/>
              <w:rPr>
                <w:color w:val="auto"/>
                <w:sz w:val="21"/>
                <w:highlight w:val="none"/>
              </w:rPr>
            </w:pPr>
            <w:r>
              <w:rPr>
                <w:rFonts w:hint="eastAsia"/>
                <w:color w:val="auto"/>
                <w:sz w:val="21"/>
                <w:highlight w:val="none"/>
              </w:rPr>
              <w:t>环境保护措施</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47F8AC02">
            <w:pPr>
              <w:pStyle w:val="3"/>
              <w:spacing w:line="240" w:lineRule="auto"/>
              <w:ind w:firstLine="0" w:firstLineChars="0"/>
              <w:jc w:val="center"/>
              <w:rPr>
                <w:color w:val="auto"/>
                <w:sz w:val="21"/>
                <w:highlight w:val="none"/>
              </w:rPr>
            </w:pPr>
            <w:r>
              <w:rPr>
                <w:rFonts w:hint="eastAsia"/>
                <w:color w:val="auto"/>
                <w:sz w:val="21"/>
                <w:highlight w:val="none"/>
              </w:rPr>
              <w:t>验收要求</w:t>
            </w:r>
          </w:p>
        </w:tc>
      </w:tr>
      <w:tr w14:paraId="203C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12FB62E">
            <w:pPr>
              <w:pStyle w:val="3"/>
              <w:spacing w:line="240" w:lineRule="auto"/>
              <w:ind w:firstLine="0" w:firstLineChars="0"/>
              <w:jc w:val="center"/>
              <w:rPr>
                <w:color w:val="auto"/>
                <w:sz w:val="21"/>
                <w:highlight w:val="none"/>
              </w:rPr>
            </w:pPr>
            <w:r>
              <w:rPr>
                <w:rFonts w:hint="eastAsia"/>
                <w:color w:val="auto"/>
                <w:sz w:val="21"/>
                <w:highlight w:val="none"/>
              </w:rPr>
              <w:t>陆生生态</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2E6CF20E">
            <w:pPr>
              <w:pStyle w:val="3"/>
              <w:numPr>
                <w:ilvl w:val="0"/>
                <w:numId w:val="64"/>
              </w:numPr>
              <w:spacing w:line="240" w:lineRule="auto"/>
              <w:ind w:firstLine="0" w:firstLineChars="0"/>
              <w:rPr>
                <w:color w:val="auto"/>
                <w:sz w:val="21"/>
                <w:highlight w:val="none"/>
              </w:rPr>
            </w:pPr>
            <w:r>
              <w:rPr>
                <w:rFonts w:hint="eastAsia"/>
                <w:color w:val="auto"/>
                <w:sz w:val="21"/>
                <w:highlight w:val="none"/>
              </w:rPr>
              <w:t>在施工设计方面，合理规划、尽量减少修建进井路的施工作业带宽度，合理布局、尽量减少井场临时占地面积。</w:t>
            </w:r>
          </w:p>
          <w:p w14:paraId="248ED9C8">
            <w:pPr>
              <w:pStyle w:val="3"/>
              <w:numPr>
                <w:ilvl w:val="0"/>
                <w:numId w:val="64"/>
              </w:numPr>
              <w:spacing w:line="240" w:lineRule="auto"/>
              <w:ind w:firstLine="0" w:firstLineChars="0"/>
              <w:rPr>
                <w:color w:val="auto"/>
                <w:sz w:val="21"/>
                <w:highlight w:val="none"/>
              </w:rPr>
            </w:pPr>
            <w:r>
              <w:rPr>
                <w:rFonts w:hint="eastAsia"/>
                <w:color w:val="auto"/>
                <w:sz w:val="21"/>
                <w:highlight w:val="none"/>
              </w:rPr>
              <w:t>在日常运行、施工过程等过程中会产生较大的扬尘，在开挖旁边空地设置表土临时堆放区域，区域施工现场尽量适时洒水，减少扬尘，施工使用的粉状材料，运输、堆放时应有遮盖，防止扬尘落地影响附近植被的生长。</w:t>
            </w:r>
          </w:p>
          <w:p w14:paraId="17458734">
            <w:pPr>
              <w:pStyle w:val="3"/>
              <w:numPr>
                <w:ilvl w:val="0"/>
                <w:numId w:val="64"/>
              </w:numPr>
              <w:spacing w:line="240" w:lineRule="auto"/>
              <w:ind w:firstLine="0" w:firstLineChars="0"/>
              <w:rPr>
                <w:color w:val="auto"/>
                <w:sz w:val="21"/>
                <w:highlight w:val="none"/>
              </w:rPr>
            </w:pPr>
            <w:r>
              <w:rPr>
                <w:rFonts w:hint="eastAsia"/>
                <w:color w:val="auto"/>
                <w:sz w:val="21"/>
                <w:highlight w:val="none"/>
              </w:rPr>
              <w:t>在员工的教育培训方面，加强管理，定期给施工人员进行施工作业培训，严格按照规范操作执行，尽量避让植被覆盖率较高的区域。加强教育，强化员工在工作中的责任心，巡检过程要认真仔细，实时监控。</w:t>
            </w:r>
          </w:p>
          <w:p w14:paraId="61609C8C">
            <w:pPr>
              <w:pStyle w:val="3"/>
              <w:numPr>
                <w:ilvl w:val="0"/>
                <w:numId w:val="64"/>
              </w:numPr>
              <w:spacing w:line="240" w:lineRule="auto"/>
              <w:ind w:firstLine="0" w:firstLineChars="0"/>
              <w:rPr>
                <w:color w:val="auto"/>
                <w:sz w:val="21"/>
                <w:highlight w:val="none"/>
              </w:rPr>
            </w:pPr>
            <w:r>
              <w:rPr>
                <w:rFonts w:hint="eastAsia"/>
                <w:color w:val="auto"/>
                <w:sz w:val="21"/>
                <w:highlight w:val="none"/>
              </w:rPr>
              <w:t>尽量减少因施工对植被的破坏，施工中大量设备的调运及人员的流动，会增加作业区内的拥挤度，项目区及外围设置明显的作业区域标识，新建道路需设置必要的标识和警示标牌，加强管理，把施工作业严格控制在作业区内。</w:t>
            </w:r>
          </w:p>
          <w:p w14:paraId="52628BB6">
            <w:pPr>
              <w:pStyle w:val="3"/>
              <w:numPr>
                <w:ilvl w:val="0"/>
                <w:numId w:val="64"/>
              </w:numPr>
              <w:spacing w:line="240" w:lineRule="auto"/>
              <w:ind w:firstLine="0" w:firstLineChars="0"/>
              <w:rPr>
                <w:color w:val="auto"/>
                <w:sz w:val="21"/>
                <w:highlight w:val="none"/>
              </w:rPr>
            </w:pPr>
            <w:r>
              <w:rPr>
                <w:rFonts w:hint="eastAsia"/>
                <w:color w:val="auto"/>
                <w:sz w:val="21"/>
                <w:highlight w:val="none"/>
              </w:rPr>
              <w:t>严格界定施工活动范围，尽可能缩小施工作业带宽度，减少对地表的碾压。</w:t>
            </w:r>
          </w:p>
          <w:p w14:paraId="2996B1B1">
            <w:pPr>
              <w:pStyle w:val="3"/>
              <w:numPr>
                <w:ilvl w:val="0"/>
                <w:numId w:val="64"/>
              </w:numPr>
              <w:spacing w:line="240" w:lineRule="auto"/>
              <w:ind w:firstLine="0" w:firstLineChars="0"/>
              <w:rPr>
                <w:color w:val="auto"/>
                <w:sz w:val="21"/>
                <w:highlight w:val="none"/>
              </w:rPr>
            </w:pPr>
            <w:r>
              <w:rPr>
                <w:rFonts w:hint="eastAsia"/>
                <w:color w:val="auto"/>
                <w:sz w:val="21"/>
                <w:highlight w:val="none"/>
              </w:rPr>
              <w:t>钻井过程中严格执行钻井生产环境保护管理规定，废弃泥浆采用“泥浆不落地”设备进行处理。</w:t>
            </w:r>
          </w:p>
          <w:p w14:paraId="152B8E59">
            <w:pPr>
              <w:pStyle w:val="3"/>
              <w:numPr>
                <w:ilvl w:val="0"/>
                <w:numId w:val="64"/>
              </w:numPr>
              <w:spacing w:line="240" w:lineRule="auto"/>
              <w:ind w:firstLine="0" w:firstLineChars="0"/>
              <w:rPr>
                <w:color w:val="auto"/>
                <w:sz w:val="21"/>
                <w:highlight w:val="none"/>
              </w:rPr>
            </w:pPr>
            <w:r>
              <w:rPr>
                <w:rFonts w:hint="eastAsia"/>
                <w:color w:val="auto"/>
                <w:sz w:val="21"/>
                <w:highlight w:val="none"/>
              </w:rPr>
              <w:t>严格做好放喷池的防渗处理，并设置规范化的环保标识，防止污染土壤及地下水。</w:t>
            </w:r>
          </w:p>
          <w:p w14:paraId="4300A4E7">
            <w:pPr>
              <w:pStyle w:val="3"/>
              <w:numPr>
                <w:ilvl w:val="0"/>
                <w:numId w:val="64"/>
              </w:numPr>
              <w:spacing w:line="240" w:lineRule="auto"/>
              <w:ind w:firstLine="0" w:firstLineChars="0"/>
              <w:rPr>
                <w:color w:val="auto"/>
                <w:sz w:val="21"/>
                <w:highlight w:val="none"/>
              </w:rPr>
            </w:pPr>
            <w:r>
              <w:rPr>
                <w:rFonts w:hint="eastAsia"/>
                <w:color w:val="auto"/>
                <w:sz w:val="21"/>
                <w:highlight w:val="none"/>
              </w:rPr>
              <w:t>项目建设完成后，对施工场地的废渣及一切废弃物资、设备应及时清理，对工地、料场、取土等地方，使用后应立即恢复原状，并及时进行人工干预恢复植被，以维持原有生态环境。工程建设完成后要求对施工料场、便道等临时用地进行清理、平整。严格执行《土地复垦条例》（国务院令[2011]第592号），凡受到施工车辆、机械破坏的地方都给予及时的修整，恢复原貌，被破坏的植被在施工结束后尽快恢复，完井后井场须平整，做到无油污，无地坑，无三废，确保周围环境无污染。</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0AC31115">
            <w:pPr>
              <w:pStyle w:val="3"/>
              <w:spacing w:line="240" w:lineRule="auto"/>
              <w:ind w:firstLine="0" w:firstLineChars="0"/>
              <w:rPr>
                <w:color w:val="auto"/>
                <w:sz w:val="21"/>
                <w:highlight w:val="none"/>
              </w:rPr>
            </w:pPr>
            <w:r>
              <w:rPr>
                <w:rFonts w:hint="eastAsia"/>
                <w:color w:val="auto"/>
                <w:sz w:val="21"/>
                <w:highlight w:val="none"/>
              </w:rPr>
              <w:t>严格限制施工作业范围，禁止破坏施工作业外的地表植被。临时占地上的设施搬迁后，拆除基础，恢复到原状态。对放喷池等进行拆除回填并平整，现场无废弃池遗留。</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872F9F7">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DEC606E">
            <w:pPr>
              <w:adjustRightInd w:val="0"/>
              <w:snapToGrid w:val="0"/>
              <w:ind w:firstLine="420"/>
              <w:jc w:val="center"/>
              <w:rPr>
                <w:color w:val="auto"/>
                <w:highlight w:val="none"/>
              </w:rPr>
            </w:pPr>
            <w:r>
              <w:rPr>
                <w:rFonts w:hint="eastAsia"/>
                <w:color w:val="auto"/>
                <w:highlight w:val="none"/>
              </w:rPr>
              <w:t>无</w:t>
            </w:r>
          </w:p>
        </w:tc>
      </w:tr>
      <w:tr w14:paraId="7D88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4327B15B">
            <w:pPr>
              <w:pStyle w:val="3"/>
              <w:spacing w:line="240" w:lineRule="auto"/>
              <w:ind w:firstLine="0" w:firstLineChars="0"/>
              <w:jc w:val="center"/>
              <w:rPr>
                <w:color w:val="auto"/>
                <w:sz w:val="21"/>
                <w:highlight w:val="none"/>
              </w:rPr>
            </w:pPr>
            <w:r>
              <w:rPr>
                <w:rFonts w:hint="eastAsia"/>
                <w:color w:val="auto"/>
                <w:sz w:val="21"/>
                <w:highlight w:val="none"/>
              </w:rPr>
              <w:t>水生生态</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4CBBDD5">
            <w:pPr>
              <w:pStyle w:val="3"/>
              <w:spacing w:line="240" w:lineRule="auto"/>
              <w:ind w:firstLine="0" w:firstLineChars="0"/>
              <w:jc w:val="center"/>
              <w:rPr>
                <w:color w:val="auto"/>
                <w:sz w:val="21"/>
                <w:highlight w:val="none"/>
              </w:rPr>
            </w:pPr>
            <w:r>
              <w:rPr>
                <w:rFonts w:hint="eastAsia"/>
                <w:color w:val="auto"/>
                <w:sz w:val="21"/>
                <w:highlight w:val="none"/>
              </w:rPr>
              <w:t>无</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73E830C">
            <w:pPr>
              <w:pStyle w:val="3"/>
              <w:spacing w:line="240" w:lineRule="auto"/>
              <w:ind w:firstLine="0" w:firstLineChars="0"/>
              <w:jc w:val="center"/>
              <w:rPr>
                <w:color w:val="auto"/>
                <w:sz w:val="21"/>
                <w:highlight w:val="none"/>
              </w:rPr>
            </w:pPr>
            <w:r>
              <w:rPr>
                <w:rFonts w:hint="eastAsia"/>
                <w:color w:val="auto"/>
                <w:sz w:val="21"/>
                <w:highlight w:val="none"/>
              </w:rPr>
              <w:t>无</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34364810">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21776C73">
            <w:pPr>
              <w:adjustRightInd w:val="0"/>
              <w:snapToGrid w:val="0"/>
              <w:ind w:firstLine="420"/>
              <w:jc w:val="center"/>
              <w:rPr>
                <w:color w:val="auto"/>
                <w:highlight w:val="none"/>
              </w:rPr>
            </w:pPr>
            <w:r>
              <w:rPr>
                <w:rFonts w:hint="eastAsia"/>
                <w:color w:val="auto"/>
                <w:highlight w:val="none"/>
              </w:rPr>
              <w:t>无</w:t>
            </w:r>
          </w:p>
        </w:tc>
      </w:tr>
      <w:tr w14:paraId="5210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E4EB2FF">
            <w:pPr>
              <w:pStyle w:val="3"/>
              <w:spacing w:line="240" w:lineRule="auto"/>
              <w:ind w:firstLine="0" w:firstLineChars="0"/>
              <w:jc w:val="center"/>
              <w:rPr>
                <w:color w:val="auto"/>
                <w:sz w:val="21"/>
                <w:highlight w:val="none"/>
              </w:rPr>
            </w:pPr>
            <w:r>
              <w:rPr>
                <w:rFonts w:hint="eastAsia"/>
                <w:color w:val="auto"/>
                <w:sz w:val="21"/>
                <w:highlight w:val="none"/>
              </w:rPr>
              <w:t>地表水环境</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C35C6EA">
            <w:pPr>
              <w:pStyle w:val="3"/>
              <w:spacing w:line="240" w:lineRule="auto"/>
              <w:ind w:firstLine="0" w:firstLineChars="0"/>
              <w:jc w:val="center"/>
              <w:rPr>
                <w:color w:val="auto"/>
                <w:sz w:val="21"/>
                <w:highlight w:val="none"/>
              </w:rPr>
            </w:pPr>
            <w:r>
              <w:rPr>
                <w:rFonts w:hint="eastAsia"/>
                <w:color w:val="auto"/>
                <w:sz w:val="21"/>
                <w:highlight w:val="none"/>
              </w:rPr>
              <w:t>无</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161CD69A">
            <w:pPr>
              <w:pStyle w:val="3"/>
              <w:spacing w:line="240" w:lineRule="auto"/>
              <w:ind w:firstLine="0" w:firstLineChars="0"/>
              <w:jc w:val="center"/>
              <w:rPr>
                <w:color w:val="auto"/>
                <w:sz w:val="21"/>
                <w:highlight w:val="none"/>
              </w:rPr>
            </w:pPr>
            <w:r>
              <w:rPr>
                <w:rFonts w:hint="eastAsia"/>
                <w:color w:val="auto"/>
                <w:sz w:val="21"/>
                <w:highlight w:val="none"/>
              </w:rPr>
              <w:t>无</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B619262">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19399B89">
            <w:pPr>
              <w:adjustRightInd w:val="0"/>
              <w:snapToGrid w:val="0"/>
              <w:ind w:firstLine="420"/>
              <w:jc w:val="center"/>
              <w:rPr>
                <w:color w:val="auto"/>
                <w:highlight w:val="none"/>
              </w:rPr>
            </w:pPr>
            <w:r>
              <w:rPr>
                <w:rFonts w:hint="eastAsia"/>
                <w:color w:val="auto"/>
                <w:highlight w:val="none"/>
              </w:rPr>
              <w:t>无</w:t>
            </w:r>
          </w:p>
        </w:tc>
      </w:tr>
      <w:tr w14:paraId="65BF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1EA49A8">
            <w:pPr>
              <w:pStyle w:val="3"/>
              <w:spacing w:line="240" w:lineRule="auto"/>
              <w:ind w:firstLine="0" w:firstLineChars="0"/>
              <w:jc w:val="center"/>
              <w:rPr>
                <w:color w:val="auto"/>
                <w:sz w:val="21"/>
                <w:highlight w:val="none"/>
              </w:rPr>
            </w:pPr>
            <w:r>
              <w:rPr>
                <w:rFonts w:hint="eastAsia"/>
                <w:color w:val="auto"/>
                <w:sz w:val="21"/>
                <w:highlight w:val="none"/>
              </w:rPr>
              <w:t>地下水及</w:t>
            </w:r>
          </w:p>
          <w:p w14:paraId="7418A498">
            <w:pPr>
              <w:pStyle w:val="3"/>
              <w:spacing w:line="240" w:lineRule="auto"/>
              <w:ind w:firstLine="0" w:firstLineChars="0"/>
              <w:jc w:val="center"/>
              <w:rPr>
                <w:color w:val="auto"/>
                <w:sz w:val="21"/>
                <w:highlight w:val="none"/>
              </w:rPr>
            </w:pPr>
            <w:r>
              <w:rPr>
                <w:rFonts w:hint="eastAsia"/>
                <w:color w:val="auto"/>
                <w:sz w:val="21"/>
                <w:highlight w:val="none"/>
              </w:rPr>
              <w:t>土壤环境</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06F5101">
            <w:pPr>
              <w:pStyle w:val="3"/>
              <w:numPr>
                <w:ilvl w:val="0"/>
                <w:numId w:val="65"/>
              </w:numPr>
              <w:spacing w:line="240" w:lineRule="auto"/>
              <w:ind w:firstLine="0" w:firstLineChars="0"/>
              <w:rPr>
                <w:color w:val="auto"/>
                <w:sz w:val="21"/>
                <w:highlight w:val="none"/>
              </w:rPr>
            </w:pPr>
            <w:r>
              <w:rPr>
                <w:rFonts w:hint="eastAsia"/>
                <w:color w:val="auto"/>
                <w:sz w:val="21"/>
                <w:highlight w:val="none"/>
              </w:rPr>
              <w:t>井下作业废液、压裂返排液定期由罐车拉运至</w:t>
            </w:r>
            <w:r>
              <w:rPr>
                <w:rFonts w:hint="eastAsia"/>
                <w:color w:val="auto"/>
                <w:sz w:val="21"/>
                <w:highlight w:val="none"/>
                <w:lang w:eastAsia="zh-CN"/>
              </w:rPr>
              <w:t>春风联合站</w:t>
            </w:r>
            <w:r>
              <w:rPr>
                <w:rFonts w:hint="eastAsia"/>
                <w:color w:val="auto"/>
                <w:sz w:val="21"/>
                <w:highlight w:val="none"/>
              </w:rPr>
              <w:t>采出水处理系统处理，最终用于回注水开发利用，不外排。回注水须满足《碎屑岩油藏注水水质指标技术要求及分析方法》（SY/T 5329-2022）对应储层空气渗透率下的水质主要控制指标。</w:t>
            </w:r>
          </w:p>
          <w:p w14:paraId="798381E1">
            <w:pPr>
              <w:pStyle w:val="3"/>
              <w:numPr>
                <w:ilvl w:val="0"/>
                <w:numId w:val="65"/>
              </w:numPr>
              <w:spacing w:line="240" w:lineRule="auto"/>
              <w:ind w:firstLine="0" w:firstLineChars="0"/>
              <w:rPr>
                <w:color w:val="auto"/>
                <w:sz w:val="21"/>
                <w:highlight w:val="none"/>
              </w:rPr>
            </w:pPr>
            <w:r>
              <w:rPr>
                <w:rFonts w:hint="eastAsia"/>
                <w:color w:val="auto"/>
                <w:sz w:val="21"/>
                <w:highlight w:val="none"/>
              </w:rPr>
              <w:t>新建1座环保厕所（有效纳污容积为6m</w:t>
            </w:r>
            <w:r>
              <w:rPr>
                <w:rFonts w:hint="eastAsia"/>
                <w:color w:val="auto"/>
                <w:sz w:val="21"/>
                <w:highlight w:val="none"/>
                <w:vertAlign w:val="superscript"/>
              </w:rPr>
              <w:t>3</w:t>
            </w:r>
            <w:r>
              <w:rPr>
                <w:rFonts w:hint="eastAsia"/>
                <w:color w:val="auto"/>
                <w:sz w:val="21"/>
                <w:highlight w:val="none"/>
              </w:rPr>
              <w:t>）和1座50m</w:t>
            </w:r>
            <w:r>
              <w:rPr>
                <w:rFonts w:hint="eastAsia"/>
                <w:color w:val="auto"/>
                <w:sz w:val="21"/>
                <w:highlight w:val="none"/>
                <w:vertAlign w:val="superscript"/>
              </w:rPr>
              <w:t>3</w:t>
            </w:r>
            <w:r>
              <w:rPr>
                <w:rFonts w:hint="eastAsia"/>
                <w:color w:val="auto"/>
                <w:sz w:val="21"/>
                <w:highlight w:val="none"/>
              </w:rPr>
              <w:t>生活污水收集罐。生活污水排入环保厕所</w:t>
            </w:r>
            <w:r>
              <w:rPr>
                <w:rFonts w:hint="eastAsia"/>
                <w:color w:val="auto"/>
                <w:sz w:val="21"/>
                <w:highlight w:val="none"/>
                <w:lang w:val="en-US" w:eastAsia="zh-CN"/>
              </w:rPr>
              <w:t>和</w:t>
            </w:r>
            <w:r>
              <w:rPr>
                <w:rFonts w:hint="eastAsia"/>
                <w:color w:val="auto"/>
                <w:sz w:val="21"/>
                <w:highlight w:val="none"/>
              </w:rPr>
              <w:t>生活污水收集罐</w:t>
            </w:r>
            <w:r>
              <w:rPr>
                <w:rFonts w:hint="eastAsia"/>
                <w:color w:val="auto"/>
                <w:sz w:val="21"/>
                <w:highlight w:val="none"/>
                <w:lang w:val="en-US" w:eastAsia="zh-CN"/>
              </w:rPr>
              <w:t>，</w:t>
            </w:r>
            <w:r>
              <w:rPr>
                <w:rFonts w:hint="eastAsia"/>
                <w:color w:val="auto"/>
                <w:sz w:val="21"/>
                <w:highlight w:val="none"/>
              </w:rPr>
              <w:t>由新疆熙祥运输公司拉运至五家渠城华市政六运湖分公司</w:t>
            </w:r>
            <w:r>
              <w:rPr>
                <w:rFonts w:hint="eastAsia"/>
                <w:color w:val="auto"/>
                <w:sz w:val="21"/>
                <w:highlight w:val="none"/>
                <w:lang w:val="en-US" w:eastAsia="zh-CN"/>
              </w:rPr>
              <w:t>污水处理厂</w:t>
            </w:r>
            <w:r>
              <w:rPr>
                <w:rFonts w:hint="eastAsia"/>
                <w:color w:val="auto"/>
                <w:sz w:val="21"/>
                <w:highlight w:val="none"/>
              </w:rPr>
              <w:t>处理。</w:t>
            </w:r>
          </w:p>
          <w:p w14:paraId="451A91F2">
            <w:pPr>
              <w:pStyle w:val="3"/>
              <w:numPr>
                <w:ilvl w:val="0"/>
                <w:numId w:val="65"/>
              </w:numPr>
              <w:spacing w:line="240" w:lineRule="auto"/>
              <w:ind w:firstLine="0" w:firstLineChars="0"/>
              <w:rPr>
                <w:color w:val="auto"/>
                <w:sz w:val="21"/>
                <w:highlight w:val="none"/>
              </w:rPr>
            </w:pPr>
            <w:r>
              <w:rPr>
                <w:rFonts w:hint="eastAsia"/>
                <w:color w:val="auto"/>
                <w:sz w:val="21"/>
                <w:highlight w:val="none"/>
              </w:rPr>
              <w:t>采取分区防渗措施，加强井场防渗等级，避免钻井工程污染物入渗土壤及地下水环境</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275DB879">
            <w:pPr>
              <w:pStyle w:val="3"/>
              <w:spacing w:line="240" w:lineRule="auto"/>
              <w:ind w:firstLine="0" w:firstLineChars="0"/>
              <w:rPr>
                <w:color w:val="auto"/>
                <w:sz w:val="21"/>
                <w:highlight w:val="none"/>
              </w:rPr>
            </w:pPr>
            <w:r>
              <w:rPr>
                <w:rFonts w:hint="eastAsia"/>
                <w:color w:val="auto"/>
                <w:sz w:val="21"/>
                <w:highlight w:val="none"/>
              </w:rPr>
              <w:t>井下作业废液、压裂返排液分批分次拉运处置，执行《碎屑岩油藏注水水质指标技术要求及分析方法》（SY/T 5329-2022）；生活污水排入环保厕所</w:t>
            </w:r>
            <w:r>
              <w:rPr>
                <w:rFonts w:hint="eastAsia"/>
                <w:color w:val="auto"/>
                <w:sz w:val="21"/>
                <w:highlight w:val="none"/>
                <w:lang w:val="en-US" w:eastAsia="zh-CN"/>
              </w:rPr>
              <w:t>和</w:t>
            </w:r>
            <w:r>
              <w:rPr>
                <w:rFonts w:hint="eastAsia"/>
                <w:color w:val="auto"/>
                <w:sz w:val="21"/>
                <w:highlight w:val="none"/>
              </w:rPr>
              <w:t>生活污水收集罐</w:t>
            </w:r>
            <w:r>
              <w:rPr>
                <w:rFonts w:hint="eastAsia"/>
                <w:color w:val="auto"/>
                <w:sz w:val="21"/>
                <w:highlight w:val="none"/>
                <w:lang w:val="en-US" w:eastAsia="zh-CN"/>
              </w:rPr>
              <w:t>后</w:t>
            </w:r>
            <w:r>
              <w:rPr>
                <w:rFonts w:hint="eastAsia"/>
                <w:color w:val="auto"/>
                <w:sz w:val="21"/>
                <w:highlight w:val="none"/>
              </w:rPr>
              <w:t>定期拉运；采取分区防渗措施，避免钻井工程污染物入渗土壤及地下水环境。</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17ABF57">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D0B4E16">
            <w:pPr>
              <w:adjustRightInd w:val="0"/>
              <w:snapToGrid w:val="0"/>
              <w:ind w:firstLine="420"/>
              <w:jc w:val="center"/>
              <w:rPr>
                <w:color w:val="auto"/>
                <w:highlight w:val="none"/>
              </w:rPr>
            </w:pPr>
            <w:r>
              <w:rPr>
                <w:rFonts w:hint="eastAsia"/>
                <w:color w:val="auto"/>
                <w:highlight w:val="none"/>
              </w:rPr>
              <w:t>无</w:t>
            </w:r>
          </w:p>
        </w:tc>
      </w:tr>
      <w:tr w14:paraId="78D6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FCD373A">
            <w:pPr>
              <w:pStyle w:val="3"/>
              <w:spacing w:line="240" w:lineRule="auto"/>
              <w:ind w:firstLine="0" w:firstLineChars="0"/>
              <w:jc w:val="center"/>
              <w:rPr>
                <w:color w:val="auto"/>
                <w:sz w:val="21"/>
                <w:highlight w:val="none"/>
              </w:rPr>
            </w:pPr>
            <w:r>
              <w:rPr>
                <w:rFonts w:hint="eastAsia"/>
                <w:color w:val="auto"/>
                <w:sz w:val="21"/>
                <w:highlight w:val="none"/>
              </w:rPr>
              <w:t>声环境</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ECCA081">
            <w:pPr>
              <w:pStyle w:val="3"/>
              <w:numPr>
                <w:ilvl w:val="0"/>
                <w:numId w:val="66"/>
              </w:numPr>
              <w:spacing w:line="240" w:lineRule="auto"/>
              <w:ind w:firstLine="0" w:firstLineChars="0"/>
              <w:rPr>
                <w:color w:val="auto"/>
                <w:sz w:val="21"/>
                <w:highlight w:val="none"/>
              </w:rPr>
            </w:pPr>
            <w:r>
              <w:rPr>
                <w:rFonts w:hint="eastAsia"/>
                <w:color w:val="auto"/>
                <w:sz w:val="21"/>
                <w:highlight w:val="none"/>
              </w:rPr>
              <w:t>合理布局钻井现场，将高噪声设备布置在远离井场道路一侧，尽量选用低噪声设备。</w:t>
            </w:r>
          </w:p>
          <w:p w14:paraId="0B367F8F">
            <w:pPr>
              <w:pStyle w:val="3"/>
              <w:numPr>
                <w:ilvl w:val="0"/>
                <w:numId w:val="66"/>
              </w:numPr>
              <w:spacing w:line="240" w:lineRule="auto"/>
              <w:ind w:firstLine="0" w:firstLineChars="0"/>
              <w:rPr>
                <w:color w:val="auto"/>
                <w:sz w:val="21"/>
                <w:highlight w:val="none"/>
              </w:rPr>
            </w:pPr>
            <w:r>
              <w:rPr>
                <w:rFonts w:hint="eastAsia"/>
                <w:color w:val="auto"/>
                <w:sz w:val="21"/>
                <w:highlight w:val="none"/>
              </w:rPr>
              <w:t>制定施工计划时，尽可能避免大量高噪声设备同时施工。同时，高噪声设备施工时间尽量安排在昼间。</w:t>
            </w:r>
          </w:p>
          <w:p w14:paraId="44C84CD1">
            <w:pPr>
              <w:pStyle w:val="3"/>
              <w:numPr>
                <w:ilvl w:val="0"/>
                <w:numId w:val="66"/>
              </w:numPr>
              <w:spacing w:line="240" w:lineRule="auto"/>
              <w:ind w:firstLine="0" w:firstLineChars="0"/>
              <w:rPr>
                <w:color w:val="auto"/>
                <w:sz w:val="21"/>
                <w:highlight w:val="none"/>
              </w:rPr>
            </w:pPr>
            <w:r>
              <w:rPr>
                <w:rFonts w:hint="eastAsia"/>
                <w:color w:val="auto"/>
                <w:sz w:val="21"/>
                <w:highlight w:val="none"/>
              </w:rPr>
              <w:t>加强施工管理和设备维护，发现设备存在的问题及时维修，保证设备正常运转；整体设备要安放稳固，并与地面保持良好接触，有条件的应使用减振机座，柴油机、发电机和各种机泵等要安装消声隔声设施，最大限度地降低噪声源的噪声。</w:t>
            </w:r>
          </w:p>
          <w:p w14:paraId="5337CCC9">
            <w:pPr>
              <w:pStyle w:val="3"/>
              <w:numPr>
                <w:ilvl w:val="0"/>
                <w:numId w:val="66"/>
              </w:numPr>
              <w:spacing w:line="240" w:lineRule="auto"/>
              <w:ind w:firstLine="0" w:firstLineChars="0"/>
              <w:rPr>
                <w:color w:val="auto"/>
                <w:sz w:val="21"/>
                <w:highlight w:val="none"/>
              </w:rPr>
            </w:pPr>
            <w:r>
              <w:rPr>
                <w:rFonts w:hint="eastAsia"/>
                <w:color w:val="auto"/>
                <w:sz w:val="21"/>
                <w:highlight w:val="none"/>
              </w:rPr>
              <w:t>加强对运输车辆的管理及疏导，尽量压缩施工区汽车数量和行车密度，控制汽车鸣笛。</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1EB81336">
            <w:pPr>
              <w:pStyle w:val="3"/>
              <w:spacing w:line="240" w:lineRule="auto"/>
              <w:ind w:firstLine="0" w:firstLineChars="0"/>
              <w:rPr>
                <w:color w:val="auto"/>
                <w:sz w:val="21"/>
                <w:highlight w:val="none"/>
              </w:rPr>
            </w:pPr>
            <w:r>
              <w:rPr>
                <w:rFonts w:hint="eastAsia"/>
                <w:color w:val="auto"/>
                <w:sz w:val="21"/>
                <w:highlight w:val="none"/>
              </w:rPr>
              <w:t>严格落实噪声措施，施工期无噪声扰民环保投诉；执行《建筑施工噪声排放标准》(GB 12523-2025)限值要求</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16C5D071">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3DDA4004">
            <w:pPr>
              <w:adjustRightInd w:val="0"/>
              <w:snapToGrid w:val="0"/>
              <w:ind w:firstLine="420"/>
              <w:jc w:val="center"/>
              <w:rPr>
                <w:color w:val="auto"/>
                <w:highlight w:val="none"/>
              </w:rPr>
            </w:pPr>
            <w:r>
              <w:rPr>
                <w:rFonts w:hint="eastAsia"/>
                <w:color w:val="auto"/>
                <w:highlight w:val="none"/>
              </w:rPr>
              <w:t>无</w:t>
            </w:r>
          </w:p>
        </w:tc>
      </w:tr>
      <w:tr w14:paraId="7294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CAF5830">
            <w:pPr>
              <w:pStyle w:val="3"/>
              <w:spacing w:line="240" w:lineRule="auto"/>
              <w:ind w:firstLine="0" w:firstLineChars="0"/>
              <w:jc w:val="center"/>
              <w:rPr>
                <w:color w:val="auto"/>
                <w:sz w:val="21"/>
                <w:highlight w:val="none"/>
              </w:rPr>
            </w:pPr>
            <w:r>
              <w:rPr>
                <w:rFonts w:hint="eastAsia"/>
                <w:color w:val="auto"/>
                <w:sz w:val="21"/>
                <w:highlight w:val="none"/>
              </w:rPr>
              <w:t>振动</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4DD714CF">
            <w:pPr>
              <w:adjustRightInd w:val="0"/>
              <w:snapToGrid w:val="0"/>
              <w:ind w:firstLine="420"/>
              <w:jc w:val="center"/>
              <w:rPr>
                <w:color w:val="auto"/>
                <w:highlight w:val="none"/>
              </w:rPr>
            </w:pPr>
            <w:r>
              <w:rPr>
                <w:rFonts w:hint="eastAsia"/>
                <w:color w:val="auto"/>
                <w:highlight w:val="none"/>
              </w:rPr>
              <w:t>无</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4F462E34">
            <w:pPr>
              <w:adjustRightInd w:val="0"/>
              <w:snapToGrid w:val="0"/>
              <w:ind w:firstLine="420"/>
              <w:jc w:val="center"/>
              <w:rPr>
                <w:color w:val="auto"/>
                <w:highlight w:val="none"/>
              </w:rPr>
            </w:pPr>
            <w:r>
              <w:rPr>
                <w:rFonts w:hint="eastAsia"/>
                <w:color w:val="auto"/>
                <w:highlight w:val="none"/>
              </w:rPr>
              <w:t>无</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2675509">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136136F">
            <w:pPr>
              <w:adjustRightInd w:val="0"/>
              <w:snapToGrid w:val="0"/>
              <w:ind w:firstLine="420"/>
              <w:jc w:val="center"/>
              <w:rPr>
                <w:color w:val="auto"/>
                <w:highlight w:val="none"/>
              </w:rPr>
            </w:pPr>
            <w:r>
              <w:rPr>
                <w:rFonts w:hint="eastAsia"/>
                <w:color w:val="auto"/>
                <w:highlight w:val="none"/>
              </w:rPr>
              <w:t>无</w:t>
            </w:r>
          </w:p>
        </w:tc>
      </w:tr>
      <w:tr w14:paraId="24B9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428D49D8">
            <w:pPr>
              <w:pStyle w:val="3"/>
              <w:spacing w:line="240" w:lineRule="auto"/>
              <w:ind w:firstLine="0" w:firstLineChars="0"/>
              <w:jc w:val="center"/>
              <w:rPr>
                <w:color w:val="auto"/>
                <w:sz w:val="21"/>
                <w:highlight w:val="none"/>
              </w:rPr>
            </w:pPr>
            <w:r>
              <w:rPr>
                <w:rFonts w:hint="eastAsia"/>
                <w:color w:val="auto"/>
                <w:sz w:val="21"/>
                <w:highlight w:val="none"/>
              </w:rPr>
              <w:t>大气环境</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4156AE53">
            <w:pPr>
              <w:pStyle w:val="3"/>
              <w:numPr>
                <w:ilvl w:val="0"/>
                <w:numId w:val="67"/>
              </w:numPr>
              <w:spacing w:line="240" w:lineRule="auto"/>
              <w:ind w:firstLine="0" w:firstLineChars="0"/>
              <w:rPr>
                <w:color w:val="auto"/>
                <w:sz w:val="21"/>
                <w:highlight w:val="none"/>
              </w:rPr>
            </w:pPr>
            <w:r>
              <w:rPr>
                <w:rFonts w:hint="eastAsia"/>
                <w:color w:val="auto"/>
                <w:sz w:val="21"/>
                <w:highlight w:val="none"/>
              </w:rPr>
              <w:t>采取洒水、围挡措施；物料集中堆放采取遮盖。</w:t>
            </w:r>
          </w:p>
          <w:p w14:paraId="356A6B3D">
            <w:pPr>
              <w:pStyle w:val="3"/>
              <w:numPr>
                <w:ilvl w:val="0"/>
                <w:numId w:val="67"/>
              </w:numPr>
              <w:spacing w:line="240" w:lineRule="auto"/>
              <w:ind w:firstLine="0" w:firstLineChars="0"/>
              <w:rPr>
                <w:color w:val="auto"/>
                <w:sz w:val="21"/>
                <w:highlight w:val="none"/>
              </w:rPr>
            </w:pPr>
            <w:r>
              <w:rPr>
                <w:rFonts w:hint="eastAsia"/>
                <w:color w:val="auto"/>
                <w:sz w:val="21"/>
                <w:highlight w:val="none"/>
              </w:rPr>
              <w:t>加强车辆管理和维护，使用品质合格的燃油。</w:t>
            </w:r>
          </w:p>
          <w:p w14:paraId="4EA0C8C5">
            <w:pPr>
              <w:pStyle w:val="3"/>
              <w:numPr>
                <w:ilvl w:val="0"/>
                <w:numId w:val="67"/>
              </w:numPr>
              <w:spacing w:line="240" w:lineRule="auto"/>
              <w:ind w:firstLine="0" w:firstLineChars="0"/>
              <w:rPr>
                <w:color w:val="auto"/>
                <w:sz w:val="21"/>
                <w:highlight w:val="none"/>
              </w:rPr>
            </w:pPr>
            <w:r>
              <w:rPr>
                <w:rFonts w:hint="eastAsia"/>
                <w:color w:val="auto"/>
                <w:sz w:val="21"/>
                <w:highlight w:val="none"/>
              </w:rPr>
              <w:t>伴生气能满足点火条件的通过放喷管线引入放喷池燃烧，不满足点火条件的通过放喷管排放，属于阶段性排放。</w:t>
            </w:r>
          </w:p>
          <w:p w14:paraId="0942FD98">
            <w:pPr>
              <w:pStyle w:val="3"/>
              <w:numPr>
                <w:ilvl w:val="0"/>
                <w:numId w:val="67"/>
              </w:numPr>
              <w:spacing w:line="240" w:lineRule="auto"/>
              <w:ind w:firstLine="0" w:firstLineChars="0"/>
              <w:rPr>
                <w:color w:val="auto"/>
                <w:sz w:val="21"/>
                <w:highlight w:val="none"/>
              </w:rPr>
            </w:pPr>
            <w:r>
              <w:rPr>
                <w:rFonts w:hint="eastAsia"/>
                <w:color w:val="auto"/>
                <w:sz w:val="21"/>
                <w:highlight w:val="none"/>
              </w:rPr>
              <w:t>试油期加强管理，采取密闭流程输送物料。</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A076364">
            <w:pPr>
              <w:pStyle w:val="3"/>
              <w:spacing w:line="240" w:lineRule="auto"/>
              <w:ind w:firstLine="0" w:firstLineChars="0"/>
              <w:rPr>
                <w:color w:val="auto"/>
                <w:sz w:val="21"/>
                <w:highlight w:val="none"/>
              </w:rPr>
            </w:pPr>
            <w:r>
              <w:rPr>
                <w:rFonts w:hint="eastAsia"/>
                <w:color w:val="auto"/>
                <w:sz w:val="21"/>
                <w:highlight w:val="none"/>
              </w:rPr>
              <w:t>落实废气环境保护措施；无固定、长期污染源，区域环境功能未发生改变。</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387CF5DB">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2CF09612">
            <w:pPr>
              <w:adjustRightInd w:val="0"/>
              <w:snapToGrid w:val="0"/>
              <w:ind w:firstLine="420"/>
              <w:jc w:val="center"/>
              <w:rPr>
                <w:color w:val="auto"/>
                <w:highlight w:val="none"/>
              </w:rPr>
            </w:pPr>
            <w:r>
              <w:rPr>
                <w:rFonts w:hint="eastAsia"/>
                <w:color w:val="auto"/>
                <w:highlight w:val="none"/>
              </w:rPr>
              <w:t>无</w:t>
            </w:r>
          </w:p>
        </w:tc>
      </w:tr>
      <w:tr w14:paraId="3677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0E35F38C">
            <w:pPr>
              <w:pStyle w:val="3"/>
              <w:spacing w:line="240" w:lineRule="auto"/>
              <w:ind w:firstLine="0" w:firstLineChars="0"/>
              <w:jc w:val="center"/>
              <w:rPr>
                <w:color w:val="auto"/>
                <w:sz w:val="21"/>
                <w:highlight w:val="none"/>
              </w:rPr>
            </w:pPr>
            <w:r>
              <w:rPr>
                <w:rFonts w:hint="eastAsia"/>
                <w:color w:val="auto"/>
                <w:sz w:val="21"/>
                <w:highlight w:val="none"/>
              </w:rPr>
              <w:t>固体废物</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46CCED2B">
            <w:pPr>
              <w:pStyle w:val="3"/>
              <w:numPr>
                <w:ilvl w:val="0"/>
                <w:numId w:val="68"/>
              </w:numPr>
              <w:spacing w:line="240" w:lineRule="auto"/>
              <w:ind w:firstLine="0" w:firstLineChars="0"/>
              <w:rPr>
                <w:color w:val="auto"/>
                <w:sz w:val="21"/>
                <w:highlight w:val="none"/>
              </w:rPr>
            </w:pPr>
            <w:r>
              <w:rPr>
                <w:rFonts w:hint="eastAsia"/>
                <w:color w:val="auto"/>
                <w:sz w:val="21"/>
                <w:highlight w:val="none"/>
              </w:rPr>
              <w:t>钻井固废采用“泥浆不落地”系统。</w:t>
            </w:r>
            <w:r>
              <w:rPr>
                <w:rFonts w:hint="eastAsia"/>
                <w:color w:val="auto"/>
                <w:sz w:val="21"/>
                <w:highlight w:val="none"/>
                <w:lang w:val="en-US" w:eastAsia="zh-CN"/>
              </w:rPr>
              <w:t>导管、</w:t>
            </w:r>
            <w:r>
              <w:rPr>
                <w:rFonts w:hint="eastAsia"/>
                <w:color w:val="auto"/>
                <w:sz w:val="21"/>
                <w:highlight w:val="none"/>
              </w:rPr>
              <w:t>一开、二开产生的钻井固废集中拉运至</w:t>
            </w:r>
            <w:r>
              <w:rPr>
                <w:rFonts w:hint="eastAsia"/>
                <w:color w:val="auto"/>
                <w:sz w:val="21"/>
                <w:highlight w:val="none"/>
                <w:lang w:eastAsia="zh-CN"/>
              </w:rPr>
              <w:t>山东奥友环保工程有限责任公司乌苏分公司</w:t>
            </w:r>
            <w:r>
              <w:rPr>
                <w:rFonts w:hint="eastAsia"/>
                <w:color w:val="auto"/>
                <w:sz w:val="21"/>
                <w:highlight w:val="none"/>
              </w:rPr>
              <w:t>处理；钻井固废检测达到《油气田钻井固体废物综合利用污染控制要求》（DB65/T 3997-2017）相关标准限值后用于油田区块铺路、铺垫井场综合利用，未达标的产物将进入处置系统再次进行处理，不得随意排放。三开产生的钻井固废属于危险废物，委托有资质单位清运处置。</w:t>
            </w:r>
          </w:p>
          <w:p w14:paraId="3EB36403">
            <w:pPr>
              <w:pStyle w:val="3"/>
              <w:numPr>
                <w:ilvl w:val="0"/>
                <w:numId w:val="68"/>
              </w:numPr>
              <w:spacing w:line="240" w:lineRule="auto"/>
              <w:ind w:firstLine="0" w:firstLineChars="0"/>
              <w:rPr>
                <w:color w:val="auto"/>
                <w:sz w:val="21"/>
                <w:highlight w:val="none"/>
              </w:rPr>
            </w:pPr>
            <w:r>
              <w:rPr>
                <w:rFonts w:hint="eastAsia"/>
                <w:color w:val="auto"/>
                <w:sz w:val="21"/>
                <w:highlight w:val="none"/>
              </w:rPr>
              <w:t>废润滑油、废润滑油桶、沾染有毒有害物质的非防渗材料和</w:t>
            </w:r>
            <w:r>
              <w:rPr>
                <w:rFonts w:hint="eastAsia"/>
                <w:color w:val="auto"/>
                <w:sz w:val="21"/>
                <w:highlight w:val="none"/>
                <w:lang w:val="en-US" w:eastAsia="zh-CN"/>
              </w:rPr>
              <w:t>废弃包装物</w:t>
            </w:r>
            <w:r>
              <w:rPr>
                <w:rFonts w:hint="eastAsia"/>
                <w:color w:val="auto"/>
                <w:sz w:val="21"/>
                <w:highlight w:val="none"/>
              </w:rPr>
              <w:t>、废弃的含油抹布、劳保用品，暂存于危废贮存点，定期委托有资质单位处置，未被污染的防渗材料循环利用，未被污染的</w:t>
            </w:r>
            <w:r>
              <w:rPr>
                <w:rFonts w:hint="eastAsia"/>
                <w:color w:val="auto"/>
                <w:sz w:val="21"/>
                <w:highlight w:val="none"/>
                <w:lang w:val="en-US" w:eastAsia="zh-CN"/>
              </w:rPr>
              <w:t>废弃包装物</w:t>
            </w:r>
            <w:r>
              <w:rPr>
                <w:rFonts w:hint="eastAsia"/>
                <w:color w:val="auto"/>
                <w:sz w:val="21"/>
                <w:highlight w:val="none"/>
              </w:rPr>
              <w:t>由厂家回收。</w:t>
            </w:r>
          </w:p>
          <w:p w14:paraId="03109552">
            <w:pPr>
              <w:pStyle w:val="3"/>
              <w:numPr>
                <w:ilvl w:val="0"/>
                <w:numId w:val="68"/>
              </w:numPr>
              <w:spacing w:line="240" w:lineRule="auto"/>
              <w:ind w:firstLine="0" w:firstLineChars="0"/>
              <w:rPr>
                <w:color w:val="auto"/>
                <w:sz w:val="21"/>
                <w:highlight w:val="none"/>
              </w:rPr>
            </w:pPr>
            <w:r>
              <w:rPr>
                <w:rFonts w:hint="eastAsia"/>
                <w:color w:val="auto"/>
                <w:sz w:val="21"/>
                <w:highlight w:val="none"/>
              </w:rPr>
              <w:t>新建1个生活垃圾收集箱，用于生活垃圾的临时储存，定期拉运至阜康市</w:t>
            </w:r>
            <w:r>
              <w:rPr>
                <w:rFonts w:hint="eastAsia"/>
                <w:color w:val="auto"/>
                <w:sz w:val="21"/>
                <w:highlight w:val="none"/>
                <w:lang w:val="en-US" w:eastAsia="zh-CN"/>
              </w:rPr>
              <w:t>宏翔环境卫生服务有限公司阜康市生活垃圾填埋场</w:t>
            </w:r>
            <w:r>
              <w:rPr>
                <w:rFonts w:hint="eastAsia"/>
                <w:color w:val="auto"/>
                <w:sz w:val="21"/>
                <w:highlight w:val="none"/>
              </w:rPr>
              <w:t>处理。</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2E3D102E">
            <w:pPr>
              <w:pStyle w:val="3"/>
              <w:spacing w:line="240" w:lineRule="auto"/>
              <w:ind w:firstLine="0" w:firstLineChars="0"/>
              <w:rPr>
                <w:color w:val="auto"/>
                <w:sz w:val="21"/>
                <w:highlight w:val="none"/>
              </w:rPr>
            </w:pPr>
            <w:r>
              <w:rPr>
                <w:rFonts w:hint="eastAsia"/>
                <w:color w:val="auto"/>
                <w:sz w:val="21"/>
                <w:highlight w:val="none"/>
              </w:rPr>
              <w:t>一般工业固体废物执行《中华人民共和国固体废物污染环境防治法》（主席令[2020]第43号[2020年修正本]）</w:t>
            </w:r>
            <w:r>
              <w:rPr>
                <w:color w:val="auto"/>
                <w:sz w:val="21"/>
                <w:highlight w:val="none"/>
              </w:rPr>
              <w:t>、《石油天然气开采业固体废物污染控制技术规范（试行）》（HJ1461-2026）</w:t>
            </w:r>
            <w:r>
              <w:rPr>
                <w:rFonts w:hint="eastAsia"/>
                <w:color w:val="auto"/>
                <w:sz w:val="21"/>
                <w:highlight w:val="none"/>
              </w:rPr>
              <w:t>；危险废物执行《危险废物贮存污染控制标准》（GB 18597-2023）；处理后的钻井固废执行《油气田钻井固体废物综合利用污染控制要求》（DB65/T 3997-2017）。</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7A280B0">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302FD7D3">
            <w:pPr>
              <w:adjustRightInd w:val="0"/>
              <w:snapToGrid w:val="0"/>
              <w:ind w:firstLine="420"/>
              <w:jc w:val="center"/>
              <w:rPr>
                <w:color w:val="auto"/>
                <w:highlight w:val="none"/>
              </w:rPr>
            </w:pPr>
            <w:r>
              <w:rPr>
                <w:rFonts w:hint="eastAsia"/>
                <w:color w:val="auto"/>
                <w:highlight w:val="none"/>
              </w:rPr>
              <w:t>无</w:t>
            </w:r>
          </w:p>
        </w:tc>
      </w:tr>
      <w:tr w14:paraId="5E3C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223A3347">
            <w:pPr>
              <w:pStyle w:val="3"/>
              <w:spacing w:line="240" w:lineRule="auto"/>
              <w:ind w:firstLine="0" w:firstLineChars="0"/>
              <w:jc w:val="center"/>
              <w:rPr>
                <w:color w:val="auto"/>
                <w:sz w:val="21"/>
                <w:highlight w:val="none"/>
              </w:rPr>
            </w:pPr>
            <w:r>
              <w:rPr>
                <w:rFonts w:hint="eastAsia"/>
                <w:color w:val="auto"/>
                <w:sz w:val="21"/>
                <w:highlight w:val="none"/>
              </w:rPr>
              <w:t>电磁环境</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2DCDF5CC">
            <w:pPr>
              <w:adjustRightInd w:val="0"/>
              <w:snapToGrid w:val="0"/>
              <w:ind w:firstLine="420"/>
              <w:jc w:val="center"/>
              <w:rPr>
                <w:color w:val="auto"/>
                <w:highlight w:val="none"/>
              </w:rPr>
            </w:pPr>
            <w:r>
              <w:rPr>
                <w:rFonts w:hint="eastAsia"/>
                <w:color w:val="auto"/>
                <w:highlight w:val="none"/>
              </w:rPr>
              <w:t>无</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15B6621">
            <w:pPr>
              <w:adjustRightInd w:val="0"/>
              <w:snapToGrid w:val="0"/>
              <w:ind w:firstLine="420"/>
              <w:jc w:val="center"/>
              <w:rPr>
                <w:color w:val="auto"/>
                <w:highlight w:val="none"/>
              </w:rPr>
            </w:pPr>
            <w:r>
              <w:rPr>
                <w:rFonts w:hint="eastAsia"/>
                <w:color w:val="auto"/>
                <w:highlight w:val="none"/>
              </w:rPr>
              <w:t>无</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3A69E3B8">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0B51DA9F">
            <w:pPr>
              <w:adjustRightInd w:val="0"/>
              <w:snapToGrid w:val="0"/>
              <w:ind w:firstLine="420"/>
              <w:jc w:val="center"/>
              <w:rPr>
                <w:color w:val="auto"/>
                <w:highlight w:val="none"/>
              </w:rPr>
            </w:pPr>
            <w:r>
              <w:rPr>
                <w:rFonts w:hint="eastAsia"/>
                <w:color w:val="auto"/>
                <w:highlight w:val="none"/>
              </w:rPr>
              <w:t>无</w:t>
            </w:r>
          </w:p>
        </w:tc>
      </w:tr>
      <w:tr w14:paraId="642B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9817781">
            <w:pPr>
              <w:pStyle w:val="3"/>
              <w:spacing w:line="240" w:lineRule="auto"/>
              <w:ind w:firstLine="0" w:firstLineChars="0"/>
              <w:jc w:val="center"/>
              <w:rPr>
                <w:color w:val="auto"/>
                <w:sz w:val="21"/>
                <w:highlight w:val="none"/>
              </w:rPr>
            </w:pPr>
            <w:r>
              <w:rPr>
                <w:rFonts w:hint="eastAsia"/>
                <w:color w:val="auto"/>
                <w:sz w:val="21"/>
                <w:highlight w:val="none"/>
              </w:rPr>
              <w:t>环境风险</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6D27D7B">
            <w:pPr>
              <w:pStyle w:val="3"/>
              <w:numPr>
                <w:ilvl w:val="0"/>
                <w:numId w:val="69"/>
              </w:numPr>
              <w:spacing w:line="240" w:lineRule="auto"/>
              <w:ind w:firstLine="0" w:firstLineChars="0"/>
              <w:rPr>
                <w:color w:val="auto"/>
                <w:sz w:val="21"/>
                <w:highlight w:val="none"/>
              </w:rPr>
            </w:pPr>
            <w:r>
              <w:rPr>
                <w:rFonts w:hint="eastAsia"/>
                <w:color w:val="auto"/>
                <w:sz w:val="21"/>
                <w:highlight w:val="none"/>
              </w:rPr>
              <w:t>重点防渗区铺设环保型HDPE防渗材料（渗透系数K≤1×10</w:t>
            </w:r>
            <w:r>
              <w:rPr>
                <w:rFonts w:hint="eastAsia"/>
                <w:color w:val="auto"/>
                <w:sz w:val="21"/>
                <w:highlight w:val="none"/>
                <w:vertAlign w:val="superscript"/>
              </w:rPr>
              <w:t>-10</w:t>
            </w:r>
            <w:r>
              <w:rPr>
                <w:rFonts w:hint="eastAsia"/>
                <w:color w:val="auto"/>
                <w:sz w:val="21"/>
                <w:highlight w:val="none"/>
              </w:rPr>
              <w:t>cm/s）。</w:t>
            </w:r>
          </w:p>
          <w:p w14:paraId="6424CDEB">
            <w:pPr>
              <w:pStyle w:val="3"/>
              <w:numPr>
                <w:ilvl w:val="0"/>
                <w:numId w:val="69"/>
              </w:numPr>
              <w:spacing w:line="240" w:lineRule="auto"/>
              <w:ind w:firstLine="0" w:firstLineChars="0"/>
              <w:rPr>
                <w:color w:val="auto"/>
                <w:sz w:val="21"/>
                <w:highlight w:val="none"/>
              </w:rPr>
            </w:pPr>
            <w:r>
              <w:rPr>
                <w:rFonts w:hint="eastAsia"/>
                <w:color w:val="auto"/>
                <w:sz w:val="21"/>
                <w:highlight w:val="none"/>
              </w:rPr>
              <w:t>一般防渗区铺设环保型HDPE防渗膜，达到等效黏土防渗层Mb≥1.5m（渗透系数≤10</w:t>
            </w:r>
            <w:r>
              <w:rPr>
                <w:rFonts w:hint="eastAsia"/>
                <w:color w:val="auto"/>
                <w:sz w:val="21"/>
                <w:highlight w:val="none"/>
                <w:vertAlign w:val="superscript"/>
              </w:rPr>
              <w:t>-7</w:t>
            </w:r>
            <w:r>
              <w:rPr>
                <w:rFonts w:hint="eastAsia"/>
                <w:color w:val="auto"/>
                <w:sz w:val="21"/>
                <w:highlight w:val="none"/>
              </w:rPr>
              <w:t>cm/s）进行防渗处理。</w:t>
            </w:r>
          </w:p>
          <w:p w14:paraId="72FCA256">
            <w:pPr>
              <w:pStyle w:val="3"/>
              <w:numPr>
                <w:ilvl w:val="0"/>
                <w:numId w:val="69"/>
              </w:numPr>
              <w:spacing w:line="240" w:lineRule="auto"/>
              <w:ind w:firstLine="0" w:firstLineChars="0"/>
              <w:rPr>
                <w:color w:val="auto"/>
                <w:sz w:val="21"/>
                <w:highlight w:val="none"/>
              </w:rPr>
            </w:pPr>
            <w:r>
              <w:rPr>
                <w:rFonts w:hint="eastAsia"/>
                <w:color w:val="auto"/>
                <w:sz w:val="21"/>
                <w:highlight w:val="none"/>
              </w:rPr>
              <w:t>井控装置有效防范溢流、井漏等事故。</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0ECA1A5">
            <w:pPr>
              <w:pStyle w:val="3"/>
              <w:spacing w:line="240" w:lineRule="auto"/>
              <w:ind w:firstLine="0" w:firstLineChars="0"/>
              <w:jc w:val="center"/>
              <w:rPr>
                <w:color w:val="auto"/>
                <w:sz w:val="21"/>
                <w:highlight w:val="none"/>
              </w:rPr>
            </w:pPr>
            <w:r>
              <w:rPr>
                <w:rFonts w:hint="eastAsia"/>
                <w:color w:val="auto"/>
                <w:sz w:val="21"/>
                <w:highlight w:val="none"/>
              </w:rPr>
              <w:t>无</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1022010">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994FFF1">
            <w:pPr>
              <w:adjustRightInd w:val="0"/>
              <w:snapToGrid w:val="0"/>
              <w:ind w:firstLine="420"/>
              <w:jc w:val="center"/>
              <w:rPr>
                <w:color w:val="auto"/>
                <w:highlight w:val="none"/>
              </w:rPr>
            </w:pPr>
            <w:r>
              <w:rPr>
                <w:rFonts w:hint="eastAsia"/>
                <w:color w:val="auto"/>
                <w:highlight w:val="none"/>
              </w:rPr>
              <w:t>无</w:t>
            </w:r>
          </w:p>
        </w:tc>
      </w:tr>
      <w:tr w14:paraId="7B37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E0178AF">
            <w:pPr>
              <w:pStyle w:val="3"/>
              <w:spacing w:line="240" w:lineRule="auto"/>
              <w:ind w:firstLine="0" w:firstLineChars="0"/>
              <w:jc w:val="center"/>
              <w:rPr>
                <w:color w:val="auto"/>
                <w:sz w:val="21"/>
                <w:highlight w:val="none"/>
              </w:rPr>
            </w:pPr>
            <w:r>
              <w:rPr>
                <w:rFonts w:hint="eastAsia"/>
                <w:color w:val="auto"/>
                <w:sz w:val="21"/>
                <w:highlight w:val="none"/>
              </w:rPr>
              <w:t>环境监测</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197FCCE9">
            <w:pPr>
              <w:pStyle w:val="3"/>
              <w:spacing w:line="240" w:lineRule="auto"/>
              <w:ind w:firstLine="0" w:firstLineChars="0"/>
              <w:jc w:val="center"/>
              <w:rPr>
                <w:color w:val="auto"/>
                <w:sz w:val="21"/>
                <w:highlight w:val="none"/>
              </w:rPr>
            </w:pPr>
            <w:r>
              <w:rPr>
                <w:rFonts w:hint="eastAsia"/>
                <w:color w:val="auto"/>
                <w:sz w:val="21"/>
                <w:highlight w:val="none"/>
              </w:rPr>
              <w:t>配置4个H</w:t>
            </w:r>
            <w:r>
              <w:rPr>
                <w:rFonts w:hint="eastAsia"/>
                <w:color w:val="auto"/>
                <w:sz w:val="21"/>
                <w:highlight w:val="none"/>
                <w:vertAlign w:val="subscript"/>
              </w:rPr>
              <w:t>2</w:t>
            </w:r>
            <w:r>
              <w:rPr>
                <w:rFonts w:hint="eastAsia"/>
                <w:color w:val="auto"/>
                <w:sz w:val="21"/>
                <w:highlight w:val="none"/>
              </w:rPr>
              <w:t>S监测装置，实时监测硫化氢浓度。</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56E4B985">
            <w:pPr>
              <w:pStyle w:val="3"/>
              <w:spacing w:line="240" w:lineRule="auto"/>
              <w:ind w:firstLine="0" w:firstLineChars="0"/>
              <w:jc w:val="center"/>
              <w:rPr>
                <w:color w:val="auto"/>
                <w:sz w:val="21"/>
                <w:highlight w:val="none"/>
              </w:rPr>
            </w:pPr>
            <w:r>
              <w:rPr>
                <w:rFonts w:hint="eastAsia"/>
                <w:color w:val="auto"/>
                <w:sz w:val="21"/>
                <w:highlight w:val="none"/>
              </w:rPr>
              <w:t>无</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1FAE09F8">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72C14316">
            <w:pPr>
              <w:adjustRightInd w:val="0"/>
              <w:snapToGrid w:val="0"/>
              <w:ind w:firstLine="420"/>
              <w:jc w:val="center"/>
              <w:rPr>
                <w:color w:val="auto"/>
                <w:highlight w:val="none"/>
              </w:rPr>
            </w:pPr>
            <w:r>
              <w:rPr>
                <w:rFonts w:hint="eastAsia"/>
                <w:color w:val="auto"/>
                <w:highlight w:val="none"/>
              </w:rPr>
              <w:t>无</w:t>
            </w:r>
          </w:p>
        </w:tc>
      </w:tr>
      <w:tr w14:paraId="4FA7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1E4C000F">
            <w:pPr>
              <w:pStyle w:val="3"/>
              <w:spacing w:line="240" w:lineRule="auto"/>
              <w:ind w:firstLine="0" w:firstLineChars="0"/>
              <w:jc w:val="center"/>
              <w:rPr>
                <w:color w:val="auto"/>
                <w:sz w:val="21"/>
                <w:highlight w:val="none"/>
              </w:rPr>
            </w:pPr>
            <w:r>
              <w:rPr>
                <w:rFonts w:hint="eastAsia"/>
                <w:color w:val="auto"/>
                <w:sz w:val="21"/>
                <w:highlight w:val="none"/>
              </w:rPr>
              <w:t>其他</w:t>
            </w:r>
          </w:p>
        </w:tc>
        <w:tc>
          <w:tcPr>
            <w:tcW w:w="2558"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64AAF086">
            <w:pPr>
              <w:adjustRightInd w:val="0"/>
              <w:snapToGrid w:val="0"/>
              <w:ind w:firstLine="420"/>
              <w:jc w:val="center"/>
              <w:rPr>
                <w:color w:val="auto"/>
                <w:highlight w:val="none"/>
              </w:rPr>
            </w:pPr>
            <w:r>
              <w:rPr>
                <w:rFonts w:hint="eastAsia"/>
                <w:color w:val="auto"/>
                <w:highlight w:val="none"/>
              </w:rPr>
              <w:t>无</w:t>
            </w:r>
          </w:p>
        </w:tc>
        <w:tc>
          <w:tcPr>
            <w:tcW w:w="1023"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0CDA43E9">
            <w:pPr>
              <w:adjustRightInd w:val="0"/>
              <w:snapToGrid w:val="0"/>
              <w:ind w:firstLine="420"/>
              <w:jc w:val="center"/>
              <w:rPr>
                <w:color w:val="auto"/>
                <w:highlight w:val="none"/>
              </w:rPr>
            </w:pPr>
            <w:r>
              <w:rPr>
                <w:rFonts w:hint="eastAsia"/>
                <w:color w:val="auto"/>
                <w:highlight w:val="none"/>
              </w:rPr>
              <w:t>无</w:t>
            </w:r>
          </w:p>
        </w:tc>
        <w:tc>
          <w:tcPr>
            <w:tcW w:w="539"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2C6C0575">
            <w:pPr>
              <w:adjustRightInd w:val="0"/>
              <w:snapToGrid w:val="0"/>
              <w:ind w:firstLine="420"/>
              <w:jc w:val="center"/>
              <w:rPr>
                <w:color w:val="auto"/>
                <w:highlight w:val="none"/>
              </w:rPr>
            </w:pPr>
            <w:r>
              <w:rPr>
                <w:rFonts w:hint="eastAsia"/>
                <w:color w:val="auto"/>
                <w:highlight w:val="none"/>
              </w:rPr>
              <w:t>无</w:t>
            </w:r>
          </w:p>
        </w:tc>
        <w:tc>
          <w:tcPr>
            <w:tcW w:w="486" w:type="pct"/>
            <w:tcBorders>
              <w:top w:val="single" w:color="000000" w:sz="4" w:space="0"/>
              <w:left w:val="single" w:color="000000" w:sz="4" w:space="0"/>
              <w:bottom w:val="single" w:color="000000" w:sz="4" w:space="0"/>
              <w:right w:val="single" w:color="000000" w:sz="4" w:space="0"/>
            </w:tcBorders>
            <w:shd w:val="clear" w:color="auto" w:fill="FFFFFF"/>
            <w:tcMar>
              <w:top w:w="57" w:type="dxa"/>
              <w:left w:w="108" w:type="dxa"/>
              <w:bottom w:w="57" w:type="dxa"/>
              <w:right w:w="108" w:type="dxa"/>
            </w:tcMar>
            <w:vAlign w:val="center"/>
          </w:tcPr>
          <w:p w14:paraId="471A1BBE">
            <w:pPr>
              <w:adjustRightInd w:val="0"/>
              <w:snapToGrid w:val="0"/>
              <w:ind w:firstLine="420"/>
              <w:jc w:val="center"/>
              <w:rPr>
                <w:color w:val="auto"/>
                <w:highlight w:val="none"/>
              </w:rPr>
            </w:pPr>
            <w:r>
              <w:rPr>
                <w:rFonts w:hint="eastAsia"/>
                <w:color w:val="auto"/>
                <w:highlight w:val="none"/>
              </w:rPr>
              <w:t>无</w:t>
            </w:r>
          </w:p>
        </w:tc>
      </w:tr>
    </w:tbl>
    <w:p w14:paraId="57528968">
      <w:pPr>
        <w:pStyle w:val="3"/>
        <w:ind w:firstLine="0" w:firstLineChars="0"/>
        <w:rPr>
          <w:color w:val="auto"/>
          <w:highlight w:val="none"/>
        </w:rPr>
        <w:sectPr>
          <w:pgSz w:w="16838" w:h="11906" w:orient="landscape"/>
          <w:pgMar w:top="1797" w:right="1440" w:bottom="1797" w:left="1304" w:header="1021" w:footer="851" w:gutter="0"/>
          <w:cols w:space="425" w:num="1"/>
          <w:docGrid w:type="lines" w:linePitch="312" w:charSpace="0"/>
        </w:sectPr>
      </w:pPr>
    </w:p>
    <w:p w14:paraId="146E4C73">
      <w:pPr>
        <w:pStyle w:val="3"/>
        <w:ind w:firstLine="0" w:firstLineChars="0"/>
        <w:jc w:val="center"/>
        <w:outlineLvl w:val="0"/>
        <w:rPr>
          <w:rFonts w:ascii="黑体" w:hAnsi="黑体" w:eastAsia="黑体"/>
          <w:color w:val="auto"/>
          <w:sz w:val="30"/>
          <w:szCs w:val="30"/>
          <w:highlight w:val="none"/>
        </w:rPr>
      </w:pPr>
      <w:bookmarkStart w:id="97" w:name="_Toc1123"/>
      <w:bookmarkStart w:id="98" w:name="_Toc660"/>
      <w:r>
        <w:rPr>
          <w:rFonts w:hint="eastAsia" w:ascii="黑体" w:hAnsi="黑体" w:eastAsia="黑体"/>
          <w:color w:val="auto"/>
          <w:sz w:val="30"/>
          <w:szCs w:val="30"/>
          <w:highlight w:val="none"/>
        </w:rPr>
        <w:t>七、结论</w:t>
      </w:r>
      <w:bookmarkEnd w:id="97"/>
      <w:bookmarkEnd w:id="98"/>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164D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9" w:hRule="atLeast"/>
          <w:jc w:val="center"/>
        </w:trPr>
        <w:tc>
          <w:tcPr>
            <w:tcW w:w="8302" w:type="dxa"/>
            <w:vAlign w:val="center"/>
          </w:tcPr>
          <w:p w14:paraId="6677A04E">
            <w:pPr>
              <w:adjustRightInd w:val="0"/>
              <w:snapToGrid w:val="0"/>
              <w:ind w:firstLine="420"/>
              <w:rPr>
                <w:color w:val="auto"/>
                <w:highlight w:val="none"/>
              </w:rPr>
            </w:pPr>
            <w:r>
              <w:rPr>
                <w:rFonts w:hint="eastAsia"/>
                <w:color w:val="auto"/>
                <w:highlight w:val="none"/>
              </w:rPr>
              <w:t>综上所述，本项目符合国家产业政策，符合区域生态环境管控要求；项目选址合理，采取的环境保护措施、风险防控措施技术可靠、可行。在落实本报告所提出的各项污染防治和风险防控措施后，从环境保护角度分析，项目的建设是可行的。</w:t>
            </w:r>
          </w:p>
        </w:tc>
      </w:tr>
    </w:tbl>
    <w:p w14:paraId="41491B30">
      <w:pPr>
        <w:pStyle w:val="3"/>
        <w:ind w:firstLine="0" w:firstLineChars="0"/>
        <w:rPr>
          <w:color w:val="auto"/>
          <w:highlight w:val="none"/>
        </w:rPr>
        <w:sectPr>
          <w:pgSz w:w="11906" w:h="16838"/>
          <w:pgMar w:top="1440" w:right="1797" w:bottom="1304" w:left="1797" w:header="1021" w:footer="851" w:gutter="0"/>
          <w:cols w:space="425" w:num="1"/>
          <w:docGrid w:type="lines" w:linePitch="312" w:charSpace="0"/>
        </w:sectPr>
      </w:pPr>
    </w:p>
    <w:p w14:paraId="2CA4C4D9">
      <w:pPr>
        <w:pStyle w:val="63"/>
        <w:rPr>
          <w:color w:val="auto"/>
          <w:sz w:val="24"/>
          <w:szCs w:val="24"/>
          <w:highlight w:val="none"/>
        </w:rPr>
      </w:pPr>
      <w:bookmarkStart w:id="99" w:name="_Toc18452"/>
      <w:r>
        <w:rPr>
          <w:rFonts w:hint="eastAsia" w:eastAsia="宋体"/>
          <w:color w:val="auto"/>
          <w:sz w:val="28"/>
          <w:szCs w:val="28"/>
          <w:highlight w:val="none"/>
          <w:lang w:eastAsia="zh-CN"/>
        </w:rPr>
        <w:drawing>
          <wp:anchor distT="0" distB="0" distL="114300" distR="114300" simplePos="0" relativeHeight="251660288" behindDoc="0" locked="0" layoutInCell="1" allowOverlap="1">
            <wp:simplePos x="0" y="0"/>
            <wp:positionH relativeFrom="column">
              <wp:posOffset>-406400</wp:posOffset>
            </wp:positionH>
            <wp:positionV relativeFrom="paragraph">
              <wp:posOffset>-736600</wp:posOffset>
            </wp:positionV>
            <wp:extent cx="7013575" cy="10320020"/>
            <wp:effectExtent l="0" t="0" r="15875" b="5080"/>
            <wp:wrapNone/>
            <wp:docPr id="10" name="图片 10" descr="0f589dee164c4871a129b8a265fb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f589dee164c4871a129b8a265fb2127"/>
                    <pic:cNvPicPr>
                      <a:picLocks noChangeAspect="1"/>
                    </pic:cNvPicPr>
                  </pic:nvPicPr>
                  <pic:blipFill>
                    <a:blip r:embed="rId20"/>
                    <a:stretch>
                      <a:fillRect/>
                    </a:stretch>
                  </pic:blipFill>
                  <pic:spPr>
                    <a:xfrm>
                      <a:off x="0" y="0"/>
                      <a:ext cx="7013575" cy="10320020"/>
                    </a:xfrm>
                    <a:prstGeom prst="rect">
                      <a:avLst/>
                    </a:prstGeom>
                  </pic:spPr>
                </pic:pic>
              </a:graphicData>
            </a:graphic>
          </wp:anchor>
        </w:drawing>
      </w:r>
      <w:r>
        <w:rPr>
          <w:rFonts w:hint="eastAsia"/>
          <w:color w:val="auto"/>
          <w:sz w:val="24"/>
          <w:szCs w:val="24"/>
          <w:highlight w:val="none"/>
        </w:rPr>
        <w:t xml:space="preserve"> </w:t>
      </w:r>
      <w:r>
        <w:rPr>
          <w:color w:val="auto"/>
          <w:sz w:val="24"/>
          <w:szCs w:val="24"/>
          <w:highlight w:val="none"/>
        </w:rPr>
        <w:t xml:space="preserve"> </w:t>
      </w:r>
      <w:bookmarkStart w:id="100" w:name="_Toc22082"/>
      <w:r>
        <w:rPr>
          <w:rFonts w:hint="eastAsia"/>
          <w:color w:val="auto"/>
          <w:sz w:val="24"/>
          <w:szCs w:val="24"/>
          <w:highlight w:val="none"/>
        </w:rPr>
        <w:t>委托书</w:t>
      </w:r>
      <w:bookmarkEnd w:id="99"/>
      <w:bookmarkEnd w:id="100"/>
    </w:p>
    <w:p w14:paraId="48208C74">
      <w:pPr>
        <w:pStyle w:val="3"/>
        <w:ind w:firstLine="0" w:firstLineChars="0"/>
        <w:rPr>
          <w:color w:val="auto"/>
          <w:highlight w:val="none"/>
        </w:rPr>
      </w:pPr>
    </w:p>
    <w:p w14:paraId="23B90CE4">
      <w:pPr>
        <w:pStyle w:val="3"/>
        <w:ind w:firstLine="480"/>
        <w:rPr>
          <w:color w:val="auto"/>
          <w:highlight w:val="none"/>
        </w:rPr>
      </w:pPr>
    </w:p>
    <w:p w14:paraId="0D305D00">
      <w:pPr>
        <w:pStyle w:val="96"/>
        <w:ind w:firstLine="480"/>
        <w:rPr>
          <w:color w:val="auto"/>
          <w:highlight w:val="none"/>
        </w:rPr>
      </w:pPr>
    </w:p>
    <w:p w14:paraId="136C7822">
      <w:pPr>
        <w:jc w:val="center"/>
        <w:rPr>
          <w:rFonts w:ascii="黑体" w:eastAsia="黑体"/>
          <w:color w:val="auto"/>
          <w:sz w:val="28"/>
          <w:szCs w:val="28"/>
          <w:highlight w:val="none"/>
        </w:rPr>
      </w:pPr>
      <w:r>
        <w:rPr>
          <w:rFonts w:hint="eastAsia" w:ascii="黑体" w:eastAsia="黑体"/>
          <w:color w:val="auto"/>
          <w:sz w:val="28"/>
          <w:szCs w:val="28"/>
          <w:highlight w:val="none"/>
        </w:rPr>
        <w:t>董深斜2井</w:t>
      </w:r>
    </w:p>
    <w:p w14:paraId="43496D7E">
      <w:pPr>
        <w:jc w:val="center"/>
        <w:rPr>
          <w:rFonts w:ascii="黑体" w:eastAsia="黑体"/>
          <w:color w:val="auto"/>
          <w:sz w:val="28"/>
          <w:szCs w:val="28"/>
          <w:highlight w:val="none"/>
        </w:rPr>
      </w:pPr>
      <w:r>
        <w:rPr>
          <w:rFonts w:hint="eastAsia" w:ascii="黑体" w:eastAsia="黑体"/>
          <w:color w:val="auto"/>
          <w:sz w:val="28"/>
          <w:szCs w:val="28"/>
          <w:highlight w:val="none"/>
        </w:rPr>
        <w:t>环境影响评价委托书</w:t>
      </w:r>
    </w:p>
    <w:p w14:paraId="72FA5D00">
      <w:pPr>
        <w:pStyle w:val="96"/>
        <w:ind w:firstLine="480"/>
        <w:rPr>
          <w:color w:val="auto"/>
          <w:highlight w:val="none"/>
        </w:rPr>
      </w:pPr>
    </w:p>
    <w:p w14:paraId="09CECE3A">
      <w:pPr>
        <w:pStyle w:val="96"/>
        <w:ind w:firstLine="480"/>
        <w:rPr>
          <w:color w:val="auto"/>
          <w:highlight w:val="none"/>
        </w:rPr>
      </w:pPr>
    </w:p>
    <w:p w14:paraId="5DCA390C">
      <w:pPr>
        <w:pStyle w:val="96"/>
        <w:ind w:firstLine="480"/>
        <w:rPr>
          <w:color w:val="auto"/>
          <w:highlight w:val="none"/>
        </w:rPr>
      </w:pPr>
    </w:p>
    <w:p w14:paraId="31FB611E">
      <w:pPr>
        <w:pStyle w:val="96"/>
        <w:ind w:firstLine="560"/>
        <w:rPr>
          <w:color w:val="auto"/>
          <w:sz w:val="28"/>
          <w:szCs w:val="28"/>
          <w:highlight w:val="none"/>
        </w:rPr>
      </w:pPr>
      <w:r>
        <w:rPr>
          <w:rFonts w:hint="eastAsia"/>
          <w:color w:val="auto"/>
          <w:sz w:val="28"/>
          <w:szCs w:val="28"/>
          <w:highlight w:val="none"/>
        </w:rPr>
        <w:t>森诺科技有限公司：</w:t>
      </w:r>
    </w:p>
    <w:p w14:paraId="13C99AFC">
      <w:pPr>
        <w:pStyle w:val="96"/>
        <w:ind w:firstLine="560"/>
        <w:rPr>
          <w:color w:val="auto"/>
          <w:sz w:val="28"/>
          <w:szCs w:val="28"/>
          <w:highlight w:val="none"/>
        </w:rPr>
      </w:pPr>
      <w:r>
        <w:rPr>
          <w:rFonts w:hint="eastAsia"/>
          <w:color w:val="auto"/>
          <w:sz w:val="28"/>
          <w:szCs w:val="28"/>
          <w:highlight w:val="none"/>
        </w:rPr>
        <w:t>根据《中华人民共和国环境影响评价法》（主席令［2018］第24号［2018年修正本］）的有关规定，我公司拟新建的董深斜2井项目需要进行环境影响评价，现委托贵单位承担董深斜2井的环境影响评价工作，请尽快组织人员开展工作。</w:t>
      </w:r>
    </w:p>
    <w:p w14:paraId="384B7C48">
      <w:pPr>
        <w:pStyle w:val="96"/>
        <w:ind w:firstLine="560"/>
        <w:rPr>
          <w:color w:val="auto"/>
          <w:sz w:val="28"/>
          <w:szCs w:val="28"/>
          <w:highlight w:val="none"/>
        </w:rPr>
      </w:pPr>
      <w:r>
        <w:rPr>
          <w:rFonts w:hint="eastAsia"/>
          <w:color w:val="auto"/>
          <w:sz w:val="28"/>
          <w:szCs w:val="28"/>
          <w:highlight w:val="none"/>
        </w:rPr>
        <w:t>特此委托。</w:t>
      </w:r>
    </w:p>
    <w:p w14:paraId="42EB9B9D">
      <w:pPr>
        <w:pStyle w:val="96"/>
        <w:ind w:firstLine="560"/>
        <w:rPr>
          <w:color w:val="auto"/>
          <w:sz w:val="28"/>
          <w:szCs w:val="28"/>
          <w:highlight w:val="none"/>
        </w:rPr>
      </w:pPr>
    </w:p>
    <w:p w14:paraId="63BDBE7C">
      <w:pPr>
        <w:pStyle w:val="96"/>
        <w:ind w:firstLine="560"/>
        <w:rPr>
          <w:color w:val="auto"/>
          <w:sz w:val="28"/>
          <w:szCs w:val="28"/>
          <w:highlight w:val="none"/>
        </w:rPr>
      </w:pPr>
    </w:p>
    <w:p w14:paraId="01417CD5">
      <w:pPr>
        <w:pStyle w:val="96"/>
        <w:ind w:firstLine="560"/>
        <w:rPr>
          <w:color w:val="auto"/>
          <w:sz w:val="28"/>
          <w:szCs w:val="28"/>
          <w:highlight w:val="none"/>
        </w:rPr>
      </w:pPr>
    </w:p>
    <w:p w14:paraId="485EAC6E">
      <w:pPr>
        <w:pStyle w:val="96"/>
        <w:ind w:firstLine="0" w:firstLineChars="0"/>
        <w:rPr>
          <w:color w:val="auto"/>
          <w:sz w:val="28"/>
          <w:szCs w:val="28"/>
          <w:highlight w:val="none"/>
        </w:rPr>
      </w:pPr>
    </w:p>
    <w:p w14:paraId="7309C283">
      <w:pPr>
        <w:pStyle w:val="96"/>
        <w:ind w:firstLine="0" w:firstLineChars="0"/>
        <w:rPr>
          <w:rFonts w:hint="eastAsia" w:eastAsia="宋体"/>
          <w:color w:val="auto"/>
          <w:sz w:val="28"/>
          <w:szCs w:val="28"/>
          <w:highlight w:val="none"/>
          <w:lang w:eastAsia="zh-CN"/>
        </w:rPr>
      </w:pPr>
    </w:p>
    <w:p w14:paraId="58781CFD">
      <w:pPr>
        <w:pStyle w:val="96"/>
        <w:ind w:firstLine="560"/>
        <w:rPr>
          <w:color w:val="auto"/>
          <w:sz w:val="28"/>
          <w:szCs w:val="28"/>
          <w:highlight w:val="none"/>
        </w:rPr>
      </w:pPr>
    </w:p>
    <w:p w14:paraId="12FD0A6D">
      <w:pPr>
        <w:spacing w:line="360" w:lineRule="auto"/>
        <w:jc w:val="right"/>
        <w:rPr>
          <w:rFonts w:cs="Arial"/>
          <w:color w:val="auto"/>
          <w:sz w:val="28"/>
          <w:szCs w:val="28"/>
          <w:highlight w:val="none"/>
        </w:rPr>
      </w:pPr>
      <w:r>
        <w:rPr>
          <w:color w:val="auto"/>
          <w:sz w:val="28"/>
          <w:szCs w:val="28"/>
          <w:highlight w:val="none"/>
        </w:rPr>
        <w:t>中石化新疆新春石油开发有限责任公司</w:t>
      </w:r>
    </w:p>
    <w:p w14:paraId="1085BC63">
      <w:pPr>
        <w:spacing w:line="360" w:lineRule="auto"/>
        <w:jc w:val="right"/>
        <w:rPr>
          <w:rFonts w:cs="Arial"/>
          <w:color w:val="auto"/>
          <w:sz w:val="28"/>
          <w:szCs w:val="28"/>
          <w:highlight w:val="none"/>
        </w:rPr>
      </w:pPr>
      <w:r>
        <w:rPr>
          <w:rFonts w:hint="eastAsia" w:cs="Arial"/>
          <w:color w:val="auto"/>
          <w:sz w:val="28"/>
          <w:szCs w:val="28"/>
          <w:highlight w:val="none"/>
        </w:rPr>
        <w:t>20</w:t>
      </w:r>
      <w:r>
        <w:rPr>
          <w:rFonts w:cs="Arial"/>
          <w:color w:val="auto"/>
          <w:sz w:val="28"/>
          <w:szCs w:val="28"/>
          <w:highlight w:val="none"/>
        </w:rPr>
        <w:t>2</w:t>
      </w:r>
      <w:r>
        <w:rPr>
          <w:rFonts w:hint="eastAsia" w:cs="Arial"/>
          <w:color w:val="auto"/>
          <w:sz w:val="28"/>
          <w:szCs w:val="28"/>
          <w:highlight w:val="none"/>
        </w:rPr>
        <w:t>6年5月25</w:t>
      </w:r>
      <w:r>
        <w:rPr>
          <w:rFonts w:cs="Arial"/>
          <w:color w:val="auto"/>
          <w:sz w:val="28"/>
          <w:szCs w:val="28"/>
          <w:highlight w:val="none"/>
        </w:rPr>
        <w:t>日</w:t>
      </w:r>
    </w:p>
    <w:p w14:paraId="7598CBB2">
      <w:pPr>
        <w:pStyle w:val="13"/>
        <w:spacing w:before="120"/>
        <w:ind w:firstLine="420"/>
        <w:rPr>
          <w:color w:val="auto"/>
          <w:highlight w:val="none"/>
        </w:rPr>
      </w:pPr>
    </w:p>
    <w:p w14:paraId="01CB728A">
      <w:pPr>
        <w:pStyle w:val="3"/>
        <w:ind w:firstLine="480"/>
        <w:rPr>
          <w:color w:val="auto"/>
          <w:highlight w:val="none"/>
        </w:rPr>
        <w:sectPr>
          <w:pgSz w:w="11906" w:h="16838"/>
          <w:pgMar w:top="1247" w:right="1247" w:bottom="1247" w:left="1247" w:header="851" w:footer="1077" w:gutter="0"/>
          <w:cols w:space="720" w:num="1"/>
        </w:sectPr>
      </w:pPr>
    </w:p>
    <w:p w14:paraId="74F5C9CF">
      <w:pPr>
        <w:pStyle w:val="63"/>
        <w:rPr>
          <w:color w:val="auto"/>
          <w:sz w:val="24"/>
          <w:szCs w:val="24"/>
          <w:highlight w:val="none"/>
        </w:rPr>
      </w:pPr>
      <w:r>
        <w:rPr>
          <w:rFonts w:hint="eastAsia"/>
          <w:color w:val="auto"/>
          <w:sz w:val="24"/>
          <w:szCs w:val="24"/>
          <w:highlight w:val="none"/>
        </w:rPr>
        <w:t xml:space="preserve"> </w:t>
      </w:r>
      <w:r>
        <w:rPr>
          <w:color w:val="auto"/>
          <w:sz w:val="24"/>
          <w:szCs w:val="24"/>
          <w:highlight w:val="none"/>
        </w:rPr>
        <w:t xml:space="preserve"> </w:t>
      </w:r>
      <w:bookmarkStart w:id="101" w:name="_Toc13363"/>
      <w:bookmarkStart w:id="102" w:name="_Toc16488"/>
      <w:bookmarkStart w:id="103" w:name="_Ref205914316"/>
      <w:r>
        <w:rPr>
          <w:rFonts w:hint="eastAsia"/>
          <w:color w:val="auto"/>
          <w:sz w:val="24"/>
          <w:szCs w:val="24"/>
          <w:highlight w:val="none"/>
          <w:lang w:eastAsia="zh-CN"/>
        </w:rPr>
        <w:t>春风联合站</w:t>
      </w:r>
      <w:r>
        <w:rPr>
          <w:rFonts w:hint="eastAsia"/>
          <w:color w:val="auto"/>
          <w:sz w:val="24"/>
          <w:szCs w:val="24"/>
          <w:highlight w:val="none"/>
        </w:rPr>
        <w:t>环保手续</w:t>
      </w:r>
      <w:bookmarkEnd w:id="101"/>
      <w:bookmarkEnd w:id="102"/>
      <w:bookmarkEnd w:id="103"/>
    </w:p>
    <w:p w14:paraId="144BF474">
      <w:pPr>
        <w:pStyle w:val="91"/>
        <w:jc w:val="center"/>
        <w:rPr>
          <w:color w:val="auto"/>
          <w:highlight w:val="none"/>
        </w:rPr>
      </w:pPr>
      <w:r>
        <w:rPr>
          <w:color w:val="auto"/>
          <w:highlight w:val="none"/>
        </w:rPr>
        <w:drawing>
          <wp:inline distT="0" distB="0" distL="0" distR="0">
            <wp:extent cx="5909945" cy="8221980"/>
            <wp:effectExtent l="0" t="0" r="825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909945" cy="8221980"/>
                    </a:xfrm>
                    <a:prstGeom prst="rect">
                      <a:avLst/>
                    </a:prstGeom>
                    <a:noFill/>
                    <a:ln>
                      <a:noFill/>
                    </a:ln>
                  </pic:spPr>
                </pic:pic>
              </a:graphicData>
            </a:graphic>
          </wp:inline>
        </w:drawing>
      </w:r>
    </w:p>
    <w:p w14:paraId="40EDC00F">
      <w:pPr>
        <w:pStyle w:val="91"/>
        <w:jc w:val="center"/>
        <w:rPr>
          <w:color w:val="auto"/>
          <w:highlight w:val="none"/>
        </w:rPr>
      </w:pPr>
      <w:r>
        <w:rPr>
          <w:color w:val="auto"/>
          <w:highlight w:val="none"/>
        </w:rPr>
        <w:drawing>
          <wp:inline distT="0" distB="0" distL="0" distR="0">
            <wp:extent cx="5910580" cy="8222615"/>
            <wp:effectExtent l="0" t="0" r="762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910580" cy="8222615"/>
                    </a:xfrm>
                    <a:prstGeom prst="rect">
                      <a:avLst/>
                    </a:prstGeom>
                    <a:noFill/>
                    <a:ln>
                      <a:noFill/>
                    </a:ln>
                  </pic:spPr>
                </pic:pic>
              </a:graphicData>
            </a:graphic>
          </wp:inline>
        </w:drawing>
      </w:r>
    </w:p>
    <w:p w14:paraId="7BEDE8F2">
      <w:pPr>
        <w:pStyle w:val="91"/>
        <w:jc w:val="center"/>
        <w:rPr>
          <w:color w:val="auto"/>
          <w:highlight w:val="none"/>
        </w:rPr>
      </w:pPr>
      <w:r>
        <w:rPr>
          <w:color w:val="auto"/>
          <w:highlight w:val="none"/>
        </w:rPr>
        <w:drawing>
          <wp:inline distT="0" distB="0" distL="0" distR="0">
            <wp:extent cx="5922010" cy="8238490"/>
            <wp:effectExtent l="0" t="0" r="21590" b="165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922010" cy="8238490"/>
                    </a:xfrm>
                    <a:prstGeom prst="rect">
                      <a:avLst/>
                    </a:prstGeom>
                    <a:noFill/>
                    <a:ln>
                      <a:noFill/>
                    </a:ln>
                  </pic:spPr>
                </pic:pic>
              </a:graphicData>
            </a:graphic>
          </wp:inline>
        </w:drawing>
      </w:r>
    </w:p>
    <w:p w14:paraId="710E8286">
      <w:pPr>
        <w:pStyle w:val="91"/>
        <w:jc w:val="center"/>
        <w:rPr>
          <w:color w:val="auto"/>
          <w:highlight w:val="none"/>
        </w:rPr>
      </w:pPr>
      <w:r>
        <w:rPr>
          <w:color w:val="auto"/>
          <w:highlight w:val="none"/>
        </w:rPr>
        <w:drawing>
          <wp:inline distT="0" distB="0" distL="0" distR="0">
            <wp:extent cx="5958205" cy="8289290"/>
            <wp:effectExtent l="0" t="0" r="10795" b="165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958205" cy="8289290"/>
                    </a:xfrm>
                    <a:prstGeom prst="rect">
                      <a:avLst/>
                    </a:prstGeom>
                    <a:noFill/>
                    <a:ln>
                      <a:noFill/>
                    </a:ln>
                  </pic:spPr>
                </pic:pic>
              </a:graphicData>
            </a:graphic>
          </wp:inline>
        </w:drawing>
      </w:r>
    </w:p>
    <w:p w14:paraId="54B23D33">
      <w:pPr>
        <w:pStyle w:val="91"/>
        <w:rPr>
          <w:color w:val="auto"/>
          <w:highlight w:val="none"/>
        </w:rPr>
      </w:pPr>
      <w:r>
        <w:rPr>
          <w:color w:val="auto"/>
          <w:highlight w:val="none"/>
        </w:rPr>
        <w:drawing>
          <wp:inline distT="0" distB="0" distL="0" distR="0">
            <wp:extent cx="5958205" cy="8232775"/>
            <wp:effectExtent l="0" t="0" r="10795" b="222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958205" cy="8232775"/>
                    </a:xfrm>
                    <a:prstGeom prst="rect">
                      <a:avLst/>
                    </a:prstGeom>
                    <a:noFill/>
                    <a:ln>
                      <a:noFill/>
                    </a:ln>
                  </pic:spPr>
                </pic:pic>
              </a:graphicData>
            </a:graphic>
          </wp:inline>
        </w:drawing>
      </w:r>
    </w:p>
    <w:p w14:paraId="54E2A45E">
      <w:pPr>
        <w:pStyle w:val="91"/>
        <w:rPr>
          <w:color w:val="auto"/>
          <w:highlight w:val="none"/>
        </w:rPr>
      </w:pPr>
      <w:r>
        <w:rPr>
          <w:color w:val="auto"/>
          <w:highlight w:val="none"/>
        </w:rPr>
        <w:drawing>
          <wp:inline distT="0" distB="0" distL="0" distR="0">
            <wp:extent cx="5958205" cy="8232775"/>
            <wp:effectExtent l="0" t="0" r="10795" b="222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958205" cy="8232775"/>
                    </a:xfrm>
                    <a:prstGeom prst="rect">
                      <a:avLst/>
                    </a:prstGeom>
                    <a:noFill/>
                    <a:ln>
                      <a:noFill/>
                    </a:ln>
                  </pic:spPr>
                </pic:pic>
              </a:graphicData>
            </a:graphic>
          </wp:inline>
        </w:drawing>
      </w:r>
    </w:p>
    <w:p w14:paraId="15C897FF">
      <w:pPr>
        <w:pStyle w:val="91"/>
        <w:rPr>
          <w:color w:val="auto"/>
          <w:highlight w:val="none"/>
        </w:rPr>
      </w:pPr>
      <w:r>
        <w:rPr>
          <w:color w:val="auto"/>
          <w:highlight w:val="none"/>
        </w:rPr>
        <w:drawing>
          <wp:inline distT="0" distB="0" distL="0" distR="0">
            <wp:extent cx="5970270" cy="8249920"/>
            <wp:effectExtent l="0" t="0" r="2413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970270" cy="8249920"/>
                    </a:xfrm>
                    <a:prstGeom prst="rect">
                      <a:avLst/>
                    </a:prstGeom>
                    <a:noFill/>
                    <a:ln>
                      <a:noFill/>
                    </a:ln>
                  </pic:spPr>
                </pic:pic>
              </a:graphicData>
            </a:graphic>
          </wp:inline>
        </w:drawing>
      </w:r>
    </w:p>
    <w:p w14:paraId="4B7BD00D">
      <w:pPr>
        <w:pStyle w:val="3"/>
        <w:ind w:firstLine="0" w:firstLineChars="0"/>
        <w:rPr>
          <w:color w:val="auto"/>
          <w:highlight w:val="none"/>
        </w:rPr>
      </w:pPr>
      <w:r>
        <w:rPr>
          <w:color w:val="auto"/>
          <w:highlight w:val="none"/>
        </w:rPr>
        <w:br w:type="page"/>
      </w:r>
    </w:p>
    <w:p w14:paraId="7CD61807">
      <w:pPr>
        <w:pStyle w:val="63"/>
        <w:rPr>
          <w:color w:val="auto"/>
          <w:sz w:val="24"/>
          <w:szCs w:val="24"/>
          <w:highlight w:val="none"/>
        </w:rPr>
      </w:pPr>
      <w:r>
        <w:rPr>
          <w:color w:val="auto"/>
          <w:sz w:val="24"/>
          <w:szCs w:val="24"/>
          <w:highlight w:val="none"/>
        </w:rPr>
        <w:t xml:space="preserve">  </w:t>
      </w:r>
      <w:bookmarkStart w:id="104" w:name="_Toc32753"/>
      <w:r>
        <w:rPr>
          <w:rFonts w:hint="eastAsia"/>
          <w:color w:val="auto"/>
          <w:sz w:val="24"/>
          <w:szCs w:val="24"/>
          <w:highlight w:val="none"/>
        </w:rPr>
        <w:t>钻井固废处置单位环保手续</w:t>
      </w:r>
      <w:r>
        <w:rPr>
          <w:rFonts w:hint="eastAsia"/>
          <w:color w:val="auto"/>
          <w:sz w:val="24"/>
          <w:szCs w:val="24"/>
          <w:highlight w:val="none"/>
          <w:lang w:val="en-US" w:eastAsia="zh-CN"/>
        </w:rPr>
        <w:t>-</w:t>
      </w:r>
      <w:r>
        <w:rPr>
          <w:rFonts w:hint="eastAsia"/>
          <w:color w:val="auto"/>
          <w:sz w:val="24"/>
          <w:szCs w:val="24"/>
          <w:highlight w:val="none"/>
          <w:lang w:eastAsia="zh-CN"/>
        </w:rPr>
        <w:t>山东奥友环保工程有限责任公司乌苏分公司</w:t>
      </w:r>
      <w:bookmarkEnd w:id="104"/>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28"/>
      </w:tblGrid>
      <w:tr w14:paraId="7318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628" w:type="dxa"/>
          </w:tcPr>
          <w:p w14:paraId="257867A9">
            <w:pPr>
              <w:bidi w:val="0"/>
              <w:ind w:left="0" w:leftChars="0" w:firstLine="0" w:firstLineChars="0"/>
              <w:rPr>
                <w:color w:val="auto"/>
                <w:highlight w:val="none"/>
                <w:vertAlign w:val="baseline"/>
              </w:rPr>
            </w:pPr>
            <w:r>
              <w:rPr>
                <w:rFonts w:hint="eastAsia" w:eastAsia="宋体"/>
                <w:color w:val="auto"/>
                <w:highlight w:val="none"/>
                <w:lang w:eastAsia="zh-CN"/>
              </w:rPr>
              <w:drawing>
                <wp:inline distT="0" distB="0" distL="114300" distR="114300">
                  <wp:extent cx="5969000" cy="8214995"/>
                  <wp:effectExtent l="0" t="0" r="12700" b="14605"/>
                  <wp:docPr id="23" name="图片 23" descr="奥友公司环评批复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奥友公司环评批复_(1)"/>
                          <pic:cNvPicPr>
                            <a:picLocks noChangeAspect="1"/>
                          </pic:cNvPicPr>
                        </pic:nvPicPr>
                        <pic:blipFill>
                          <a:blip r:embed="rId28"/>
                          <a:stretch>
                            <a:fillRect/>
                          </a:stretch>
                        </pic:blipFill>
                        <pic:spPr>
                          <a:xfrm>
                            <a:off x="0" y="0"/>
                            <a:ext cx="5969000" cy="8214995"/>
                          </a:xfrm>
                          <a:prstGeom prst="rect">
                            <a:avLst/>
                          </a:prstGeom>
                        </pic:spPr>
                      </pic:pic>
                    </a:graphicData>
                  </a:graphic>
                </wp:inline>
              </w:drawing>
            </w:r>
          </w:p>
        </w:tc>
      </w:tr>
      <w:tr w14:paraId="41B54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28" w:type="dxa"/>
          </w:tcPr>
          <w:p w14:paraId="7EC82E5C">
            <w:pPr>
              <w:bidi w:val="0"/>
              <w:ind w:left="0" w:leftChars="0" w:firstLine="0" w:firstLineChars="0"/>
              <w:rPr>
                <w:color w:val="auto"/>
                <w:highlight w:val="none"/>
                <w:vertAlign w:val="baseline"/>
              </w:rPr>
            </w:pPr>
            <w:r>
              <w:rPr>
                <w:rFonts w:hint="eastAsia" w:eastAsia="宋体"/>
                <w:color w:val="auto"/>
                <w:highlight w:val="none"/>
                <w:lang w:eastAsia="zh-CN"/>
              </w:rPr>
              <w:drawing>
                <wp:inline distT="0" distB="0" distL="114300" distR="114300">
                  <wp:extent cx="5969000" cy="8214995"/>
                  <wp:effectExtent l="0" t="0" r="12700" b="14605"/>
                  <wp:docPr id="18" name="图片 18" descr="奥友公司环评批复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奥友公司环评批复_(2)"/>
                          <pic:cNvPicPr>
                            <a:picLocks noChangeAspect="1"/>
                          </pic:cNvPicPr>
                        </pic:nvPicPr>
                        <pic:blipFill>
                          <a:blip r:embed="rId29"/>
                          <a:stretch>
                            <a:fillRect/>
                          </a:stretch>
                        </pic:blipFill>
                        <pic:spPr>
                          <a:xfrm>
                            <a:off x="0" y="0"/>
                            <a:ext cx="5969000" cy="8214995"/>
                          </a:xfrm>
                          <a:prstGeom prst="rect">
                            <a:avLst/>
                          </a:prstGeom>
                        </pic:spPr>
                      </pic:pic>
                    </a:graphicData>
                  </a:graphic>
                </wp:inline>
              </w:drawing>
            </w:r>
          </w:p>
        </w:tc>
      </w:tr>
      <w:tr w14:paraId="37B51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28" w:type="dxa"/>
          </w:tcPr>
          <w:p w14:paraId="7D142A43">
            <w:pPr>
              <w:bidi w:val="0"/>
              <w:ind w:left="0" w:leftChars="0" w:firstLine="0" w:firstLineChars="0"/>
              <w:rPr>
                <w:color w:val="auto"/>
                <w:highlight w:val="none"/>
                <w:vertAlign w:val="baseline"/>
              </w:rPr>
            </w:pPr>
            <w:r>
              <w:rPr>
                <w:rFonts w:hint="eastAsia" w:eastAsia="宋体"/>
                <w:color w:val="auto"/>
                <w:highlight w:val="none"/>
                <w:lang w:eastAsia="zh-CN"/>
              </w:rPr>
              <w:drawing>
                <wp:inline distT="0" distB="0" distL="114300" distR="114300">
                  <wp:extent cx="5969000" cy="8214995"/>
                  <wp:effectExtent l="0" t="0" r="12700" b="14605"/>
                  <wp:docPr id="15" name="图片 15" descr="奥友公司环评批复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奥友公司环评批复_(3)"/>
                          <pic:cNvPicPr>
                            <a:picLocks noChangeAspect="1"/>
                          </pic:cNvPicPr>
                        </pic:nvPicPr>
                        <pic:blipFill>
                          <a:blip r:embed="rId30"/>
                          <a:stretch>
                            <a:fillRect/>
                          </a:stretch>
                        </pic:blipFill>
                        <pic:spPr>
                          <a:xfrm>
                            <a:off x="0" y="0"/>
                            <a:ext cx="5969000" cy="8214995"/>
                          </a:xfrm>
                          <a:prstGeom prst="rect">
                            <a:avLst/>
                          </a:prstGeom>
                        </pic:spPr>
                      </pic:pic>
                    </a:graphicData>
                  </a:graphic>
                </wp:inline>
              </w:drawing>
            </w:r>
          </w:p>
        </w:tc>
      </w:tr>
      <w:tr w14:paraId="452B8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28" w:type="dxa"/>
          </w:tcPr>
          <w:p w14:paraId="73A12DC6">
            <w:pPr>
              <w:bidi w:val="0"/>
              <w:ind w:left="0" w:leftChars="0" w:firstLine="0" w:firstLineChars="0"/>
              <w:rPr>
                <w:color w:val="auto"/>
                <w:highlight w:val="none"/>
                <w:vertAlign w:val="baseline"/>
              </w:rPr>
            </w:pPr>
            <w:r>
              <w:rPr>
                <w:rFonts w:hint="eastAsia" w:eastAsia="宋体"/>
                <w:color w:val="auto"/>
                <w:highlight w:val="none"/>
                <w:lang w:eastAsia="zh-CN"/>
              </w:rPr>
              <w:drawing>
                <wp:inline distT="0" distB="0" distL="114300" distR="114300">
                  <wp:extent cx="5969000" cy="8214995"/>
                  <wp:effectExtent l="0" t="0" r="12700" b="14605"/>
                  <wp:docPr id="14" name="图片 14" descr="奥友公司环评批复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奥友公司环评批复_(4)"/>
                          <pic:cNvPicPr>
                            <a:picLocks noChangeAspect="1"/>
                          </pic:cNvPicPr>
                        </pic:nvPicPr>
                        <pic:blipFill>
                          <a:blip r:embed="rId31"/>
                          <a:stretch>
                            <a:fillRect/>
                          </a:stretch>
                        </pic:blipFill>
                        <pic:spPr>
                          <a:xfrm>
                            <a:off x="0" y="0"/>
                            <a:ext cx="5969000" cy="8214995"/>
                          </a:xfrm>
                          <a:prstGeom prst="rect">
                            <a:avLst/>
                          </a:prstGeom>
                        </pic:spPr>
                      </pic:pic>
                    </a:graphicData>
                  </a:graphic>
                </wp:inline>
              </w:drawing>
            </w:r>
          </w:p>
        </w:tc>
      </w:tr>
    </w:tbl>
    <w:p w14:paraId="44089668">
      <w:pPr>
        <w:bidi w:val="0"/>
        <w:rPr>
          <w:color w:val="auto"/>
          <w:highlight w:val="none"/>
        </w:rPr>
      </w:pPr>
    </w:p>
    <w:p w14:paraId="5206FC10">
      <w:pPr>
        <w:pStyle w:val="91"/>
        <w:rPr>
          <w:rFonts w:hint="eastAsia" w:eastAsia="宋体"/>
          <w:color w:val="auto"/>
          <w:highlight w:val="none"/>
          <w:lang w:eastAsia="zh-CN"/>
        </w:rPr>
      </w:pPr>
    </w:p>
    <w:p w14:paraId="44BAF394">
      <w:pPr>
        <w:pStyle w:val="3"/>
        <w:ind w:firstLine="0" w:firstLineChars="0"/>
        <w:rPr>
          <w:color w:val="auto"/>
          <w:highlight w:val="none"/>
        </w:rPr>
      </w:pPr>
      <w:r>
        <w:rPr>
          <w:color w:val="auto"/>
          <w:highlight w:val="none"/>
        </w:rPr>
        <w:br w:type="page"/>
      </w:r>
    </w:p>
    <w:p w14:paraId="531F55CC">
      <w:pPr>
        <w:pStyle w:val="63"/>
        <w:rPr>
          <w:color w:val="auto"/>
          <w:sz w:val="24"/>
          <w:szCs w:val="24"/>
          <w:highlight w:val="none"/>
        </w:rPr>
      </w:pPr>
      <w:r>
        <w:rPr>
          <w:rFonts w:hint="eastAsia"/>
          <w:color w:val="auto"/>
          <w:sz w:val="24"/>
          <w:szCs w:val="24"/>
          <w:highlight w:val="none"/>
        </w:rPr>
        <w:t xml:space="preserve"> </w:t>
      </w:r>
      <w:r>
        <w:rPr>
          <w:color w:val="auto"/>
          <w:sz w:val="24"/>
          <w:szCs w:val="24"/>
          <w:highlight w:val="none"/>
        </w:rPr>
        <w:t xml:space="preserve"> </w:t>
      </w:r>
      <w:bookmarkStart w:id="105" w:name="_Ref205915210"/>
      <w:bookmarkStart w:id="106" w:name="_Toc23971"/>
      <w:bookmarkStart w:id="107" w:name="_Toc2902"/>
      <w:r>
        <w:rPr>
          <w:rFonts w:hint="eastAsia"/>
          <w:color w:val="auto"/>
          <w:sz w:val="24"/>
          <w:szCs w:val="24"/>
          <w:highlight w:val="none"/>
        </w:rPr>
        <w:t>春风油田环境影响后评价报告书备案意见</w:t>
      </w:r>
      <w:bookmarkEnd w:id="105"/>
      <w:bookmarkEnd w:id="106"/>
      <w:bookmarkEnd w:id="107"/>
    </w:p>
    <w:p w14:paraId="742B5590">
      <w:pPr>
        <w:pStyle w:val="3"/>
        <w:ind w:firstLine="0" w:firstLineChars="0"/>
        <w:jc w:val="center"/>
        <w:rPr>
          <w:color w:val="auto"/>
          <w:highlight w:val="none"/>
        </w:rPr>
      </w:pPr>
      <w:r>
        <w:rPr>
          <w:color w:val="auto"/>
          <w:highlight w:val="none"/>
        </w:rPr>
        <w:drawing>
          <wp:inline distT="0" distB="0" distL="0" distR="0">
            <wp:extent cx="5568315" cy="8529955"/>
            <wp:effectExtent l="0" t="0" r="19685"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2"/>
                    <a:stretch>
                      <a:fillRect/>
                    </a:stretch>
                  </pic:blipFill>
                  <pic:spPr>
                    <a:xfrm>
                      <a:off x="0" y="0"/>
                      <a:ext cx="5568315" cy="8529955"/>
                    </a:xfrm>
                    <a:prstGeom prst="rect">
                      <a:avLst/>
                    </a:prstGeom>
                  </pic:spPr>
                </pic:pic>
              </a:graphicData>
            </a:graphic>
          </wp:inline>
        </w:drawing>
      </w:r>
    </w:p>
    <w:p w14:paraId="3D7E6914">
      <w:pPr>
        <w:pStyle w:val="3"/>
        <w:ind w:firstLine="0" w:firstLineChars="0"/>
        <w:jc w:val="center"/>
        <w:rPr>
          <w:color w:val="auto"/>
          <w:highlight w:val="none"/>
        </w:rPr>
      </w:pPr>
      <w:r>
        <w:rPr>
          <w:color w:val="auto"/>
          <w:highlight w:val="none"/>
        </w:rPr>
        <w:drawing>
          <wp:inline distT="0" distB="0" distL="0" distR="0">
            <wp:extent cx="5842000" cy="8538845"/>
            <wp:effectExtent l="0" t="0" r="0" b="209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3"/>
                    <a:stretch>
                      <a:fillRect/>
                    </a:stretch>
                  </pic:blipFill>
                  <pic:spPr>
                    <a:xfrm>
                      <a:off x="0" y="0"/>
                      <a:ext cx="5842000" cy="8538845"/>
                    </a:xfrm>
                    <a:prstGeom prst="rect">
                      <a:avLst/>
                    </a:prstGeom>
                  </pic:spPr>
                </pic:pic>
              </a:graphicData>
            </a:graphic>
          </wp:inline>
        </w:drawing>
      </w:r>
    </w:p>
    <w:p w14:paraId="3591F02B">
      <w:pPr>
        <w:pStyle w:val="3"/>
        <w:ind w:firstLine="0" w:firstLineChars="0"/>
        <w:jc w:val="center"/>
        <w:rPr>
          <w:color w:val="auto"/>
          <w:highlight w:val="none"/>
        </w:rPr>
        <w:sectPr>
          <w:pgSz w:w="11906" w:h="16838"/>
          <w:pgMar w:top="1247" w:right="1247" w:bottom="1247" w:left="1247" w:header="1021" w:footer="851" w:gutter="0"/>
          <w:cols w:space="425" w:num="1"/>
          <w:docGrid w:type="lines" w:linePitch="312" w:charSpace="0"/>
        </w:sectPr>
      </w:pPr>
    </w:p>
    <w:p w14:paraId="21C5251C">
      <w:pPr>
        <w:pStyle w:val="67"/>
        <w:rPr>
          <w:color w:val="auto"/>
          <w:highlight w:val="none"/>
        </w:rPr>
      </w:pPr>
      <w:bookmarkStart w:id="108" w:name="_Ref109145152"/>
      <w:r>
        <w:rPr>
          <w:rFonts w:hint="eastAsia"/>
          <w:color w:val="auto"/>
          <w:highlight w:val="none"/>
        </w:rPr>
        <w:t xml:space="preserve"> </w:t>
      </w:r>
      <w:r>
        <w:rPr>
          <w:color w:val="auto"/>
          <w:highlight w:val="none"/>
        </w:rPr>
        <w:t xml:space="preserve"> </w:t>
      </w:r>
      <w:bookmarkStart w:id="109" w:name="_Toc25157"/>
      <w:bookmarkStart w:id="110" w:name="_Toc123"/>
      <w:r>
        <w:rPr>
          <w:rFonts w:hint="eastAsia"/>
          <w:color w:val="auto"/>
          <w:highlight w:val="none"/>
        </w:rPr>
        <w:t>地理位置图</w:t>
      </w:r>
      <w:bookmarkEnd w:id="108"/>
      <w:bookmarkEnd w:id="109"/>
      <w:bookmarkEnd w:id="110"/>
    </w:p>
    <w:p w14:paraId="232D6B68">
      <w:pPr>
        <w:pStyle w:val="3"/>
        <w:ind w:firstLine="0" w:firstLineChars="0"/>
        <w:rPr>
          <w:color w:val="auto"/>
          <w:highlight w:val="none"/>
        </w:rPr>
      </w:pPr>
      <w:r>
        <w:rPr>
          <w:color w:val="auto"/>
          <w:highlight w:val="none"/>
        </w:rPr>
        <w:object>
          <v:shape id="_x0000_i1027" o:spt="75" type="#_x0000_t75" style="height:669.2pt;width:470.45pt;" o:ole="t" filled="f" o:preferrelative="t" stroked="f" coordsize="21600,21600">
            <v:path/>
            <v:fill on="f" focussize="0,0"/>
            <v:stroke on="f"/>
            <v:imagedata r:id="rId35" o:title=""/>
            <o:lock v:ext="edit" aspectratio="f"/>
            <w10:wrap type="none"/>
            <w10:anchorlock/>
          </v:shape>
          <o:OLEObject Type="Embed" ProgID="Visio.Drawing.15" ShapeID="_x0000_i1027" DrawAspect="Content" ObjectID="_1468075727" r:id="rId34">
            <o:LockedField>false</o:LockedField>
          </o:OLEObject>
        </w:object>
      </w:r>
    </w:p>
    <w:p w14:paraId="207E2C28">
      <w:pPr>
        <w:pStyle w:val="3"/>
        <w:ind w:firstLine="0" w:firstLineChars="0"/>
        <w:rPr>
          <w:color w:val="auto"/>
          <w:highlight w:val="none"/>
        </w:rPr>
      </w:pPr>
    </w:p>
    <w:p w14:paraId="0731BFE4">
      <w:pPr>
        <w:pStyle w:val="67"/>
        <w:rPr>
          <w:color w:val="auto"/>
          <w:highlight w:val="none"/>
        </w:rPr>
        <w:sectPr>
          <w:pgSz w:w="11906" w:h="16838"/>
          <w:pgMar w:top="1247" w:right="1247" w:bottom="1247" w:left="1247" w:header="1021" w:footer="851" w:gutter="0"/>
          <w:cols w:space="425" w:num="1"/>
          <w:docGrid w:type="lines" w:linePitch="312" w:charSpace="0"/>
        </w:sectPr>
      </w:pPr>
    </w:p>
    <w:p w14:paraId="2370B6ED">
      <w:pPr>
        <w:pStyle w:val="67"/>
        <w:rPr>
          <w:color w:val="auto"/>
          <w:highlight w:val="none"/>
        </w:rPr>
      </w:pPr>
      <w:r>
        <w:rPr>
          <w:rFonts w:hint="eastAsia"/>
          <w:color w:val="auto"/>
          <w:highlight w:val="none"/>
        </w:rPr>
        <w:t xml:space="preserve"> </w:t>
      </w:r>
      <w:r>
        <w:rPr>
          <w:color w:val="auto"/>
          <w:highlight w:val="none"/>
        </w:rPr>
        <w:t xml:space="preserve"> </w:t>
      </w:r>
      <w:bookmarkStart w:id="111" w:name="_Toc10676"/>
      <w:bookmarkStart w:id="112" w:name="_Ref206424480"/>
      <w:bookmarkStart w:id="113" w:name="_Toc28902"/>
      <w:r>
        <w:rPr>
          <w:rFonts w:hint="eastAsia"/>
          <w:color w:val="auto"/>
          <w:highlight w:val="none"/>
        </w:rPr>
        <w:t>项目场地总布置图</w:t>
      </w:r>
      <w:bookmarkEnd w:id="111"/>
      <w:bookmarkEnd w:id="112"/>
      <w:bookmarkEnd w:id="113"/>
    </w:p>
    <w:p w14:paraId="36266502">
      <w:pPr>
        <w:pStyle w:val="3"/>
        <w:ind w:firstLine="0" w:firstLineChars="0"/>
        <w:rPr>
          <w:color w:val="auto"/>
          <w:highlight w:val="none"/>
        </w:rPr>
      </w:pPr>
      <w:r>
        <w:rPr>
          <w:color w:val="auto"/>
          <w:highlight w:val="none"/>
        </w:rPr>
        <w:drawing>
          <wp:inline distT="0" distB="0" distL="114300" distR="114300">
            <wp:extent cx="9106535" cy="5626735"/>
            <wp:effectExtent l="0" t="0" r="18415" b="12065"/>
            <wp:docPr id="20" name="图片 20" descr="董深斜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董深斜2"/>
                    <pic:cNvPicPr>
                      <a:picLocks noChangeAspect="1"/>
                    </pic:cNvPicPr>
                  </pic:nvPicPr>
                  <pic:blipFill>
                    <a:blip r:embed="rId36"/>
                    <a:stretch>
                      <a:fillRect/>
                    </a:stretch>
                  </pic:blipFill>
                  <pic:spPr>
                    <a:xfrm>
                      <a:off x="0" y="0"/>
                      <a:ext cx="9106535" cy="5626735"/>
                    </a:xfrm>
                    <a:prstGeom prst="rect">
                      <a:avLst/>
                    </a:prstGeom>
                  </pic:spPr>
                </pic:pic>
              </a:graphicData>
            </a:graphic>
          </wp:inline>
        </w:drawing>
      </w:r>
    </w:p>
    <w:p w14:paraId="79FDDF6E">
      <w:pPr>
        <w:pStyle w:val="3"/>
        <w:ind w:firstLine="0" w:firstLineChars="0"/>
        <w:rPr>
          <w:color w:val="auto"/>
          <w:highlight w:val="none"/>
        </w:rPr>
        <w:sectPr>
          <w:pgSz w:w="16838" w:h="11906" w:orient="landscape"/>
          <w:pgMar w:top="1247" w:right="1247" w:bottom="1247" w:left="1247" w:header="1021" w:footer="850" w:gutter="0"/>
          <w:cols w:space="0" w:num="1"/>
          <w:docGrid w:type="lines" w:linePitch="313" w:charSpace="0"/>
        </w:sectPr>
      </w:pPr>
    </w:p>
    <w:p w14:paraId="532B62DC">
      <w:pPr>
        <w:pStyle w:val="67"/>
        <w:rPr>
          <w:color w:val="auto"/>
          <w:highlight w:val="none"/>
        </w:rPr>
      </w:pPr>
      <w:r>
        <w:rPr>
          <w:rFonts w:hint="eastAsia"/>
          <w:color w:val="auto"/>
          <w:highlight w:val="none"/>
        </w:rPr>
        <w:t xml:space="preserve"> </w:t>
      </w:r>
      <w:r>
        <w:rPr>
          <w:color w:val="auto"/>
          <w:highlight w:val="none"/>
        </w:rPr>
        <w:t xml:space="preserve"> </w:t>
      </w:r>
      <w:bookmarkStart w:id="114" w:name="_Ref206064875"/>
      <w:bookmarkStart w:id="115" w:name="_Toc10549"/>
      <w:bookmarkStart w:id="116" w:name="_Toc12348"/>
      <w:r>
        <w:rPr>
          <w:rFonts w:hint="eastAsia"/>
          <w:color w:val="auto"/>
          <w:highlight w:val="none"/>
        </w:rPr>
        <w:t>施工总</w:t>
      </w:r>
      <w:r>
        <w:rPr>
          <w:rFonts w:hint="eastAsia" w:cs="黑体"/>
          <w:color w:val="auto"/>
          <w:szCs w:val="24"/>
          <w:highlight w:val="none"/>
        </w:rPr>
        <w:t>布置图</w:t>
      </w:r>
      <w:bookmarkEnd w:id="114"/>
      <w:r>
        <w:rPr>
          <w:rStyle w:val="33"/>
          <w:rFonts w:hint="eastAsia" w:cs="黑体"/>
          <w:color w:val="auto"/>
          <w:sz w:val="24"/>
          <w:szCs w:val="24"/>
          <w:highlight w:val="none"/>
        </w:rPr>
        <w:t>（钻井期）</w:t>
      </w:r>
      <w:bookmarkEnd w:id="115"/>
      <w:bookmarkEnd w:id="116"/>
    </w:p>
    <w:p w14:paraId="427C835D">
      <w:pPr>
        <w:pStyle w:val="3"/>
        <w:ind w:firstLine="0" w:firstLineChars="0"/>
        <w:rPr>
          <w:color w:val="auto"/>
          <w:highlight w:val="none"/>
        </w:rPr>
      </w:pPr>
      <w:r>
        <w:rPr>
          <w:color w:val="auto"/>
          <w:highlight w:val="none"/>
        </w:rPr>
        <w:drawing>
          <wp:inline distT="0" distB="0" distL="114300" distR="114300">
            <wp:extent cx="5951855" cy="7496810"/>
            <wp:effectExtent l="0" t="0" r="17145" b="21590"/>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37"/>
                    <a:stretch>
                      <a:fillRect/>
                    </a:stretch>
                  </pic:blipFill>
                  <pic:spPr>
                    <a:xfrm>
                      <a:off x="0" y="0"/>
                      <a:ext cx="5951855" cy="7496810"/>
                    </a:xfrm>
                    <a:prstGeom prst="rect">
                      <a:avLst/>
                    </a:prstGeom>
                    <a:noFill/>
                    <a:ln>
                      <a:noFill/>
                    </a:ln>
                  </pic:spPr>
                </pic:pic>
              </a:graphicData>
            </a:graphic>
          </wp:inline>
        </w:drawing>
      </w:r>
    </w:p>
    <w:p w14:paraId="3DC860C6">
      <w:pPr>
        <w:pStyle w:val="3"/>
        <w:ind w:firstLine="0" w:firstLineChars="0"/>
        <w:rPr>
          <w:color w:val="auto"/>
          <w:highlight w:val="none"/>
        </w:rPr>
      </w:pPr>
      <w:r>
        <w:rPr>
          <w:color w:val="auto"/>
          <w:highlight w:val="none"/>
        </w:rPr>
        <w:drawing>
          <wp:inline distT="0" distB="0" distL="114300" distR="114300">
            <wp:extent cx="1994535" cy="320675"/>
            <wp:effectExtent l="0" t="0" r="12065" b="9525"/>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38"/>
                    <a:stretch>
                      <a:fillRect/>
                    </a:stretch>
                  </pic:blipFill>
                  <pic:spPr>
                    <a:xfrm>
                      <a:off x="0" y="0"/>
                      <a:ext cx="1994535" cy="320675"/>
                    </a:xfrm>
                    <a:prstGeom prst="rect">
                      <a:avLst/>
                    </a:prstGeom>
                    <a:noFill/>
                    <a:ln>
                      <a:noFill/>
                    </a:ln>
                  </pic:spPr>
                </pic:pic>
              </a:graphicData>
            </a:graphic>
          </wp:inline>
        </w:drawing>
      </w:r>
    </w:p>
    <w:p w14:paraId="4B356B8A">
      <w:pPr>
        <w:pStyle w:val="3"/>
        <w:ind w:firstLine="0" w:firstLineChars="0"/>
        <w:rPr>
          <w:color w:val="auto"/>
          <w:highlight w:val="none"/>
        </w:rPr>
      </w:pPr>
    </w:p>
    <w:p w14:paraId="5B6B5E47">
      <w:pPr>
        <w:pStyle w:val="3"/>
        <w:ind w:firstLine="0" w:firstLineChars="0"/>
        <w:rPr>
          <w:color w:val="auto"/>
          <w:highlight w:val="none"/>
        </w:rPr>
        <w:sectPr>
          <w:pgSz w:w="11906" w:h="16838"/>
          <w:pgMar w:top="1247" w:right="1247" w:bottom="1247" w:left="1247" w:header="1021" w:footer="851" w:gutter="0"/>
          <w:cols w:space="425" w:num="1"/>
          <w:docGrid w:type="lines" w:linePitch="312" w:charSpace="0"/>
        </w:sectPr>
      </w:pPr>
    </w:p>
    <w:p w14:paraId="410CBF22">
      <w:pPr>
        <w:pStyle w:val="67"/>
        <w:rPr>
          <w:color w:val="auto"/>
          <w:highlight w:val="none"/>
        </w:rPr>
      </w:pPr>
      <w:bookmarkStart w:id="117" w:name="_Ref19610"/>
      <w:r>
        <w:rPr>
          <w:rFonts w:hint="eastAsia"/>
          <w:color w:val="auto"/>
          <w:highlight w:val="none"/>
        </w:rPr>
        <w:t xml:space="preserve"> </w:t>
      </w:r>
      <w:r>
        <w:rPr>
          <w:color w:val="auto"/>
          <w:highlight w:val="none"/>
        </w:rPr>
        <w:t xml:space="preserve"> </w:t>
      </w:r>
      <w:bookmarkStart w:id="118" w:name="_Toc5288"/>
      <w:bookmarkStart w:id="119" w:name="_Toc28347"/>
      <w:r>
        <w:rPr>
          <w:rFonts w:hint="eastAsia"/>
          <w:color w:val="auto"/>
          <w:highlight w:val="none"/>
        </w:rPr>
        <w:t>施工总</w:t>
      </w:r>
      <w:r>
        <w:rPr>
          <w:rFonts w:hint="eastAsia" w:cs="黑体"/>
          <w:color w:val="auto"/>
          <w:szCs w:val="24"/>
          <w:highlight w:val="none"/>
        </w:rPr>
        <w:t>布置图</w:t>
      </w:r>
      <w:r>
        <w:rPr>
          <w:rStyle w:val="33"/>
          <w:rFonts w:hint="eastAsia" w:cs="黑体"/>
          <w:color w:val="auto"/>
          <w:sz w:val="24"/>
          <w:szCs w:val="24"/>
          <w:highlight w:val="none"/>
        </w:rPr>
        <w:t>（试油期）</w:t>
      </w:r>
      <w:bookmarkEnd w:id="117"/>
      <w:bookmarkEnd w:id="118"/>
      <w:bookmarkEnd w:id="119"/>
    </w:p>
    <w:p w14:paraId="2C2FF82E">
      <w:pPr>
        <w:pStyle w:val="3"/>
        <w:ind w:firstLine="0" w:firstLineChars="0"/>
        <w:rPr>
          <w:color w:val="auto"/>
          <w:highlight w:val="none"/>
        </w:rPr>
      </w:pPr>
      <w:r>
        <w:rPr>
          <w:color w:val="auto"/>
          <w:highlight w:val="none"/>
        </w:rPr>
        <w:drawing>
          <wp:inline distT="0" distB="0" distL="114300" distR="114300">
            <wp:extent cx="5895340" cy="6278245"/>
            <wp:effectExtent l="0" t="0" r="10160" b="8255"/>
            <wp:docPr id="2" name="图片 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2"/>
                    <pic:cNvPicPr>
                      <a:picLocks noChangeAspect="1"/>
                    </pic:cNvPicPr>
                  </pic:nvPicPr>
                  <pic:blipFill>
                    <a:blip r:embed="rId39"/>
                    <a:stretch>
                      <a:fillRect/>
                    </a:stretch>
                  </pic:blipFill>
                  <pic:spPr>
                    <a:xfrm>
                      <a:off x="0" y="0"/>
                      <a:ext cx="5895340" cy="6278245"/>
                    </a:xfrm>
                    <a:prstGeom prst="rect">
                      <a:avLst/>
                    </a:prstGeom>
                  </pic:spPr>
                </pic:pic>
              </a:graphicData>
            </a:graphic>
          </wp:inline>
        </w:drawing>
      </w:r>
      <w:r>
        <w:rPr>
          <w:color w:val="auto"/>
          <w:highlight w:val="none"/>
        </w:rPr>
        <w:drawing>
          <wp:inline distT="0" distB="0" distL="114300" distR="114300">
            <wp:extent cx="1395095" cy="224155"/>
            <wp:effectExtent l="0" t="0" r="14605" b="4445"/>
            <wp:docPr id="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
                    <pic:cNvPicPr>
                      <a:picLocks noChangeAspect="1"/>
                    </pic:cNvPicPr>
                  </pic:nvPicPr>
                  <pic:blipFill>
                    <a:blip r:embed="rId38"/>
                    <a:stretch>
                      <a:fillRect/>
                    </a:stretch>
                  </pic:blipFill>
                  <pic:spPr>
                    <a:xfrm>
                      <a:off x="0" y="0"/>
                      <a:ext cx="1395095" cy="224155"/>
                    </a:xfrm>
                    <a:prstGeom prst="rect">
                      <a:avLst/>
                    </a:prstGeom>
                    <a:noFill/>
                    <a:ln>
                      <a:noFill/>
                    </a:ln>
                  </pic:spPr>
                </pic:pic>
              </a:graphicData>
            </a:graphic>
          </wp:inline>
        </w:drawing>
      </w:r>
    </w:p>
    <w:p w14:paraId="4750D460">
      <w:pPr>
        <w:pStyle w:val="3"/>
        <w:ind w:firstLine="0" w:firstLineChars="0"/>
        <w:rPr>
          <w:color w:val="auto"/>
          <w:highlight w:val="none"/>
        </w:rPr>
        <w:sectPr>
          <w:pgSz w:w="11906" w:h="16838"/>
          <w:pgMar w:top="1247" w:right="1247" w:bottom="1247" w:left="1247" w:header="1021" w:footer="851" w:gutter="0"/>
          <w:cols w:space="425" w:num="1"/>
          <w:docGrid w:type="lines" w:linePitch="312" w:charSpace="0"/>
        </w:sectPr>
      </w:pPr>
    </w:p>
    <w:p w14:paraId="02F054A6">
      <w:pPr>
        <w:pStyle w:val="67"/>
        <w:rPr>
          <w:color w:val="auto"/>
          <w:highlight w:val="none"/>
        </w:rPr>
      </w:pPr>
      <w:r>
        <w:rPr>
          <w:rFonts w:hint="eastAsia"/>
          <w:color w:val="auto"/>
          <w:highlight w:val="none"/>
        </w:rPr>
        <w:t xml:space="preserve"> </w:t>
      </w:r>
      <w:r>
        <w:rPr>
          <w:color w:val="auto"/>
          <w:highlight w:val="none"/>
        </w:rPr>
        <w:t xml:space="preserve"> </w:t>
      </w:r>
      <w:bookmarkStart w:id="120" w:name="_Toc17191"/>
      <w:bookmarkStart w:id="121" w:name="_Toc11736"/>
      <w:r>
        <w:rPr>
          <w:rFonts w:hint="eastAsia"/>
          <w:color w:val="auto"/>
          <w:highlight w:val="none"/>
        </w:rPr>
        <w:t>植被类型分布图</w:t>
      </w:r>
      <w:bookmarkEnd w:id="120"/>
      <w:bookmarkEnd w:id="121"/>
    </w:p>
    <w:p w14:paraId="58EC1BC0">
      <w:pPr>
        <w:bidi w:val="0"/>
        <w:rPr>
          <w:color w:val="auto"/>
          <w:highlight w:val="none"/>
        </w:rPr>
      </w:pPr>
      <w:r>
        <w:rPr>
          <w:color w:val="auto"/>
          <w:highlight w:val="none"/>
        </w:rPr>
        <w:object>
          <v:shape id="_x0000_i1028" o:spt="75" type="#_x0000_t75" style="height:434.35pt;width:706.85pt;" o:ole="t" filled="f" o:preferrelative="t" stroked="f" coordsize="21600,21600">
            <v:path/>
            <v:fill on="f" focussize="0,0"/>
            <v:stroke on="f"/>
            <v:imagedata r:id="rId41" o:title=""/>
            <o:lock v:ext="edit" aspectratio="f"/>
            <w10:wrap type="none"/>
            <w10:anchorlock/>
          </v:shape>
          <o:OLEObject Type="Embed" ProgID="Visio.Drawing.15" ShapeID="_x0000_i1028" DrawAspect="Content" ObjectID="_1468075728" r:id="rId40">
            <o:LockedField>false</o:LockedField>
          </o:OLEObject>
        </w:object>
      </w:r>
    </w:p>
    <w:p w14:paraId="74F17E79">
      <w:pPr>
        <w:pStyle w:val="3"/>
        <w:ind w:firstLine="0" w:firstLineChars="0"/>
        <w:rPr>
          <w:color w:val="auto"/>
          <w:highlight w:val="none"/>
        </w:rPr>
        <w:sectPr>
          <w:pgSz w:w="16838" w:h="11906" w:orient="landscape"/>
          <w:pgMar w:top="1247" w:right="1247" w:bottom="1247" w:left="1247" w:header="1021" w:footer="851" w:gutter="0"/>
          <w:cols w:space="425" w:num="1"/>
          <w:docGrid w:type="lines" w:linePitch="312" w:charSpace="0"/>
        </w:sectPr>
      </w:pPr>
    </w:p>
    <w:p w14:paraId="634E2B36">
      <w:pPr>
        <w:pStyle w:val="67"/>
        <w:rPr>
          <w:color w:val="auto"/>
          <w:highlight w:val="none"/>
        </w:rPr>
      </w:pPr>
      <w:r>
        <w:rPr>
          <w:rFonts w:hint="eastAsia"/>
          <w:color w:val="auto"/>
          <w:highlight w:val="none"/>
        </w:rPr>
        <w:t xml:space="preserve"> </w:t>
      </w:r>
      <w:r>
        <w:rPr>
          <w:color w:val="auto"/>
          <w:highlight w:val="none"/>
        </w:rPr>
        <w:t xml:space="preserve"> </w:t>
      </w:r>
      <w:bookmarkStart w:id="122" w:name="_Toc17245"/>
      <w:bookmarkStart w:id="123" w:name="_Toc3595"/>
      <w:r>
        <w:rPr>
          <w:rFonts w:hint="eastAsia"/>
          <w:color w:val="auto"/>
          <w:highlight w:val="none"/>
        </w:rPr>
        <w:t>生态环境保护措施平面布置图</w:t>
      </w:r>
      <w:bookmarkEnd w:id="122"/>
      <w:bookmarkEnd w:id="123"/>
    </w:p>
    <w:p w14:paraId="48CEE1FA">
      <w:pPr>
        <w:ind w:firstLine="420"/>
        <w:rPr>
          <w:color w:val="auto"/>
          <w:highlight w:val="none"/>
        </w:rPr>
        <w:sectPr>
          <w:pgSz w:w="16838" w:h="11906" w:orient="landscape"/>
          <w:pgMar w:top="1247" w:right="1247" w:bottom="1247" w:left="1247" w:header="1021" w:footer="850" w:gutter="0"/>
          <w:cols w:space="0" w:num="1"/>
          <w:docGrid w:type="lines" w:linePitch="313" w:charSpace="0"/>
        </w:sectPr>
      </w:pPr>
      <w:r>
        <w:rPr>
          <w:color w:val="auto"/>
          <w:highlight w:val="none"/>
        </w:rPr>
        <w:object>
          <v:shape id="_x0000_i1029" o:spt="75" type="#_x0000_t75" style="height:443.5pt;width:716.45pt;" o:ole="t" filled="f" o:preferrelative="t" stroked="f" coordsize="21600,21600">
            <v:path/>
            <v:fill on="f" focussize="0,0"/>
            <v:stroke on="f" joinstyle="miter"/>
            <v:imagedata r:id="rId43" o:title=""/>
            <o:lock v:ext="edit" aspectratio="f"/>
            <w10:wrap type="none"/>
            <w10:anchorlock/>
          </v:shape>
          <o:OLEObject Type="Embed" ProgID="Visio.Drawing.15" ShapeID="_x0000_i1029" DrawAspect="Content" ObjectID="_1468075729" r:id="rId42">
            <o:LockedField>false</o:LockedField>
          </o:OLEObject>
        </w:object>
      </w:r>
    </w:p>
    <w:p w14:paraId="5EE568FB">
      <w:pPr>
        <w:pStyle w:val="67"/>
        <w:rPr>
          <w:color w:val="auto"/>
          <w:highlight w:val="none"/>
        </w:rPr>
      </w:pPr>
      <w:r>
        <w:rPr>
          <w:rFonts w:hint="eastAsia"/>
          <w:color w:val="auto"/>
          <w:highlight w:val="none"/>
        </w:rPr>
        <w:t xml:space="preserve"> </w:t>
      </w:r>
      <w:r>
        <w:rPr>
          <w:color w:val="auto"/>
          <w:highlight w:val="none"/>
        </w:rPr>
        <w:t xml:space="preserve"> </w:t>
      </w:r>
      <w:bookmarkStart w:id="124" w:name="_Toc17537"/>
      <w:bookmarkStart w:id="125" w:name="_Toc6786"/>
      <w:r>
        <w:rPr>
          <w:rFonts w:hint="eastAsia"/>
          <w:color w:val="auto"/>
          <w:highlight w:val="none"/>
        </w:rPr>
        <w:t>环境管控单元图</w:t>
      </w:r>
      <w:bookmarkEnd w:id="124"/>
      <w:bookmarkEnd w:id="125"/>
    </w:p>
    <w:p w14:paraId="57117C9B">
      <w:pPr>
        <w:pStyle w:val="3"/>
        <w:ind w:firstLine="0" w:firstLineChars="0"/>
        <w:rPr>
          <w:color w:val="auto"/>
          <w:highlight w:val="none"/>
        </w:rPr>
      </w:pPr>
      <w:r>
        <w:rPr>
          <w:color w:val="auto"/>
          <w:highlight w:val="none"/>
        </w:rPr>
        <w:object>
          <v:shape id="_x0000_i1030" o:spt="75" type="#_x0000_t75" style="height:416.55pt;width:738.1pt;" o:ole="t" filled="f" o:preferrelative="t" stroked="f" coordsize="21600,21600">
            <v:path/>
            <v:fill on="f" focussize="0,0"/>
            <v:stroke on="f" joinstyle="miter"/>
            <v:imagedata r:id="rId45" o:title=""/>
            <o:lock v:ext="edit" aspectratio="f"/>
            <w10:wrap type="none"/>
            <w10:anchorlock/>
          </v:shape>
          <o:OLEObject Type="Embed" ProgID="Visio.Drawing.15" ShapeID="_x0000_i1030" DrawAspect="Content" ObjectID="_1468075730" r:id="rId44">
            <o:LockedField>false</o:LockedField>
          </o:OLEObject>
        </w:object>
      </w:r>
    </w:p>
    <w:p w14:paraId="21F95235">
      <w:pPr>
        <w:pStyle w:val="3"/>
        <w:ind w:firstLine="0" w:firstLineChars="0"/>
        <w:jc w:val="center"/>
        <w:rPr>
          <w:color w:val="auto"/>
          <w:highlight w:val="none"/>
        </w:rPr>
        <w:sectPr>
          <w:pgSz w:w="16838" w:h="11906" w:orient="landscape"/>
          <w:pgMar w:top="1247" w:right="1247" w:bottom="1247" w:left="1247" w:header="1021" w:footer="851" w:gutter="0"/>
          <w:cols w:space="425" w:num="1"/>
          <w:docGrid w:type="lines" w:linePitch="312" w:charSpace="0"/>
        </w:sectPr>
      </w:pPr>
    </w:p>
    <w:p w14:paraId="421974E6">
      <w:pPr>
        <w:pStyle w:val="67"/>
        <w:rPr>
          <w:color w:val="auto"/>
          <w:highlight w:val="none"/>
        </w:rPr>
      </w:pPr>
      <w:r>
        <w:rPr>
          <w:rFonts w:hint="eastAsia"/>
          <w:color w:val="auto"/>
          <w:highlight w:val="none"/>
          <w:lang w:val="en-US" w:eastAsia="zh-CN"/>
        </w:rPr>
        <w:t xml:space="preserve"> </w:t>
      </w:r>
      <w:bookmarkStart w:id="126" w:name="_Toc3373"/>
      <w:r>
        <w:rPr>
          <w:rFonts w:hint="eastAsia"/>
          <w:color w:val="auto"/>
          <w:highlight w:val="none"/>
          <w:lang w:val="en-US" w:eastAsia="zh-CN"/>
        </w:rPr>
        <w:t>与公益林位置关系图</w:t>
      </w:r>
      <w:bookmarkEnd w:id="126"/>
    </w:p>
    <w:p w14:paraId="28632569">
      <w:pPr>
        <w:jc w:val="center"/>
        <w:rPr>
          <w:rFonts w:hint="eastAsia"/>
          <w:color w:val="auto"/>
          <w:highlight w:val="none"/>
          <w:lang w:val="en-US" w:eastAsia="zh-CN"/>
        </w:rPr>
        <w:sectPr>
          <w:pgSz w:w="16838" w:h="11906" w:orient="landscape"/>
          <w:pgMar w:top="1247" w:right="1247" w:bottom="1247" w:left="1247" w:header="1021" w:footer="850" w:gutter="0"/>
          <w:cols w:space="0" w:num="1"/>
          <w:rtlGutter w:val="0"/>
          <w:docGrid w:type="lines" w:linePitch="313" w:charSpace="0"/>
        </w:sectPr>
      </w:pPr>
      <w:r>
        <w:rPr>
          <w:rFonts w:hint="eastAsia"/>
          <w:color w:val="auto"/>
          <w:highlight w:val="none"/>
          <w:lang w:val="en-US" w:eastAsia="zh-CN"/>
        </w:rPr>
        <w:object>
          <v:shape id="_x0000_i1031" o:spt="75" type="#_x0000_t75" style="height:419.15pt;width:640.4pt;" o:ole="t" filled="f" o:preferrelative="t" stroked="f" coordsize="21600,21600">
            <v:path/>
            <v:fill on="f" focussize="0,0"/>
            <v:stroke on="f"/>
            <v:imagedata r:id="rId47" o:title=""/>
            <o:lock v:ext="edit" aspectratio="f"/>
            <w10:wrap type="none"/>
            <w10:anchorlock/>
          </v:shape>
          <o:OLEObject Type="Embed" ProgID="Visio.Drawing.15" ShapeID="_x0000_i1031" DrawAspect="Content" ObjectID="_1468075731" r:id="rId46">
            <o:LockedField>false</o:LockedField>
          </o:OLEObject>
        </w:object>
      </w:r>
    </w:p>
    <w:p w14:paraId="74D379BE">
      <w:pPr>
        <w:pStyle w:val="67"/>
        <w:rPr>
          <w:color w:val="auto"/>
          <w:highlight w:val="none"/>
        </w:rPr>
      </w:pPr>
      <w:r>
        <w:rPr>
          <w:rFonts w:hint="eastAsia"/>
          <w:color w:val="auto"/>
          <w:highlight w:val="none"/>
        </w:rPr>
        <w:t xml:space="preserve">  </w:t>
      </w:r>
      <w:bookmarkStart w:id="127" w:name="_Toc23376"/>
      <w:r>
        <w:rPr>
          <w:rFonts w:hint="eastAsia"/>
          <w:color w:val="auto"/>
          <w:highlight w:val="none"/>
        </w:rPr>
        <w:t>工程师踏勘现场照片</w:t>
      </w:r>
      <w:bookmarkEnd w:id="127"/>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14:paraId="39C6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4" w:type="dxa"/>
            <w:tcMar>
              <w:top w:w="57" w:type="dxa"/>
              <w:left w:w="108" w:type="dxa"/>
              <w:bottom w:w="57" w:type="dxa"/>
              <w:right w:w="108" w:type="dxa"/>
            </w:tcMar>
            <w:vAlign w:val="center"/>
          </w:tcPr>
          <w:p w14:paraId="6FF25A98">
            <w:pPr>
              <w:pStyle w:val="3"/>
              <w:spacing w:line="240" w:lineRule="auto"/>
              <w:ind w:firstLine="0" w:firstLineChars="0"/>
              <w:jc w:val="center"/>
              <w:rPr>
                <w:color w:val="auto"/>
                <w:sz w:val="21"/>
                <w:szCs w:val="21"/>
                <w:highlight w:val="none"/>
              </w:rPr>
            </w:pPr>
            <w:r>
              <w:rPr>
                <w:rFonts w:hint="eastAsia"/>
                <w:color w:val="auto"/>
                <w:sz w:val="21"/>
                <w:szCs w:val="21"/>
                <w:highlight w:val="none"/>
              </w:rPr>
              <w:drawing>
                <wp:inline distT="0" distB="0" distL="114300" distR="114300">
                  <wp:extent cx="2901950" cy="2176145"/>
                  <wp:effectExtent l="0" t="0" r="12700" b="14605"/>
                  <wp:docPr id="31" name="图片 31" descr="e541a8b2d5ba78c38485b746723eed27_orig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541a8b2d5ba78c38485b746723eed27_origin(1)"/>
                          <pic:cNvPicPr>
                            <a:picLocks noChangeAspect="1"/>
                          </pic:cNvPicPr>
                        </pic:nvPicPr>
                        <pic:blipFill>
                          <a:blip r:embed="rId48"/>
                          <a:stretch>
                            <a:fillRect/>
                          </a:stretch>
                        </pic:blipFill>
                        <pic:spPr>
                          <a:xfrm>
                            <a:off x="0" y="0"/>
                            <a:ext cx="2901950" cy="2176145"/>
                          </a:xfrm>
                          <a:prstGeom prst="rect">
                            <a:avLst/>
                          </a:prstGeom>
                        </pic:spPr>
                      </pic:pic>
                    </a:graphicData>
                  </a:graphic>
                </wp:inline>
              </w:drawing>
            </w:r>
          </w:p>
        </w:tc>
        <w:tc>
          <w:tcPr>
            <w:tcW w:w="4814" w:type="dxa"/>
            <w:tcMar>
              <w:top w:w="57" w:type="dxa"/>
              <w:left w:w="108" w:type="dxa"/>
              <w:bottom w:w="57" w:type="dxa"/>
              <w:right w:w="108" w:type="dxa"/>
            </w:tcMar>
            <w:vAlign w:val="center"/>
          </w:tcPr>
          <w:p w14:paraId="3F8A5AB3">
            <w:pPr>
              <w:pStyle w:val="3"/>
              <w:spacing w:line="240" w:lineRule="auto"/>
              <w:ind w:firstLine="0" w:firstLineChars="0"/>
              <w:jc w:val="center"/>
              <w:rPr>
                <w:color w:val="auto"/>
                <w:sz w:val="21"/>
                <w:szCs w:val="21"/>
                <w:highlight w:val="none"/>
              </w:rPr>
            </w:pPr>
            <w:r>
              <w:rPr>
                <w:rFonts w:cs="宋体"/>
                <w:color w:val="auto"/>
                <w:highlight w:val="none"/>
              </w:rPr>
              <w:drawing>
                <wp:inline distT="0" distB="0" distL="114300" distR="114300">
                  <wp:extent cx="2880360" cy="2160270"/>
                  <wp:effectExtent l="0" t="0" r="15240" b="11430"/>
                  <wp:docPr id="32"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0" descr="IMG_256"/>
                          <pic:cNvPicPr>
                            <a:picLocks noChangeAspect="1"/>
                          </pic:cNvPicPr>
                        </pic:nvPicPr>
                        <pic:blipFill>
                          <a:blip r:embed="rId49"/>
                          <a:stretch>
                            <a:fillRect/>
                          </a:stretch>
                        </pic:blipFill>
                        <pic:spPr>
                          <a:xfrm>
                            <a:off x="0" y="0"/>
                            <a:ext cx="2880360" cy="2160270"/>
                          </a:xfrm>
                          <a:prstGeom prst="rect">
                            <a:avLst/>
                          </a:prstGeom>
                          <a:noFill/>
                          <a:ln w="9525">
                            <a:noFill/>
                          </a:ln>
                        </pic:spPr>
                      </pic:pic>
                    </a:graphicData>
                  </a:graphic>
                </wp:inline>
              </w:drawing>
            </w:r>
          </w:p>
        </w:tc>
      </w:tr>
      <w:tr w14:paraId="206F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4" w:type="dxa"/>
            <w:tcMar>
              <w:top w:w="57" w:type="dxa"/>
              <w:left w:w="108" w:type="dxa"/>
              <w:bottom w:w="57" w:type="dxa"/>
              <w:right w:w="108" w:type="dxa"/>
            </w:tcMar>
            <w:vAlign w:val="center"/>
          </w:tcPr>
          <w:p w14:paraId="0C03E75F">
            <w:pPr>
              <w:pStyle w:val="3"/>
              <w:spacing w:line="240" w:lineRule="auto"/>
              <w:ind w:firstLine="0" w:firstLineChars="0"/>
              <w:jc w:val="center"/>
              <w:rPr>
                <w:color w:val="auto"/>
                <w:sz w:val="21"/>
                <w:szCs w:val="21"/>
                <w:highlight w:val="none"/>
              </w:rPr>
            </w:pPr>
            <w:r>
              <w:rPr>
                <w:rFonts w:hint="eastAsia"/>
                <w:color w:val="auto"/>
                <w:sz w:val="21"/>
                <w:szCs w:val="21"/>
                <w:highlight w:val="none"/>
              </w:rPr>
              <w:t>工程师踏勘照片</w:t>
            </w:r>
          </w:p>
        </w:tc>
        <w:tc>
          <w:tcPr>
            <w:tcW w:w="4814" w:type="dxa"/>
            <w:tcMar>
              <w:top w:w="57" w:type="dxa"/>
              <w:left w:w="108" w:type="dxa"/>
              <w:bottom w:w="57" w:type="dxa"/>
              <w:right w:w="108" w:type="dxa"/>
            </w:tcMar>
            <w:vAlign w:val="center"/>
          </w:tcPr>
          <w:p w14:paraId="0CCFF178">
            <w:pPr>
              <w:pStyle w:val="3"/>
              <w:spacing w:line="240" w:lineRule="auto"/>
              <w:ind w:firstLine="0" w:firstLineChars="0"/>
              <w:jc w:val="center"/>
              <w:rPr>
                <w:color w:val="auto"/>
                <w:sz w:val="21"/>
                <w:szCs w:val="21"/>
                <w:highlight w:val="none"/>
              </w:rPr>
            </w:pPr>
            <w:r>
              <w:rPr>
                <w:rFonts w:hint="eastAsia"/>
                <w:color w:val="auto"/>
                <w:sz w:val="21"/>
                <w:szCs w:val="21"/>
                <w:highlight w:val="none"/>
              </w:rPr>
              <w:t>井场建设位置</w:t>
            </w:r>
          </w:p>
        </w:tc>
      </w:tr>
      <w:tr w14:paraId="11BE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4" w:type="dxa"/>
            <w:tcMar>
              <w:top w:w="57" w:type="dxa"/>
              <w:left w:w="108" w:type="dxa"/>
              <w:bottom w:w="57" w:type="dxa"/>
              <w:right w:w="108" w:type="dxa"/>
            </w:tcMar>
            <w:vAlign w:val="center"/>
          </w:tcPr>
          <w:p w14:paraId="67FB5DB7">
            <w:pPr>
              <w:pStyle w:val="3"/>
              <w:spacing w:line="240" w:lineRule="auto"/>
              <w:ind w:firstLine="0" w:firstLineChars="0"/>
              <w:jc w:val="center"/>
              <w:rPr>
                <w:color w:val="auto"/>
                <w:sz w:val="21"/>
                <w:szCs w:val="21"/>
                <w:highlight w:val="none"/>
              </w:rPr>
            </w:pPr>
            <w:r>
              <w:rPr>
                <w:rFonts w:cs="宋体"/>
                <w:color w:val="auto"/>
                <w:highlight w:val="none"/>
              </w:rPr>
              <w:drawing>
                <wp:inline distT="0" distB="0" distL="114300" distR="114300">
                  <wp:extent cx="2879090" cy="2160270"/>
                  <wp:effectExtent l="0" t="0" r="16510" b="11430"/>
                  <wp:docPr id="2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descr="IMG_256"/>
                          <pic:cNvPicPr>
                            <a:picLocks noChangeAspect="1"/>
                          </pic:cNvPicPr>
                        </pic:nvPicPr>
                        <pic:blipFill>
                          <a:blip r:embed="rId50"/>
                          <a:stretch>
                            <a:fillRect/>
                          </a:stretch>
                        </pic:blipFill>
                        <pic:spPr>
                          <a:xfrm>
                            <a:off x="0" y="0"/>
                            <a:ext cx="2879090" cy="2160270"/>
                          </a:xfrm>
                          <a:prstGeom prst="rect">
                            <a:avLst/>
                          </a:prstGeom>
                          <a:noFill/>
                          <a:ln w="9525">
                            <a:noFill/>
                          </a:ln>
                        </pic:spPr>
                      </pic:pic>
                    </a:graphicData>
                  </a:graphic>
                </wp:inline>
              </w:drawing>
            </w:r>
          </w:p>
        </w:tc>
        <w:tc>
          <w:tcPr>
            <w:tcW w:w="4814" w:type="dxa"/>
            <w:tcMar>
              <w:top w:w="57" w:type="dxa"/>
              <w:left w:w="108" w:type="dxa"/>
              <w:bottom w:w="57" w:type="dxa"/>
              <w:right w:w="108" w:type="dxa"/>
            </w:tcMar>
            <w:vAlign w:val="center"/>
          </w:tcPr>
          <w:p w14:paraId="3147275F">
            <w:pPr>
              <w:pStyle w:val="3"/>
              <w:spacing w:line="240" w:lineRule="auto"/>
              <w:ind w:firstLine="0" w:firstLineChars="0"/>
              <w:jc w:val="center"/>
              <w:rPr>
                <w:color w:val="auto"/>
                <w:sz w:val="21"/>
                <w:szCs w:val="21"/>
                <w:highlight w:val="none"/>
              </w:rPr>
            </w:pPr>
            <w:r>
              <w:rPr>
                <w:rFonts w:cs="宋体"/>
                <w:color w:val="auto"/>
                <w:highlight w:val="none"/>
              </w:rPr>
              <w:drawing>
                <wp:inline distT="0" distB="0" distL="114300" distR="114300">
                  <wp:extent cx="2880360" cy="2160270"/>
                  <wp:effectExtent l="0" t="0" r="15240" b="11430"/>
                  <wp:docPr id="2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descr="IMG_256"/>
                          <pic:cNvPicPr>
                            <a:picLocks noChangeAspect="1"/>
                          </pic:cNvPicPr>
                        </pic:nvPicPr>
                        <pic:blipFill>
                          <a:blip r:embed="rId51"/>
                          <a:stretch>
                            <a:fillRect/>
                          </a:stretch>
                        </pic:blipFill>
                        <pic:spPr>
                          <a:xfrm>
                            <a:off x="0" y="0"/>
                            <a:ext cx="2880360" cy="2160270"/>
                          </a:xfrm>
                          <a:prstGeom prst="rect">
                            <a:avLst/>
                          </a:prstGeom>
                          <a:noFill/>
                          <a:ln w="9525">
                            <a:noFill/>
                          </a:ln>
                        </pic:spPr>
                      </pic:pic>
                    </a:graphicData>
                  </a:graphic>
                </wp:inline>
              </w:drawing>
            </w:r>
          </w:p>
        </w:tc>
      </w:tr>
      <w:tr w14:paraId="056F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4" w:type="dxa"/>
            <w:tcMar>
              <w:top w:w="57" w:type="dxa"/>
              <w:left w:w="108" w:type="dxa"/>
              <w:bottom w:w="57" w:type="dxa"/>
              <w:right w:w="108" w:type="dxa"/>
            </w:tcMar>
            <w:vAlign w:val="center"/>
          </w:tcPr>
          <w:p w14:paraId="4B67E529">
            <w:pPr>
              <w:pStyle w:val="3"/>
              <w:spacing w:line="240" w:lineRule="auto"/>
              <w:ind w:firstLine="0" w:firstLineChars="0"/>
              <w:jc w:val="center"/>
              <w:rPr>
                <w:color w:val="auto"/>
                <w:sz w:val="21"/>
                <w:szCs w:val="21"/>
                <w:highlight w:val="none"/>
              </w:rPr>
            </w:pPr>
            <w:r>
              <w:rPr>
                <w:rFonts w:hint="eastAsia"/>
                <w:color w:val="auto"/>
                <w:sz w:val="21"/>
                <w:szCs w:val="21"/>
                <w:highlight w:val="none"/>
              </w:rPr>
              <w:t>井场东侧</w:t>
            </w:r>
          </w:p>
        </w:tc>
        <w:tc>
          <w:tcPr>
            <w:tcW w:w="4814" w:type="dxa"/>
            <w:tcMar>
              <w:top w:w="57" w:type="dxa"/>
              <w:left w:w="108" w:type="dxa"/>
              <w:bottom w:w="57" w:type="dxa"/>
              <w:right w:w="108" w:type="dxa"/>
            </w:tcMar>
            <w:vAlign w:val="center"/>
          </w:tcPr>
          <w:p w14:paraId="6BCF294A">
            <w:pPr>
              <w:pStyle w:val="3"/>
              <w:spacing w:line="240" w:lineRule="auto"/>
              <w:ind w:firstLine="0" w:firstLineChars="0"/>
              <w:jc w:val="center"/>
              <w:rPr>
                <w:color w:val="auto"/>
                <w:sz w:val="21"/>
                <w:szCs w:val="21"/>
                <w:highlight w:val="none"/>
              </w:rPr>
            </w:pPr>
            <w:r>
              <w:rPr>
                <w:rFonts w:hint="eastAsia"/>
                <w:color w:val="auto"/>
                <w:sz w:val="21"/>
                <w:szCs w:val="21"/>
                <w:highlight w:val="none"/>
              </w:rPr>
              <w:t>井场南侧</w:t>
            </w:r>
          </w:p>
        </w:tc>
      </w:tr>
      <w:tr w14:paraId="3C26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4" w:type="dxa"/>
            <w:tcMar>
              <w:top w:w="57" w:type="dxa"/>
              <w:left w:w="108" w:type="dxa"/>
              <w:bottom w:w="57" w:type="dxa"/>
              <w:right w:w="108" w:type="dxa"/>
            </w:tcMar>
            <w:vAlign w:val="center"/>
          </w:tcPr>
          <w:p w14:paraId="2F5B40E3">
            <w:pPr>
              <w:pStyle w:val="3"/>
              <w:spacing w:line="240" w:lineRule="auto"/>
              <w:ind w:firstLine="0" w:firstLineChars="0"/>
              <w:jc w:val="center"/>
              <w:rPr>
                <w:color w:val="auto"/>
                <w:sz w:val="21"/>
                <w:szCs w:val="21"/>
                <w:highlight w:val="none"/>
              </w:rPr>
            </w:pPr>
            <w:r>
              <w:rPr>
                <w:rFonts w:cs="宋体"/>
                <w:color w:val="auto"/>
                <w:highlight w:val="none"/>
              </w:rPr>
              <w:drawing>
                <wp:inline distT="0" distB="0" distL="114300" distR="114300">
                  <wp:extent cx="2880360" cy="2160270"/>
                  <wp:effectExtent l="0" t="0" r="15240" b="11430"/>
                  <wp:docPr id="2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descr="IMG_256"/>
                          <pic:cNvPicPr>
                            <a:picLocks noChangeAspect="1"/>
                          </pic:cNvPicPr>
                        </pic:nvPicPr>
                        <pic:blipFill>
                          <a:blip r:embed="rId52"/>
                          <a:stretch>
                            <a:fillRect/>
                          </a:stretch>
                        </pic:blipFill>
                        <pic:spPr>
                          <a:xfrm>
                            <a:off x="0" y="0"/>
                            <a:ext cx="2880360" cy="2160270"/>
                          </a:xfrm>
                          <a:prstGeom prst="rect">
                            <a:avLst/>
                          </a:prstGeom>
                          <a:noFill/>
                          <a:ln w="9525">
                            <a:noFill/>
                          </a:ln>
                        </pic:spPr>
                      </pic:pic>
                    </a:graphicData>
                  </a:graphic>
                </wp:inline>
              </w:drawing>
            </w:r>
          </w:p>
        </w:tc>
        <w:tc>
          <w:tcPr>
            <w:tcW w:w="4814" w:type="dxa"/>
            <w:tcMar>
              <w:top w:w="57" w:type="dxa"/>
              <w:left w:w="108" w:type="dxa"/>
              <w:bottom w:w="57" w:type="dxa"/>
              <w:right w:w="108" w:type="dxa"/>
            </w:tcMar>
            <w:vAlign w:val="center"/>
          </w:tcPr>
          <w:p w14:paraId="5AD518D5">
            <w:pPr>
              <w:pStyle w:val="3"/>
              <w:spacing w:line="240" w:lineRule="auto"/>
              <w:ind w:firstLine="0" w:firstLineChars="0"/>
              <w:jc w:val="center"/>
              <w:rPr>
                <w:color w:val="auto"/>
                <w:sz w:val="21"/>
                <w:szCs w:val="21"/>
                <w:highlight w:val="none"/>
              </w:rPr>
            </w:pPr>
            <w:r>
              <w:rPr>
                <w:rFonts w:cs="宋体"/>
                <w:color w:val="auto"/>
                <w:highlight w:val="none"/>
              </w:rPr>
              <w:drawing>
                <wp:inline distT="0" distB="0" distL="114300" distR="114300">
                  <wp:extent cx="2880360" cy="2160270"/>
                  <wp:effectExtent l="0" t="0" r="15240" b="11430"/>
                  <wp:docPr id="30"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descr="IMG_256"/>
                          <pic:cNvPicPr>
                            <a:picLocks noChangeAspect="1"/>
                          </pic:cNvPicPr>
                        </pic:nvPicPr>
                        <pic:blipFill>
                          <a:blip r:embed="rId53"/>
                          <a:stretch>
                            <a:fillRect/>
                          </a:stretch>
                        </pic:blipFill>
                        <pic:spPr>
                          <a:xfrm>
                            <a:off x="0" y="0"/>
                            <a:ext cx="2880360" cy="2160270"/>
                          </a:xfrm>
                          <a:prstGeom prst="rect">
                            <a:avLst/>
                          </a:prstGeom>
                          <a:noFill/>
                          <a:ln w="9525">
                            <a:noFill/>
                          </a:ln>
                        </pic:spPr>
                      </pic:pic>
                    </a:graphicData>
                  </a:graphic>
                </wp:inline>
              </w:drawing>
            </w:r>
          </w:p>
        </w:tc>
      </w:tr>
      <w:tr w14:paraId="6466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4" w:type="dxa"/>
            <w:tcMar>
              <w:top w:w="57" w:type="dxa"/>
              <w:left w:w="108" w:type="dxa"/>
              <w:bottom w:w="57" w:type="dxa"/>
              <w:right w:w="108" w:type="dxa"/>
            </w:tcMar>
            <w:vAlign w:val="center"/>
          </w:tcPr>
          <w:p w14:paraId="2EA6BC19">
            <w:pPr>
              <w:pStyle w:val="3"/>
              <w:spacing w:line="240" w:lineRule="auto"/>
              <w:ind w:firstLine="0" w:firstLineChars="0"/>
              <w:jc w:val="center"/>
              <w:rPr>
                <w:color w:val="auto"/>
                <w:sz w:val="21"/>
                <w:szCs w:val="21"/>
                <w:highlight w:val="none"/>
              </w:rPr>
            </w:pPr>
            <w:r>
              <w:rPr>
                <w:rFonts w:hint="eastAsia"/>
                <w:color w:val="auto"/>
                <w:sz w:val="21"/>
                <w:szCs w:val="21"/>
                <w:highlight w:val="none"/>
              </w:rPr>
              <w:t>井场西侧</w:t>
            </w:r>
          </w:p>
        </w:tc>
        <w:tc>
          <w:tcPr>
            <w:tcW w:w="4814" w:type="dxa"/>
            <w:tcMar>
              <w:top w:w="57" w:type="dxa"/>
              <w:left w:w="108" w:type="dxa"/>
              <w:bottom w:w="57" w:type="dxa"/>
              <w:right w:w="108" w:type="dxa"/>
            </w:tcMar>
            <w:vAlign w:val="center"/>
          </w:tcPr>
          <w:p w14:paraId="4D8AE452">
            <w:pPr>
              <w:pStyle w:val="3"/>
              <w:spacing w:line="240" w:lineRule="auto"/>
              <w:ind w:firstLine="0" w:firstLineChars="0"/>
              <w:jc w:val="center"/>
              <w:rPr>
                <w:color w:val="auto"/>
                <w:sz w:val="21"/>
                <w:szCs w:val="21"/>
                <w:highlight w:val="none"/>
              </w:rPr>
            </w:pPr>
            <w:r>
              <w:rPr>
                <w:rFonts w:hint="eastAsia"/>
                <w:color w:val="auto"/>
                <w:sz w:val="21"/>
                <w:szCs w:val="21"/>
                <w:highlight w:val="none"/>
              </w:rPr>
              <w:t>井场北侧</w:t>
            </w:r>
          </w:p>
        </w:tc>
      </w:tr>
    </w:tbl>
    <w:p w14:paraId="2464D045">
      <w:pPr>
        <w:pStyle w:val="3"/>
        <w:ind w:firstLine="0" w:firstLineChars="0"/>
        <w:rPr>
          <w:color w:val="auto"/>
          <w:highlight w:val="none"/>
        </w:rPr>
      </w:pPr>
    </w:p>
    <w:sectPr>
      <w:pgSz w:w="11906" w:h="16838"/>
      <w:pgMar w:top="1247" w:right="1247" w:bottom="1247" w:left="1247" w:header="1021" w:footer="851"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5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0955715"/>
    </w:sdtPr>
    <w:sdtContent>
      <w:p w14:paraId="09F3322C">
        <w:pPr>
          <w:pStyle w:val="19"/>
          <w:jc w:val="center"/>
        </w:pPr>
        <w:r>
          <w:fldChar w:fldCharType="begin"/>
        </w:r>
        <w:r>
          <w:instrText xml:space="preserve">PAGE   \* MERGEFORMAT</w:instrText>
        </w:r>
        <w:r>
          <w:fldChar w:fldCharType="separate"/>
        </w:r>
        <w:r>
          <w:rPr>
            <w:lang w:val="zh-CN"/>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29" w:lineRule="auto"/>
        <w:ind w:firstLine="420"/>
      </w:pPr>
      <w:r>
        <w:separator/>
      </w:r>
    </w:p>
  </w:footnote>
  <w:footnote w:type="continuationSeparator" w:id="1">
    <w:p>
      <w:pPr>
        <w:spacing w:line="329"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72E20">
    <w:pPr>
      <w:ind w:firstLine="420"/>
    </w:pPr>
    <w:r>
      <w:fldChar w:fldCharType="begin"/>
    </w:r>
    <w:r>
      <w:instrText xml:space="preserve"> STYLEREF  "标题 1" \n </w:instrText>
    </w:r>
    <w:r>
      <w:fldChar w:fldCharType="separate"/>
    </w:r>
    <w:r>
      <w:rPr>
        <w:b/>
      </w:rPr>
      <w:t>文档中未找到关联章节样式</w:t>
    </w:r>
    <w:r>
      <w:rPr>
        <w:b/>
      </w:rPr>
      <w:fldChar w:fldCharType="end"/>
    </w:r>
    <w:r>
      <w:fldChar w:fldCharType="begin"/>
    </w:r>
    <w:r>
      <w:instrText xml:space="preserve"> STYLEREF  "标题 1"  \* MERGEFORMAT </w:instrText>
    </w:r>
    <w:r>
      <w:fldChar w:fldCharType="separate"/>
    </w:r>
    <w:r>
      <w:rPr>
        <w:b/>
      </w:rPr>
      <w:t>文档中未找到关联章节样式</w:t>
    </w:r>
    <w:r>
      <w:rPr>
        <w:b/>
      </w:rPr>
      <w:fldChar w:fldCharType="end"/>
    </w:r>
    <w:r>
      <w:ptab w:relativeTo="margin" w:alignment="center" w:leader="none"/>
    </w:r>
    <w:r>
      <w:ptab w:relativeTo="margin" w:alignment="right" w:leader="none"/>
    </w:r>
    <w:r>
      <w:fldChar w:fldCharType="begin"/>
    </w:r>
    <w:r>
      <w:instrText xml:space="preserve"> REF 项目名称 \h </w:instrText>
    </w:r>
    <w:r>
      <w:fldChar w:fldCharType="separate"/>
    </w:r>
    <w:sdt>
      <w:sdtPr>
        <w:rPr>
          <w:rFonts w:hint="eastAsia"/>
        </w:rPr>
        <w:alias w:val="单击此处输入项目名称"/>
        <w:tag w:val="单击此处输入项目名称"/>
        <w:id w:val="-1"/>
        <w:lock w:val="sdtLocked"/>
      </w:sdtPr>
      <w:sdtEndPr>
        <w:rPr>
          <w:rFonts w:hint="eastAsia"/>
        </w:rPr>
      </w:sdtEndPr>
      <w:sdtContent>
        <w:r>
          <w:rPr>
            <w:rFonts w:hint="eastAsia"/>
          </w:rPr>
          <w:t>项目名称</w:t>
        </w:r>
      </w:sdtContent>
    </w:sdt>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FED38C"/>
    <w:multiLevelType w:val="singleLevel"/>
    <w:tmpl w:val="9BFED38C"/>
    <w:lvl w:ilvl="0" w:tentative="0">
      <w:start w:val="1"/>
      <w:numFmt w:val="decimal"/>
      <w:suff w:val="nothing"/>
      <w:lvlText w:val="%1、"/>
      <w:lvlJc w:val="left"/>
    </w:lvl>
  </w:abstractNum>
  <w:abstractNum w:abstractNumId="1">
    <w:nsid w:val="AFFF6726"/>
    <w:multiLevelType w:val="singleLevel"/>
    <w:tmpl w:val="AFFF6726"/>
    <w:lvl w:ilvl="0" w:tentative="0">
      <w:start w:val="1"/>
      <w:numFmt w:val="decimal"/>
      <w:suff w:val="nothing"/>
      <w:lvlText w:val="（%1）"/>
      <w:lvlJc w:val="left"/>
    </w:lvl>
  </w:abstractNum>
  <w:abstractNum w:abstractNumId="2">
    <w:nsid w:val="B5DC3A7B"/>
    <w:multiLevelType w:val="singleLevel"/>
    <w:tmpl w:val="B5DC3A7B"/>
    <w:lvl w:ilvl="0" w:tentative="0">
      <w:start w:val="1"/>
      <w:numFmt w:val="decimal"/>
      <w:suff w:val="nothing"/>
      <w:lvlText w:val="%1）"/>
      <w:lvlJc w:val="left"/>
    </w:lvl>
  </w:abstractNum>
  <w:abstractNum w:abstractNumId="3">
    <w:nsid w:val="BCFAAC6A"/>
    <w:multiLevelType w:val="singleLevel"/>
    <w:tmpl w:val="BCFAAC6A"/>
    <w:lvl w:ilvl="0" w:tentative="0">
      <w:start w:val="1"/>
      <w:numFmt w:val="decimal"/>
      <w:suff w:val="nothing"/>
      <w:lvlText w:val="（%1）"/>
      <w:lvlJc w:val="left"/>
    </w:lvl>
  </w:abstractNum>
  <w:abstractNum w:abstractNumId="4">
    <w:nsid w:val="BF173E37"/>
    <w:multiLevelType w:val="singleLevel"/>
    <w:tmpl w:val="BF173E37"/>
    <w:lvl w:ilvl="0" w:tentative="0">
      <w:start w:val="1"/>
      <w:numFmt w:val="decimal"/>
      <w:suff w:val="nothing"/>
      <w:lvlText w:val="（%1）"/>
      <w:lvlJc w:val="left"/>
      <w:rPr>
        <w:rFonts w:hint="default"/>
        <w:color w:val="auto"/>
      </w:rPr>
    </w:lvl>
  </w:abstractNum>
  <w:abstractNum w:abstractNumId="5">
    <w:nsid w:val="BF7F8283"/>
    <w:multiLevelType w:val="singleLevel"/>
    <w:tmpl w:val="BF7F8283"/>
    <w:lvl w:ilvl="0" w:tentative="0">
      <w:start w:val="1"/>
      <w:numFmt w:val="decimal"/>
      <w:suff w:val="nothing"/>
      <w:lvlText w:val="%1）"/>
      <w:lvlJc w:val="left"/>
    </w:lvl>
  </w:abstractNum>
  <w:abstractNum w:abstractNumId="6">
    <w:nsid w:val="BFC87491"/>
    <w:multiLevelType w:val="singleLevel"/>
    <w:tmpl w:val="BFC87491"/>
    <w:lvl w:ilvl="0" w:tentative="0">
      <w:start w:val="1"/>
      <w:numFmt w:val="decimal"/>
      <w:suff w:val="nothing"/>
      <w:lvlText w:val="%1）"/>
      <w:lvlJc w:val="left"/>
    </w:lvl>
  </w:abstractNum>
  <w:abstractNum w:abstractNumId="7">
    <w:nsid w:val="BFFB9659"/>
    <w:multiLevelType w:val="singleLevel"/>
    <w:tmpl w:val="BFFB9659"/>
    <w:lvl w:ilvl="0" w:tentative="0">
      <w:start w:val="1"/>
      <w:numFmt w:val="decimal"/>
      <w:suff w:val="nothing"/>
      <w:lvlText w:val="%1）"/>
      <w:lvlJc w:val="left"/>
    </w:lvl>
  </w:abstractNum>
  <w:abstractNum w:abstractNumId="8">
    <w:nsid w:val="C1B9A853"/>
    <w:multiLevelType w:val="singleLevel"/>
    <w:tmpl w:val="C1B9A853"/>
    <w:lvl w:ilvl="0" w:tentative="0">
      <w:start w:val="1"/>
      <w:numFmt w:val="decimal"/>
      <w:suff w:val="nothing"/>
      <w:lvlText w:val="（%1）"/>
      <w:lvlJc w:val="left"/>
    </w:lvl>
  </w:abstractNum>
  <w:abstractNum w:abstractNumId="9">
    <w:nsid w:val="DBFF9FFC"/>
    <w:multiLevelType w:val="singleLevel"/>
    <w:tmpl w:val="DBFF9FFC"/>
    <w:lvl w:ilvl="0" w:tentative="0">
      <w:start w:val="1"/>
      <w:numFmt w:val="decimal"/>
      <w:suff w:val="nothing"/>
      <w:lvlText w:val="（%1）"/>
      <w:lvlJc w:val="left"/>
    </w:lvl>
  </w:abstractNum>
  <w:abstractNum w:abstractNumId="10">
    <w:nsid w:val="DF3E24BC"/>
    <w:multiLevelType w:val="singleLevel"/>
    <w:tmpl w:val="DF3E24BC"/>
    <w:lvl w:ilvl="0" w:tentative="0">
      <w:start w:val="1"/>
      <w:numFmt w:val="decimal"/>
      <w:suff w:val="nothing"/>
      <w:lvlText w:val="（%1）"/>
      <w:lvlJc w:val="left"/>
    </w:lvl>
  </w:abstractNum>
  <w:abstractNum w:abstractNumId="11">
    <w:nsid w:val="DF7E1950"/>
    <w:multiLevelType w:val="singleLevel"/>
    <w:tmpl w:val="DF7E1950"/>
    <w:lvl w:ilvl="0" w:tentative="0">
      <w:start w:val="1"/>
      <w:numFmt w:val="decimal"/>
      <w:suff w:val="nothing"/>
      <w:lvlText w:val="（%1）"/>
      <w:lvlJc w:val="left"/>
    </w:lvl>
  </w:abstractNum>
  <w:abstractNum w:abstractNumId="12">
    <w:nsid w:val="DFAB7471"/>
    <w:multiLevelType w:val="singleLevel"/>
    <w:tmpl w:val="DFAB7471"/>
    <w:lvl w:ilvl="0" w:tentative="0">
      <w:start w:val="1"/>
      <w:numFmt w:val="decimal"/>
      <w:suff w:val="nothing"/>
      <w:lvlText w:val="（%1）"/>
      <w:lvlJc w:val="left"/>
    </w:lvl>
  </w:abstractNum>
  <w:abstractNum w:abstractNumId="13">
    <w:nsid w:val="E5FEC7C6"/>
    <w:multiLevelType w:val="singleLevel"/>
    <w:tmpl w:val="E5FEC7C6"/>
    <w:lvl w:ilvl="0" w:tentative="0">
      <w:start w:val="1"/>
      <w:numFmt w:val="decimal"/>
      <w:suff w:val="nothing"/>
      <w:lvlText w:val="（%1）"/>
      <w:lvlJc w:val="left"/>
      <w:rPr>
        <w:rFonts w:hint="default"/>
        <w:color w:val="auto"/>
      </w:rPr>
    </w:lvl>
  </w:abstractNum>
  <w:abstractNum w:abstractNumId="14">
    <w:nsid w:val="E65F236A"/>
    <w:multiLevelType w:val="singleLevel"/>
    <w:tmpl w:val="E65F236A"/>
    <w:lvl w:ilvl="0" w:tentative="0">
      <w:start w:val="1"/>
      <w:numFmt w:val="decimal"/>
      <w:suff w:val="nothing"/>
      <w:lvlText w:val="（%1）"/>
      <w:lvlJc w:val="left"/>
    </w:lvl>
  </w:abstractNum>
  <w:abstractNum w:abstractNumId="15">
    <w:nsid w:val="EBFACCE4"/>
    <w:multiLevelType w:val="singleLevel"/>
    <w:tmpl w:val="EBFACCE4"/>
    <w:lvl w:ilvl="0" w:tentative="0">
      <w:start w:val="1"/>
      <w:numFmt w:val="decimal"/>
      <w:suff w:val="nothing"/>
      <w:lvlText w:val="%1、"/>
      <w:lvlJc w:val="left"/>
    </w:lvl>
  </w:abstractNum>
  <w:abstractNum w:abstractNumId="16">
    <w:nsid w:val="EE3EF5C4"/>
    <w:multiLevelType w:val="singleLevel"/>
    <w:tmpl w:val="EE3EF5C4"/>
    <w:lvl w:ilvl="0" w:tentative="0">
      <w:start w:val="1"/>
      <w:numFmt w:val="decimal"/>
      <w:suff w:val="nothing"/>
      <w:lvlText w:val="（%1）"/>
      <w:lvlJc w:val="left"/>
      <w:rPr>
        <w:rFonts w:hint="default"/>
        <w:color w:val="auto"/>
      </w:rPr>
    </w:lvl>
  </w:abstractNum>
  <w:abstractNum w:abstractNumId="17">
    <w:nsid w:val="EFDE3505"/>
    <w:multiLevelType w:val="singleLevel"/>
    <w:tmpl w:val="EFDE3505"/>
    <w:lvl w:ilvl="0" w:tentative="0">
      <w:start w:val="1"/>
      <w:numFmt w:val="decimal"/>
      <w:suff w:val="nothing"/>
      <w:lvlText w:val="%1）"/>
      <w:lvlJc w:val="left"/>
    </w:lvl>
  </w:abstractNum>
  <w:abstractNum w:abstractNumId="18">
    <w:nsid w:val="F6EF428F"/>
    <w:multiLevelType w:val="singleLevel"/>
    <w:tmpl w:val="F6EF428F"/>
    <w:lvl w:ilvl="0" w:tentative="0">
      <w:start w:val="1"/>
      <w:numFmt w:val="decimal"/>
      <w:suff w:val="nothing"/>
      <w:lvlText w:val="（%1）"/>
      <w:lvlJc w:val="left"/>
    </w:lvl>
  </w:abstractNum>
  <w:abstractNum w:abstractNumId="19">
    <w:nsid w:val="F6F7198B"/>
    <w:multiLevelType w:val="singleLevel"/>
    <w:tmpl w:val="F6F7198B"/>
    <w:lvl w:ilvl="0" w:tentative="0">
      <w:start w:val="1"/>
      <w:numFmt w:val="decimal"/>
      <w:suff w:val="nothing"/>
      <w:lvlText w:val="%1）"/>
      <w:lvlJc w:val="left"/>
    </w:lvl>
  </w:abstractNum>
  <w:abstractNum w:abstractNumId="20">
    <w:nsid w:val="F6FD0846"/>
    <w:multiLevelType w:val="singleLevel"/>
    <w:tmpl w:val="F6FD0846"/>
    <w:lvl w:ilvl="0" w:tentative="0">
      <w:start w:val="1"/>
      <w:numFmt w:val="decimal"/>
      <w:suff w:val="nothing"/>
      <w:lvlText w:val="%1）"/>
      <w:lvlJc w:val="left"/>
    </w:lvl>
  </w:abstractNum>
  <w:abstractNum w:abstractNumId="21">
    <w:nsid w:val="F7737F31"/>
    <w:multiLevelType w:val="singleLevel"/>
    <w:tmpl w:val="F7737F31"/>
    <w:lvl w:ilvl="0" w:tentative="0">
      <w:start w:val="1"/>
      <w:numFmt w:val="decimal"/>
      <w:suff w:val="nothing"/>
      <w:lvlText w:val="（%1）"/>
      <w:lvlJc w:val="left"/>
    </w:lvl>
  </w:abstractNum>
  <w:abstractNum w:abstractNumId="22">
    <w:nsid w:val="F79E6EBB"/>
    <w:multiLevelType w:val="singleLevel"/>
    <w:tmpl w:val="F79E6EBB"/>
    <w:lvl w:ilvl="0" w:tentative="0">
      <w:start w:val="1"/>
      <w:numFmt w:val="decimal"/>
      <w:suff w:val="nothing"/>
      <w:lvlText w:val="%1）"/>
      <w:lvlJc w:val="left"/>
    </w:lvl>
  </w:abstractNum>
  <w:abstractNum w:abstractNumId="23">
    <w:nsid w:val="F7FF52C7"/>
    <w:multiLevelType w:val="singleLevel"/>
    <w:tmpl w:val="F7FF52C7"/>
    <w:lvl w:ilvl="0" w:tentative="0">
      <w:start w:val="1"/>
      <w:numFmt w:val="decimal"/>
      <w:suff w:val="nothing"/>
      <w:lvlText w:val="%1）"/>
      <w:lvlJc w:val="left"/>
    </w:lvl>
  </w:abstractNum>
  <w:abstractNum w:abstractNumId="24">
    <w:nsid w:val="F8DF6AE5"/>
    <w:multiLevelType w:val="singleLevel"/>
    <w:tmpl w:val="F8DF6AE5"/>
    <w:lvl w:ilvl="0" w:tentative="0">
      <w:start w:val="1"/>
      <w:numFmt w:val="decimal"/>
      <w:suff w:val="nothing"/>
      <w:lvlText w:val="%1）"/>
      <w:lvlJc w:val="left"/>
    </w:lvl>
  </w:abstractNum>
  <w:abstractNum w:abstractNumId="25">
    <w:nsid w:val="FA7B96D6"/>
    <w:multiLevelType w:val="singleLevel"/>
    <w:tmpl w:val="FA7B96D6"/>
    <w:lvl w:ilvl="0" w:tentative="0">
      <w:start w:val="1"/>
      <w:numFmt w:val="decimal"/>
      <w:suff w:val="nothing"/>
      <w:lvlText w:val="%1）"/>
      <w:lvlJc w:val="left"/>
    </w:lvl>
  </w:abstractNum>
  <w:abstractNum w:abstractNumId="26">
    <w:nsid w:val="FB3E6DF0"/>
    <w:multiLevelType w:val="singleLevel"/>
    <w:tmpl w:val="FB3E6DF0"/>
    <w:lvl w:ilvl="0" w:tentative="0">
      <w:start w:val="1"/>
      <w:numFmt w:val="decimal"/>
      <w:suff w:val="nothing"/>
      <w:lvlText w:val="%1、"/>
      <w:lvlJc w:val="left"/>
    </w:lvl>
  </w:abstractNum>
  <w:abstractNum w:abstractNumId="27">
    <w:nsid w:val="FC1D4189"/>
    <w:multiLevelType w:val="singleLevel"/>
    <w:tmpl w:val="FC1D4189"/>
    <w:lvl w:ilvl="0" w:tentative="0">
      <w:start w:val="1"/>
      <w:numFmt w:val="decimal"/>
      <w:suff w:val="nothing"/>
      <w:lvlText w:val="%1）"/>
      <w:lvlJc w:val="left"/>
    </w:lvl>
  </w:abstractNum>
  <w:abstractNum w:abstractNumId="28">
    <w:nsid w:val="FDFAC9FC"/>
    <w:multiLevelType w:val="singleLevel"/>
    <w:tmpl w:val="FDFAC9FC"/>
    <w:lvl w:ilvl="0" w:tentative="0">
      <w:start w:val="1"/>
      <w:numFmt w:val="decimal"/>
      <w:suff w:val="nothing"/>
      <w:lvlText w:val="%1）"/>
      <w:lvlJc w:val="left"/>
    </w:lvl>
  </w:abstractNum>
  <w:abstractNum w:abstractNumId="29">
    <w:nsid w:val="FED7821C"/>
    <w:multiLevelType w:val="singleLevel"/>
    <w:tmpl w:val="FED7821C"/>
    <w:lvl w:ilvl="0" w:tentative="0">
      <w:start w:val="1"/>
      <w:numFmt w:val="decimal"/>
      <w:suff w:val="nothing"/>
      <w:lvlText w:val="%1）"/>
      <w:lvlJc w:val="left"/>
    </w:lvl>
  </w:abstractNum>
  <w:abstractNum w:abstractNumId="30">
    <w:nsid w:val="FF4EA7A6"/>
    <w:multiLevelType w:val="singleLevel"/>
    <w:tmpl w:val="FF4EA7A6"/>
    <w:lvl w:ilvl="0" w:tentative="0">
      <w:start w:val="1"/>
      <w:numFmt w:val="decimal"/>
      <w:suff w:val="nothing"/>
      <w:lvlText w:val="%1）"/>
      <w:lvlJc w:val="left"/>
    </w:lvl>
  </w:abstractNum>
  <w:abstractNum w:abstractNumId="31">
    <w:nsid w:val="FF73BB5D"/>
    <w:multiLevelType w:val="singleLevel"/>
    <w:tmpl w:val="FF73BB5D"/>
    <w:lvl w:ilvl="0" w:tentative="0">
      <w:start w:val="1"/>
      <w:numFmt w:val="decimal"/>
      <w:suff w:val="nothing"/>
      <w:lvlText w:val="（%1）"/>
      <w:lvlJc w:val="left"/>
    </w:lvl>
  </w:abstractNum>
  <w:abstractNum w:abstractNumId="32">
    <w:nsid w:val="FF832A05"/>
    <w:multiLevelType w:val="singleLevel"/>
    <w:tmpl w:val="FF832A05"/>
    <w:lvl w:ilvl="0" w:tentative="0">
      <w:start w:val="1"/>
      <w:numFmt w:val="decimal"/>
      <w:suff w:val="nothing"/>
      <w:lvlText w:val="%1）"/>
      <w:lvlJc w:val="left"/>
    </w:lvl>
  </w:abstractNum>
  <w:abstractNum w:abstractNumId="33">
    <w:nsid w:val="FF8F43FD"/>
    <w:multiLevelType w:val="singleLevel"/>
    <w:tmpl w:val="FF8F43FD"/>
    <w:lvl w:ilvl="0" w:tentative="0">
      <w:start w:val="1"/>
      <w:numFmt w:val="decimal"/>
      <w:suff w:val="nothing"/>
      <w:lvlText w:val="（%1）"/>
      <w:lvlJc w:val="left"/>
      <w:rPr>
        <w:rFonts w:hint="default"/>
        <w:color w:val="auto"/>
      </w:rPr>
    </w:lvl>
  </w:abstractNum>
  <w:abstractNum w:abstractNumId="34">
    <w:nsid w:val="FF9FDDC9"/>
    <w:multiLevelType w:val="singleLevel"/>
    <w:tmpl w:val="FF9FDDC9"/>
    <w:lvl w:ilvl="0" w:tentative="0">
      <w:start w:val="1"/>
      <w:numFmt w:val="decimal"/>
      <w:suff w:val="nothing"/>
      <w:lvlText w:val="（%1）"/>
      <w:lvlJc w:val="left"/>
    </w:lvl>
  </w:abstractNum>
  <w:abstractNum w:abstractNumId="35">
    <w:nsid w:val="FFB207F8"/>
    <w:multiLevelType w:val="singleLevel"/>
    <w:tmpl w:val="FFB207F8"/>
    <w:lvl w:ilvl="0" w:tentative="0">
      <w:start w:val="1"/>
      <w:numFmt w:val="decimal"/>
      <w:suff w:val="nothing"/>
      <w:lvlText w:val="%1、"/>
      <w:lvlJc w:val="left"/>
    </w:lvl>
  </w:abstractNum>
  <w:abstractNum w:abstractNumId="36">
    <w:nsid w:val="FFBA5DA9"/>
    <w:multiLevelType w:val="singleLevel"/>
    <w:tmpl w:val="FFBA5DA9"/>
    <w:lvl w:ilvl="0" w:tentative="0">
      <w:start w:val="1"/>
      <w:numFmt w:val="decimal"/>
      <w:suff w:val="nothing"/>
      <w:lvlText w:val="（%1）"/>
      <w:lvlJc w:val="left"/>
    </w:lvl>
  </w:abstractNum>
  <w:abstractNum w:abstractNumId="37">
    <w:nsid w:val="FFCFE4E8"/>
    <w:multiLevelType w:val="singleLevel"/>
    <w:tmpl w:val="FFCFE4E8"/>
    <w:lvl w:ilvl="0" w:tentative="0">
      <w:start w:val="1"/>
      <w:numFmt w:val="decimal"/>
      <w:suff w:val="nothing"/>
      <w:lvlText w:val="（%1）"/>
      <w:lvlJc w:val="left"/>
    </w:lvl>
  </w:abstractNum>
  <w:abstractNum w:abstractNumId="38">
    <w:nsid w:val="FFFAE044"/>
    <w:multiLevelType w:val="singleLevel"/>
    <w:tmpl w:val="FFFAE044"/>
    <w:lvl w:ilvl="0" w:tentative="0">
      <w:start w:val="1"/>
      <w:numFmt w:val="decimal"/>
      <w:suff w:val="nothing"/>
      <w:lvlText w:val="（%1）"/>
      <w:lvlJc w:val="left"/>
    </w:lvl>
  </w:abstractNum>
  <w:abstractNum w:abstractNumId="39">
    <w:nsid w:val="FFFEB568"/>
    <w:multiLevelType w:val="singleLevel"/>
    <w:tmpl w:val="FFFEB568"/>
    <w:lvl w:ilvl="0" w:tentative="0">
      <w:start w:val="1"/>
      <w:numFmt w:val="decimal"/>
      <w:suff w:val="nothing"/>
      <w:lvlText w:val="（%1）"/>
      <w:lvlJc w:val="left"/>
    </w:lvl>
  </w:abstractNum>
  <w:abstractNum w:abstractNumId="40">
    <w:nsid w:val="FFFEB7F4"/>
    <w:multiLevelType w:val="singleLevel"/>
    <w:tmpl w:val="FFFEB7F4"/>
    <w:lvl w:ilvl="0" w:tentative="0">
      <w:start w:val="1"/>
      <w:numFmt w:val="decimal"/>
      <w:suff w:val="nothing"/>
      <w:lvlText w:val="（%1）"/>
      <w:lvlJc w:val="left"/>
    </w:lvl>
  </w:abstractNum>
  <w:abstractNum w:abstractNumId="41">
    <w:nsid w:val="FFFFE73C"/>
    <w:multiLevelType w:val="singleLevel"/>
    <w:tmpl w:val="FFFFE73C"/>
    <w:lvl w:ilvl="0" w:tentative="0">
      <w:start w:val="1"/>
      <w:numFmt w:val="decimal"/>
      <w:suff w:val="nothing"/>
      <w:lvlText w:val="（%1）"/>
      <w:lvlJc w:val="left"/>
    </w:lvl>
  </w:abstractNum>
  <w:abstractNum w:abstractNumId="42">
    <w:nsid w:val="16C123DC"/>
    <w:multiLevelType w:val="multilevel"/>
    <w:tmpl w:val="16C123DC"/>
    <w:lvl w:ilvl="0" w:tentative="0">
      <w:start w:val="1"/>
      <w:numFmt w:val="decimal"/>
      <w:pStyle w:val="56"/>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27455161"/>
    <w:multiLevelType w:val="singleLevel"/>
    <w:tmpl w:val="27455161"/>
    <w:lvl w:ilvl="0" w:tentative="0">
      <w:start w:val="1"/>
      <w:numFmt w:val="decimal"/>
      <w:suff w:val="nothing"/>
      <w:lvlText w:val="%1、"/>
      <w:lvlJc w:val="left"/>
    </w:lvl>
  </w:abstractNum>
  <w:abstractNum w:abstractNumId="44">
    <w:nsid w:val="36F982F4"/>
    <w:multiLevelType w:val="singleLevel"/>
    <w:tmpl w:val="36F982F4"/>
    <w:lvl w:ilvl="0" w:tentative="0">
      <w:start w:val="1"/>
      <w:numFmt w:val="decimal"/>
      <w:suff w:val="nothing"/>
      <w:lvlText w:val="%1、"/>
      <w:lvlJc w:val="left"/>
    </w:lvl>
  </w:abstractNum>
  <w:abstractNum w:abstractNumId="45">
    <w:nsid w:val="4A1610A7"/>
    <w:multiLevelType w:val="singleLevel"/>
    <w:tmpl w:val="4A1610A7"/>
    <w:lvl w:ilvl="0" w:tentative="0">
      <w:start w:val="1"/>
      <w:numFmt w:val="decimal"/>
      <w:suff w:val="nothing"/>
      <w:lvlText w:val="（%1）"/>
      <w:lvlJc w:val="left"/>
    </w:lvl>
  </w:abstractNum>
  <w:abstractNum w:abstractNumId="46">
    <w:nsid w:val="4AFF8F62"/>
    <w:multiLevelType w:val="singleLevel"/>
    <w:tmpl w:val="4AFF8F62"/>
    <w:lvl w:ilvl="0" w:tentative="0">
      <w:start w:val="1"/>
      <w:numFmt w:val="decimal"/>
      <w:suff w:val="nothing"/>
      <w:lvlText w:val="%1）"/>
      <w:lvlJc w:val="left"/>
    </w:lvl>
  </w:abstractNum>
  <w:abstractNum w:abstractNumId="47">
    <w:nsid w:val="4F006C0E"/>
    <w:multiLevelType w:val="multilevel"/>
    <w:tmpl w:val="4F006C0E"/>
    <w:lvl w:ilvl="0" w:tentative="0">
      <w:start w:val="1"/>
      <w:numFmt w:val="decimal"/>
      <w:pStyle w:val="63"/>
      <w:suff w:val="nothing"/>
      <w:lvlText w:val="附件%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4FFDE0C1"/>
    <w:multiLevelType w:val="singleLevel"/>
    <w:tmpl w:val="4FFDE0C1"/>
    <w:lvl w:ilvl="0" w:tentative="0">
      <w:start w:val="1"/>
      <w:numFmt w:val="decimal"/>
      <w:suff w:val="nothing"/>
      <w:lvlText w:val="%1）"/>
      <w:lvlJc w:val="left"/>
    </w:lvl>
  </w:abstractNum>
  <w:abstractNum w:abstractNumId="49">
    <w:nsid w:val="53FD8525"/>
    <w:multiLevelType w:val="singleLevel"/>
    <w:tmpl w:val="53FD8525"/>
    <w:lvl w:ilvl="0" w:tentative="0">
      <w:start w:val="1"/>
      <w:numFmt w:val="decimal"/>
      <w:suff w:val="nothing"/>
      <w:lvlText w:val="（%1）"/>
      <w:lvlJc w:val="left"/>
    </w:lvl>
  </w:abstractNum>
  <w:abstractNum w:abstractNumId="50">
    <w:nsid w:val="5839548E"/>
    <w:multiLevelType w:val="multilevel"/>
    <w:tmpl w:val="5839548E"/>
    <w:lvl w:ilvl="0" w:tentative="0">
      <w:start w:val="1"/>
      <w:numFmt w:val="decimal"/>
      <w:pStyle w:val="2"/>
      <w:isLgl/>
      <w:suff w:val="space"/>
      <w:lvlText w:val="%1"/>
      <w:lvlJc w:val="left"/>
      <w:pPr>
        <w:ind w:left="0" w:firstLine="0"/>
      </w:pPr>
      <w:rPr>
        <w:rFonts w:hint="eastAsia"/>
      </w:rPr>
    </w:lvl>
    <w:lvl w:ilvl="1" w:tentative="0">
      <w:start w:val="1"/>
      <w:numFmt w:val="decimal"/>
      <w:pStyle w:val="4"/>
      <w:isLgl/>
      <w:suff w:val="space"/>
      <w:lvlText w:val="%1.%2"/>
      <w:lvlJc w:val="left"/>
      <w:pPr>
        <w:ind w:left="0" w:firstLine="0"/>
      </w:pPr>
      <w:rPr>
        <w:rFonts w:hint="eastAsia"/>
      </w:rPr>
    </w:lvl>
    <w:lvl w:ilvl="2" w:tentative="0">
      <w:start w:val="1"/>
      <w:numFmt w:val="decimal"/>
      <w:pStyle w:val="5"/>
      <w:isLgl/>
      <w:suff w:val="space"/>
      <w:lvlText w:val="%1.%2.%3"/>
      <w:lvlJc w:val="left"/>
      <w:pPr>
        <w:ind w:left="0" w:firstLine="0"/>
      </w:pPr>
      <w:rPr>
        <w:rFonts w:hint="eastAsia"/>
      </w:rPr>
    </w:lvl>
    <w:lvl w:ilvl="3" w:tentative="0">
      <w:start w:val="1"/>
      <w:numFmt w:val="decimal"/>
      <w:pStyle w:val="7"/>
      <w:isLgl/>
      <w:suff w:val="space"/>
      <w:lvlText w:val="%1.%2.%3.%4"/>
      <w:lvlJc w:val="left"/>
      <w:pPr>
        <w:ind w:left="0" w:firstLine="0"/>
      </w:pPr>
      <w:rPr>
        <w:rFonts w:hint="eastAsia"/>
      </w:rPr>
    </w:lvl>
    <w:lvl w:ilvl="4" w:tentative="0">
      <w:start w:val="1"/>
      <w:numFmt w:val="decimal"/>
      <w:pStyle w:val="8"/>
      <w:isLgl/>
      <w:suff w:val="space"/>
      <w:lvlText w:val="%1.%2.%3.%4.%5"/>
      <w:lvlJc w:val="left"/>
      <w:pPr>
        <w:ind w:left="0" w:firstLine="0"/>
      </w:pPr>
      <w:rPr>
        <w:rFonts w:hint="eastAsia"/>
      </w:rPr>
    </w:lvl>
    <w:lvl w:ilvl="5" w:tentative="0">
      <w:start w:val="1"/>
      <w:numFmt w:val="decimal"/>
      <w:pStyle w:val="9"/>
      <w:isLgl/>
      <w:suff w:val="space"/>
      <w:lvlText w:val="%1.%2.%3.%4.%5.%6"/>
      <w:lvlJc w:val="left"/>
      <w:pPr>
        <w:ind w:left="0" w:firstLine="0"/>
      </w:pPr>
      <w:rPr>
        <w:rFonts w:hint="eastAsia"/>
      </w:rPr>
    </w:lvl>
    <w:lvl w:ilvl="6" w:tentative="0">
      <w:start w:val="1"/>
      <w:numFmt w:val="decimal"/>
      <w:pStyle w:val="10"/>
      <w:isLgl/>
      <w:suff w:val="nothing"/>
      <w:lvlText w:val="%1.%2.%3.%4.%5.%6.%7"/>
      <w:lvlJc w:val="left"/>
      <w:pPr>
        <w:ind w:left="0" w:firstLine="0"/>
      </w:pPr>
      <w:rPr>
        <w:rFonts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pStyle w:val="11"/>
      <w:isLgl/>
      <w:suff w:val="space"/>
      <w:lvlText w:val="%1.%2.%3.%4.%5.%6.%7.%8"/>
      <w:lvlJc w:val="left"/>
      <w:pPr>
        <w:ind w:left="0" w:firstLine="0"/>
      </w:pPr>
      <w:rPr>
        <w:rFonts w:hint="eastAsia"/>
      </w:rPr>
    </w:lvl>
    <w:lvl w:ilvl="8" w:tentative="0">
      <w:start w:val="1"/>
      <w:numFmt w:val="decimal"/>
      <w:pStyle w:val="12"/>
      <w:isLgl/>
      <w:suff w:val="space"/>
      <w:lvlText w:val="%1.%2.%3.%4.%5.%6.%7.%8.%9"/>
      <w:lvlJc w:val="left"/>
      <w:pPr>
        <w:ind w:left="0" w:firstLine="0"/>
      </w:pPr>
      <w:rPr>
        <w:rFonts w:hint="eastAsia"/>
      </w:rPr>
    </w:lvl>
  </w:abstractNum>
  <w:abstractNum w:abstractNumId="51">
    <w:nsid w:val="5ECFE432"/>
    <w:multiLevelType w:val="singleLevel"/>
    <w:tmpl w:val="5ECFE432"/>
    <w:lvl w:ilvl="0" w:tentative="0">
      <w:start w:val="1"/>
      <w:numFmt w:val="decimal"/>
      <w:suff w:val="nothing"/>
      <w:lvlText w:val="（%1）"/>
      <w:lvlJc w:val="left"/>
      <w:rPr>
        <w:rFonts w:hint="default"/>
        <w:color w:val="auto"/>
      </w:rPr>
    </w:lvl>
  </w:abstractNum>
  <w:abstractNum w:abstractNumId="52">
    <w:nsid w:val="63BF7C32"/>
    <w:multiLevelType w:val="singleLevel"/>
    <w:tmpl w:val="63BF7C32"/>
    <w:lvl w:ilvl="0" w:tentative="0">
      <w:start w:val="1"/>
      <w:numFmt w:val="decimal"/>
      <w:suff w:val="nothing"/>
      <w:lvlText w:val="%1）"/>
      <w:lvlJc w:val="left"/>
    </w:lvl>
  </w:abstractNum>
  <w:abstractNum w:abstractNumId="53">
    <w:nsid w:val="64E90A31"/>
    <w:multiLevelType w:val="singleLevel"/>
    <w:tmpl w:val="64E90A31"/>
    <w:lvl w:ilvl="0" w:tentative="0">
      <w:start w:val="1"/>
      <w:numFmt w:val="decimal"/>
      <w:suff w:val="nothing"/>
      <w:lvlText w:val="（%1）"/>
      <w:lvlJc w:val="left"/>
      <w:rPr>
        <w:rFonts w:hint="default"/>
        <w:color w:val="auto"/>
      </w:rPr>
    </w:lvl>
  </w:abstractNum>
  <w:abstractNum w:abstractNumId="54">
    <w:nsid w:val="699B31E6"/>
    <w:multiLevelType w:val="multilevel"/>
    <w:tmpl w:val="699B31E6"/>
    <w:lvl w:ilvl="0" w:tentative="0">
      <w:start w:val="1"/>
      <w:numFmt w:val="decimal"/>
      <w:pStyle w:val="67"/>
      <w:suff w:val="nothing"/>
      <w:lvlText w:val="附图%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F7F4C9E"/>
    <w:multiLevelType w:val="singleLevel"/>
    <w:tmpl w:val="6F7F4C9E"/>
    <w:lvl w:ilvl="0" w:tentative="0">
      <w:start w:val="1"/>
      <w:numFmt w:val="decimal"/>
      <w:suff w:val="nothing"/>
      <w:lvlText w:val="（%1）"/>
      <w:lvlJc w:val="left"/>
    </w:lvl>
  </w:abstractNum>
  <w:abstractNum w:abstractNumId="56">
    <w:nsid w:val="6FEF12D1"/>
    <w:multiLevelType w:val="singleLevel"/>
    <w:tmpl w:val="6FEF12D1"/>
    <w:lvl w:ilvl="0" w:tentative="0">
      <w:start w:val="1"/>
      <w:numFmt w:val="decimal"/>
      <w:suff w:val="nothing"/>
      <w:lvlText w:val="（%1）"/>
      <w:lvlJc w:val="left"/>
    </w:lvl>
  </w:abstractNum>
  <w:abstractNum w:abstractNumId="57">
    <w:nsid w:val="71B21497"/>
    <w:multiLevelType w:val="multilevel"/>
    <w:tmpl w:val="71B21497"/>
    <w:lvl w:ilvl="0" w:tentative="0">
      <w:start w:val="1"/>
      <w:numFmt w:val="decimal"/>
      <w:pStyle w:val="71"/>
      <w:isLgl/>
      <w:suff w:val="nothing"/>
      <w:lvlText w:val="（%1）"/>
      <w:lvlJc w:val="left"/>
      <w:pPr>
        <w:ind w:left="0" w:firstLine="476"/>
      </w:pPr>
      <w:rPr>
        <w:rFonts w:hint="eastAsia" w:ascii="宋体" w:eastAsia="宋体"/>
      </w:rPr>
    </w:lvl>
    <w:lvl w:ilvl="1" w:tentative="0">
      <w:start w:val="1"/>
      <w:numFmt w:val="decimalEnclosedCircle"/>
      <w:pStyle w:val="73"/>
      <w:isLgl/>
      <w:suff w:val="nothing"/>
      <w:lvlText w:val="%2）"/>
      <w:lvlJc w:val="left"/>
      <w:pPr>
        <w:ind w:left="0" w:firstLine="476"/>
      </w:pPr>
      <w:rPr>
        <w:rFonts w:hint="eastAsia" w:ascii="宋体" w:eastAsia="宋体"/>
      </w:rPr>
    </w:lvl>
    <w:lvl w:ilvl="2" w:tentative="0">
      <w:start w:val="1"/>
      <w:numFmt w:val="decimalEnclosedCircle"/>
      <w:pStyle w:val="74"/>
      <w:suff w:val="nothing"/>
      <w:lvlText w:val="%3"/>
      <w:lvlJc w:val="left"/>
      <w:pPr>
        <w:ind w:left="0" w:firstLine="476"/>
      </w:pPr>
      <w:rPr>
        <w:rFonts w:hint="eastAsia" w:ascii="宋体" w:eastAsia="宋体"/>
      </w:rPr>
    </w:lvl>
    <w:lvl w:ilvl="3" w:tentative="0">
      <w:start w:val="1"/>
      <w:numFmt w:val="lowerLetter"/>
      <w:pStyle w:val="76"/>
      <w:suff w:val="nothing"/>
      <w:lvlText w:val="%4."/>
      <w:lvlJc w:val="left"/>
      <w:pPr>
        <w:ind w:left="0" w:firstLine="476"/>
      </w:pPr>
      <w:rPr>
        <w:rFonts w:hint="eastAsia" w:ascii="宋体" w:eastAsia="宋体"/>
      </w:rPr>
    </w:lvl>
    <w:lvl w:ilvl="4" w:tentative="0">
      <w:start w:val="1"/>
      <w:numFmt w:val="upperRoman"/>
      <w:pStyle w:val="78"/>
      <w:suff w:val="nothing"/>
      <w:lvlText w:val="%5."/>
      <w:lvlJc w:val="left"/>
      <w:pPr>
        <w:ind w:left="0" w:firstLine="476"/>
      </w:pPr>
      <w:rPr>
        <w:rFonts w:hint="eastAsia" w:ascii="宋体" w:eastAsia="宋体"/>
      </w:rPr>
    </w:lvl>
    <w:lvl w:ilvl="5" w:tentative="0">
      <w:start w:val="1"/>
      <w:numFmt w:val="lowerRoman"/>
      <w:pStyle w:val="80"/>
      <w:suff w:val="nothing"/>
      <w:lvlText w:val="%6."/>
      <w:lvlJc w:val="left"/>
      <w:pPr>
        <w:ind w:left="0" w:firstLine="476"/>
      </w:pPr>
      <w:rPr>
        <w:rFonts w:hint="eastAsia" w:ascii="宋体" w:eastAsia="宋体"/>
      </w:rPr>
    </w:lvl>
    <w:lvl w:ilvl="6" w:tentative="0">
      <w:start w:val="1"/>
      <w:numFmt w:val="ordinal"/>
      <w:pStyle w:val="82"/>
      <w:suff w:val="nothing"/>
      <w:lvlText w:val="%7."/>
      <w:lvlJc w:val="left"/>
      <w:pPr>
        <w:ind w:left="0" w:firstLine="476"/>
      </w:pPr>
      <w:rPr>
        <w:rFonts w:hint="eastAsia"/>
      </w:rPr>
    </w:lvl>
    <w:lvl w:ilvl="7" w:tentative="0">
      <w:start w:val="1"/>
      <w:numFmt w:val="none"/>
      <w:suff w:val="nothing"/>
      <w:lvlText w:val=""/>
      <w:lvlJc w:val="left"/>
      <w:pPr>
        <w:ind w:left="0" w:firstLine="476"/>
      </w:pPr>
      <w:rPr>
        <w:rFonts w:hint="eastAsia"/>
      </w:rPr>
    </w:lvl>
    <w:lvl w:ilvl="8" w:tentative="0">
      <w:start w:val="1"/>
      <w:numFmt w:val="none"/>
      <w:suff w:val="nothing"/>
      <w:lvlText w:val=""/>
      <w:lvlJc w:val="left"/>
      <w:pPr>
        <w:ind w:left="0" w:firstLine="476"/>
      </w:pPr>
      <w:rPr>
        <w:rFonts w:hint="eastAsia"/>
      </w:rPr>
    </w:lvl>
  </w:abstractNum>
  <w:abstractNum w:abstractNumId="58">
    <w:nsid w:val="7466711F"/>
    <w:multiLevelType w:val="singleLevel"/>
    <w:tmpl w:val="7466711F"/>
    <w:lvl w:ilvl="0" w:tentative="0">
      <w:start w:val="1"/>
      <w:numFmt w:val="decimal"/>
      <w:suff w:val="nothing"/>
      <w:lvlText w:val="%1、"/>
      <w:lvlJc w:val="left"/>
    </w:lvl>
  </w:abstractNum>
  <w:abstractNum w:abstractNumId="59">
    <w:nsid w:val="77FD1B69"/>
    <w:multiLevelType w:val="singleLevel"/>
    <w:tmpl w:val="77FD1B69"/>
    <w:lvl w:ilvl="0" w:tentative="0">
      <w:start w:val="1"/>
      <w:numFmt w:val="decimal"/>
      <w:suff w:val="nothing"/>
      <w:lvlText w:val="（%1）"/>
      <w:lvlJc w:val="left"/>
    </w:lvl>
  </w:abstractNum>
  <w:abstractNum w:abstractNumId="60">
    <w:nsid w:val="7E752ED4"/>
    <w:multiLevelType w:val="multilevel"/>
    <w:tmpl w:val="7E752ED4"/>
    <w:lvl w:ilvl="0" w:tentative="0">
      <w:start w:val="1"/>
      <w:numFmt w:val="decimal"/>
      <w:pStyle w:val="68"/>
      <w:suff w:val="nothing"/>
      <w:lvlText w:val="附表%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7E7D024C"/>
    <w:multiLevelType w:val="singleLevel"/>
    <w:tmpl w:val="7E7D024C"/>
    <w:lvl w:ilvl="0" w:tentative="0">
      <w:start w:val="1"/>
      <w:numFmt w:val="decimal"/>
      <w:suff w:val="nothing"/>
      <w:lvlText w:val="%1）"/>
      <w:lvlJc w:val="left"/>
    </w:lvl>
  </w:abstractNum>
  <w:abstractNum w:abstractNumId="62">
    <w:nsid w:val="7F7F8269"/>
    <w:multiLevelType w:val="singleLevel"/>
    <w:tmpl w:val="7F7F8269"/>
    <w:lvl w:ilvl="0" w:tentative="0">
      <w:start w:val="1"/>
      <w:numFmt w:val="decimal"/>
      <w:suff w:val="nothing"/>
      <w:lvlText w:val="%1、"/>
      <w:lvlJc w:val="left"/>
    </w:lvl>
  </w:abstractNum>
  <w:abstractNum w:abstractNumId="63">
    <w:nsid w:val="7FFEB951"/>
    <w:multiLevelType w:val="singleLevel"/>
    <w:tmpl w:val="7FFEB951"/>
    <w:lvl w:ilvl="0" w:tentative="0">
      <w:start w:val="1"/>
      <w:numFmt w:val="decimal"/>
      <w:suff w:val="nothing"/>
      <w:lvlText w:val="%1、"/>
      <w:lvlJc w:val="left"/>
    </w:lvl>
  </w:abstractNum>
  <w:num w:numId="1">
    <w:abstractNumId w:val="50"/>
  </w:num>
  <w:num w:numId="2">
    <w:abstractNumId w:val="42"/>
  </w:num>
  <w:num w:numId="3">
    <w:abstractNumId w:val="47"/>
  </w:num>
  <w:num w:numId="4">
    <w:abstractNumId w:val="54"/>
  </w:num>
  <w:num w:numId="5">
    <w:abstractNumId w:val="60"/>
  </w:num>
  <w:num w:numId="6">
    <w:abstractNumId w:val="57"/>
  </w:num>
  <w:num w:numId="7">
    <w:abstractNumId w:val="0"/>
  </w:num>
  <w:num w:numId="8">
    <w:abstractNumId w:val="43"/>
  </w:num>
  <w:num w:numId="9">
    <w:abstractNumId w:val="24"/>
  </w:num>
  <w:num w:numId="10">
    <w:abstractNumId w:val="35"/>
  </w:num>
  <w:num w:numId="11">
    <w:abstractNumId w:val="63"/>
  </w:num>
  <w:num w:numId="12">
    <w:abstractNumId w:val="26"/>
  </w:num>
  <w:num w:numId="13">
    <w:abstractNumId w:val="58"/>
  </w:num>
  <w:num w:numId="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num>
  <w:num w:numId="17">
    <w:abstractNumId w:val="31"/>
  </w:num>
  <w:num w:numId="18">
    <w:abstractNumId w:val="28"/>
  </w:num>
  <w:num w:numId="19">
    <w:abstractNumId w:val="38"/>
  </w:num>
  <w:num w:numId="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2"/>
  </w:num>
  <w:num w:numId="23">
    <w:abstractNumId w:val="39"/>
  </w:num>
  <w:num w:numId="24">
    <w:abstractNumId w:val="40"/>
  </w:num>
  <w:num w:numId="25">
    <w:abstractNumId w:val="44"/>
  </w:num>
  <w:num w:numId="26">
    <w:abstractNumId w:val="30"/>
  </w:num>
  <w:num w:numId="27">
    <w:abstractNumId w:val="6"/>
  </w:num>
  <w:num w:numId="28">
    <w:abstractNumId w:val="15"/>
  </w:num>
  <w:num w:numId="29">
    <w:abstractNumId w:val="17"/>
  </w:num>
  <w:num w:numId="30">
    <w:abstractNumId w:val="29"/>
  </w:num>
  <w:num w:numId="31">
    <w:abstractNumId w:val="5"/>
  </w:num>
  <w:num w:numId="32">
    <w:abstractNumId w:val="27"/>
  </w:num>
  <w:num w:numId="3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
  </w:num>
  <w:num w:numId="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9"/>
  </w:num>
  <w:num w:numId="39">
    <w:abstractNumId w:val="22"/>
  </w:num>
  <w:num w:numId="40">
    <w:abstractNumId w:val="2"/>
  </w:num>
  <w:num w:numId="41">
    <w:abstractNumId w:val="55"/>
  </w:num>
  <w:num w:numId="42">
    <w:abstractNumId w:val="34"/>
  </w:num>
  <w:num w:numId="43">
    <w:abstractNumId w:val="62"/>
  </w:num>
  <w:num w:numId="44">
    <w:abstractNumId w:val="25"/>
  </w:num>
  <w:num w:numId="45">
    <w:abstractNumId w:val="3"/>
  </w:num>
  <w:num w:numId="46">
    <w:abstractNumId w:val="10"/>
  </w:num>
  <w:num w:numId="47">
    <w:abstractNumId w:val="41"/>
  </w:num>
  <w:num w:numId="48">
    <w:abstractNumId w:val="21"/>
  </w:num>
  <w:num w:numId="49">
    <w:abstractNumId w:val="45"/>
  </w:num>
  <w:num w:numId="50">
    <w:abstractNumId w:val="23"/>
  </w:num>
  <w:num w:numId="51">
    <w:abstractNumId w:val="59"/>
  </w:num>
  <w:num w:numId="52">
    <w:abstractNumId w:val="61"/>
  </w:num>
  <w:num w:numId="53">
    <w:abstractNumId w:val="46"/>
  </w:num>
  <w:num w:numId="54">
    <w:abstractNumId w:val="33"/>
  </w:num>
  <w:num w:numId="55">
    <w:abstractNumId w:val="48"/>
  </w:num>
  <w:num w:numId="56">
    <w:abstractNumId w:val="19"/>
  </w:num>
  <w:num w:numId="57">
    <w:abstractNumId w:val="7"/>
  </w:num>
  <w:num w:numId="58">
    <w:abstractNumId w:val="4"/>
  </w:num>
  <w:num w:numId="59">
    <w:abstractNumId w:val="13"/>
  </w:num>
  <w:num w:numId="60">
    <w:abstractNumId w:val="53"/>
  </w:num>
  <w:num w:numId="61">
    <w:abstractNumId w:val="16"/>
  </w:num>
  <w:num w:numId="62">
    <w:abstractNumId w:val="32"/>
  </w:num>
  <w:num w:numId="63">
    <w:abstractNumId w:val="51"/>
  </w:num>
  <w:num w:numId="64">
    <w:abstractNumId w:val="56"/>
  </w:num>
  <w:num w:numId="65">
    <w:abstractNumId w:val="14"/>
  </w:num>
  <w:num w:numId="66">
    <w:abstractNumId w:val="18"/>
  </w:num>
  <w:num w:numId="67">
    <w:abstractNumId w:val="36"/>
  </w:num>
  <w:num w:numId="68">
    <w:abstractNumId w:val="37"/>
  </w:num>
  <w:num w:numId="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0"/>
  <w:styleLockTheme/>
  <w:styleLockQFSet/>
  <w:defaultTabStop w:val="420"/>
  <w:drawingGridHorizontalSpacing w:val="105"/>
  <w:drawingGridVerticalSpacing w:val="156"/>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D48"/>
    <w:rsid w:val="00016255"/>
    <w:rsid w:val="0001691C"/>
    <w:rsid w:val="00020441"/>
    <w:rsid w:val="00025056"/>
    <w:rsid w:val="0003114A"/>
    <w:rsid w:val="00031B1F"/>
    <w:rsid w:val="00042DE5"/>
    <w:rsid w:val="00044313"/>
    <w:rsid w:val="000526CF"/>
    <w:rsid w:val="0005303B"/>
    <w:rsid w:val="00063685"/>
    <w:rsid w:val="00090E7E"/>
    <w:rsid w:val="00096C4A"/>
    <w:rsid w:val="000A1F87"/>
    <w:rsid w:val="000A2F1B"/>
    <w:rsid w:val="000A3F65"/>
    <w:rsid w:val="000A46C2"/>
    <w:rsid w:val="000B1BCD"/>
    <w:rsid w:val="000B58AF"/>
    <w:rsid w:val="000C05F7"/>
    <w:rsid w:val="000C38CF"/>
    <w:rsid w:val="000D49EC"/>
    <w:rsid w:val="000D58EF"/>
    <w:rsid w:val="000E0F44"/>
    <w:rsid w:val="000E6491"/>
    <w:rsid w:val="000F271E"/>
    <w:rsid w:val="000F7525"/>
    <w:rsid w:val="000F7B9A"/>
    <w:rsid w:val="00102495"/>
    <w:rsid w:val="00104C5B"/>
    <w:rsid w:val="001051A9"/>
    <w:rsid w:val="00120048"/>
    <w:rsid w:val="00124110"/>
    <w:rsid w:val="00132278"/>
    <w:rsid w:val="0013263F"/>
    <w:rsid w:val="00136EBF"/>
    <w:rsid w:val="00141DBE"/>
    <w:rsid w:val="00141E5B"/>
    <w:rsid w:val="00152FD5"/>
    <w:rsid w:val="001809AC"/>
    <w:rsid w:val="00195360"/>
    <w:rsid w:val="001A0804"/>
    <w:rsid w:val="001A1462"/>
    <w:rsid w:val="001B31B0"/>
    <w:rsid w:val="001C5699"/>
    <w:rsid w:val="001E3188"/>
    <w:rsid w:val="001E356D"/>
    <w:rsid w:val="00200E33"/>
    <w:rsid w:val="00206A35"/>
    <w:rsid w:val="00224AB7"/>
    <w:rsid w:val="00225F87"/>
    <w:rsid w:val="00233075"/>
    <w:rsid w:val="00241571"/>
    <w:rsid w:val="00242EA9"/>
    <w:rsid w:val="00245AD2"/>
    <w:rsid w:val="00252E4B"/>
    <w:rsid w:val="00261F47"/>
    <w:rsid w:val="0027056F"/>
    <w:rsid w:val="00272A61"/>
    <w:rsid w:val="00274514"/>
    <w:rsid w:val="002754BD"/>
    <w:rsid w:val="00277529"/>
    <w:rsid w:val="00282CB2"/>
    <w:rsid w:val="00287469"/>
    <w:rsid w:val="002A4608"/>
    <w:rsid w:val="002B0F2A"/>
    <w:rsid w:val="002B5F0E"/>
    <w:rsid w:val="002E370A"/>
    <w:rsid w:val="002F15A9"/>
    <w:rsid w:val="002F6B51"/>
    <w:rsid w:val="003016C5"/>
    <w:rsid w:val="00314452"/>
    <w:rsid w:val="00317058"/>
    <w:rsid w:val="00326256"/>
    <w:rsid w:val="0033232A"/>
    <w:rsid w:val="00344152"/>
    <w:rsid w:val="003463F4"/>
    <w:rsid w:val="00363EBC"/>
    <w:rsid w:val="00364650"/>
    <w:rsid w:val="00392EF4"/>
    <w:rsid w:val="003975A5"/>
    <w:rsid w:val="003A5DFA"/>
    <w:rsid w:val="003C281B"/>
    <w:rsid w:val="003C6F45"/>
    <w:rsid w:val="003D17FD"/>
    <w:rsid w:val="003D3BB3"/>
    <w:rsid w:val="003E51A3"/>
    <w:rsid w:val="003F6A53"/>
    <w:rsid w:val="00400995"/>
    <w:rsid w:val="004107CA"/>
    <w:rsid w:val="00411400"/>
    <w:rsid w:val="0043478E"/>
    <w:rsid w:val="00442886"/>
    <w:rsid w:val="00455F6A"/>
    <w:rsid w:val="00472404"/>
    <w:rsid w:val="00480A23"/>
    <w:rsid w:val="004B0502"/>
    <w:rsid w:val="004B47E2"/>
    <w:rsid w:val="004C7F73"/>
    <w:rsid w:val="004E13AC"/>
    <w:rsid w:val="004E16BA"/>
    <w:rsid w:val="004E2558"/>
    <w:rsid w:val="00500E72"/>
    <w:rsid w:val="005120AA"/>
    <w:rsid w:val="0051664F"/>
    <w:rsid w:val="00536FAF"/>
    <w:rsid w:val="005534E9"/>
    <w:rsid w:val="0055488D"/>
    <w:rsid w:val="00554E49"/>
    <w:rsid w:val="00560C05"/>
    <w:rsid w:val="005628FC"/>
    <w:rsid w:val="00564067"/>
    <w:rsid w:val="00564A15"/>
    <w:rsid w:val="00565E3B"/>
    <w:rsid w:val="00575B6C"/>
    <w:rsid w:val="00575F76"/>
    <w:rsid w:val="00585184"/>
    <w:rsid w:val="00590D28"/>
    <w:rsid w:val="0059699E"/>
    <w:rsid w:val="005A57A8"/>
    <w:rsid w:val="005B1B08"/>
    <w:rsid w:val="005B3289"/>
    <w:rsid w:val="005B5E6D"/>
    <w:rsid w:val="005C0002"/>
    <w:rsid w:val="005C2BCB"/>
    <w:rsid w:val="005C71EB"/>
    <w:rsid w:val="005D025A"/>
    <w:rsid w:val="005D2A8A"/>
    <w:rsid w:val="005D2DCF"/>
    <w:rsid w:val="005D4414"/>
    <w:rsid w:val="005D45C7"/>
    <w:rsid w:val="005D65A1"/>
    <w:rsid w:val="005D6D35"/>
    <w:rsid w:val="005E60EC"/>
    <w:rsid w:val="005E7919"/>
    <w:rsid w:val="005F35D2"/>
    <w:rsid w:val="005F510F"/>
    <w:rsid w:val="005F593B"/>
    <w:rsid w:val="005F644A"/>
    <w:rsid w:val="005F716A"/>
    <w:rsid w:val="00602E88"/>
    <w:rsid w:val="0065347C"/>
    <w:rsid w:val="00653CB3"/>
    <w:rsid w:val="00657F8B"/>
    <w:rsid w:val="00660147"/>
    <w:rsid w:val="00660CB9"/>
    <w:rsid w:val="00662EA5"/>
    <w:rsid w:val="00664FC7"/>
    <w:rsid w:val="0067555F"/>
    <w:rsid w:val="00680872"/>
    <w:rsid w:val="006814D3"/>
    <w:rsid w:val="00683C9D"/>
    <w:rsid w:val="006903E2"/>
    <w:rsid w:val="00691B24"/>
    <w:rsid w:val="00696527"/>
    <w:rsid w:val="006B04E4"/>
    <w:rsid w:val="006B6C14"/>
    <w:rsid w:val="006E1CE0"/>
    <w:rsid w:val="006E2C56"/>
    <w:rsid w:val="006E723F"/>
    <w:rsid w:val="00706E42"/>
    <w:rsid w:val="007102B2"/>
    <w:rsid w:val="00722E1D"/>
    <w:rsid w:val="00740A19"/>
    <w:rsid w:val="00740BBA"/>
    <w:rsid w:val="007511BE"/>
    <w:rsid w:val="00755356"/>
    <w:rsid w:val="00756DC0"/>
    <w:rsid w:val="00777BCB"/>
    <w:rsid w:val="00784587"/>
    <w:rsid w:val="007A3B59"/>
    <w:rsid w:val="007A4BAD"/>
    <w:rsid w:val="007B6CE7"/>
    <w:rsid w:val="007C2F58"/>
    <w:rsid w:val="007C363E"/>
    <w:rsid w:val="007C48EE"/>
    <w:rsid w:val="007C7978"/>
    <w:rsid w:val="007D1DF9"/>
    <w:rsid w:val="007D5FE7"/>
    <w:rsid w:val="007E0253"/>
    <w:rsid w:val="007E10A6"/>
    <w:rsid w:val="007E1735"/>
    <w:rsid w:val="007E2DA4"/>
    <w:rsid w:val="007E4CF9"/>
    <w:rsid w:val="007E5949"/>
    <w:rsid w:val="008124B3"/>
    <w:rsid w:val="00820E08"/>
    <w:rsid w:val="008254A8"/>
    <w:rsid w:val="00833055"/>
    <w:rsid w:val="008416C2"/>
    <w:rsid w:val="008444F0"/>
    <w:rsid w:val="00864B21"/>
    <w:rsid w:val="008651E4"/>
    <w:rsid w:val="00866C1C"/>
    <w:rsid w:val="00874396"/>
    <w:rsid w:val="00886884"/>
    <w:rsid w:val="00886EAF"/>
    <w:rsid w:val="00891C6E"/>
    <w:rsid w:val="008A7B82"/>
    <w:rsid w:val="008B5273"/>
    <w:rsid w:val="008B6A76"/>
    <w:rsid w:val="008C0EA0"/>
    <w:rsid w:val="008D4642"/>
    <w:rsid w:val="008D47F9"/>
    <w:rsid w:val="008D5149"/>
    <w:rsid w:val="008F4347"/>
    <w:rsid w:val="0090213D"/>
    <w:rsid w:val="009072E9"/>
    <w:rsid w:val="00915428"/>
    <w:rsid w:val="00921B60"/>
    <w:rsid w:val="009273D8"/>
    <w:rsid w:val="00931E45"/>
    <w:rsid w:val="00935E9A"/>
    <w:rsid w:val="0095187B"/>
    <w:rsid w:val="00955487"/>
    <w:rsid w:val="009623EB"/>
    <w:rsid w:val="009630AD"/>
    <w:rsid w:val="00971BBF"/>
    <w:rsid w:val="00981B73"/>
    <w:rsid w:val="00982CB5"/>
    <w:rsid w:val="00990D8F"/>
    <w:rsid w:val="00991C4D"/>
    <w:rsid w:val="0099664F"/>
    <w:rsid w:val="009A46FF"/>
    <w:rsid w:val="009A79BD"/>
    <w:rsid w:val="009B3E1A"/>
    <w:rsid w:val="009B78B9"/>
    <w:rsid w:val="009D42E3"/>
    <w:rsid w:val="009D6269"/>
    <w:rsid w:val="009D788C"/>
    <w:rsid w:val="009D7CF4"/>
    <w:rsid w:val="009E76BB"/>
    <w:rsid w:val="009F40CC"/>
    <w:rsid w:val="009F4E41"/>
    <w:rsid w:val="009F6CCF"/>
    <w:rsid w:val="00A030A7"/>
    <w:rsid w:val="00A11748"/>
    <w:rsid w:val="00A161DB"/>
    <w:rsid w:val="00A23258"/>
    <w:rsid w:val="00A25EE0"/>
    <w:rsid w:val="00A34350"/>
    <w:rsid w:val="00A42FBA"/>
    <w:rsid w:val="00A50926"/>
    <w:rsid w:val="00A52CD5"/>
    <w:rsid w:val="00A54659"/>
    <w:rsid w:val="00A63556"/>
    <w:rsid w:val="00A656E6"/>
    <w:rsid w:val="00A67FEF"/>
    <w:rsid w:val="00A72660"/>
    <w:rsid w:val="00A737E9"/>
    <w:rsid w:val="00A7511F"/>
    <w:rsid w:val="00A75890"/>
    <w:rsid w:val="00A75B17"/>
    <w:rsid w:val="00A83067"/>
    <w:rsid w:val="00A900EF"/>
    <w:rsid w:val="00A93343"/>
    <w:rsid w:val="00AA12AB"/>
    <w:rsid w:val="00AA181D"/>
    <w:rsid w:val="00AA2160"/>
    <w:rsid w:val="00AA5611"/>
    <w:rsid w:val="00AD4F75"/>
    <w:rsid w:val="00AE156F"/>
    <w:rsid w:val="00AF02A5"/>
    <w:rsid w:val="00AF4B91"/>
    <w:rsid w:val="00B02768"/>
    <w:rsid w:val="00B07E92"/>
    <w:rsid w:val="00B07EC8"/>
    <w:rsid w:val="00B22A8D"/>
    <w:rsid w:val="00B24C78"/>
    <w:rsid w:val="00B37CDD"/>
    <w:rsid w:val="00B427BD"/>
    <w:rsid w:val="00B5595A"/>
    <w:rsid w:val="00B60149"/>
    <w:rsid w:val="00B6288A"/>
    <w:rsid w:val="00B71E55"/>
    <w:rsid w:val="00B73128"/>
    <w:rsid w:val="00B733F0"/>
    <w:rsid w:val="00B739B2"/>
    <w:rsid w:val="00B93FF1"/>
    <w:rsid w:val="00B966A9"/>
    <w:rsid w:val="00B9749C"/>
    <w:rsid w:val="00BA1DE4"/>
    <w:rsid w:val="00BA55C9"/>
    <w:rsid w:val="00BB617F"/>
    <w:rsid w:val="00BC3D3B"/>
    <w:rsid w:val="00BF62D7"/>
    <w:rsid w:val="00BF7E22"/>
    <w:rsid w:val="00C01538"/>
    <w:rsid w:val="00C05118"/>
    <w:rsid w:val="00C069D0"/>
    <w:rsid w:val="00C06D48"/>
    <w:rsid w:val="00C140A8"/>
    <w:rsid w:val="00C16239"/>
    <w:rsid w:val="00C24FF9"/>
    <w:rsid w:val="00C307B7"/>
    <w:rsid w:val="00C46E29"/>
    <w:rsid w:val="00C473D1"/>
    <w:rsid w:val="00C511A6"/>
    <w:rsid w:val="00C6066D"/>
    <w:rsid w:val="00C66952"/>
    <w:rsid w:val="00C672A5"/>
    <w:rsid w:val="00C67B6D"/>
    <w:rsid w:val="00C71E81"/>
    <w:rsid w:val="00C72D6F"/>
    <w:rsid w:val="00C74ECE"/>
    <w:rsid w:val="00CA3D6F"/>
    <w:rsid w:val="00CB083A"/>
    <w:rsid w:val="00CB257F"/>
    <w:rsid w:val="00CC1226"/>
    <w:rsid w:val="00CC1EA9"/>
    <w:rsid w:val="00CE30D1"/>
    <w:rsid w:val="00CF31E2"/>
    <w:rsid w:val="00CF338B"/>
    <w:rsid w:val="00CF6C67"/>
    <w:rsid w:val="00D0175A"/>
    <w:rsid w:val="00D03AA9"/>
    <w:rsid w:val="00D04205"/>
    <w:rsid w:val="00D05784"/>
    <w:rsid w:val="00D06F4A"/>
    <w:rsid w:val="00D0767E"/>
    <w:rsid w:val="00D12952"/>
    <w:rsid w:val="00D171F2"/>
    <w:rsid w:val="00D202A9"/>
    <w:rsid w:val="00D239A1"/>
    <w:rsid w:val="00D41B57"/>
    <w:rsid w:val="00D45AC3"/>
    <w:rsid w:val="00D46BF9"/>
    <w:rsid w:val="00D522E7"/>
    <w:rsid w:val="00D54B98"/>
    <w:rsid w:val="00D56198"/>
    <w:rsid w:val="00D60DE7"/>
    <w:rsid w:val="00D62F1D"/>
    <w:rsid w:val="00D644BE"/>
    <w:rsid w:val="00D7232C"/>
    <w:rsid w:val="00D83224"/>
    <w:rsid w:val="00D86163"/>
    <w:rsid w:val="00D877B9"/>
    <w:rsid w:val="00D91C07"/>
    <w:rsid w:val="00D94F55"/>
    <w:rsid w:val="00D94F63"/>
    <w:rsid w:val="00D97CA7"/>
    <w:rsid w:val="00D97E8B"/>
    <w:rsid w:val="00DA333F"/>
    <w:rsid w:val="00DA4855"/>
    <w:rsid w:val="00DB4D85"/>
    <w:rsid w:val="00DC1BDA"/>
    <w:rsid w:val="00DC27ED"/>
    <w:rsid w:val="00DD252B"/>
    <w:rsid w:val="00DE4EF6"/>
    <w:rsid w:val="00DF3E43"/>
    <w:rsid w:val="00E12EDA"/>
    <w:rsid w:val="00E134C3"/>
    <w:rsid w:val="00E13775"/>
    <w:rsid w:val="00E217A5"/>
    <w:rsid w:val="00E23EB3"/>
    <w:rsid w:val="00E2537A"/>
    <w:rsid w:val="00E322ED"/>
    <w:rsid w:val="00E6083E"/>
    <w:rsid w:val="00E963C9"/>
    <w:rsid w:val="00EA4D11"/>
    <w:rsid w:val="00EA7519"/>
    <w:rsid w:val="00EC4598"/>
    <w:rsid w:val="00EC612A"/>
    <w:rsid w:val="00ED09CE"/>
    <w:rsid w:val="00ED0F46"/>
    <w:rsid w:val="00EE2274"/>
    <w:rsid w:val="00EE6110"/>
    <w:rsid w:val="00EF1802"/>
    <w:rsid w:val="00F00526"/>
    <w:rsid w:val="00F01429"/>
    <w:rsid w:val="00F0266C"/>
    <w:rsid w:val="00F03750"/>
    <w:rsid w:val="00F052FA"/>
    <w:rsid w:val="00F06AFD"/>
    <w:rsid w:val="00F102E4"/>
    <w:rsid w:val="00F13B3C"/>
    <w:rsid w:val="00F13CAF"/>
    <w:rsid w:val="00F2379A"/>
    <w:rsid w:val="00F26D0D"/>
    <w:rsid w:val="00F35339"/>
    <w:rsid w:val="00F43A94"/>
    <w:rsid w:val="00F4614F"/>
    <w:rsid w:val="00F478F9"/>
    <w:rsid w:val="00F51934"/>
    <w:rsid w:val="00F51BFE"/>
    <w:rsid w:val="00F54852"/>
    <w:rsid w:val="00F64E16"/>
    <w:rsid w:val="00F76E18"/>
    <w:rsid w:val="00F90E42"/>
    <w:rsid w:val="00F9127B"/>
    <w:rsid w:val="00F95F2E"/>
    <w:rsid w:val="00FA740F"/>
    <w:rsid w:val="00FC49F7"/>
    <w:rsid w:val="00FC5C8F"/>
    <w:rsid w:val="00FD393C"/>
    <w:rsid w:val="00FD790A"/>
    <w:rsid w:val="00FE3591"/>
    <w:rsid w:val="02E1392C"/>
    <w:rsid w:val="037D173E"/>
    <w:rsid w:val="064A0243"/>
    <w:rsid w:val="06833157"/>
    <w:rsid w:val="0BE9297C"/>
    <w:rsid w:val="0CD648DC"/>
    <w:rsid w:val="0DD15211"/>
    <w:rsid w:val="0DDC7635"/>
    <w:rsid w:val="0E237007"/>
    <w:rsid w:val="10D7353C"/>
    <w:rsid w:val="12B96DEA"/>
    <w:rsid w:val="13E7382E"/>
    <w:rsid w:val="14370E88"/>
    <w:rsid w:val="17BF0105"/>
    <w:rsid w:val="1817293D"/>
    <w:rsid w:val="18453242"/>
    <w:rsid w:val="192F2B88"/>
    <w:rsid w:val="1BA81F2B"/>
    <w:rsid w:val="1CD479C1"/>
    <w:rsid w:val="1D025DFF"/>
    <w:rsid w:val="1E3F52D1"/>
    <w:rsid w:val="204615D0"/>
    <w:rsid w:val="21583F32"/>
    <w:rsid w:val="21FE57EE"/>
    <w:rsid w:val="22D714E6"/>
    <w:rsid w:val="22DA1DB7"/>
    <w:rsid w:val="2465385C"/>
    <w:rsid w:val="253B7B16"/>
    <w:rsid w:val="26AB116E"/>
    <w:rsid w:val="2AFD1AFF"/>
    <w:rsid w:val="2BFD062F"/>
    <w:rsid w:val="2CF950D6"/>
    <w:rsid w:val="2F30760F"/>
    <w:rsid w:val="2F845103"/>
    <w:rsid w:val="30062607"/>
    <w:rsid w:val="30461340"/>
    <w:rsid w:val="307310B5"/>
    <w:rsid w:val="32087AE4"/>
    <w:rsid w:val="328A3DB3"/>
    <w:rsid w:val="333A078E"/>
    <w:rsid w:val="343BAA85"/>
    <w:rsid w:val="358E79DB"/>
    <w:rsid w:val="35974147"/>
    <w:rsid w:val="35A75FBF"/>
    <w:rsid w:val="35EF1B19"/>
    <w:rsid w:val="374260C0"/>
    <w:rsid w:val="3A256F8B"/>
    <w:rsid w:val="3E333EC5"/>
    <w:rsid w:val="3FDBD27D"/>
    <w:rsid w:val="40CF7BF0"/>
    <w:rsid w:val="41C52721"/>
    <w:rsid w:val="41EE2D31"/>
    <w:rsid w:val="431622CE"/>
    <w:rsid w:val="43AB287F"/>
    <w:rsid w:val="453305A6"/>
    <w:rsid w:val="46681579"/>
    <w:rsid w:val="46D06EA9"/>
    <w:rsid w:val="470F29F7"/>
    <w:rsid w:val="47D376A7"/>
    <w:rsid w:val="48516B82"/>
    <w:rsid w:val="490B62BE"/>
    <w:rsid w:val="4B742A3E"/>
    <w:rsid w:val="4B857541"/>
    <w:rsid w:val="4DEB70B5"/>
    <w:rsid w:val="4ECB45B0"/>
    <w:rsid w:val="4FBCFD01"/>
    <w:rsid w:val="51E05D03"/>
    <w:rsid w:val="53C20B86"/>
    <w:rsid w:val="55A27FEB"/>
    <w:rsid w:val="56D83A53"/>
    <w:rsid w:val="56FA15A9"/>
    <w:rsid w:val="5713248B"/>
    <w:rsid w:val="573E322A"/>
    <w:rsid w:val="588115A0"/>
    <w:rsid w:val="597E5D07"/>
    <w:rsid w:val="5A7F52F5"/>
    <w:rsid w:val="5B793DEB"/>
    <w:rsid w:val="5BC86360"/>
    <w:rsid w:val="5CAB45BA"/>
    <w:rsid w:val="5E505B0C"/>
    <w:rsid w:val="5EEA057E"/>
    <w:rsid w:val="5F6F26B1"/>
    <w:rsid w:val="5FBF1B8B"/>
    <w:rsid w:val="5FDF1F16"/>
    <w:rsid w:val="5FFABFE7"/>
    <w:rsid w:val="60E3072E"/>
    <w:rsid w:val="659E2FB2"/>
    <w:rsid w:val="662C5A4B"/>
    <w:rsid w:val="6715757E"/>
    <w:rsid w:val="679B09B6"/>
    <w:rsid w:val="67B6DA10"/>
    <w:rsid w:val="68B62DEE"/>
    <w:rsid w:val="68D15FB4"/>
    <w:rsid w:val="6CAB336F"/>
    <w:rsid w:val="6D0C70B4"/>
    <w:rsid w:val="6DE02495"/>
    <w:rsid w:val="6DFA2614"/>
    <w:rsid w:val="6E183A80"/>
    <w:rsid w:val="6EF034EF"/>
    <w:rsid w:val="6F67A7DA"/>
    <w:rsid w:val="6FC541CB"/>
    <w:rsid w:val="716416DF"/>
    <w:rsid w:val="72541E8D"/>
    <w:rsid w:val="727A3033"/>
    <w:rsid w:val="72995877"/>
    <w:rsid w:val="72BB5A61"/>
    <w:rsid w:val="72D4607C"/>
    <w:rsid w:val="73A330CC"/>
    <w:rsid w:val="764E1C65"/>
    <w:rsid w:val="77DFF89E"/>
    <w:rsid w:val="794632C0"/>
    <w:rsid w:val="79905739"/>
    <w:rsid w:val="7A4E290C"/>
    <w:rsid w:val="7A92514B"/>
    <w:rsid w:val="7AED704C"/>
    <w:rsid w:val="7B5FEFB1"/>
    <w:rsid w:val="7BB75C05"/>
    <w:rsid w:val="7C0F6054"/>
    <w:rsid w:val="7D5E7030"/>
    <w:rsid w:val="7D670C85"/>
    <w:rsid w:val="7DEBD8A5"/>
    <w:rsid w:val="7E287EA0"/>
    <w:rsid w:val="7ED0171A"/>
    <w:rsid w:val="7F7F935E"/>
    <w:rsid w:val="7FBF0218"/>
    <w:rsid w:val="7FE3418C"/>
    <w:rsid w:val="7FFE3E04"/>
    <w:rsid w:val="7FFF9D4D"/>
    <w:rsid w:val="97BB818E"/>
    <w:rsid w:val="9D67BFB3"/>
    <w:rsid w:val="9F6BA284"/>
    <w:rsid w:val="BAEFFD19"/>
    <w:rsid w:val="BAFB5B8D"/>
    <w:rsid w:val="BFD13CA6"/>
    <w:rsid w:val="BFEF1B17"/>
    <w:rsid w:val="DEEEFF99"/>
    <w:rsid w:val="DFA3B8D8"/>
    <w:rsid w:val="EBFF80A9"/>
    <w:rsid w:val="ECB5E562"/>
    <w:rsid w:val="EF17BC56"/>
    <w:rsid w:val="EFD575FF"/>
    <w:rsid w:val="F6FB9642"/>
    <w:rsid w:val="F78B8BED"/>
    <w:rsid w:val="F7BE21E3"/>
    <w:rsid w:val="F7EF05A9"/>
    <w:rsid w:val="FEBF3030"/>
    <w:rsid w:val="FEFE6C5E"/>
    <w:rsid w:val="FF5FAE7A"/>
    <w:rsid w:val="FFDF5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iPriority="39" w:semiHidden="0" w:name="toc 1"/>
    <w:lsdException w:qFormat="1" w:uiPriority="39" w:semiHidden="0" w:name="toc 2"/>
    <w:lsdException w:qFormat="1" w:uiPriority="3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iPriority="0" w:name="Normal Indent" w:locked="1"/>
    <w:lsdException w:uiPriority="99" w:name="footnote text" w:locked="1"/>
    <w:lsdException w:qFormat="1" w:uiPriority="0" w:name="annotation text" w:locked="1"/>
    <w:lsdException w:qFormat="1" w:uiPriority="99" w:semiHidden="0" w:name="header"/>
    <w:lsdException w:qFormat="1" w:uiPriority="99" w:semiHidden="0" w:name="footer"/>
    <w:lsdException w:uiPriority="99" w:name="index heading" w:locked="1"/>
    <w:lsdException w:qFormat="1" w:unhideWhenUsed="0" w:uiPriority="0"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iPriority="99" w:name="Plain Text" w:locked="1"/>
    <w:lsdException w:uiPriority="99" w:name="E-mail Signature" w:locked="1"/>
    <w:lsdException w:qFormat="1"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name="Balloon Text" w:locked="1"/>
    <w:lsdException w:qFormat="1" w:unhideWhenUsed="0" w:uiPriority="59" w:semiHidden="0" w:name="Table Grid" w:locked="1"/>
    <w:lsdException w:uiPriority="99"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ocked="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29" w:lineRule="auto"/>
      <w:ind w:firstLine="560" w:firstLineChars="200"/>
      <w:jc w:val="both"/>
    </w:pPr>
    <w:rPr>
      <w:rFonts w:ascii="宋体" w:hAnsi="宋体" w:eastAsia="宋体" w:cs="宋体"/>
      <w:kern w:val="2"/>
      <w:sz w:val="21"/>
      <w:szCs w:val="21"/>
      <w:lang w:val="en-US" w:eastAsia="zh-CN" w:bidi="ar-SA"/>
    </w:rPr>
  </w:style>
  <w:style w:type="paragraph" w:styleId="2">
    <w:name w:val="heading 1"/>
    <w:next w:val="3"/>
    <w:link w:val="35"/>
    <w:qFormat/>
    <w:uiPriority w:val="0"/>
    <w:pPr>
      <w:widowControl w:val="0"/>
      <w:numPr>
        <w:ilvl w:val="0"/>
        <w:numId w:val="1"/>
      </w:numPr>
      <w:adjustRightInd w:val="0"/>
      <w:snapToGrid w:val="0"/>
      <w:spacing w:before="100" w:beforeAutospacing="1" w:line="360" w:lineRule="auto"/>
      <w:outlineLvl w:val="0"/>
    </w:pPr>
    <w:rPr>
      <w:rFonts w:ascii="黑体" w:hAnsi="Times New Roman" w:eastAsia="黑体" w:cstheme="minorBidi"/>
      <w:kern w:val="44"/>
      <w:sz w:val="30"/>
      <w:szCs w:val="44"/>
      <w:lang w:val="en-US" w:eastAsia="zh-CN" w:bidi="ar-SA"/>
    </w:rPr>
  </w:style>
  <w:style w:type="paragraph" w:styleId="4">
    <w:name w:val="heading 2"/>
    <w:next w:val="3"/>
    <w:link w:val="36"/>
    <w:unhideWhenUsed/>
    <w:qFormat/>
    <w:uiPriority w:val="0"/>
    <w:pPr>
      <w:keepNext/>
      <w:widowControl w:val="0"/>
      <w:numPr>
        <w:ilvl w:val="1"/>
        <w:numId w:val="1"/>
      </w:numPr>
      <w:adjustRightInd w:val="0"/>
      <w:snapToGrid w:val="0"/>
      <w:spacing w:before="100" w:beforeAutospacing="1" w:line="360" w:lineRule="auto"/>
      <w:outlineLvl w:val="1"/>
    </w:pPr>
    <w:rPr>
      <w:rFonts w:ascii="黑体" w:eastAsia="黑体" w:hAnsiTheme="majorHAnsi" w:cstheme="majorBidi"/>
      <w:bCs/>
      <w:kern w:val="2"/>
      <w:sz w:val="28"/>
      <w:szCs w:val="32"/>
      <w:lang w:val="en-US" w:eastAsia="zh-CN" w:bidi="ar-SA"/>
    </w:rPr>
  </w:style>
  <w:style w:type="paragraph" w:styleId="5">
    <w:name w:val="heading 3"/>
    <w:basedOn w:val="1"/>
    <w:next w:val="6"/>
    <w:link w:val="37"/>
    <w:unhideWhenUsed/>
    <w:qFormat/>
    <w:uiPriority w:val="0"/>
    <w:pPr>
      <w:keepNext/>
      <w:numPr>
        <w:ilvl w:val="2"/>
        <w:numId w:val="1"/>
      </w:numPr>
      <w:adjustRightInd w:val="0"/>
      <w:snapToGrid w:val="0"/>
      <w:spacing w:before="100" w:beforeAutospacing="1" w:line="360" w:lineRule="auto"/>
      <w:outlineLvl w:val="2"/>
    </w:pPr>
    <w:rPr>
      <w:rFonts w:ascii="黑体" w:eastAsia="黑体" w:hAnsiTheme="minorHAnsi" w:cstheme="minorBidi"/>
      <w:bCs/>
      <w:sz w:val="24"/>
      <w:szCs w:val="32"/>
    </w:rPr>
  </w:style>
  <w:style w:type="paragraph" w:styleId="7">
    <w:name w:val="heading 4"/>
    <w:next w:val="3"/>
    <w:link w:val="48"/>
    <w:unhideWhenUsed/>
    <w:qFormat/>
    <w:uiPriority w:val="0"/>
    <w:pPr>
      <w:keepNext/>
      <w:widowControl w:val="0"/>
      <w:numPr>
        <w:ilvl w:val="3"/>
        <w:numId w:val="1"/>
      </w:numPr>
      <w:adjustRightInd w:val="0"/>
      <w:snapToGrid w:val="0"/>
      <w:spacing w:before="100" w:beforeAutospacing="1" w:line="360" w:lineRule="auto"/>
      <w:outlineLvl w:val="3"/>
    </w:pPr>
    <w:rPr>
      <w:rFonts w:ascii="宋体" w:eastAsia="宋体" w:hAnsiTheme="majorHAnsi" w:cstheme="majorBidi"/>
      <w:b/>
      <w:bCs/>
      <w:kern w:val="2"/>
      <w:sz w:val="24"/>
      <w:szCs w:val="28"/>
      <w:lang w:val="en-US" w:eastAsia="zh-CN" w:bidi="ar-SA"/>
    </w:rPr>
  </w:style>
  <w:style w:type="paragraph" w:styleId="8">
    <w:name w:val="heading 5"/>
    <w:next w:val="3"/>
    <w:link w:val="49"/>
    <w:unhideWhenUsed/>
    <w:qFormat/>
    <w:uiPriority w:val="0"/>
    <w:pPr>
      <w:keepNext/>
      <w:keepLines/>
      <w:numPr>
        <w:ilvl w:val="4"/>
        <w:numId w:val="1"/>
      </w:numPr>
      <w:spacing w:before="100" w:beforeAutospacing="1" w:line="360" w:lineRule="auto"/>
      <w:outlineLvl w:val="4"/>
    </w:pPr>
    <w:rPr>
      <w:rFonts w:ascii="宋体" w:eastAsia="宋体" w:hAnsiTheme="minorHAnsi" w:cstheme="minorBidi"/>
      <w:bCs/>
      <w:kern w:val="2"/>
      <w:sz w:val="24"/>
      <w:szCs w:val="28"/>
      <w:lang w:val="en-US" w:eastAsia="zh-CN" w:bidi="ar-SA"/>
    </w:rPr>
  </w:style>
  <w:style w:type="paragraph" w:styleId="9">
    <w:name w:val="heading 6"/>
    <w:next w:val="3"/>
    <w:link w:val="50"/>
    <w:unhideWhenUsed/>
    <w:qFormat/>
    <w:uiPriority w:val="0"/>
    <w:pPr>
      <w:keepNext/>
      <w:keepLines/>
      <w:numPr>
        <w:ilvl w:val="5"/>
        <w:numId w:val="1"/>
      </w:numPr>
      <w:spacing w:line="360" w:lineRule="auto"/>
      <w:outlineLvl w:val="5"/>
    </w:pPr>
    <w:rPr>
      <w:rFonts w:ascii="宋体" w:eastAsia="宋体" w:hAnsiTheme="majorHAnsi" w:cstheme="majorBidi"/>
      <w:bCs/>
      <w:kern w:val="2"/>
      <w:sz w:val="24"/>
      <w:szCs w:val="24"/>
      <w:lang w:val="en-US" w:eastAsia="zh-CN" w:bidi="ar-SA"/>
    </w:rPr>
  </w:style>
  <w:style w:type="paragraph" w:styleId="10">
    <w:name w:val="heading 7"/>
    <w:next w:val="3"/>
    <w:link w:val="51"/>
    <w:unhideWhenUsed/>
    <w:qFormat/>
    <w:uiPriority w:val="0"/>
    <w:pPr>
      <w:keepNext/>
      <w:keepLines/>
      <w:numPr>
        <w:ilvl w:val="6"/>
        <w:numId w:val="1"/>
      </w:numPr>
      <w:spacing w:line="360" w:lineRule="auto"/>
      <w:outlineLvl w:val="6"/>
    </w:pPr>
    <w:rPr>
      <w:rFonts w:ascii="宋体" w:eastAsia="宋体" w:hAnsiTheme="minorHAnsi" w:cstheme="minorBidi"/>
      <w:bCs/>
      <w:kern w:val="2"/>
      <w:sz w:val="24"/>
      <w:szCs w:val="24"/>
      <w:lang w:val="en-US" w:eastAsia="zh-CN" w:bidi="ar-SA"/>
    </w:rPr>
  </w:style>
  <w:style w:type="paragraph" w:styleId="11">
    <w:name w:val="heading 8"/>
    <w:next w:val="3"/>
    <w:link w:val="52"/>
    <w:unhideWhenUsed/>
    <w:qFormat/>
    <w:uiPriority w:val="0"/>
    <w:pPr>
      <w:keepNext/>
      <w:keepLines/>
      <w:numPr>
        <w:ilvl w:val="7"/>
        <w:numId w:val="1"/>
      </w:numPr>
      <w:spacing w:line="360" w:lineRule="auto"/>
      <w:outlineLvl w:val="7"/>
    </w:pPr>
    <w:rPr>
      <w:rFonts w:ascii="宋体" w:eastAsia="宋体" w:hAnsiTheme="majorHAnsi" w:cstheme="majorBidi"/>
      <w:kern w:val="2"/>
      <w:sz w:val="24"/>
      <w:szCs w:val="24"/>
      <w:lang w:val="en-US" w:eastAsia="zh-CN" w:bidi="ar-SA"/>
    </w:rPr>
  </w:style>
  <w:style w:type="paragraph" w:styleId="12">
    <w:name w:val="heading 9"/>
    <w:next w:val="3"/>
    <w:link w:val="53"/>
    <w:unhideWhenUsed/>
    <w:qFormat/>
    <w:uiPriority w:val="0"/>
    <w:pPr>
      <w:keepNext/>
      <w:keepLines/>
      <w:numPr>
        <w:ilvl w:val="8"/>
        <w:numId w:val="1"/>
      </w:numPr>
      <w:spacing w:line="360" w:lineRule="auto"/>
      <w:outlineLvl w:val="8"/>
    </w:pPr>
    <w:rPr>
      <w:rFonts w:ascii="宋体" w:eastAsia="宋体" w:hAnsiTheme="majorHAnsi" w:cstheme="majorBidi"/>
      <w:kern w:val="2"/>
      <w:sz w:val="24"/>
      <w:szCs w:val="21"/>
      <w:lang w:val="en-US" w:eastAsia="zh-CN" w:bidi="ar-SA"/>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3">
    <w:name w:val="SSEC 正文"/>
    <w:link w:val="39"/>
    <w:qFormat/>
    <w:uiPriority w:val="0"/>
    <w:pPr>
      <w:widowControl w:val="0"/>
      <w:adjustRightInd w:val="0"/>
      <w:snapToGrid w:val="0"/>
      <w:spacing w:line="331" w:lineRule="auto"/>
      <w:ind w:firstLine="200" w:firstLineChars="200"/>
      <w:jc w:val="both"/>
    </w:pPr>
    <w:rPr>
      <w:rFonts w:ascii="宋体" w:hAnsi="宋体" w:eastAsia="宋体" w:cstheme="minorBidi"/>
      <w:kern w:val="2"/>
      <w:sz w:val="24"/>
      <w:szCs w:val="24"/>
      <w:lang w:val="en-US" w:eastAsia="zh-CN" w:bidi="ar-SA"/>
    </w:rPr>
  </w:style>
  <w:style w:type="paragraph" w:customStyle="1" w:styleId="6">
    <w:name w:val="缩进"/>
    <w:basedOn w:val="1"/>
    <w:qFormat/>
    <w:uiPriority w:val="0"/>
    <w:pPr>
      <w:ind w:firstLine="200"/>
    </w:pPr>
  </w:style>
  <w:style w:type="paragraph" w:styleId="13">
    <w:name w:val="caption"/>
    <w:basedOn w:val="1"/>
    <w:next w:val="1"/>
    <w:qFormat/>
    <w:uiPriority w:val="0"/>
    <w:pPr>
      <w:adjustRightInd w:val="0"/>
      <w:snapToGrid w:val="0"/>
      <w:spacing w:before="50" w:beforeLines="50" w:line="360" w:lineRule="auto"/>
      <w:ind w:firstLine="0" w:firstLineChars="0"/>
      <w:jc w:val="center"/>
    </w:pPr>
    <w:rPr>
      <w:rFonts w:ascii="宋体" w:hAnsi="宋体" w:eastAsia="宋体" w:cstheme="majorBidi"/>
    </w:rPr>
  </w:style>
  <w:style w:type="paragraph" w:styleId="14">
    <w:name w:val="annotation text"/>
    <w:basedOn w:val="1"/>
    <w:link w:val="34"/>
    <w:semiHidden/>
    <w:unhideWhenUsed/>
    <w:qFormat/>
    <w:locked/>
    <w:uiPriority w:val="0"/>
    <w:pPr>
      <w:jc w:val="left"/>
    </w:pPr>
  </w:style>
  <w:style w:type="paragraph" w:styleId="15">
    <w:name w:val="Body Text"/>
    <w:basedOn w:val="1"/>
    <w:qFormat/>
    <w:locked/>
    <w:uiPriority w:val="0"/>
    <w:rPr>
      <w:sz w:val="24"/>
    </w:rPr>
  </w:style>
  <w:style w:type="paragraph" w:styleId="16">
    <w:name w:val="toc 3"/>
    <w:basedOn w:val="1"/>
    <w:next w:val="1"/>
    <w:autoRedefine/>
    <w:unhideWhenUsed/>
    <w:qFormat/>
    <w:uiPriority w:val="39"/>
    <w:pPr>
      <w:ind w:left="420"/>
      <w:jc w:val="left"/>
    </w:pPr>
    <w:rPr>
      <w:rFonts w:cstheme="minorHAnsi"/>
      <w:sz w:val="20"/>
      <w:szCs w:val="20"/>
    </w:rPr>
  </w:style>
  <w:style w:type="paragraph" w:styleId="17">
    <w:name w:val="Plain Text"/>
    <w:basedOn w:val="1"/>
    <w:link w:val="65"/>
    <w:semiHidden/>
    <w:unhideWhenUsed/>
    <w:qFormat/>
    <w:locked/>
    <w:uiPriority w:val="99"/>
    <w:rPr>
      <w:rFonts w:hAnsi="Courier New" w:cs="Courier New"/>
    </w:rPr>
  </w:style>
  <w:style w:type="paragraph" w:styleId="18">
    <w:name w:val="Balloon Text"/>
    <w:basedOn w:val="1"/>
    <w:link w:val="85"/>
    <w:semiHidden/>
    <w:qFormat/>
    <w:locked/>
    <w:uiPriority w:val="0"/>
    <w:rPr>
      <w:sz w:val="18"/>
      <w:szCs w:val="18"/>
    </w:rPr>
  </w:style>
  <w:style w:type="paragraph" w:styleId="19">
    <w:name w:val="footer"/>
    <w:link w:val="55"/>
    <w:unhideWhenUsed/>
    <w:qFormat/>
    <w:uiPriority w:val="99"/>
    <w:pPr>
      <w:tabs>
        <w:tab w:val="center" w:pos="4153"/>
        <w:tab w:val="right" w:pos="8306"/>
      </w:tabs>
      <w:snapToGrid w:val="0"/>
      <w:textAlignment w:val="center"/>
    </w:pPr>
    <w:rPr>
      <w:rFonts w:ascii="宋体" w:eastAsia="宋体" w:hAnsiTheme="minorHAnsi" w:cstheme="minorBidi"/>
      <w:kern w:val="2"/>
      <w:sz w:val="18"/>
      <w:szCs w:val="18"/>
      <w:lang w:val="en-US" w:eastAsia="zh-CN" w:bidi="ar-SA"/>
    </w:rPr>
  </w:style>
  <w:style w:type="paragraph" w:styleId="2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next w:val="1"/>
    <w:link w:val="87"/>
    <w:autoRedefine/>
    <w:unhideWhenUsed/>
    <w:qFormat/>
    <w:uiPriority w:val="39"/>
    <w:pPr>
      <w:adjustRightInd w:val="0"/>
      <w:snapToGrid w:val="0"/>
      <w:spacing w:line="360" w:lineRule="auto"/>
      <w:jc w:val="both"/>
    </w:pPr>
    <w:rPr>
      <w:rFonts w:ascii="黑体" w:eastAsia="宋体" w:hAnsiTheme="minorHAnsi" w:cstheme="minorHAnsi"/>
      <w:b/>
      <w:bCs/>
      <w:kern w:val="2"/>
      <w:sz w:val="28"/>
      <w:lang w:val="en-US" w:eastAsia="zh-CN" w:bidi="ar-SA"/>
    </w:rPr>
  </w:style>
  <w:style w:type="paragraph" w:styleId="22">
    <w:name w:val="toc 2"/>
    <w:next w:val="1"/>
    <w:link w:val="88"/>
    <w:autoRedefine/>
    <w:unhideWhenUsed/>
    <w:qFormat/>
    <w:uiPriority w:val="39"/>
    <w:pPr>
      <w:adjustRightInd w:val="0"/>
      <w:snapToGrid w:val="0"/>
      <w:spacing w:line="360" w:lineRule="auto"/>
      <w:ind w:left="420" w:leftChars="200"/>
      <w:jc w:val="both"/>
    </w:pPr>
    <w:rPr>
      <w:rFonts w:ascii="黑体" w:eastAsia="宋体" w:hAnsiTheme="minorHAnsi" w:cstheme="minorHAnsi"/>
      <w:iCs/>
      <w:kern w:val="2"/>
      <w:sz w:val="24"/>
      <w:lang w:val="en-US" w:eastAsia="zh-CN" w:bidi="ar-SA"/>
    </w:rPr>
  </w:style>
  <w:style w:type="paragraph" w:styleId="23">
    <w:name w:val="Normal (Web)"/>
    <w:basedOn w:val="1"/>
    <w:semiHidden/>
    <w:unhideWhenUsed/>
    <w:qFormat/>
    <w:locked/>
    <w:uiPriority w:val="99"/>
    <w:pPr>
      <w:widowControl/>
      <w:spacing w:before="100" w:beforeAutospacing="1" w:after="100" w:afterAutospacing="1"/>
      <w:jc w:val="left"/>
    </w:pPr>
    <w:rPr>
      <w:kern w:val="0"/>
      <w:sz w:val="24"/>
      <w:szCs w:val="24"/>
    </w:rPr>
  </w:style>
  <w:style w:type="paragraph" w:styleId="24">
    <w:name w:val="Title"/>
    <w:basedOn w:val="1"/>
    <w:next w:val="1"/>
    <w:link w:val="64"/>
    <w:qFormat/>
    <w:locked/>
    <w:uiPriority w:val="10"/>
    <w:pPr>
      <w:spacing w:before="240" w:after="60"/>
      <w:jc w:val="center"/>
      <w:outlineLvl w:val="0"/>
    </w:pPr>
    <w:rPr>
      <w:rFonts w:asciiTheme="majorHAnsi" w:hAnsiTheme="majorHAnsi" w:cstheme="majorBidi"/>
      <w:b/>
      <w:bCs/>
      <w:sz w:val="32"/>
      <w:szCs w:val="32"/>
    </w:rPr>
  </w:style>
  <w:style w:type="paragraph" w:styleId="25">
    <w:name w:val="annotation subject"/>
    <w:basedOn w:val="14"/>
    <w:next w:val="14"/>
    <w:link w:val="86"/>
    <w:semiHidden/>
    <w:unhideWhenUsed/>
    <w:qFormat/>
    <w:locked/>
    <w:uiPriority w:val="99"/>
    <w:rPr>
      <w:b/>
      <w:bCs/>
    </w:rPr>
  </w:style>
  <w:style w:type="table" w:styleId="27">
    <w:name w:val="Table Grid"/>
    <w:basedOn w:val="26"/>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locked/>
    <w:uiPriority w:val="22"/>
    <w:rPr>
      <w:b/>
    </w:rPr>
  </w:style>
  <w:style w:type="character" w:styleId="30">
    <w:name w:val="page number"/>
    <w:qFormat/>
    <w:uiPriority w:val="0"/>
  </w:style>
  <w:style w:type="character" w:styleId="31">
    <w:name w:val="Emphasis"/>
    <w:basedOn w:val="28"/>
    <w:qFormat/>
    <w:locked/>
    <w:uiPriority w:val="20"/>
    <w:rPr>
      <w:i/>
    </w:rPr>
  </w:style>
  <w:style w:type="character" w:styleId="32">
    <w:name w:val="Hyperlink"/>
    <w:basedOn w:val="28"/>
    <w:unhideWhenUsed/>
    <w:qFormat/>
    <w:uiPriority w:val="99"/>
    <w:rPr>
      <w:color w:val="0000FF" w:themeColor="hyperlink"/>
      <w:u w:val="single"/>
      <w14:textFill>
        <w14:solidFill>
          <w14:schemeClr w14:val="hlink"/>
        </w14:solidFill>
      </w14:textFill>
    </w:rPr>
  </w:style>
  <w:style w:type="character" w:styleId="33">
    <w:name w:val="annotation reference"/>
    <w:basedOn w:val="28"/>
    <w:semiHidden/>
    <w:unhideWhenUsed/>
    <w:qFormat/>
    <w:locked/>
    <w:uiPriority w:val="99"/>
    <w:rPr>
      <w:sz w:val="21"/>
      <w:szCs w:val="21"/>
    </w:rPr>
  </w:style>
  <w:style w:type="character" w:customStyle="1" w:styleId="34">
    <w:name w:val="批注文字 字符"/>
    <w:basedOn w:val="28"/>
    <w:link w:val="14"/>
    <w:semiHidden/>
    <w:qFormat/>
    <w:uiPriority w:val="0"/>
  </w:style>
  <w:style w:type="character" w:customStyle="1" w:styleId="35">
    <w:name w:val="标题 1 字符"/>
    <w:basedOn w:val="28"/>
    <w:link w:val="2"/>
    <w:qFormat/>
    <w:uiPriority w:val="0"/>
    <w:rPr>
      <w:rFonts w:ascii="黑体" w:hAnsi="Times New Roman" w:eastAsia="黑体"/>
      <w:kern w:val="44"/>
      <w:sz w:val="30"/>
      <w:szCs w:val="44"/>
    </w:rPr>
  </w:style>
  <w:style w:type="character" w:customStyle="1" w:styleId="36">
    <w:name w:val="标题 2 字符"/>
    <w:basedOn w:val="28"/>
    <w:link w:val="4"/>
    <w:qFormat/>
    <w:uiPriority w:val="0"/>
    <w:rPr>
      <w:rFonts w:ascii="黑体" w:eastAsia="黑体" w:hAnsiTheme="majorHAnsi" w:cstheme="majorBidi"/>
      <w:bCs/>
      <w:sz w:val="28"/>
      <w:szCs w:val="32"/>
    </w:rPr>
  </w:style>
  <w:style w:type="character" w:customStyle="1" w:styleId="37">
    <w:name w:val="标题 3 字符"/>
    <w:basedOn w:val="28"/>
    <w:link w:val="5"/>
    <w:qFormat/>
    <w:uiPriority w:val="0"/>
    <w:rPr>
      <w:rFonts w:ascii="黑体" w:eastAsia="黑体"/>
      <w:bCs/>
      <w:sz w:val="24"/>
      <w:szCs w:val="32"/>
    </w:rPr>
  </w:style>
  <w:style w:type="paragraph" w:customStyle="1" w:styleId="38">
    <w:name w:val="表头"/>
    <w:basedOn w:val="1"/>
    <w:qFormat/>
    <w:uiPriority w:val="0"/>
    <w:pPr>
      <w:jc w:val="center"/>
    </w:pPr>
    <w:rPr>
      <w:szCs w:val="20"/>
    </w:rPr>
  </w:style>
  <w:style w:type="character" w:customStyle="1" w:styleId="39">
    <w:name w:val="SSEC 正文 字符"/>
    <w:basedOn w:val="28"/>
    <w:link w:val="3"/>
    <w:qFormat/>
    <w:uiPriority w:val="0"/>
    <w:rPr>
      <w:rFonts w:ascii="宋体" w:hAnsi="宋体" w:eastAsia="宋体"/>
      <w:sz w:val="24"/>
      <w:szCs w:val="24"/>
    </w:rPr>
  </w:style>
  <w:style w:type="paragraph" w:customStyle="1" w:styleId="40">
    <w:name w:val="表格"/>
    <w:basedOn w:val="1"/>
    <w:qFormat/>
    <w:uiPriority w:val="0"/>
    <w:pPr>
      <w:spacing w:line="240" w:lineRule="auto"/>
      <w:ind w:firstLine="0" w:firstLineChars="0"/>
      <w:jc w:val="center"/>
    </w:pPr>
    <w:rPr>
      <w:rFonts w:ascii="Times New Roman" w:hAnsi="Times New Roman" w:cs="Times New Roman"/>
      <w:color w:val="000000"/>
      <w:kern w:val="0"/>
    </w:rPr>
  </w:style>
  <w:style w:type="paragraph" w:customStyle="1" w:styleId="41">
    <w:name w:val="SSEC 表字居中"/>
    <w:link w:val="42"/>
    <w:qFormat/>
    <w:uiPriority w:val="0"/>
    <w:pPr>
      <w:widowControl w:val="0"/>
      <w:adjustRightInd w:val="0"/>
      <w:snapToGrid w:val="0"/>
      <w:jc w:val="center"/>
      <w:textAlignment w:val="center"/>
    </w:pPr>
    <w:rPr>
      <w:rFonts w:ascii="宋体" w:hAnsi="宋体" w:eastAsia="宋体" w:cstheme="minorBidi"/>
      <w:kern w:val="2"/>
      <w:sz w:val="18"/>
      <w:szCs w:val="21"/>
      <w:lang w:val="en-US" w:eastAsia="zh-CN" w:bidi="ar-SA"/>
    </w:rPr>
  </w:style>
  <w:style w:type="character" w:customStyle="1" w:styleId="42">
    <w:name w:val="SSEC 表字居中 字符"/>
    <w:basedOn w:val="28"/>
    <w:link w:val="41"/>
    <w:qFormat/>
    <w:uiPriority w:val="0"/>
    <w:rPr>
      <w:rFonts w:ascii="宋体" w:hAnsi="宋体" w:eastAsia="宋体"/>
      <w:sz w:val="18"/>
    </w:rPr>
  </w:style>
  <w:style w:type="paragraph" w:customStyle="1" w:styleId="43">
    <w:name w:val="Table Text"/>
    <w:basedOn w:val="1"/>
    <w:semiHidden/>
    <w:qFormat/>
    <w:uiPriority w:val="0"/>
    <w:rPr>
      <w:rFonts w:ascii="微软雅黑" w:hAnsi="微软雅黑" w:eastAsia="微软雅黑" w:cs="微软雅黑"/>
      <w:sz w:val="23"/>
      <w:szCs w:val="23"/>
      <w:lang w:val="en-US" w:eastAsia="en-US" w:bidi="ar-SA"/>
    </w:rPr>
  </w:style>
  <w:style w:type="paragraph" w:customStyle="1" w:styleId="44">
    <w:name w:val="Table Paragraph"/>
    <w:basedOn w:val="1"/>
    <w:qFormat/>
    <w:uiPriority w:val="0"/>
    <w:pPr>
      <w:spacing w:before="8" w:after="100" w:afterAutospacing="1"/>
      <w:jc w:val="center"/>
    </w:pPr>
    <w:rPr>
      <w:kern w:val="0"/>
      <w:sz w:val="22"/>
      <w:szCs w:val="22"/>
    </w:rPr>
  </w:style>
  <w:style w:type="paragraph" w:styleId="4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6">
    <w:name w:val="样式1"/>
    <w:basedOn w:val="47"/>
    <w:qFormat/>
    <w:uiPriority w:val="0"/>
  </w:style>
  <w:style w:type="paragraph" w:customStyle="1" w:styleId="47">
    <w:name w:val="表字居左X2"/>
    <w:basedOn w:val="41"/>
    <w:qFormat/>
    <w:uiPriority w:val="0"/>
    <w:pPr>
      <w:spacing w:line="331" w:lineRule="auto"/>
      <w:ind w:firstLine="200" w:firstLineChars="200"/>
      <w:jc w:val="both"/>
    </w:pPr>
    <w:rPr>
      <w:rFonts w:cs="宋体"/>
    </w:rPr>
  </w:style>
  <w:style w:type="character" w:customStyle="1" w:styleId="48">
    <w:name w:val="标题 4 字符"/>
    <w:basedOn w:val="28"/>
    <w:link w:val="7"/>
    <w:qFormat/>
    <w:uiPriority w:val="0"/>
    <w:rPr>
      <w:rFonts w:ascii="宋体" w:eastAsia="宋体" w:hAnsiTheme="majorHAnsi" w:cstheme="majorBidi"/>
      <w:b/>
      <w:bCs/>
      <w:sz w:val="24"/>
      <w:szCs w:val="28"/>
    </w:rPr>
  </w:style>
  <w:style w:type="character" w:customStyle="1" w:styleId="49">
    <w:name w:val="标题 5 字符"/>
    <w:basedOn w:val="28"/>
    <w:link w:val="8"/>
    <w:qFormat/>
    <w:uiPriority w:val="0"/>
    <w:rPr>
      <w:rFonts w:ascii="宋体" w:eastAsia="宋体"/>
      <w:bCs/>
      <w:sz w:val="24"/>
      <w:szCs w:val="28"/>
    </w:rPr>
  </w:style>
  <w:style w:type="character" w:customStyle="1" w:styleId="50">
    <w:name w:val="标题 6 字符"/>
    <w:basedOn w:val="28"/>
    <w:link w:val="9"/>
    <w:qFormat/>
    <w:uiPriority w:val="0"/>
    <w:rPr>
      <w:rFonts w:ascii="宋体" w:eastAsia="宋体" w:hAnsiTheme="majorHAnsi" w:cstheme="majorBidi"/>
      <w:bCs/>
      <w:sz w:val="24"/>
      <w:szCs w:val="24"/>
    </w:rPr>
  </w:style>
  <w:style w:type="character" w:customStyle="1" w:styleId="51">
    <w:name w:val="标题 7 字符"/>
    <w:basedOn w:val="28"/>
    <w:link w:val="10"/>
    <w:qFormat/>
    <w:uiPriority w:val="0"/>
    <w:rPr>
      <w:rFonts w:ascii="宋体" w:eastAsia="宋体"/>
      <w:bCs/>
      <w:sz w:val="24"/>
      <w:szCs w:val="24"/>
    </w:rPr>
  </w:style>
  <w:style w:type="character" w:customStyle="1" w:styleId="52">
    <w:name w:val="标题 8 字符"/>
    <w:basedOn w:val="28"/>
    <w:link w:val="11"/>
    <w:qFormat/>
    <w:uiPriority w:val="0"/>
    <w:rPr>
      <w:rFonts w:ascii="宋体" w:eastAsia="宋体" w:hAnsiTheme="majorHAnsi" w:cstheme="majorBidi"/>
      <w:sz w:val="24"/>
      <w:szCs w:val="24"/>
    </w:rPr>
  </w:style>
  <w:style w:type="character" w:customStyle="1" w:styleId="53">
    <w:name w:val="标题 9 字符"/>
    <w:basedOn w:val="28"/>
    <w:link w:val="12"/>
    <w:qFormat/>
    <w:uiPriority w:val="0"/>
    <w:rPr>
      <w:rFonts w:ascii="宋体" w:eastAsia="宋体" w:hAnsiTheme="majorHAnsi" w:cstheme="majorBidi"/>
      <w:sz w:val="24"/>
    </w:rPr>
  </w:style>
  <w:style w:type="character" w:customStyle="1" w:styleId="54">
    <w:name w:val="页眉 字符"/>
    <w:basedOn w:val="28"/>
    <w:link w:val="20"/>
    <w:qFormat/>
    <w:uiPriority w:val="99"/>
    <w:rPr>
      <w:rFonts w:ascii="Times New Roman" w:hAnsi="Times New Roman" w:eastAsia="宋体" w:cs="Times New Roman"/>
      <w:sz w:val="18"/>
      <w:szCs w:val="18"/>
    </w:rPr>
  </w:style>
  <w:style w:type="character" w:customStyle="1" w:styleId="55">
    <w:name w:val="页脚 字符"/>
    <w:basedOn w:val="28"/>
    <w:link w:val="19"/>
    <w:qFormat/>
    <w:uiPriority w:val="99"/>
    <w:rPr>
      <w:rFonts w:ascii="宋体" w:eastAsia="宋体"/>
      <w:sz w:val="18"/>
      <w:szCs w:val="18"/>
    </w:rPr>
  </w:style>
  <w:style w:type="paragraph" w:customStyle="1" w:styleId="56">
    <w:name w:val="SSEC 表内序号"/>
    <w:link w:val="57"/>
    <w:qFormat/>
    <w:uiPriority w:val="0"/>
    <w:pPr>
      <w:widowControl w:val="0"/>
      <w:numPr>
        <w:ilvl w:val="0"/>
        <w:numId w:val="2"/>
      </w:numPr>
      <w:adjustRightInd w:val="0"/>
      <w:snapToGrid w:val="0"/>
      <w:jc w:val="center"/>
      <w:textAlignment w:val="center"/>
    </w:pPr>
    <w:rPr>
      <w:rFonts w:ascii="宋体" w:hAnsi="Times New Roman" w:eastAsia="宋体" w:cstheme="minorBidi"/>
      <w:kern w:val="2"/>
      <w:sz w:val="21"/>
      <w:szCs w:val="21"/>
      <w:lang w:val="en-US" w:eastAsia="zh-CN" w:bidi="ar-SA"/>
    </w:rPr>
  </w:style>
  <w:style w:type="character" w:customStyle="1" w:styleId="57">
    <w:name w:val="SSEC 表内序号 字符"/>
    <w:basedOn w:val="28"/>
    <w:link w:val="56"/>
    <w:qFormat/>
    <w:uiPriority w:val="0"/>
    <w:rPr>
      <w:rFonts w:ascii="宋体" w:hAnsi="Times New Roman" w:eastAsia="宋体"/>
    </w:rPr>
  </w:style>
  <w:style w:type="paragraph" w:customStyle="1" w:styleId="58">
    <w:name w:val="SSEC 目录名"/>
    <w:link w:val="59"/>
    <w:qFormat/>
    <w:uiPriority w:val="0"/>
    <w:pPr>
      <w:widowControl w:val="0"/>
      <w:adjustRightInd w:val="0"/>
      <w:snapToGrid w:val="0"/>
      <w:spacing w:before="100" w:beforeAutospacing="1" w:line="360" w:lineRule="auto"/>
      <w:jc w:val="center"/>
    </w:pPr>
    <w:rPr>
      <w:rFonts w:ascii="黑体" w:hAnsi="黑体" w:eastAsia="黑体" w:cstheme="minorBidi"/>
      <w:kern w:val="2"/>
      <w:sz w:val="32"/>
      <w:szCs w:val="30"/>
      <w:lang w:val="en-US" w:eastAsia="zh-CN" w:bidi="ar-SA"/>
    </w:rPr>
  </w:style>
  <w:style w:type="character" w:customStyle="1" w:styleId="59">
    <w:name w:val="SSEC 目录名 字符"/>
    <w:basedOn w:val="28"/>
    <w:link w:val="58"/>
    <w:qFormat/>
    <w:uiPriority w:val="0"/>
    <w:rPr>
      <w:rFonts w:ascii="黑体" w:hAnsi="黑体" w:eastAsia="黑体"/>
      <w:sz w:val="32"/>
      <w:szCs w:val="30"/>
    </w:rPr>
  </w:style>
  <w:style w:type="paragraph" w:customStyle="1" w:styleId="60">
    <w:name w:val="SSEC 表字居左"/>
    <w:link w:val="62"/>
    <w:qFormat/>
    <w:uiPriority w:val="0"/>
    <w:pPr>
      <w:keepNext/>
      <w:widowControl w:val="0"/>
      <w:adjustRightInd w:val="0"/>
      <w:snapToGrid w:val="0"/>
      <w:jc w:val="right"/>
    </w:pPr>
    <w:rPr>
      <w:rFonts w:ascii="宋体" w:eastAsia="宋体" w:hAnsiTheme="minorHAnsi" w:cstheme="minorBidi"/>
      <w:kern w:val="2"/>
      <w:sz w:val="21"/>
      <w:szCs w:val="21"/>
      <w:lang w:val="en-US" w:eastAsia="zh-CN" w:bidi="ar-SA"/>
    </w:rPr>
  </w:style>
  <w:style w:type="table" w:customStyle="1" w:styleId="61">
    <w:name w:val="SSEC表格样式"/>
    <w:basedOn w:val="26"/>
    <w:qFormat/>
    <w:uiPriority w:val="99"/>
    <w:pPr>
      <w:adjustRightInd w:val="0"/>
      <w:snapToGrid w:val="0"/>
    </w:p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character" w:customStyle="1" w:styleId="62">
    <w:name w:val="SSEC 表字居左 字符"/>
    <w:basedOn w:val="28"/>
    <w:link w:val="60"/>
    <w:qFormat/>
    <w:uiPriority w:val="0"/>
    <w:rPr>
      <w:rFonts w:ascii="宋体" w:eastAsia="宋体"/>
    </w:rPr>
  </w:style>
  <w:style w:type="paragraph" w:customStyle="1" w:styleId="63">
    <w:name w:val="附件"/>
    <w:basedOn w:val="4"/>
    <w:link w:val="66"/>
    <w:qFormat/>
    <w:uiPriority w:val="0"/>
    <w:pPr>
      <w:numPr>
        <w:ilvl w:val="0"/>
        <w:numId w:val="3"/>
      </w:numPr>
      <w:adjustRightInd/>
      <w:snapToGrid/>
      <w:spacing w:before="0" w:beforeAutospacing="0" w:line="240" w:lineRule="auto"/>
    </w:pPr>
  </w:style>
  <w:style w:type="character" w:customStyle="1" w:styleId="64">
    <w:name w:val="标题 字符"/>
    <w:basedOn w:val="28"/>
    <w:link w:val="24"/>
    <w:qFormat/>
    <w:uiPriority w:val="10"/>
    <w:rPr>
      <w:rFonts w:eastAsia="宋体" w:asciiTheme="majorHAnsi" w:hAnsiTheme="majorHAnsi" w:cstheme="majorBidi"/>
      <w:b/>
      <w:bCs/>
      <w:sz w:val="32"/>
      <w:szCs w:val="32"/>
    </w:rPr>
  </w:style>
  <w:style w:type="character" w:customStyle="1" w:styleId="65">
    <w:name w:val="纯文本 字符"/>
    <w:basedOn w:val="28"/>
    <w:link w:val="17"/>
    <w:semiHidden/>
    <w:qFormat/>
    <w:uiPriority w:val="99"/>
    <w:rPr>
      <w:rFonts w:ascii="宋体" w:hAnsi="Courier New" w:eastAsia="宋体" w:cs="Courier New"/>
    </w:rPr>
  </w:style>
  <w:style w:type="character" w:customStyle="1" w:styleId="66">
    <w:name w:val="附件 Char"/>
    <w:basedOn w:val="36"/>
    <w:link w:val="63"/>
    <w:qFormat/>
    <w:uiPriority w:val="0"/>
    <w:rPr>
      <w:rFonts w:ascii="黑体" w:eastAsia="黑体" w:hAnsiTheme="majorHAnsi" w:cstheme="majorBidi"/>
      <w:sz w:val="28"/>
      <w:szCs w:val="32"/>
    </w:rPr>
  </w:style>
  <w:style w:type="paragraph" w:customStyle="1" w:styleId="67">
    <w:name w:val="附图"/>
    <w:link w:val="69"/>
    <w:qFormat/>
    <w:uiPriority w:val="0"/>
    <w:pPr>
      <w:keepNext/>
      <w:numPr>
        <w:ilvl w:val="0"/>
        <w:numId w:val="4"/>
      </w:numPr>
      <w:adjustRightInd w:val="0"/>
      <w:snapToGrid w:val="0"/>
      <w:outlineLvl w:val="1"/>
    </w:pPr>
    <w:rPr>
      <w:rFonts w:ascii="黑体" w:hAnsi="黑体" w:eastAsia="黑体" w:cstheme="minorBidi"/>
      <w:kern w:val="2"/>
      <w:sz w:val="24"/>
      <w:szCs w:val="28"/>
      <w:lang w:val="en-US" w:eastAsia="zh-CN" w:bidi="ar-SA"/>
    </w:rPr>
  </w:style>
  <w:style w:type="paragraph" w:customStyle="1" w:styleId="68">
    <w:name w:val="附表"/>
    <w:basedOn w:val="1"/>
    <w:link w:val="70"/>
    <w:qFormat/>
    <w:uiPriority w:val="0"/>
    <w:pPr>
      <w:keepNext/>
      <w:numPr>
        <w:ilvl w:val="0"/>
        <w:numId w:val="5"/>
      </w:numPr>
      <w:outlineLvl w:val="1"/>
    </w:pPr>
    <w:rPr>
      <w:rFonts w:ascii="黑体" w:hAnsi="黑体" w:eastAsia="黑体"/>
      <w:sz w:val="28"/>
      <w:szCs w:val="28"/>
    </w:rPr>
  </w:style>
  <w:style w:type="character" w:customStyle="1" w:styleId="69">
    <w:name w:val="附图 Char"/>
    <w:basedOn w:val="28"/>
    <w:link w:val="67"/>
    <w:qFormat/>
    <w:uiPriority w:val="0"/>
    <w:rPr>
      <w:rFonts w:ascii="黑体" w:hAnsi="黑体" w:eastAsia="黑体"/>
      <w:sz w:val="24"/>
      <w:szCs w:val="28"/>
    </w:rPr>
  </w:style>
  <w:style w:type="character" w:customStyle="1" w:styleId="70">
    <w:name w:val="附表 Char"/>
    <w:basedOn w:val="28"/>
    <w:link w:val="68"/>
    <w:qFormat/>
    <w:uiPriority w:val="0"/>
    <w:rPr>
      <w:rFonts w:ascii="黑体" w:hAnsi="黑体" w:eastAsia="黑体" w:cs="Times New Roman"/>
      <w:sz w:val="28"/>
      <w:szCs w:val="28"/>
    </w:rPr>
  </w:style>
  <w:style w:type="paragraph" w:customStyle="1" w:styleId="71">
    <w:name w:val="SSEC 1级序号"/>
    <w:link w:val="72"/>
    <w:qFormat/>
    <w:uiPriority w:val="0"/>
    <w:pPr>
      <w:widowControl w:val="0"/>
      <w:numPr>
        <w:ilvl w:val="0"/>
        <w:numId w:val="6"/>
      </w:numPr>
      <w:adjustRightInd w:val="0"/>
      <w:snapToGrid w:val="0"/>
      <w:spacing w:line="331" w:lineRule="auto"/>
      <w:jc w:val="both"/>
    </w:pPr>
    <w:rPr>
      <w:rFonts w:ascii="宋体" w:hAnsi="宋体" w:eastAsia="宋体" w:cstheme="minorBidi"/>
      <w:kern w:val="2"/>
      <w:sz w:val="21"/>
      <w:szCs w:val="24"/>
      <w:lang w:val="en-US" w:eastAsia="zh-CN" w:bidi="ar-SA"/>
    </w:rPr>
  </w:style>
  <w:style w:type="character" w:customStyle="1" w:styleId="72">
    <w:name w:val="SSEC 1级序号 字符"/>
    <w:basedOn w:val="39"/>
    <w:link w:val="71"/>
    <w:qFormat/>
    <w:uiPriority w:val="0"/>
    <w:rPr>
      <w:rFonts w:ascii="宋体" w:hAnsi="宋体" w:eastAsia="宋体"/>
      <w:sz w:val="24"/>
      <w:szCs w:val="24"/>
    </w:rPr>
  </w:style>
  <w:style w:type="paragraph" w:customStyle="1" w:styleId="73">
    <w:name w:val="SSEC 2级序号"/>
    <w:basedOn w:val="71"/>
    <w:link w:val="75"/>
    <w:qFormat/>
    <w:uiPriority w:val="0"/>
    <w:pPr>
      <w:numPr>
        <w:ilvl w:val="1"/>
      </w:numPr>
    </w:pPr>
  </w:style>
  <w:style w:type="paragraph" w:customStyle="1" w:styleId="74">
    <w:name w:val="SSEC 3级序号"/>
    <w:basedOn w:val="71"/>
    <w:link w:val="77"/>
    <w:qFormat/>
    <w:uiPriority w:val="0"/>
    <w:pPr>
      <w:numPr>
        <w:ilvl w:val="2"/>
      </w:numPr>
    </w:pPr>
  </w:style>
  <w:style w:type="character" w:customStyle="1" w:styleId="75">
    <w:name w:val="SSEC 2级序号 字符"/>
    <w:basedOn w:val="72"/>
    <w:link w:val="73"/>
    <w:qFormat/>
    <w:uiPriority w:val="0"/>
    <w:rPr>
      <w:rFonts w:ascii="宋体" w:hAnsi="宋体" w:eastAsia="宋体"/>
      <w:sz w:val="24"/>
      <w:szCs w:val="24"/>
    </w:rPr>
  </w:style>
  <w:style w:type="paragraph" w:customStyle="1" w:styleId="76">
    <w:name w:val="SSEC 4级序号"/>
    <w:basedOn w:val="71"/>
    <w:link w:val="79"/>
    <w:qFormat/>
    <w:uiPriority w:val="0"/>
    <w:pPr>
      <w:numPr>
        <w:ilvl w:val="3"/>
      </w:numPr>
    </w:pPr>
  </w:style>
  <w:style w:type="character" w:customStyle="1" w:styleId="77">
    <w:name w:val="SSEC 3级序号 字符"/>
    <w:basedOn w:val="72"/>
    <w:link w:val="74"/>
    <w:qFormat/>
    <w:uiPriority w:val="0"/>
    <w:rPr>
      <w:rFonts w:ascii="宋体" w:hAnsi="宋体" w:eastAsia="宋体"/>
      <w:sz w:val="24"/>
      <w:szCs w:val="24"/>
    </w:rPr>
  </w:style>
  <w:style w:type="paragraph" w:customStyle="1" w:styleId="78">
    <w:name w:val="SSEC 5级序号"/>
    <w:basedOn w:val="71"/>
    <w:link w:val="81"/>
    <w:qFormat/>
    <w:uiPriority w:val="0"/>
    <w:pPr>
      <w:numPr>
        <w:ilvl w:val="4"/>
      </w:numPr>
    </w:pPr>
  </w:style>
  <w:style w:type="character" w:customStyle="1" w:styleId="79">
    <w:name w:val="SSEC 4级序号 字符"/>
    <w:basedOn w:val="77"/>
    <w:link w:val="76"/>
    <w:qFormat/>
    <w:uiPriority w:val="0"/>
    <w:rPr>
      <w:rFonts w:ascii="宋体" w:hAnsi="宋体" w:eastAsia="宋体"/>
      <w:sz w:val="24"/>
      <w:szCs w:val="24"/>
    </w:rPr>
  </w:style>
  <w:style w:type="paragraph" w:customStyle="1" w:styleId="80">
    <w:name w:val="SSEC 6级序号"/>
    <w:basedOn w:val="71"/>
    <w:link w:val="83"/>
    <w:qFormat/>
    <w:uiPriority w:val="0"/>
    <w:pPr>
      <w:numPr>
        <w:ilvl w:val="5"/>
      </w:numPr>
    </w:pPr>
  </w:style>
  <w:style w:type="character" w:customStyle="1" w:styleId="81">
    <w:name w:val="SSEC 5级序号 字符"/>
    <w:basedOn w:val="72"/>
    <w:link w:val="78"/>
    <w:qFormat/>
    <w:uiPriority w:val="0"/>
    <w:rPr>
      <w:rFonts w:ascii="宋体" w:hAnsi="宋体" w:eastAsia="宋体"/>
      <w:sz w:val="24"/>
      <w:szCs w:val="24"/>
    </w:rPr>
  </w:style>
  <w:style w:type="paragraph" w:customStyle="1" w:styleId="82">
    <w:name w:val="SSEC 7级序号"/>
    <w:basedOn w:val="71"/>
    <w:link w:val="84"/>
    <w:qFormat/>
    <w:uiPriority w:val="0"/>
    <w:pPr>
      <w:numPr>
        <w:ilvl w:val="6"/>
      </w:numPr>
    </w:pPr>
  </w:style>
  <w:style w:type="character" w:customStyle="1" w:styleId="83">
    <w:name w:val="SSEC 6级序号 字符"/>
    <w:basedOn w:val="81"/>
    <w:link w:val="80"/>
    <w:qFormat/>
    <w:uiPriority w:val="0"/>
    <w:rPr>
      <w:rFonts w:ascii="宋体" w:hAnsi="宋体" w:eastAsia="宋体"/>
      <w:sz w:val="24"/>
      <w:szCs w:val="24"/>
    </w:rPr>
  </w:style>
  <w:style w:type="character" w:customStyle="1" w:styleId="84">
    <w:name w:val="SSEC 7级序号 字符"/>
    <w:basedOn w:val="83"/>
    <w:link w:val="82"/>
    <w:qFormat/>
    <w:uiPriority w:val="0"/>
    <w:rPr>
      <w:rFonts w:ascii="宋体" w:hAnsi="宋体" w:eastAsia="宋体"/>
      <w:sz w:val="24"/>
      <w:szCs w:val="24"/>
    </w:rPr>
  </w:style>
  <w:style w:type="character" w:customStyle="1" w:styleId="85">
    <w:name w:val="批注框文本 字符"/>
    <w:basedOn w:val="28"/>
    <w:link w:val="18"/>
    <w:semiHidden/>
    <w:qFormat/>
    <w:uiPriority w:val="0"/>
    <w:rPr>
      <w:rFonts w:ascii="Times New Roman" w:hAnsi="Times New Roman" w:eastAsia="宋体" w:cs="Times New Roman"/>
      <w:sz w:val="18"/>
      <w:szCs w:val="18"/>
    </w:rPr>
  </w:style>
  <w:style w:type="character" w:customStyle="1" w:styleId="86">
    <w:name w:val="批注主题 字符"/>
    <w:basedOn w:val="34"/>
    <w:link w:val="25"/>
    <w:semiHidden/>
    <w:qFormat/>
    <w:uiPriority w:val="99"/>
    <w:rPr>
      <w:b/>
      <w:bCs/>
    </w:rPr>
  </w:style>
  <w:style w:type="character" w:customStyle="1" w:styleId="87">
    <w:name w:val="目录 1 字符"/>
    <w:basedOn w:val="28"/>
    <w:link w:val="21"/>
    <w:qFormat/>
    <w:uiPriority w:val="39"/>
    <w:rPr>
      <w:rFonts w:ascii="黑体" w:eastAsia="宋体" w:cstheme="minorHAnsi"/>
      <w:b/>
      <w:bCs/>
      <w:sz w:val="28"/>
      <w:szCs w:val="20"/>
    </w:rPr>
  </w:style>
  <w:style w:type="character" w:customStyle="1" w:styleId="88">
    <w:name w:val="目录 2 字符"/>
    <w:basedOn w:val="28"/>
    <w:link w:val="22"/>
    <w:qFormat/>
    <w:uiPriority w:val="39"/>
    <w:rPr>
      <w:rFonts w:ascii="黑体" w:eastAsia="宋体" w:cstheme="minorHAnsi"/>
      <w:iCs/>
      <w:sz w:val="24"/>
      <w:szCs w:val="20"/>
    </w:rPr>
  </w:style>
  <w:style w:type="paragraph" w:customStyle="1" w:styleId="89">
    <w:name w:val="修订1"/>
    <w:hidden/>
    <w:qFormat/>
    <w:uiPriority w:val="99"/>
    <w:rPr>
      <w:rFonts w:ascii="Times New Roman" w:hAnsi="Times New Roman" w:eastAsia="宋体" w:cs="Times New Roman"/>
      <w:kern w:val="2"/>
      <w:sz w:val="21"/>
      <w:szCs w:val="24"/>
      <w:lang w:val="en-US" w:eastAsia="zh-CN" w:bidi="ar-SA"/>
    </w:rPr>
  </w:style>
  <w:style w:type="paragraph" w:styleId="90">
    <w:name w:val="List Paragraph"/>
    <w:basedOn w:val="1"/>
    <w:qFormat/>
    <w:locked/>
    <w:uiPriority w:val="34"/>
    <w:pPr>
      <w:ind w:firstLine="420"/>
    </w:pPr>
  </w:style>
  <w:style w:type="paragraph" w:customStyle="1" w:styleId="9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92">
    <w:name w:val="样式 表字居左X2 + 首行缩进:  2 字符"/>
    <w:basedOn w:val="47"/>
    <w:qFormat/>
    <w:uiPriority w:val="0"/>
    <w:pPr>
      <w:spacing w:line="328" w:lineRule="auto"/>
      <w:ind w:firstLine="420"/>
    </w:pPr>
  </w:style>
  <w:style w:type="paragraph" w:customStyle="1" w:styleId="93">
    <w:name w:val="样式3"/>
    <w:basedOn w:val="92"/>
    <w:qFormat/>
    <w:uiPriority w:val="0"/>
    <w:pPr>
      <w:spacing w:line="326" w:lineRule="auto"/>
    </w:pPr>
    <w:rPr>
      <w:color w:val="000000"/>
    </w:rPr>
  </w:style>
  <w:style w:type="character" w:customStyle="1" w:styleId="94">
    <w:name w:val="15"/>
    <w:basedOn w:val="28"/>
    <w:qFormat/>
    <w:uiPriority w:val="0"/>
    <w:rPr>
      <w:rFonts w:hint="default" w:ascii="Times New Roman" w:hAnsi="Times New Roman" w:cs="Times New Roman"/>
    </w:rPr>
  </w:style>
  <w:style w:type="paragraph" w:customStyle="1" w:styleId="95">
    <w:name w:val="p1"/>
    <w:basedOn w:val="1"/>
    <w:qFormat/>
    <w:uiPriority w:val="0"/>
    <w:pPr>
      <w:jc w:val="left"/>
    </w:pPr>
    <w:rPr>
      <w:rFonts w:ascii="Helvetica" w:hAnsi="Helvetica" w:eastAsia="Helvetica"/>
      <w:kern w:val="0"/>
      <w:sz w:val="24"/>
      <w:szCs w:val="24"/>
    </w:rPr>
  </w:style>
  <w:style w:type="paragraph" w:customStyle="1" w:styleId="96">
    <w:name w:val="SSEC正文 20150323"/>
    <w:qFormat/>
    <w:uiPriority w:val="0"/>
    <w:pPr>
      <w:adjustRightInd w:val="0"/>
      <w:snapToGrid w:val="0"/>
      <w:spacing w:line="331" w:lineRule="auto"/>
      <w:ind w:firstLine="200" w:firstLineChars="200"/>
      <w:jc w:val="both"/>
    </w:pPr>
    <w:rPr>
      <w:rFonts w:ascii="宋体" w:hAnsi="宋体" w:eastAsia="宋体" w:cs="Times New Roman"/>
      <w:sz w:val="24"/>
      <w:szCs w:val="24"/>
      <w:lang w:val="en-US" w:eastAsia="zh-CN" w:bidi="ar-SA"/>
    </w:rPr>
  </w:style>
  <w:style w:type="paragraph" w:customStyle="1" w:styleId="97">
    <w:name w:val="SSEC表字居中 20150323"/>
    <w:qFormat/>
    <w:uiPriority w:val="0"/>
    <w:pPr>
      <w:adjustRightInd w:val="0"/>
      <w:snapToGrid w:val="0"/>
      <w:jc w:val="center"/>
    </w:pPr>
    <w:rPr>
      <w:rFonts w:ascii="宋体" w:hAnsi="Times New Roman" w:eastAsia="宋体" w:cs="Times New Roman"/>
      <w:kern w:val="2"/>
      <w:sz w:val="21"/>
      <w:szCs w:val="21"/>
      <w:lang w:val="en-US" w:eastAsia="zh-CN" w:bidi="ar-SA"/>
    </w:rPr>
  </w:style>
  <w:style w:type="paragraph" w:customStyle="1" w:styleId="98">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99">
    <w:name w:val="正文2"/>
    <w:qFormat/>
    <w:uiPriority w:val="0"/>
    <w:pPr>
      <w:jc w:val="both"/>
    </w:pPr>
    <w:rPr>
      <w:rFonts w:ascii="Times New Roman" w:hAnsi="Times New Roman" w:eastAsia="宋体" w:cs="Times New Roman"/>
      <w:kern w:val="2"/>
      <w:sz w:val="21"/>
      <w:szCs w:val="21"/>
      <w:lang w:val="en-US" w:eastAsia="zh-CN" w:bidi="ar-SA"/>
    </w:rPr>
  </w:style>
  <w:style w:type="character" w:customStyle="1" w:styleId="100">
    <w:name w:val="font11"/>
    <w:basedOn w:val="28"/>
    <w:qFormat/>
    <w:uiPriority w:val="0"/>
    <w:rPr>
      <w:rFonts w:hint="eastAsia" w:ascii="宋体" w:hAnsi="宋体" w:eastAsia="宋体" w:cs="宋体"/>
      <w:color w:val="000000"/>
      <w:sz w:val="21"/>
      <w:szCs w:val="21"/>
      <w:u w:val="none"/>
    </w:rPr>
  </w:style>
  <w:style w:type="paragraph" w:customStyle="1" w:styleId="101">
    <w:name w:val="IDDS表格正文"/>
    <w:basedOn w:val="1"/>
    <w:qFormat/>
    <w:uiPriority w:val="0"/>
    <w:pPr>
      <w:spacing w:line="300" w:lineRule="auto"/>
      <w:jc w:val="center"/>
    </w:pPr>
  </w:style>
  <w:style w:type="paragraph" w:customStyle="1" w:styleId="102">
    <w:name w:val="正文(首行缩进)"/>
    <w:basedOn w:val="1"/>
    <w:qFormat/>
    <w:uiPriority w:val="99"/>
    <w:pPr>
      <w:adjustRightInd w:val="0"/>
      <w:ind w:firstLine="200"/>
      <w:textAlignment w:val="baseline"/>
    </w:pPr>
    <w:rPr>
      <w:color w:val="000000"/>
      <w:kern w:val="0"/>
    </w:rPr>
  </w:style>
  <w:style w:type="table" w:customStyle="1" w:styleId="103">
    <w:name w:val="Table Normal"/>
    <w:semiHidden/>
    <w:unhideWhenUsed/>
    <w:qFormat/>
    <w:uiPriority w:val="0"/>
    <w:tblPr>
      <w:tblCellMar>
        <w:top w:w="0" w:type="dxa"/>
        <w:left w:w="0" w:type="dxa"/>
        <w:bottom w:w="0" w:type="dxa"/>
        <w:right w:w="0"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