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strike w:val="0"/>
          <w:dstrike w:val="0"/>
          <w:color w:val="auto"/>
          <w:sz w:val="24"/>
          <w:szCs w:val="20"/>
          <w:highlight w:val="none"/>
          <w:lang w:val="zh-CN"/>
        </w:rPr>
        <w:id w:val="599453903"/>
        <w:docPartObj>
          <w:docPartGallery w:val="Table of Contents"/>
          <w:docPartUnique/>
        </w:docPartObj>
      </w:sdtPr>
      <w:sdtEndPr>
        <w:rPr>
          <w:rFonts w:ascii="Times New Roman" w:hAnsi="Times New Roman" w:eastAsia="宋体" w:cs="Times New Roman"/>
          <w:b/>
          <w:bCs/>
          <w:strike w:val="0"/>
          <w:dstrike w:val="0"/>
          <w:color w:val="auto"/>
          <w:sz w:val="24"/>
          <w:szCs w:val="20"/>
          <w:highlight w:val="none"/>
          <w:lang w:val="zh-CN"/>
        </w:rPr>
      </w:sdtEndPr>
      <w:sdtContent>
        <w:p w14:paraId="4FAA9B30">
          <w:pPr>
            <w:pStyle w:val="17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lang w:val="zh-CN"/>
            </w:rPr>
            <w:t>目录</w:t>
          </w:r>
          <w:bookmarkStart w:id="481" w:name="_GoBack"/>
          <w:bookmarkEnd w:id="481"/>
        </w:p>
        <w:p w14:paraId="680EDF1D">
          <w:pPr>
            <w:pStyle w:val="27"/>
            <w:tabs>
              <w:tab w:val="right" w:leader="dot" w:pos="8306"/>
              <w:tab w:val="clear" w:pos="8296"/>
            </w:tabs>
            <w:rPr>
              <w:rFonts w:ascii="Times New Roman" w:hAnsi="Times New Roman" w:eastAsia="宋体"/>
              <w:color w:val="auto"/>
            </w:rPr>
          </w:pPr>
          <w:r>
            <w:rPr>
              <w:rFonts w:ascii="Times New Roman" w:hAnsi="Times New Roman" w:eastAsia="宋体"/>
              <w:bCs w:val="0"/>
              <w:strike w:val="0"/>
              <w:dstrike w:val="0"/>
              <w:color w:val="auto"/>
              <w:highlight w:val="none"/>
            </w:rPr>
            <w:fldChar w:fldCharType="begin"/>
          </w:r>
          <w:r>
            <w:rPr>
              <w:rFonts w:ascii="Times New Roman" w:hAnsi="Times New Roman" w:eastAsia="宋体"/>
              <w:strike w:val="0"/>
              <w:dstrike w:val="0"/>
              <w:color w:val="auto"/>
              <w:highlight w:val="none"/>
            </w:rPr>
            <w:instrText xml:space="preserve"> TOC \o "1-3" \h \z \u </w:instrText>
          </w:r>
          <w:r>
            <w:rPr>
              <w:rFonts w:ascii="Times New Roman" w:hAnsi="Times New Roman" w:eastAsia="宋体"/>
              <w:bCs w:val="0"/>
              <w:strike w:val="0"/>
              <w:dstrike w:val="0"/>
              <w:color w:val="auto"/>
              <w:highlight w:val="none"/>
            </w:rPr>
            <w:fldChar w:fldCharType="separate"/>
          </w:r>
          <w:r>
            <w:rPr>
              <w:rFonts w:ascii="Times New Roman" w:hAnsi="Times New Roman" w:eastAsia="宋体"/>
              <w:bCs w:val="0"/>
              <w:strike w:val="0"/>
              <w:dstrike w:val="0"/>
              <w:color w:val="auto"/>
              <w:highlight w:val="none"/>
            </w:rPr>
            <w:fldChar w:fldCharType="begin"/>
          </w:r>
          <w:r>
            <w:rPr>
              <w:rFonts w:ascii="Times New Roman" w:hAnsi="Times New Roman" w:eastAsia="宋体"/>
              <w:bCs w:val="0"/>
              <w:strike w:val="0"/>
              <w:dstrike w:val="0"/>
              <w:color w:val="auto"/>
              <w:highlight w:val="none"/>
            </w:rPr>
            <w:instrText xml:space="preserve"> HYPERLINK \l _Toc10540 </w:instrText>
          </w:r>
          <w:r>
            <w:rPr>
              <w:rFonts w:ascii="Times New Roman" w:hAnsi="Times New Roman" w:eastAsia="宋体"/>
              <w:bCs w:val="0"/>
              <w:strike w:val="0"/>
              <w:dstrike w:val="0"/>
              <w:color w:val="auto"/>
              <w:highlight w:val="none"/>
            </w:rPr>
            <w:fldChar w:fldCharType="separate"/>
          </w:r>
          <w:r>
            <w:rPr>
              <w:rFonts w:hint="eastAsia" w:ascii="Times New Roman" w:hAnsi="Times New Roman" w:eastAsia="宋体"/>
              <w:strike w:val="0"/>
              <w:dstrike w:val="0"/>
              <w:color w:val="auto"/>
              <w:highlight w:val="none"/>
            </w:rPr>
            <w:t>1建设项目概况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_Toc10540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val="0"/>
              <w:strike w:val="0"/>
              <w:dstrike w:val="0"/>
              <w:color w:val="auto"/>
              <w:highlight w:val="none"/>
            </w:rPr>
            <w:fldChar w:fldCharType="end"/>
          </w:r>
        </w:p>
        <w:p w14:paraId="7899DB5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_Toc20496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1.1项目实施背景</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_Toc20496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3EE6C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1.2环评工作过程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_Toc1741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C1A6B2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_Toc8140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1.3分析判定相关情况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_Toc8140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562B7F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_Toc7905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1.3.1产业政策相符性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_Toc7905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290981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_Toc32348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1.3.2规划符合性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_Toc32348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282F1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_Toc22764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3 生态环境分区管控要求</w:t>
          </w:r>
          <w:r>
            <w:rPr>
              <w:rFonts w:hint="eastAsia" w:ascii="Times New Roman" w:hAnsi="Times New Roman" w:eastAsia="宋体"/>
              <w:strike w:val="0"/>
              <w:dstrike w:val="0"/>
              <w:color w:val="auto"/>
              <w:highlight w:val="none"/>
            </w:rPr>
            <w:t>符合性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_Toc22764 \h </w:instrText>
          </w:r>
          <w:r>
            <w:rPr>
              <w:rFonts w:ascii="Times New Roman" w:hAnsi="Times New Roman" w:eastAsia="宋体"/>
              <w:color w:val="auto"/>
            </w:rPr>
            <w:fldChar w:fldCharType="separate"/>
          </w:r>
          <w:r>
            <w:rPr>
              <w:rFonts w:ascii="Times New Roman" w:hAnsi="Times New Roman" w:eastAsia="宋体"/>
              <w:color w:val="auto"/>
            </w:rPr>
            <w:t>12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D35EE5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_Toc28838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cs="Times New Roman"/>
              <w:strike w:val="0"/>
              <w:dstrike w:val="0"/>
              <w:color w:val="auto"/>
              <w:highlight w:val="none"/>
            </w:rPr>
            <w:t>1.3.</w:t>
          </w:r>
          <w:r>
            <w:rPr>
              <w:rFonts w:hint="eastAsia" w:ascii="Times New Roman" w:hAnsi="Times New Roman" w:eastAsia="宋体" w:cs="Times New Roman"/>
              <w:strike w:val="0"/>
              <w:dstrike w:val="0"/>
              <w:color w:val="auto"/>
              <w:highlight w:val="none"/>
              <w:lang w:val="en-US" w:eastAsia="zh-CN"/>
            </w:rPr>
            <w:t>4</w:t>
          </w:r>
          <w:r>
            <w:rPr>
              <w:rFonts w:hint="eastAsia" w:ascii="Times New Roman" w:hAnsi="Times New Roman" w:eastAsia="宋体" w:cs="Times New Roman"/>
              <w:strike w:val="0"/>
              <w:dstrike w:val="0"/>
              <w:color w:val="auto"/>
              <w:highlight w:val="none"/>
            </w:rPr>
            <w:t>选址合理性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_Toc28838 \h </w:instrText>
          </w:r>
          <w:r>
            <w:rPr>
              <w:rFonts w:ascii="Times New Roman" w:hAnsi="Times New Roman" w:eastAsia="宋体"/>
              <w:color w:val="auto"/>
            </w:rPr>
            <w:fldChar w:fldCharType="separate"/>
          </w:r>
          <w:r>
            <w:rPr>
              <w:rFonts w:ascii="Times New Roman" w:hAnsi="Times New Roman" w:eastAsia="宋体"/>
              <w:color w:val="auto"/>
            </w:rPr>
            <w:t>15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5C9583">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_Toc15337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1.4关注的主要环境问题</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_Toc15337 \h </w:instrText>
          </w:r>
          <w:r>
            <w:rPr>
              <w:rFonts w:ascii="Times New Roman" w:hAnsi="Times New Roman" w:eastAsia="宋体"/>
              <w:color w:val="auto"/>
            </w:rPr>
            <w:fldChar w:fldCharType="separate"/>
          </w:r>
          <w:r>
            <w:rPr>
              <w:rFonts w:ascii="Times New Roman" w:hAnsi="Times New Roman" w:eastAsia="宋体"/>
              <w:color w:val="auto"/>
            </w:rPr>
            <w:t>16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242428">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_Toc18623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1.5环评报告书的主要结论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_Toc18623 \h </w:instrText>
          </w:r>
          <w:r>
            <w:rPr>
              <w:rFonts w:ascii="Times New Roman" w:hAnsi="Times New Roman" w:eastAsia="宋体"/>
              <w:color w:val="auto"/>
            </w:rPr>
            <w:fldChar w:fldCharType="separate"/>
          </w:r>
          <w:r>
            <w:rPr>
              <w:rFonts w:ascii="Times New Roman" w:hAnsi="Times New Roman" w:eastAsia="宋体"/>
              <w:color w:val="auto"/>
            </w:rPr>
            <w:t>17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3B0DBAC">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_Toc9363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2、总论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_Toc9363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FBF3EF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_Toc24450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2.1编制依据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_Toc24450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9CF86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2.1.1国家法律、法规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_Toc801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23F01E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_Toc7153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2.1.2部门规章</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_Toc7153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5D42B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2.1.3地方法规及政策</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_Toc936 \h </w:instrText>
          </w:r>
          <w:r>
            <w:rPr>
              <w:rFonts w:ascii="Times New Roman" w:hAnsi="Times New Roman" w:eastAsia="宋体"/>
              <w:color w:val="auto"/>
            </w:rPr>
            <w:fldChar w:fldCharType="separate"/>
          </w:r>
          <w:r>
            <w:rPr>
              <w:rFonts w:ascii="Times New Roman" w:hAnsi="Times New Roman" w:eastAsia="宋体"/>
              <w:color w:val="auto"/>
            </w:rPr>
            <w:t>20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11D3A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_Toc15998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2.1.4相关规划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_Toc15998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0D546E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_Toc24253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2.1.5环评编制要求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_Toc24253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30D46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_Toc22442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2.1.6技术导则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_Toc22442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FE0057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_Toc15384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2.1.7项目有关文件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_Toc15384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ECD29D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_Toc19617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2.2评价目的和原则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_Toc19617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087778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_Toc7994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2.2.1评价目的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_Toc7994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C2318C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_Toc8639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2.2.2评价原则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_Toc8639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FB2FE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_Toc22126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2.3评价内容及评价重点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_Toc22126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C726F1F">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_Toc16924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2.3.1评价内容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_Toc16924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4EDF5D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_Toc26261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2.3.2评价重点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_Toc26261 \h </w:instrText>
          </w:r>
          <w:r>
            <w:rPr>
              <w:rFonts w:ascii="Times New Roman" w:hAnsi="Times New Roman" w:eastAsia="宋体"/>
              <w:color w:val="auto"/>
            </w:rPr>
            <w:fldChar w:fldCharType="separate"/>
          </w:r>
          <w:r>
            <w:rPr>
              <w:rFonts w:ascii="Times New Roman" w:hAnsi="Times New Roman" w:eastAsia="宋体"/>
              <w:color w:val="auto"/>
            </w:rPr>
            <w:t>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024B42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2.4评价因子识别与筛选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_Toc29838 \h </w:instrText>
          </w:r>
          <w:r>
            <w:rPr>
              <w:rFonts w:ascii="Times New Roman" w:hAnsi="Times New Roman" w:eastAsia="宋体"/>
              <w:color w:val="auto"/>
            </w:rPr>
            <w:fldChar w:fldCharType="separate"/>
          </w:r>
          <w:r>
            <w:rPr>
              <w:rFonts w:ascii="Times New Roman" w:hAnsi="Times New Roman" w:eastAsia="宋体"/>
              <w:color w:val="auto"/>
            </w:rPr>
            <w:t>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3FB98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2.4.1影响因素识别</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_Toc676 \h </w:instrText>
          </w:r>
          <w:r>
            <w:rPr>
              <w:rFonts w:ascii="Times New Roman" w:hAnsi="Times New Roman" w:eastAsia="宋体"/>
              <w:color w:val="auto"/>
            </w:rPr>
            <w:fldChar w:fldCharType="separate"/>
          </w:r>
          <w:r>
            <w:rPr>
              <w:rFonts w:ascii="Times New Roman" w:hAnsi="Times New Roman" w:eastAsia="宋体"/>
              <w:color w:val="auto"/>
            </w:rPr>
            <w:t>25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C59294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_Toc29135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2.4.2评价因子筛选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_Toc29135 \h </w:instrText>
          </w:r>
          <w:r>
            <w:rPr>
              <w:rFonts w:ascii="Times New Roman" w:hAnsi="Times New Roman" w:eastAsia="宋体"/>
              <w:color w:val="auto"/>
            </w:rPr>
            <w:fldChar w:fldCharType="separate"/>
          </w:r>
          <w:r>
            <w:rPr>
              <w:rFonts w:ascii="Times New Roman" w:hAnsi="Times New Roman" w:eastAsia="宋体"/>
              <w:color w:val="auto"/>
            </w:rPr>
            <w:t>25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6795A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_Toc21435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2.5环境功能区划及评价标准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_Toc21435 \h </w:instrText>
          </w:r>
          <w:r>
            <w:rPr>
              <w:rFonts w:ascii="Times New Roman" w:hAnsi="Times New Roman" w:eastAsia="宋体"/>
              <w:color w:val="auto"/>
            </w:rPr>
            <w:fldChar w:fldCharType="separate"/>
          </w:r>
          <w:r>
            <w:rPr>
              <w:rFonts w:ascii="Times New Roman" w:hAnsi="Times New Roman" w:eastAsia="宋体"/>
              <w:color w:val="auto"/>
            </w:rPr>
            <w:t>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18519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_Toc27805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2.5.1环境功能区划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_Toc27805 \h </w:instrText>
          </w:r>
          <w:r>
            <w:rPr>
              <w:rFonts w:ascii="Times New Roman" w:hAnsi="Times New Roman" w:eastAsia="宋体"/>
              <w:color w:val="auto"/>
            </w:rPr>
            <w:fldChar w:fldCharType="separate"/>
          </w:r>
          <w:r>
            <w:rPr>
              <w:rFonts w:ascii="Times New Roman" w:hAnsi="Times New Roman" w:eastAsia="宋体"/>
              <w:color w:val="auto"/>
            </w:rPr>
            <w:t>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F49EF8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_Toc16184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2.5.2评价标准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_Toc16184 \h </w:instrText>
          </w:r>
          <w:r>
            <w:rPr>
              <w:rFonts w:ascii="Times New Roman" w:hAnsi="Times New Roman" w:eastAsia="宋体"/>
              <w:color w:val="auto"/>
            </w:rPr>
            <w:fldChar w:fldCharType="separate"/>
          </w:r>
          <w:r>
            <w:rPr>
              <w:rFonts w:ascii="Times New Roman" w:hAnsi="Times New Roman" w:eastAsia="宋体"/>
              <w:color w:val="auto"/>
            </w:rPr>
            <w:t>27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1B0C2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_Toc9231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2.6评价等级及评价范围</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_Toc9231 \h </w:instrText>
          </w:r>
          <w:r>
            <w:rPr>
              <w:rFonts w:ascii="Times New Roman" w:hAnsi="Times New Roman" w:eastAsia="宋体"/>
              <w:color w:val="auto"/>
            </w:rPr>
            <w:fldChar w:fldCharType="separate"/>
          </w:r>
          <w:r>
            <w:rPr>
              <w:rFonts w:ascii="Times New Roman" w:hAnsi="Times New Roman" w:eastAsia="宋体"/>
              <w:color w:val="auto"/>
            </w:rPr>
            <w:t>30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80EB3F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2.6.1评价等级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_Toc576 \h </w:instrText>
          </w:r>
          <w:r>
            <w:rPr>
              <w:rFonts w:ascii="Times New Roman" w:hAnsi="Times New Roman" w:eastAsia="宋体"/>
              <w:color w:val="auto"/>
            </w:rPr>
            <w:fldChar w:fldCharType="separate"/>
          </w:r>
          <w:r>
            <w:rPr>
              <w:rFonts w:ascii="Times New Roman" w:hAnsi="Times New Roman" w:eastAsia="宋体"/>
              <w:color w:val="auto"/>
            </w:rPr>
            <w:t>30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C1CFD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_Toc6526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2.6.2评价范围</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_Toc6526 \h </w:instrText>
          </w:r>
          <w:r>
            <w:rPr>
              <w:rFonts w:ascii="Times New Roman" w:hAnsi="Times New Roman" w:eastAsia="宋体"/>
              <w:color w:val="auto"/>
            </w:rPr>
            <w:fldChar w:fldCharType="separate"/>
          </w:r>
          <w:r>
            <w:rPr>
              <w:rFonts w:ascii="Times New Roman" w:hAnsi="Times New Roman" w:eastAsia="宋体"/>
              <w:color w:val="auto"/>
            </w:rPr>
            <w:t>38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02DBE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_Toc30339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2.7环境保护目标及敏感点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_Toc30339 \h </w:instrText>
          </w:r>
          <w:r>
            <w:rPr>
              <w:rFonts w:ascii="Times New Roman" w:hAnsi="Times New Roman" w:eastAsia="宋体"/>
              <w:color w:val="auto"/>
            </w:rPr>
            <w:fldChar w:fldCharType="separate"/>
          </w:r>
          <w:r>
            <w:rPr>
              <w:rFonts w:ascii="Times New Roman" w:hAnsi="Times New Roman" w:eastAsia="宋体"/>
              <w:color w:val="auto"/>
            </w:rPr>
            <w:t>39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7BEDE9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_Toc3751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选址合理性分析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_Toc3751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437AEE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_Toc12883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.1选址合理性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_Toc12883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E2B7CF">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_Toc22006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.2环境容量</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_Toc22006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956DEA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_Toc1607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.3区域主导风向及防护距离</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_Toc1607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792E2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_Toc3612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.4环境敏感性分析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_Toc3612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423788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_Toc11506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.5小结</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_Toc11506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4A7A67E">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_Toc27486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3、工程分析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_Toc27486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E936C6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_Toc25991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3.1工程概况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_Toc25991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4DC49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_Toc1078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3.1.1项目基本情况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_Toc1078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B35894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_Toc14426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3.1.2主要建设内容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_Toc14426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ABC867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_Toc1096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3.1.3主要原辅材料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_Toc1096 \h </w:instrText>
          </w:r>
          <w:r>
            <w:rPr>
              <w:rFonts w:ascii="Times New Roman" w:hAnsi="Times New Roman" w:eastAsia="宋体"/>
              <w:color w:val="auto"/>
            </w:rPr>
            <w:fldChar w:fldCharType="separate"/>
          </w:r>
          <w:r>
            <w:rPr>
              <w:rFonts w:ascii="Times New Roman" w:hAnsi="Times New Roman" w:eastAsia="宋体"/>
              <w:color w:val="auto"/>
            </w:rPr>
            <w:t>44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BA3728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_Toc23707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平面布置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_Toc23707 \h </w:instrText>
          </w:r>
          <w:r>
            <w:rPr>
              <w:rFonts w:ascii="Times New Roman" w:hAnsi="Times New Roman" w:eastAsia="宋体"/>
              <w:color w:val="auto"/>
            </w:rPr>
            <w:fldChar w:fldCharType="separate"/>
          </w:r>
          <w:r>
            <w:rPr>
              <w:rFonts w:ascii="Times New Roman" w:hAnsi="Times New Roman" w:eastAsia="宋体"/>
              <w:color w:val="auto"/>
            </w:rPr>
            <w:t>45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5AD19A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_Toc32699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公用工程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_Toc32699 \h </w:instrText>
          </w:r>
          <w:r>
            <w:rPr>
              <w:rFonts w:ascii="Times New Roman" w:hAnsi="Times New Roman" w:eastAsia="宋体"/>
              <w:color w:val="auto"/>
            </w:rPr>
            <w:fldChar w:fldCharType="separate"/>
          </w:r>
          <w:r>
            <w:rPr>
              <w:rFonts w:ascii="Times New Roman" w:hAnsi="Times New Roman" w:eastAsia="宋体"/>
              <w:color w:val="auto"/>
            </w:rPr>
            <w:t>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2DDE9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_Toc12482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3.2</w:t>
          </w:r>
          <w:r>
            <w:rPr>
              <w:rFonts w:hint="eastAsia" w:ascii="Times New Roman" w:hAnsi="Times New Roman" w:eastAsia="宋体"/>
              <w:strike w:val="0"/>
              <w:dstrike w:val="0"/>
              <w:color w:val="auto"/>
              <w:highlight w:val="none"/>
            </w:rPr>
            <w:t>生产工艺流程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_Toc12482 \h </w:instrText>
          </w:r>
          <w:r>
            <w:rPr>
              <w:rFonts w:ascii="Times New Roman" w:hAnsi="Times New Roman" w:eastAsia="宋体"/>
              <w:color w:val="auto"/>
            </w:rPr>
            <w:fldChar w:fldCharType="separate"/>
          </w:r>
          <w:r>
            <w:rPr>
              <w:rFonts w:ascii="Times New Roman" w:hAnsi="Times New Roman" w:eastAsia="宋体"/>
              <w:color w:val="auto"/>
            </w:rPr>
            <w:t>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3C00A5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_Toc12902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rPr>
            <w:t>施工期工艺流程及产污节点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_Toc12902 \h </w:instrText>
          </w:r>
          <w:r>
            <w:rPr>
              <w:rFonts w:ascii="Times New Roman" w:hAnsi="Times New Roman" w:eastAsia="宋体"/>
              <w:color w:val="auto"/>
            </w:rPr>
            <w:fldChar w:fldCharType="separate"/>
          </w:r>
          <w:r>
            <w:rPr>
              <w:rFonts w:ascii="Times New Roman" w:hAnsi="Times New Roman" w:eastAsia="宋体"/>
              <w:color w:val="auto"/>
            </w:rPr>
            <w:t>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E8D206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3.2.2运营期工艺流程及产污节点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_Toc899 \h </w:instrText>
          </w:r>
          <w:r>
            <w:rPr>
              <w:rFonts w:ascii="Times New Roman" w:hAnsi="Times New Roman" w:eastAsia="宋体"/>
              <w:color w:val="auto"/>
            </w:rPr>
            <w:fldChar w:fldCharType="separate"/>
          </w:r>
          <w:r>
            <w:rPr>
              <w:rFonts w:ascii="Times New Roman" w:hAnsi="Times New Roman" w:eastAsia="宋体"/>
              <w:color w:val="auto"/>
            </w:rPr>
            <w:t>50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9003AC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_Toc4478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3污染源源强分析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_Toc4478 \h </w:instrText>
          </w:r>
          <w:r>
            <w:rPr>
              <w:rFonts w:ascii="Times New Roman" w:hAnsi="Times New Roman" w:eastAsia="宋体"/>
              <w:color w:val="auto"/>
            </w:rPr>
            <w:fldChar w:fldCharType="separate"/>
          </w:r>
          <w:r>
            <w:rPr>
              <w:rFonts w:ascii="Times New Roman" w:hAnsi="Times New Roman" w:eastAsia="宋体"/>
              <w:color w:val="auto"/>
            </w:rPr>
            <w:t>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B431C3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_Toc6472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.1施工期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_Toc6472 \h </w:instrText>
          </w:r>
          <w:r>
            <w:rPr>
              <w:rFonts w:ascii="Times New Roman" w:hAnsi="Times New Roman" w:eastAsia="宋体"/>
              <w:color w:val="auto"/>
            </w:rPr>
            <w:fldChar w:fldCharType="separate"/>
          </w:r>
          <w:r>
            <w:rPr>
              <w:rFonts w:ascii="Times New Roman" w:hAnsi="Times New Roman" w:eastAsia="宋体"/>
              <w:color w:val="auto"/>
            </w:rPr>
            <w:t>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74299A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_Toc2984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.2运营期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_Toc2984 \h </w:instrText>
          </w:r>
          <w:r>
            <w:rPr>
              <w:rFonts w:ascii="Times New Roman" w:hAnsi="Times New Roman" w:eastAsia="宋体"/>
              <w:color w:val="auto"/>
            </w:rPr>
            <w:fldChar w:fldCharType="separate"/>
          </w:r>
          <w:r>
            <w:rPr>
              <w:rFonts w:ascii="Times New Roman" w:hAnsi="Times New Roman" w:eastAsia="宋体"/>
              <w:color w:val="auto"/>
            </w:rPr>
            <w:t>59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E05756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_Toc31356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排放</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_Toc31356 \h </w:instrText>
          </w:r>
          <w:r>
            <w:rPr>
              <w:rFonts w:ascii="Times New Roman" w:hAnsi="Times New Roman" w:eastAsia="宋体"/>
              <w:color w:val="auto"/>
            </w:rPr>
            <w:fldChar w:fldCharType="separate"/>
          </w:r>
          <w:r>
            <w:rPr>
              <w:rFonts w:ascii="Times New Roman" w:hAnsi="Times New Roman" w:eastAsia="宋体"/>
              <w:color w:val="auto"/>
            </w:rPr>
            <w:t>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5F921A">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_Toc29336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3.5总量控制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_Toc29336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7E29FE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_Toc14636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清洁生产概述</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_Toc14636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6EE08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_Toc8869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.1清洁生产</w:t>
          </w:r>
          <w:r>
            <w:rPr>
              <w:rFonts w:hint="eastAsia" w:ascii="Times New Roman" w:hAnsi="Times New Roman" w:eastAsia="宋体"/>
              <w:strike w:val="0"/>
              <w:dstrike w:val="0"/>
              <w:color w:val="auto"/>
              <w:highlight w:val="none"/>
            </w:rPr>
            <w:t>的意义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_Toc8869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42A1D8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_Toc4305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3.6.2清洁生产水平分析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_Toc4305 \h </w:instrText>
          </w:r>
          <w:r>
            <w:rPr>
              <w:rFonts w:ascii="Times New Roman" w:hAnsi="Times New Roman" w:eastAsia="宋体"/>
              <w:color w:val="auto"/>
            </w:rPr>
            <w:fldChar w:fldCharType="separate"/>
          </w:r>
          <w:r>
            <w:rPr>
              <w:rFonts w:ascii="Times New Roman" w:hAnsi="Times New Roman" w:eastAsia="宋体"/>
              <w:color w:val="auto"/>
            </w:rPr>
            <w:t>69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504E1D8">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_Toc24566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_Toc24566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AC59537">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_Toc6460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4.1自然环境概况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_Toc6460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99BE77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_Toc24124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4.1.1地理位置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_Toc24124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F397D3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_Toc19956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4.1.2地形、地貌</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_Toc19956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C35E0F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_Toc20244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4.1.3水文地质</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_Toc20244 \h </w:instrText>
          </w:r>
          <w:r>
            <w:rPr>
              <w:rFonts w:ascii="Times New Roman" w:hAnsi="Times New Roman" w:eastAsia="宋体"/>
              <w:color w:val="auto"/>
            </w:rPr>
            <w:fldChar w:fldCharType="separate"/>
          </w:r>
          <w:r>
            <w:rPr>
              <w:rFonts w:ascii="Times New Roman" w:hAnsi="Times New Roman" w:eastAsia="宋体"/>
              <w:color w:val="auto"/>
            </w:rPr>
            <w:t>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C74AB0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_Toc30095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4.1.4气候、气象</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_Toc30095 \h </w:instrText>
          </w:r>
          <w:r>
            <w:rPr>
              <w:rFonts w:ascii="Times New Roman" w:hAnsi="Times New Roman" w:eastAsia="宋体"/>
              <w:color w:val="auto"/>
            </w:rPr>
            <w:fldChar w:fldCharType="separate"/>
          </w:r>
          <w:r>
            <w:rPr>
              <w:rFonts w:ascii="Times New Roman" w:hAnsi="Times New Roman" w:eastAsia="宋体"/>
              <w:color w:val="auto"/>
            </w:rPr>
            <w:t>75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9E8EFD0">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_Toc29819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_Toc29819 \h </w:instrText>
          </w:r>
          <w:r>
            <w:rPr>
              <w:rFonts w:ascii="Times New Roman" w:hAnsi="Times New Roman" w:eastAsia="宋体"/>
              <w:color w:val="auto"/>
            </w:rPr>
            <w:fldChar w:fldCharType="separate"/>
          </w:r>
          <w:r>
            <w:rPr>
              <w:rFonts w:ascii="Times New Roman" w:hAnsi="Times New Roman" w:eastAsia="宋体"/>
              <w:color w:val="auto"/>
            </w:rPr>
            <w:t>78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6FFCE8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_Toc4301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4.2.1大气环境现状调查与评价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_Toc4301 \h </w:instrText>
          </w:r>
          <w:r>
            <w:rPr>
              <w:rFonts w:ascii="Times New Roman" w:hAnsi="Times New Roman" w:eastAsia="宋体"/>
              <w:color w:val="auto"/>
            </w:rPr>
            <w:fldChar w:fldCharType="separate"/>
          </w:r>
          <w:r>
            <w:rPr>
              <w:rFonts w:ascii="Times New Roman" w:hAnsi="Times New Roman" w:eastAsia="宋体"/>
              <w:color w:val="auto"/>
            </w:rPr>
            <w:t>78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F47D684">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_Toc24583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4.2.2地表水环境质量现状评价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_Toc24583 \h </w:instrText>
          </w:r>
          <w:r>
            <w:rPr>
              <w:rFonts w:ascii="Times New Roman" w:hAnsi="Times New Roman" w:eastAsia="宋体"/>
              <w:color w:val="auto"/>
            </w:rPr>
            <w:fldChar w:fldCharType="separate"/>
          </w:r>
          <w:r>
            <w:rPr>
              <w:rFonts w:ascii="Times New Roman" w:hAnsi="Times New Roman" w:eastAsia="宋体"/>
              <w:color w:val="auto"/>
            </w:rPr>
            <w:t>84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1D484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_Toc30582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4.2.3地下水环境现状调查与评价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_Toc30582 \h </w:instrText>
          </w:r>
          <w:r>
            <w:rPr>
              <w:rFonts w:ascii="Times New Roman" w:hAnsi="Times New Roman" w:eastAsia="宋体"/>
              <w:color w:val="auto"/>
            </w:rPr>
            <w:fldChar w:fldCharType="separate"/>
          </w:r>
          <w:r>
            <w:rPr>
              <w:rFonts w:ascii="Times New Roman" w:hAnsi="Times New Roman" w:eastAsia="宋体"/>
              <w:color w:val="auto"/>
            </w:rPr>
            <w:t>84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A3BE0C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_Toc3263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4.2.4声环境质量现状调查与评价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_Toc3263 \h </w:instrText>
          </w:r>
          <w:r>
            <w:rPr>
              <w:rFonts w:ascii="Times New Roman" w:hAnsi="Times New Roman" w:eastAsia="宋体"/>
              <w:color w:val="auto"/>
            </w:rPr>
            <w:fldChar w:fldCharType="separate"/>
          </w:r>
          <w:r>
            <w:rPr>
              <w:rFonts w:ascii="Times New Roman" w:hAnsi="Times New Roman" w:eastAsia="宋体"/>
              <w:color w:val="auto"/>
            </w:rPr>
            <w:t>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52339D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_Toc14674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4.2.5土壤环境质量现状调查与评价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_Toc14674 \h </w:instrText>
          </w:r>
          <w:r>
            <w:rPr>
              <w:rFonts w:ascii="Times New Roman" w:hAnsi="Times New Roman" w:eastAsia="宋体"/>
              <w:color w:val="auto"/>
            </w:rPr>
            <w:fldChar w:fldCharType="separate"/>
          </w:r>
          <w:r>
            <w:rPr>
              <w:rFonts w:ascii="Times New Roman" w:hAnsi="Times New Roman" w:eastAsia="宋体"/>
              <w:color w:val="auto"/>
            </w:rPr>
            <w:t>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A80C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_Toc12481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4.2.6生态现状调查</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_Toc12481 \h </w:instrText>
          </w:r>
          <w:r>
            <w:rPr>
              <w:rFonts w:ascii="Times New Roman" w:hAnsi="Times New Roman" w:eastAsia="宋体"/>
              <w:color w:val="auto"/>
            </w:rPr>
            <w:fldChar w:fldCharType="separate"/>
          </w:r>
          <w:r>
            <w:rPr>
              <w:rFonts w:ascii="Times New Roman" w:hAnsi="Times New Roman" w:eastAsia="宋体"/>
              <w:color w:val="auto"/>
            </w:rPr>
            <w:t>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3F9079F">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_Toc19376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5、建设项目环境影响分析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_Toc19376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A9E317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_Toc19741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5.1施工期环境影响分析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_Toc19741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7BC1D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_Toc4184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5.1.1施工期大气环境影响分析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_Toc4184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E67F2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_Toc30097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5.1.2施工期水环境影响分析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_Toc30097 \h </w:instrText>
          </w:r>
          <w:r>
            <w:rPr>
              <w:rFonts w:ascii="Times New Roman" w:hAnsi="Times New Roman" w:eastAsia="宋体"/>
              <w:color w:val="auto"/>
            </w:rPr>
            <w:fldChar w:fldCharType="separate"/>
          </w:r>
          <w:r>
            <w:rPr>
              <w:rFonts w:ascii="Times New Roman" w:hAnsi="Times New Roman" w:eastAsia="宋体"/>
              <w:color w:val="auto"/>
            </w:rPr>
            <w:t>92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635A5A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_Toc26845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5.1.3施工期声环境影响分析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_Toc26845 \h </w:instrText>
          </w:r>
          <w:r>
            <w:rPr>
              <w:rFonts w:ascii="Times New Roman" w:hAnsi="Times New Roman" w:eastAsia="宋体"/>
              <w:color w:val="auto"/>
            </w:rPr>
            <w:fldChar w:fldCharType="separate"/>
          </w:r>
          <w:r>
            <w:rPr>
              <w:rFonts w:ascii="Times New Roman" w:hAnsi="Times New Roman" w:eastAsia="宋体"/>
              <w:color w:val="auto"/>
            </w:rPr>
            <w:t>93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0B03A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_Toc22273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5.1.4施工期固体废物环境影响分析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_Toc22273 \h </w:instrText>
          </w:r>
          <w:r>
            <w:rPr>
              <w:rFonts w:ascii="Times New Roman" w:hAnsi="Times New Roman" w:eastAsia="宋体"/>
              <w:color w:val="auto"/>
            </w:rPr>
            <w:fldChar w:fldCharType="separate"/>
          </w:r>
          <w:r>
            <w:rPr>
              <w:rFonts w:ascii="Times New Roman" w:hAnsi="Times New Roman" w:eastAsia="宋体"/>
              <w:color w:val="auto"/>
            </w:rPr>
            <w:t>94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D24C1F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_Toc25000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5.1.5施工期生态影响分析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_Toc25000 \h </w:instrText>
          </w:r>
          <w:r>
            <w:rPr>
              <w:rFonts w:ascii="Times New Roman" w:hAnsi="Times New Roman" w:eastAsia="宋体"/>
              <w:color w:val="auto"/>
            </w:rPr>
            <w:fldChar w:fldCharType="separate"/>
          </w:r>
          <w:r>
            <w:rPr>
              <w:rFonts w:ascii="Times New Roman" w:hAnsi="Times New Roman" w:eastAsia="宋体"/>
              <w:color w:val="auto"/>
            </w:rPr>
            <w:t>96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0E7C18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_Toc31465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5.2运营期环境影响分析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_Toc31465 \h </w:instrText>
          </w:r>
          <w:r>
            <w:rPr>
              <w:rFonts w:ascii="Times New Roman" w:hAnsi="Times New Roman" w:eastAsia="宋体"/>
              <w:color w:val="auto"/>
            </w:rPr>
            <w:fldChar w:fldCharType="separate"/>
          </w:r>
          <w:r>
            <w:rPr>
              <w:rFonts w:ascii="Times New Roman" w:hAnsi="Times New Roman" w:eastAsia="宋体"/>
              <w:color w:val="auto"/>
            </w:rPr>
            <w:t>99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B21A2D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5.2.1大气环境影响分析与评价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_Toc6709 \h </w:instrText>
          </w:r>
          <w:r>
            <w:rPr>
              <w:rFonts w:ascii="Times New Roman" w:hAnsi="Times New Roman" w:eastAsia="宋体"/>
              <w:color w:val="auto"/>
            </w:rPr>
            <w:fldChar w:fldCharType="separate"/>
          </w:r>
          <w:r>
            <w:rPr>
              <w:rFonts w:ascii="Times New Roman" w:hAnsi="Times New Roman" w:eastAsia="宋体"/>
              <w:color w:val="auto"/>
            </w:rPr>
            <w:t>99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4EBA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_Toc30485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5.2.2水环境影响</w:t>
          </w:r>
          <w:r>
            <w:rPr>
              <w:rFonts w:hint="eastAsia" w:ascii="Times New Roman" w:hAnsi="Times New Roman" w:eastAsia="宋体"/>
              <w:strike w:val="0"/>
              <w:dstrike w:val="0"/>
              <w:color w:val="auto"/>
              <w:highlight w:val="none"/>
              <w:lang w:val="en-US" w:eastAsia="zh-CN"/>
            </w:rPr>
            <w:t>分析</w:t>
          </w:r>
          <w:r>
            <w:rPr>
              <w:rFonts w:hint="eastAsia" w:ascii="Times New Roman" w:hAnsi="Times New Roman" w:eastAsia="宋体"/>
              <w:strike w:val="0"/>
              <w:dstrike w:val="0"/>
              <w:color w:val="auto"/>
              <w:highlight w:val="none"/>
            </w:rPr>
            <w:t>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_Toc30485 \h </w:instrText>
          </w:r>
          <w:r>
            <w:rPr>
              <w:rFonts w:ascii="Times New Roman" w:hAnsi="Times New Roman" w:eastAsia="宋体"/>
              <w:color w:val="auto"/>
            </w:rPr>
            <w:fldChar w:fldCharType="separate"/>
          </w:r>
          <w:r>
            <w:rPr>
              <w:rFonts w:ascii="Times New Roman" w:hAnsi="Times New Roman" w:eastAsia="宋体"/>
              <w:color w:val="auto"/>
            </w:rPr>
            <w:t>106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DB362C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_Toc31830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5.2.3声环境影响分析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_Toc31830 \h </w:instrText>
          </w:r>
          <w:r>
            <w:rPr>
              <w:rFonts w:ascii="Times New Roman" w:hAnsi="Times New Roman" w:eastAsia="宋体"/>
              <w:color w:val="auto"/>
            </w:rPr>
            <w:fldChar w:fldCharType="separate"/>
          </w:r>
          <w:r>
            <w:rPr>
              <w:rFonts w:ascii="Times New Roman" w:hAnsi="Times New Roman" w:eastAsia="宋体"/>
              <w:color w:val="auto"/>
            </w:rPr>
            <w:t>117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C9346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_Toc29796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5.2.4固体废弃物影响分析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_Toc29796 \h </w:instrText>
          </w:r>
          <w:r>
            <w:rPr>
              <w:rFonts w:ascii="Times New Roman" w:hAnsi="Times New Roman" w:eastAsia="宋体"/>
              <w:color w:val="auto"/>
            </w:rPr>
            <w:fldChar w:fldCharType="separate"/>
          </w:r>
          <w:r>
            <w:rPr>
              <w:rFonts w:ascii="Times New Roman" w:hAnsi="Times New Roman" w:eastAsia="宋体"/>
              <w:color w:val="auto"/>
            </w:rPr>
            <w:t>124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A5B83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_Toc8826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5.2.5土壤环境影响分析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_Toc8826 \h </w:instrText>
          </w:r>
          <w:r>
            <w:rPr>
              <w:rFonts w:ascii="Times New Roman" w:hAnsi="Times New Roman" w:eastAsia="宋体"/>
              <w:color w:val="auto"/>
            </w:rPr>
            <w:fldChar w:fldCharType="separate"/>
          </w:r>
          <w:r>
            <w:rPr>
              <w:rFonts w:ascii="Times New Roman" w:hAnsi="Times New Roman" w:eastAsia="宋体"/>
              <w:color w:val="auto"/>
            </w:rPr>
            <w:t>126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D623A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_Toc3173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5.2.6生态环境影响分析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_Toc3173 \h </w:instrText>
          </w:r>
          <w:r>
            <w:rPr>
              <w:rFonts w:ascii="Times New Roman" w:hAnsi="Times New Roman" w:eastAsia="宋体"/>
              <w:color w:val="auto"/>
            </w:rPr>
            <w:fldChar w:fldCharType="separate"/>
          </w:r>
          <w:r>
            <w:rPr>
              <w:rFonts w:ascii="Times New Roman" w:hAnsi="Times New Roman" w:eastAsia="宋体"/>
              <w:color w:val="auto"/>
            </w:rPr>
            <w:t>129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09AC90A">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_Toc3406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5.3、环境风险评价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_Toc3406 \h </w:instrText>
          </w:r>
          <w:r>
            <w:rPr>
              <w:rFonts w:ascii="Times New Roman" w:hAnsi="Times New Roman" w:eastAsia="宋体"/>
              <w:color w:val="auto"/>
            </w:rPr>
            <w:fldChar w:fldCharType="separate"/>
          </w:r>
          <w:r>
            <w:rPr>
              <w:rFonts w:ascii="Times New Roman" w:hAnsi="Times New Roman" w:eastAsia="宋体"/>
              <w:color w:val="auto"/>
            </w:rPr>
            <w:t>131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86847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_Toc15623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5.3.1环境风险评价原则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_Toc15623 \h </w:instrText>
          </w:r>
          <w:r>
            <w:rPr>
              <w:rFonts w:ascii="Times New Roman" w:hAnsi="Times New Roman" w:eastAsia="宋体"/>
              <w:color w:val="auto"/>
            </w:rPr>
            <w:fldChar w:fldCharType="separate"/>
          </w:r>
          <w:r>
            <w:rPr>
              <w:rFonts w:ascii="Times New Roman" w:hAnsi="Times New Roman" w:eastAsia="宋体"/>
              <w:color w:val="auto"/>
            </w:rPr>
            <w:t>132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EFF6C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_Toc2859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5.3.2评价程序</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_Toc2859 \h </w:instrText>
          </w:r>
          <w:r>
            <w:rPr>
              <w:rFonts w:ascii="Times New Roman" w:hAnsi="Times New Roman" w:eastAsia="宋体"/>
              <w:color w:val="auto"/>
            </w:rPr>
            <w:fldChar w:fldCharType="separate"/>
          </w:r>
          <w:r>
            <w:rPr>
              <w:rFonts w:ascii="Times New Roman" w:hAnsi="Times New Roman" w:eastAsia="宋体"/>
              <w:color w:val="auto"/>
            </w:rPr>
            <w:t>132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6F9B53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_Toc27328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5.3.3风险调查</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_Toc27328 \h </w:instrText>
          </w:r>
          <w:r>
            <w:rPr>
              <w:rFonts w:ascii="Times New Roman" w:hAnsi="Times New Roman" w:eastAsia="宋体"/>
              <w:color w:val="auto"/>
            </w:rPr>
            <w:fldChar w:fldCharType="separate"/>
          </w:r>
          <w:r>
            <w:rPr>
              <w:rFonts w:ascii="Times New Roman" w:hAnsi="Times New Roman" w:eastAsia="宋体"/>
              <w:color w:val="auto"/>
            </w:rPr>
            <w:t>133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A66CD64">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5.3.4环境风险潜势初判</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_Toc2096 \h </w:instrText>
          </w:r>
          <w:r>
            <w:rPr>
              <w:rFonts w:ascii="Times New Roman" w:hAnsi="Times New Roman" w:eastAsia="宋体"/>
              <w:color w:val="auto"/>
            </w:rPr>
            <w:fldChar w:fldCharType="separate"/>
          </w:r>
          <w:r>
            <w:rPr>
              <w:rFonts w:ascii="Times New Roman" w:hAnsi="Times New Roman" w:eastAsia="宋体"/>
              <w:color w:val="auto"/>
            </w:rPr>
            <w:t>133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8EF91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_Toc27848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5.3.5环境风险评价工作等级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_Toc27848 \h </w:instrText>
          </w:r>
          <w:r>
            <w:rPr>
              <w:rFonts w:ascii="Times New Roman" w:hAnsi="Times New Roman" w:eastAsia="宋体"/>
              <w:color w:val="auto"/>
            </w:rPr>
            <w:fldChar w:fldCharType="separate"/>
          </w:r>
          <w:r>
            <w:rPr>
              <w:rFonts w:ascii="Times New Roman" w:hAnsi="Times New Roman" w:eastAsia="宋体"/>
              <w:color w:val="auto"/>
            </w:rPr>
            <w:t>134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65C30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_Toc29691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5.3.6环境风险识别</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_Toc29691 \h </w:instrText>
          </w:r>
          <w:r>
            <w:rPr>
              <w:rFonts w:ascii="Times New Roman" w:hAnsi="Times New Roman" w:eastAsia="宋体"/>
              <w:color w:val="auto"/>
            </w:rPr>
            <w:fldChar w:fldCharType="separate"/>
          </w:r>
          <w:r>
            <w:rPr>
              <w:rFonts w:ascii="Times New Roman" w:hAnsi="Times New Roman" w:eastAsia="宋体"/>
              <w:color w:val="auto"/>
            </w:rPr>
            <w:t>134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842E183">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_Toc15457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5.3.7环境风险防范措施及应急要求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_Toc15457 \h </w:instrText>
          </w:r>
          <w:r>
            <w:rPr>
              <w:rFonts w:ascii="Times New Roman" w:hAnsi="Times New Roman" w:eastAsia="宋体"/>
              <w:color w:val="auto"/>
            </w:rPr>
            <w:fldChar w:fldCharType="separate"/>
          </w:r>
          <w:r>
            <w:rPr>
              <w:rFonts w:ascii="Times New Roman" w:hAnsi="Times New Roman" w:eastAsia="宋体"/>
              <w:color w:val="auto"/>
            </w:rPr>
            <w:t>137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340796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_Toc4702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5.3.8环境风险应急预案</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_Toc4702 \h </w:instrText>
          </w:r>
          <w:r>
            <w:rPr>
              <w:rFonts w:ascii="Times New Roman" w:hAnsi="Times New Roman" w:eastAsia="宋体"/>
              <w:color w:val="auto"/>
            </w:rPr>
            <w:fldChar w:fldCharType="separate"/>
          </w:r>
          <w:r>
            <w:rPr>
              <w:rFonts w:ascii="Times New Roman" w:hAnsi="Times New Roman" w:eastAsia="宋体"/>
              <w:color w:val="auto"/>
            </w:rPr>
            <w:t>140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AED60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_Toc26444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5.3.9项目风险评价结论与建议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_Toc26444 \h </w:instrText>
          </w:r>
          <w:r>
            <w:rPr>
              <w:rFonts w:ascii="Times New Roman" w:hAnsi="Times New Roman" w:eastAsia="宋体"/>
              <w:color w:val="auto"/>
            </w:rPr>
            <w:fldChar w:fldCharType="separate"/>
          </w:r>
          <w:r>
            <w:rPr>
              <w:rFonts w:ascii="Times New Roman" w:hAnsi="Times New Roman" w:eastAsia="宋体"/>
              <w:color w:val="auto"/>
            </w:rPr>
            <w:t>145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C919986">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_Toc30338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6、污染防治措施和对策建议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_Toc30338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EDDCA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_Toc9935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6.1施工期污染防治措施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_Toc9935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A94659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_Toc9299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6.1.1施工期大气污染防治措施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_Toc9299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F36DA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_Toc18421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6.1.2施工期水污染防治措施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_Toc18421 \h </w:instrText>
          </w:r>
          <w:r>
            <w:rPr>
              <w:rFonts w:ascii="Times New Roman" w:hAnsi="Times New Roman" w:eastAsia="宋体"/>
              <w:color w:val="auto"/>
            </w:rPr>
            <w:fldChar w:fldCharType="separate"/>
          </w:r>
          <w:r>
            <w:rPr>
              <w:rFonts w:ascii="Times New Roman" w:hAnsi="Times New Roman" w:eastAsia="宋体"/>
              <w:color w:val="auto"/>
            </w:rPr>
            <w:t>149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12FDD9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_Toc29233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6.1.3施工期噪声污染防治措施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_Toc29233 \h </w:instrText>
          </w:r>
          <w:r>
            <w:rPr>
              <w:rFonts w:ascii="Times New Roman" w:hAnsi="Times New Roman" w:eastAsia="宋体"/>
              <w:color w:val="auto"/>
            </w:rPr>
            <w:fldChar w:fldCharType="separate"/>
          </w:r>
          <w:r>
            <w:rPr>
              <w:rFonts w:ascii="Times New Roman" w:hAnsi="Times New Roman" w:eastAsia="宋体"/>
              <w:color w:val="auto"/>
            </w:rPr>
            <w:t>150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A0F07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_Toc14081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6.1.4施工期固体废物防治措施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_Toc14081 \h </w:instrText>
          </w:r>
          <w:r>
            <w:rPr>
              <w:rFonts w:ascii="Times New Roman" w:hAnsi="Times New Roman" w:eastAsia="宋体"/>
              <w:color w:val="auto"/>
            </w:rPr>
            <w:fldChar w:fldCharType="separate"/>
          </w:r>
          <w:r>
            <w:rPr>
              <w:rFonts w:ascii="Times New Roman" w:hAnsi="Times New Roman" w:eastAsia="宋体"/>
              <w:color w:val="auto"/>
            </w:rPr>
            <w:t>151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B956EE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_Toc21814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6.1.5施工期生态环境防治措施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_Toc21814 \h </w:instrText>
          </w:r>
          <w:r>
            <w:rPr>
              <w:rFonts w:ascii="Times New Roman" w:hAnsi="Times New Roman" w:eastAsia="宋体"/>
              <w:color w:val="auto"/>
            </w:rPr>
            <w:fldChar w:fldCharType="separate"/>
          </w:r>
          <w:r>
            <w:rPr>
              <w:rFonts w:ascii="Times New Roman" w:hAnsi="Times New Roman" w:eastAsia="宋体"/>
              <w:color w:val="auto"/>
            </w:rPr>
            <w:t>152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E9B0D1">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_Toc20252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6.2运营期污染防治措施分析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_Toc20252 \h </w:instrText>
          </w:r>
          <w:r>
            <w:rPr>
              <w:rFonts w:ascii="Times New Roman" w:hAnsi="Times New Roman" w:eastAsia="宋体"/>
              <w:color w:val="auto"/>
            </w:rPr>
            <w:fldChar w:fldCharType="separate"/>
          </w:r>
          <w:r>
            <w:rPr>
              <w:rFonts w:ascii="Times New Roman" w:hAnsi="Times New Roman" w:eastAsia="宋体"/>
              <w:color w:val="auto"/>
            </w:rPr>
            <w:t>153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AE3C7C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_Toc21643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6.2.1大气污染物防治措施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_Toc21643 \h </w:instrText>
          </w:r>
          <w:r>
            <w:rPr>
              <w:rFonts w:ascii="Times New Roman" w:hAnsi="Times New Roman" w:eastAsia="宋体"/>
              <w:color w:val="auto"/>
            </w:rPr>
            <w:fldChar w:fldCharType="separate"/>
          </w:r>
          <w:r>
            <w:rPr>
              <w:rFonts w:ascii="Times New Roman" w:hAnsi="Times New Roman" w:eastAsia="宋体"/>
              <w:color w:val="auto"/>
            </w:rPr>
            <w:t>153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FC37D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_Toc22726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6.2.2运营期水污染防治措施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_Toc22726 \h </w:instrText>
          </w:r>
          <w:r>
            <w:rPr>
              <w:rFonts w:ascii="Times New Roman" w:hAnsi="Times New Roman" w:eastAsia="宋体"/>
              <w:color w:val="auto"/>
            </w:rPr>
            <w:fldChar w:fldCharType="separate"/>
          </w:r>
          <w:r>
            <w:rPr>
              <w:rFonts w:ascii="Times New Roman" w:hAnsi="Times New Roman" w:eastAsia="宋体"/>
              <w:color w:val="auto"/>
            </w:rPr>
            <w:t>156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5E4FB0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_Toc1198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6.2.3运营期噪声污染防治措施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_Toc1198 \h </w:instrText>
          </w:r>
          <w:r>
            <w:rPr>
              <w:rFonts w:ascii="Times New Roman" w:hAnsi="Times New Roman" w:eastAsia="宋体"/>
              <w:color w:val="auto"/>
            </w:rPr>
            <w:fldChar w:fldCharType="separate"/>
          </w:r>
          <w:r>
            <w:rPr>
              <w:rFonts w:ascii="Times New Roman" w:hAnsi="Times New Roman" w:eastAsia="宋体"/>
              <w:color w:val="auto"/>
            </w:rPr>
            <w:t>159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D0234A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_Toc13467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6.2.4运营期固废污染防治措施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_Toc13467 \h </w:instrText>
          </w:r>
          <w:r>
            <w:rPr>
              <w:rFonts w:ascii="Times New Roman" w:hAnsi="Times New Roman" w:eastAsia="宋体"/>
              <w:color w:val="auto"/>
            </w:rPr>
            <w:fldChar w:fldCharType="separate"/>
          </w:r>
          <w:r>
            <w:rPr>
              <w:rFonts w:ascii="Times New Roman" w:hAnsi="Times New Roman" w:eastAsia="宋体"/>
              <w:color w:val="auto"/>
            </w:rPr>
            <w:t>160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9157AC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_Toc12690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土壤污染防治措施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_Toc12690 \h </w:instrText>
          </w:r>
          <w:r>
            <w:rPr>
              <w:rFonts w:ascii="Times New Roman" w:hAnsi="Times New Roman" w:eastAsia="宋体"/>
              <w:color w:val="auto"/>
            </w:rPr>
            <w:fldChar w:fldCharType="separate"/>
          </w:r>
          <w:r>
            <w:rPr>
              <w:rFonts w:ascii="Times New Roman" w:hAnsi="Times New Roman" w:eastAsia="宋体"/>
              <w:color w:val="auto"/>
            </w:rPr>
            <w:t>165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4623E3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_Toc23908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生态防治措施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_Toc23908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AD6ABA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_Toc22265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6.3环境风险防范措施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_Toc22265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9D0394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_Toc911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6.3.1火灾防范措施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_Toc911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4B654C3">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_Toc16512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6.3.2废气处理措施故障防范措施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_Toc16512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03E5C6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_Toc21887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6.3.3有害物质泄漏防范措施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_Toc21887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D765F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_Toc14136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6.3.4疫病风险防范措施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_Toc14136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CABA7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_Toc25436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6.3.5养殖场隔离舍建设要求及日常防治措施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_Toc25436 \h </w:instrText>
          </w:r>
          <w:r>
            <w:rPr>
              <w:rFonts w:ascii="Times New Roman" w:hAnsi="Times New Roman" w:eastAsia="宋体"/>
              <w:color w:val="auto"/>
            </w:rPr>
            <w:fldChar w:fldCharType="separate"/>
          </w:r>
          <w:r>
            <w:rPr>
              <w:rFonts w:ascii="Times New Roman" w:hAnsi="Times New Roman" w:eastAsia="宋体"/>
              <w:color w:val="auto"/>
            </w:rPr>
            <w:t>169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1290D84">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_Toc4280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7、环境影响经济损益分析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_Toc4280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63878C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_Toc16957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7.1社会效益分析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_Toc16957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96BE541">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_Toc21517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7.2经济效益分析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_Toc21517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1F1AC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_Toc29169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7.3环境效益分析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_Toc29169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23480F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7.4环境经济效益分析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_Toc2812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ADC0D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7.4.1环保投资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_Toc19048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84E23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_Toc4941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7.4.2环境效益分析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_Toc4941 \h </w:instrText>
          </w:r>
          <w:r>
            <w:rPr>
              <w:rFonts w:ascii="Times New Roman" w:hAnsi="Times New Roman" w:eastAsia="宋体"/>
              <w:color w:val="auto"/>
            </w:rPr>
            <w:fldChar w:fldCharType="separate"/>
          </w:r>
          <w:r>
            <w:rPr>
              <w:rFonts w:ascii="Times New Roman" w:hAnsi="Times New Roman" w:eastAsia="宋体"/>
              <w:color w:val="auto"/>
            </w:rPr>
            <w:t>172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D1450B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_Toc4832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7.5小结</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_Toc4832 \h </w:instrText>
          </w:r>
          <w:r>
            <w:rPr>
              <w:rFonts w:ascii="Times New Roman" w:hAnsi="Times New Roman" w:eastAsia="宋体"/>
              <w:color w:val="auto"/>
            </w:rPr>
            <w:fldChar w:fldCharType="separate"/>
          </w:r>
          <w:r>
            <w:rPr>
              <w:rFonts w:ascii="Times New Roman" w:hAnsi="Times New Roman" w:eastAsia="宋体"/>
              <w:color w:val="auto"/>
            </w:rPr>
            <w:t>173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E0B7C59">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_Toc6740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w:t>
          </w:r>
          <w:r>
            <w:rPr>
              <w:rFonts w:ascii="Times New Roman" w:hAnsi="Times New Roman" w:eastAsia="宋体"/>
              <w:strike w:val="0"/>
              <w:dstrike w:val="0"/>
              <w:color w:val="auto"/>
              <w:highlight w:val="none"/>
            </w:rPr>
            <w:t>、环境管理与</w:t>
          </w:r>
          <w:r>
            <w:rPr>
              <w:rFonts w:hint="eastAsia" w:ascii="Times New Roman" w:hAnsi="Times New Roman" w:eastAsia="宋体"/>
              <w:strike w:val="0"/>
              <w:dstrike w:val="0"/>
              <w:color w:val="auto"/>
              <w:highlight w:val="none"/>
            </w:rPr>
            <w:t>环境</w:t>
          </w:r>
          <w:r>
            <w:rPr>
              <w:rFonts w:ascii="Times New Roman" w:hAnsi="Times New Roman" w:eastAsia="宋体"/>
              <w:strike w:val="0"/>
              <w:dstrike w:val="0"/>
              <w:color w:val="auto"/>
              <w:highlight w:val="none"/>
            </w:rPr>
            <w:t>监测计划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_Toc6740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A3B44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_Toc29342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8.1环境管理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_Toc29342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3BD5FB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_Toc23105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8.1.1设置环境管理机构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_Toc23105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6B570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_Toc23679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8.1.2落实环境管理制度</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_Toc23679 \h </w:instrText>
          </w:r>
          <w:r>
            <w:rPr>
              <w:rFonts w:ascii="Times New Roman" w:hAnsi="Times New Roman" w:eastAsia="宋体"/>
              <w:color w:val="auto"/>
            </w:rPr>
            <w:fldChar w:fldCharType="separate"/>
          </w:r>
          <w:r>
            <w:rPr>
              <w:rFonts w:ascii="Times New Roman" w:hAnsi="Times New Roman" w:eastAsia="宋体"/>
              <w:color w:val="auto"/>
            </w:rPr>
            <w:t>175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B39396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8.1.3制定环境管理计划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_Toc19009 \h </w:instrText>
          </w:r>
          <w:r>
            <w:rPr>
              <w:rFonts w:ascii="Times New Roman" w:hAnsi="Times New Roman" w:eastAsia="宋体"/>
              <w:color w:val="auto"/>
            </w:rPr>
            <w:fldChar w:fldCharType="separate"/>
          </w:r>
          <w:r>
            <w:rPr>
              <w:rFonts w:ascii="Times New Roman" w:hAnsi="Times New Roman" w:eastAsia="宋体"/>
              <w:color w:val="auto"/>
            </w:rPr>
            <w:t>177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840697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_Toc956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8.1.4排污</w:t>
          </w:r>
          <w:r>
            <w:rPr>
              <w:rFonts w:hint="eastAsia" w:ascii="Times New Roman" w:hAnsi="Times New Roman" w:eastAsia="宋体"/>
              <w:strike w:val="0"/>
              <w:dstrike w:val="0"/>
              <w:color w:val="auto"/>
              <w:highlight w:val="none"/>
            </w:rPr>
            <w:t>口规范化设置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_Toc956 \h </w:instrText>
          </w:r>
          <w:r>
            <w:rPr>
              <w:rFonts w:ascii="Times New Roman" w:hAnsi="Times New Roman" w:eastAsia="宋体"/>
              <w:color w:val="auto"/>
            </w:rPr>
            <w:fldChar w:fldCharType="separate"/>
          </w:r>
          <w:r>
            <w:rPr>
              <w:rFonts w:ascii="Times New Roman" w:hAnsi="Times New Roman" w:eastAsia="宋体"/>
              <w:color w:val="auto"/>
            </w:rPr>
            <w:t>179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5C4C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_Toc28280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8.1.5</w:t>
          </w:r>
          <w:r>
            <w:rPr>
              <w:rFonts w:ascii="Times New Roman" w:hAnsi="Times New Roman" w:eastAsia="宋体"/>
              <w:strike w:val="0"/>
              <w:dstrike w:val="0"/>
              <w:color w:val="auto"/>
              <w:highlight w:val="none"/>
            </w:rPr>
            <w:t>环境影响评价制度与排污许可制衔接分析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_Toc28280 \h </w:instrText>
          </w:r>
          <w:r>
            <w:rPr>
              <w:rFonts w:ascii="Times New Roman" w:hAnsi="Times New Roman" w:eastAsia="宋体"/>
              <w:color w:val="auto"/>
            </w:rPr>
            <w:fldChar w:fldCharType="separate"/>
          </w:r>
          <w:r>
            <w:rPr>
              <w:rFonts w:ascii="Times New Roman" w:hAnsi="Times New Roman" w:eastAsia="宋体"/>
              <w:color w:val="auto"/>
            </w:rPr>
            <w:t>179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DBDF26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_Toc19052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8.1.6</w:t>
          </w:r>
          <w:r>
            <w:rPr>
              <w:rFonts w:ascii="Times New Roman" w:hAnsi="Times New Roman" w:eastAsia="宋体"/>
              <w:strike w:val="0"/>
              <w:dstrike w:val="0"/>
              <w:color w:val="auto"/>
              <w:highlight w:val="none"/>
            </w:rPr>
            <w:t>企业环境信息公开</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_Toc19052 \h </w:instrText>
          </w:r>
          <w:r>
            <w:rPr>
              <w:rFonts w:ascii="Times New Roman" w:hAnsi="Times New Roman" w:eastAsia="宋体"/>
              <w:color w:val="auto"/>
            </w:rPr>
            <w:fldChar w:fldCharType="separate"/>
          </w:r>
          <w:r>
            <w:rPr>
              <w:rFonts w:ascii="Times New Roman" w:hAnsi="Times New Roman" w:eastAsia="宋体"/>
              <w:color w:val="auto"/>
            </w:rPr>
            <w:t>180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4A1946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_Toc32002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8.2</w:t>
          </w:r>
          <w:r>
            <w:rPr>
              <w:rFonts w:ascii="Times New Roman" w:hAnsi="Times New Roman" w:eastAsia="宋体"/>
              <w:strike w:val="0"/>
              <w:dstrike w:val="0"/>
              <w:color w:val="auto"/>
              <w:highlight w:val="none"/>
            </w:rPr>
            <w:t>环境监测</w:t>
          </w:r>
          <w:r>
            <w:rPr>
              <w:rFonts w:hint="eastAsia" w:ascii="Times New Roman" w:hAnsi="Times New Roman" w:eastAsia="宋体"/>
              <w:strike w:val="0"/>
              <w:dstrike w:val="0"/>
              <w:color w:val="auto"/>
              <w:highlight w:val="none"/>
            </w:rPr>
            <w:t>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_Toc32002 \h </w:instrText>
          </w:r>
          <w:r>
            <w:rPr>
              <w:rFonts w:ascii="Times New Roman" w:hAnsi="Times New Roman" w:eastAsia="宋体"/>
              <w:color w:val="auto"/>
            </w:rPr>
            <w:fldChar w:fldCharType="separate"/>
          </w:r>
          <w:r>
            <w:rPr>
              <w:rFonts w:ascii="Times New Roman" w:hAnsi="Times New Roman" w:eastAsia="宋体"/>
              <w:color w:val="auto"/>
            </w:rPr>
            <w:t>180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A576D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w:t>
          </w:r>
          <w:r>
            <w:rPr>
              <w:rFonts w:ascii="Times New Roman" w:hAnsi="Times New Roman" w:eastAsia="宋体"/>
              <w:strike w:val="0"/>
              <w:dstrike w:val="0"/>
              <w:color w:val="auto"/>
              <w:highlight w:val="none"/>
            </w:rPr>
            <w:t>竣工验收管理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_Toc282 \h </w:instrText>
          </w:r>
          <w:r>
            <w:rPr>
              <w:rFonts w:ascii="Times New Roman" w:hAnsi="Times New Roman" w:eastAsia="宋体"/>
              <w:color w:val="auto"/>
            </w:rPr>
            <w:fldChar w:fldCharType="separate"/>
          </w:r>
          <w:r>
            <w:rPr>
              <w:rFonts w:ascii="Times New Roman" w:hAnsi="Times New Roman" w:eastAsia="宋体"/>
              <w:color w:val="auto"/>
            </w:rPr>
            <w:t>181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FBB8EC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_Toc5046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8.3.1竣工验收管理及要求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_Toc5046 \h </w:instrText>
          </w:r>
          <w:r>
            <w:rPr>
              <w:rFonts w:ascii="Times New Roman" w:hAnsi="Times New Roman" w:eastAsia="宋体"/>
              <w:color w:val="auto"/>
            </w:rPr>
            <w:fldChar w:fldCharType="separate"/>
          </w:r>
          <w:r>
            <w:rPr>
              <w:rFonts w:ascii="Times New Roman" w:hAnsi="Times New Roman" w:eastAsia="宋体"/>
              <w:color w:val="auto"/>
            </w:rPr>
            <w:t>181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6C35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_Toc26604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8.3.2环境保护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_Toc26604 \h </w:instrText>
          </w:r>
          <w:r>
            <w:rPr>
              <w:rFonts w:ascii="Times New Roman" w:hAnsi="Times New Roman" w:eastAsia="宋体"/>
              <w:color w:val="auto"/>
            </w:rPr>
            <w:fldChar w:fldCharType="separate"/>
          </w:r>
          <w:r>
            <w:rPr>
              <w:rFonts w:ascii="Times New Roman" w:hAnsi="Times New Roman" w:eastAsia="宋体"/>
              <w:color w:val="auto"/>
            </w:rPr>
            <w:t>182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24E43C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_Toc19743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8.4污染源排放清单</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_Toc19743 \h </w:instrText>
          </w:r>
          <w:r>
            <w:rPr>
              <w:rFonts w:ascii="Times New Roman" w:hAnsi="Times New Roman" w:eastAsia="宋体"/>
              <w:color w:val="auto"/>
            </w:rPr>
            <w:fldChar w:fldCharType="separate"/>
          </w:r>
          <w:r>
            <w:rPr>
              <w:rFonts w:ascii="Times New Roman" w:hAnsi="Times New Roman" w:eastAsia="宋体"/>
              <w:color w:val="auto"/>
            </w:rPr>
            <w:t>183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BDFC17">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_Toc9779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9、结论与建议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_Toc9779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F8AED9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_Toc13917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9.1建设项目概况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_Toc13917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7D9E6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_Toc21346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9.2产业政策及相关规划符合性结论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_Toc21346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119126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_Toc29881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786CE8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_Toc17587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9.3.1大气环境质量现状评价结论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_Toc17587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1CADD2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_Toc8501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9.3.2地下水环境质量现状评价结论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_Toc8501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16CE3E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_Toc11530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9.3.3声环境质量现状评价结论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_Toc11530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E135D4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_Toc20844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9.3.4土壤环境质量现状评价结论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_Toc20844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026B880">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103540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_Toc16492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9.4.1大气环境影响评价结论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_Toc16492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17696E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_Toc24042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9.4.2水环境影响评价结论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_Toc24042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A0BE71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_Toc24442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9.4.3声环境影响评价结论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_Toc24442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AD482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_Toc22497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9.4.4固体废物环境影响分析结论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_Toc22497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14F3F8">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_Toc5596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_Toc5596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98313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_Toc19206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9.5.1大气环境保护措施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_Toc19206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2DB8C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_Toc28709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9.5.2水环境保护措施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_Toc28709 \h </w:instrText>
          </w:r>
          <w:r>
            <w:rPr>
              <w:rFonts w:ascii="Times New Roman" w:hAnsi="Times New Roman" w:eastAsia="宋体"/>
              <w:color w:val="auto"/>
            </w:rPr>
            <w:fldChar w:fldCharType="separate"/>
          </w:r>
          <w:r>
            <w:rPr>
              <w:rFonts w:ascii="Times New Roman" w:hAnsi="Times New Roman" w:eastAsia="宋体"/>
              <w:color w:val="auto"/>
            </w:rPr>
            <w:t>188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FDEDD7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_Toc15650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9.5.3噪声</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_Toc15650 \h </w:instrText>
          </w:r>
          <w:r>
            <w:rPr>
              <w:rFonts w:ascii="Times New Roman" w:hAnsi="Times New Roman" w:eastAsia="宋体"/>
              <w:color w:val="auto"/>
            </w:rPr>
            <w:fldChar w:fldCharType="separate"/>
          </w:r>
          <w:r>
            <w:rPr>
              <w:rFonts w:ascii="Times New Roman" w:hAnsi="Times New Roman" w:eastAsia="宋体"/>
              <w:color w:val="auto"/>
            </w:rPr>
            <w:t>188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F33247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_Toc17037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9.5.4固体废弃物</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_Toc17037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1FDF6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9.6公众意见采纳情况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_Toc18644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BC178F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_Toc8028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9.7环境经济损益分析结论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_Toc8028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B6F200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_Toc6365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9.8环境管理与监测结论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_Toc6365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1FA18E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_Toc18811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9.9总量控制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_Toc18811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7218837">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_Toc25327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9.10综合结论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_Toc25327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E881F6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_Toc19610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9.11要求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_Toc19610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9A3B8CC">
          <w:pPr>
            <w:ind w:firstLine="482"/>
            <w:rPr>
              <w:rFonts w:ascii="Times New Roman" w:hAnsi="Times New Roman" w:eastAsia="宋体"/>
              <w:strike w:val="0"/>
              <w:dstrike w:val="0"/>
              <w:color w:val="auto"/>
              <w:highlight w:val="none"/>
            </w:rPr>
          </w:pPr>
          <w:r>
            <w:rPr>
              <w:rFonts w:ascii="Times New Roman" w:hAnsi="Times New Roman" w:eastAsia="宋体"/>
              <w:bCs/>
              <w:strike w:val="0"/>
              <w:dstrike w:val="0"/>
              <w:color w:val="auto"/>
              <w:highlight w:val="none"/>
              <w:lang w:val="zh-CN"/>
            </w:rPr>
            <w:fldChar w:fldCharType="end"/>
          </w:r>
        </w:p>
      </w:sdtContent>
    </w:sdt>
    <w:p w14:paraId="1B74EA2F">
      <w:pPr>
        <w:rPr>
          <w:rFonts w:hint="eastAsia" w:ascii="Times New Roman" w:hAnsi="Times New Roman" w:eastAsia="宋体"/>
          <w:strike w:val="0"/>
          <w:dstrike w:val="0"/>
          <w:color w:val="auto"/>
          <w:highlight w:val="none"/>
        </w:rPr>
      </w:pPr>
      <w:bookmarkStart w:id="0" w:name="_Toc89619317"/>
      <w:bookmarkStart w:id="1" w:name="_Toc71394699"/>
    </w:p>
    <w:p w14:paraId="344DE203">
      <w:pPr>
        <w:pStyle w:val="2"/>
        <w:rPr>
          <w:rFonts w:hint="eastAsia" w:ascii="Times New Roman" w:hAnsi="Times New Roman" w:eastAsia="宋体"/>
          <w:strike w:val="0"/>
          <w:dstrike w:val="0"/>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titlePg/>
          <w:docGrid w:type="lines" w:linePitch="326" w:charSpace="0"/>
        </w:sectPr>
      </w:pPr>
    </w:p>
    <w:p w14:paraId="6055DB4D">
      <w:pPr>
        <w:pStyle w:val="2"/>
        <w:rPr>
          <w:rFonts w:ascii="Times New Roman" w:hAnsi="Times New Roman" w:eastAsia="宋体"/>
          <w:strike w:val="0"/>
          <w:dstrike w:val="0"/>
          <w:color w:val="auto"/>
          <w:highlight w:val="none"/>
        </w:rPr>
      </w:pPr>
      <w:bookmarkStart w:id="2" w:name="_Toc10540"/>
      <w:r>
        <w:rPr>
          <w:rFonts w:hint="eastAsia" w:ascii="Times New Roman" w:hAnsi="Times New Roman" w:eastAsia="宋体"/>
          <w:strike w:val="0"/>
          <w:dstrike w:val="0"/>
          <w:color w:val="auto"/>
          <w:highlight w:val="none"/>
        </w:rPr>
        <w:t>1建设项目概况</w:t>
      </w:r>
      <w:bookmarkEnd w:id="0"/>
      <w:bookmarkEnd w:id="1"/>
      <w:bookmarkEnd w:id="2"/>
    </w:p>
    <w:p w14:paraId="59922057">
      <w:pPr>
        <w:pStyle w:val="3"/>
        <w:rPr>
          <w:rFonts w:ascii="Times New Roman" w:hAnsi="Times New Roman" w:eastAsia="宋体"/>
          <w:strike w:val="0"/>
          <w:dstrike w:val="0"/>
          <w:color w:val="auto"/>
          <w:highlight w:val="none"/>
        </w:rPr>
      </w:pPr>
      <w:bookmarkStart w:id="3" w:name="_Toc89619318"/>
      <w:bookmarkStart w:id="4" w:name="_Toc71394700"/>
      <w:bookmarkStart w:id="5" w:name="_Toc20496"/>
      <w:r>
        <w:rPr>
          <w:rFonts w:hint="eastAsia" w:ascii="Times New Roman" w:hAnsi="Times New Roman" w:eastAsia="宋体"/>
          <w:strike w:val="0"/>
          <w:dstrike w:val="0"/>
          <w:color w:val="auto"/>
          <w:highlight w:val="none"/>
        </w:rPr>
        <w:t>1.1项目实施背景</w:t>
      </w:r>
      <w:bookmarkEnd w:id="3"/>
      <w:bookmarkEnd w:id="4"/>
      <w:bookmarkEnd w:id="5"/>
    </w:p>
    <w:p w14:paraId="2EF18893">
      <w:pPr>
        <w:keepNext w:val="0"/>
        <w:keepLines w:val="0"/>
        <w:pageBreakBefore w:val="0"/>
        <w:widowControl w:val="0"/>
        <w:kinsoku/>
        <w:wordWrap/>
        <w:overflowPunct/>
        <w:topLinePunct w:val="0"/>
        <w:bidi w:val="0"/>
        <w:adjustRightInd/>
        <w:snapToGrid/>
        <w:spacing w:line="360" w:lineRule="auto"/>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为立足新疆木垒县绿色生态与长眉驼特色种质资源优势，以“健康、天然、品质”为理念，构建集良种繁育、标准化养殖、饲料加工、文旅体验于一体的产业发展体系。通过科学繁育、规范养殖与产业化运营，稳定供应优质原料驼奶和出栏长眉驼，带动当地畜牧养殖、饲料加工、文旅服务等相关产业协同发展，优化区域产业结构。完善“企业+牧民”利益联结机制，增强农牧民自我发展能力，促进就业增收，打造“长眉驼之乡”特色名片，推动特色畜牧业高质量发展，实现产业兴旺与乡村振兴有效衔接。</w:t>
      </w:r>
    </w:p>
    <w:p w14:paraId="19B4A6EC">
      <w:pPr>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在此背景下，木垒县博斯坦乡人民政府在木垒县博斯坦乡阿克卓勒村建设木垒县2026年长眉驼良种繁育基地建设项目（以下简称“本项目”），本项目新建1</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-6</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泌乳母驼舍建筑面积4560平方米、7</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后备驼舍建筑面积725平方米、8#公驼舍建筑面积725平方米、隔离舍建筑面积190平方米、挤奶厅建筑面积2800平方米</w:t>
      </w:r>
      <w:r>
        <w:rPr>
          <w:rFonts w:hint="eastAsia" w:ascii="Times New Roman" w:hAnsi="Times New Roman" w:eastAsia="宋体"/>
          <w:strike w:val="0"/>
          <w:dstrike w:val="0"/>
          <w:color w:val="auto"/>
          <w:sz w:val="24"/>
          <w:vertAlign w:val="baseline"/>
          <w:lang w:val="en-US" w:eastAsia="zh-CN"/>
        </w:rPr>
        <w:t>及养殖圈舍其他配套附属设施等。</w:t>
      </w:r>
    </w:p>
    <w:p w14:paraId="46DD92D2">
      <w:pPr>
        <w:pStyle w:val="3"/>
        <w:rPr>
          <w:rFonts w:hint="eastAsia" w:ascii="Times New Roman" w:hAnsi="Times New Roman" w:eastAsia="宋体"/>
          <w:strike w:val="0"/>
          <w:dstrike w:val="0"/>
          <w:color w:val="auto"/>
          <w:highlight w:val="none"/>
        </w:rPr>
      </w:pPr>
      <w:bookmarkStart w:id="6" w:name="_Toc71394701"/>
      <w:bookmarkStart w:id="7" w:name="_Toc1741"/>
      <w:bookmarkStart w:id="8" w:name="_Toc89619319"/>
      <w:r>
        <w:rPr>
          <w:rFonts w:hint="eastAsia" w:ascii="Times New Roman" w:hAnsi="Times New Roman" w:eastAsia="宋体"/>
          <w:strike w:val="0"/>
          <w:dstrike w:val="0"/>
          <w:color w:val="auto"/>
          <w:highlight w:val="none"/>
        </w:rPr>
        <w:t>1.2环评工作过程</w:t>
      </w:r>
      <w:bookmarkEnd w:id="6"/>
      <w:bookmarkEnd w:id="7"/>
      <w:bookmarkEnd w:id="8"/>
    </w:p>
    <w:p w14:paraId="02AC9AA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根据《中华人民共和国环境保护法》、《建设项目环境保护管理条例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《中华人民共和国环境影响评价法》、国务院《关于修改&lt;设项目环境保护管理条例&gt;的决定》（国务院令第682号）中有关规定和要求，该建设项目需进行环境影响评价</w:t>
      </w:r>
      <w:r>
        <w:rPr>
          <w:rFonts w:hint="eastAsia" w:ascii="Times New Roman" w:hAnsi="Times New Roman" w:eastAsia="宋体"/>
          <w:strike w:val="0"/>
          <w:dstrike w:val="0"/>
          <w:color w:val="auto"/>
          <w:highlight w:val="none"/>
          <w:lang w:eastAsia="zh-CN"/>
        </w:rPr>
        <w:t>。</w:t>
      </w:r>
    </w:p>
    <w:p w14:paraId="6B7B6DED">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为骆驼养殖项目，根据论文《基于饲养标准的家禽单位折算方法》（草地学报，第17卷第4期，2009年7月，刘玉杰、李向林、何峰）中各种家禽与绵羊单位的折算系数可知：1头牛=4只绵羊，1峰骆驼=7只绵羊；根据《畜禽养殖业污染物排放标准》（GB 118596-2001）可知：1头肉牛=5头猪。按照上述折算系数，可得出：1峰骆驼约折算成9头猪。</w:t>
      </w:r>
    </w:p>
    <w:p w14:paraId="7CBA391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根据《建设项目环境影响评价分类管理名录》（2021年版），本项目年存栏1015峰骆驼（折算成9135头猪），通过人工授精技术和精细化饲养管理等手段，平均每年可产驼奶540吨、出栏骆驼400峰，出栏公幼驼200峰，年出栏骆驼共计600峰（折算成5400头猪），属于“二、畜牧业，1畜禽养殖场、养殖小区”中“年出栏生猪5000头（其他畜禽种类折合猪的养殖量）及以上的规模化畜禽养殖”，应编制环境影响评价报告书。</w:t>
      </w:r>
      <w:r>
        <w:rPr>
          <w:rFonts w:hint="eastAsia" w:ascii="Times New Roman" w:hAnsi="Times New Roman" w:eastAsia="宋体"/>
          <w:strike w:val="0"/>
          <w:dstrike w:val="0"/>
          <w:color w:val="auto"/>
          <w:highlight w:val="none"/>
        </w:rPr>
        <w:t>我单位立即组织有关环评工作人员赴现场进行了实地踏勘，对评价区范围的自然环境及规划情况进行了调查，收集了当地水文、地质、气象、环境现状等资料，并收集了具有相似生产规模和工艺的企业的实际生产数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评价单位在此基础上，与建设单位进行多次沟通，查阅行业资料，咨询了行业专家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在这些工作的基础上按照《环境影响评价技术导则》的有关规定，编制完成了《</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环境影响报告书》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现报</w:t>
      </w:r>
      <w:r>
        <w:rPr>
          <w:rFonts w:hint="eastAsia" w:ascii="Times New Roman" w:hAnsi="Times New Roman" w:eastAsia="宋体"/>
          <w:strike w:val="0"/>
          <w:dstrike w:val="0"/>
          <w:color w:val="auto"/>
          <w:highlight w:val="none"/>
          <w:lang w:val="en-US" w:eastAsia="zh-CN"/>
        </w:rPr>
        <w:t>昌吉州</w:t>
      </w:r>
      <w:r>
        <w:rPr>
          <w:rFonts w:hint="eastAsia" w:ascii="Times New Roman" w:hAnsi="Times New Roman" w:eastAsia="宋体"/>
          <w:strike w:val="0"/>
          <w:dstrike w:val="0"/>
          <w:color w:val="auto"/>
          <w:highlight w:val="none"/>
        </w:rPr>
        <w:t>生态环境局审批后作为本项目建设期和运营期环境</w:t>
      </w:r>
      <w:r>
        <w:rPr>
          <w:rFonts w:hint="eastAsia" w:ascii="Times New Roman" w:hAnsi="Times New Roman" w:eastAsia="宋体"/>
          <w:strike w:val="0"/>
          <w:dstrike w:val="0"/>
          <w:color w:val="auto"/>
          <w:highlight w:val="none"/>
          <w:lang w:eastAsia="zh-CN"/>
        </w:rPr>
        <w:t>管理</w:t>
      </w:r>
      <w:r>
        <w:rPr>
          <w:rFonts w:hint="eastAsia" w:ascii="Times New Roman" w:hAnsi="Times New Roman" w:eastAsia="宋体"/>
          <w:strike w:val="0"/>
          <w:dstrike w:val="0"/>
          <w:color w:val="auto"/>
          <w:highlight w:val="none"/>
        </w:rPr>
        <w:t>的依据</w:t>
      </w:r>
      <w:r>
        <w:rPr>
          <w:rFonts w:hint="eastAsia" w:ascii="Times New Roman" w:hAnsi="Times New Roman" w:eastAsia="宋体"/>
          <w:strike w:val="0"/>
          <w:dstrike w:val="0"/>
          <w:color w:val="auto"/>
          <w:highlight w:val="none"/>
          <w:lang w:eastAsia="zh-CN"/>
        </w:rPr>
        <w:t>。</w:t>
      </w:r>
    </w:p>
    <w:p w14:paraId="231E59A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环境影响评价工作一般</w:t>
      </w:r>
      <w:r>
        <w:rPr>
          <w:rFonts w:hint="eastAsia" w:ascii="Times New Roman" w:hAnsi="Times New Roman" w:eastAsia="宋体"/>
          <w:strike w:val="0"/>
          <w:dstrike w:val="0"/>
          <w:color w:val="auto"/>
          <w:highlight w:val="none"/>
          <w:lang w:eastAsia="zh-CN"/>
        </w:rPr>
        <w:t>分为</w:t>
      </w:r>
      <w:r>
        <w:rPr>
          <w:rFonts w:hint="eastAsia" w:ascii="Times New Roman" w:hAnsi="Times New Roman" w:eastAsia="宋体"/>
          <w:strike w:val="0"/>
          <w:dstrike w:val="0"/>
          <w:color w:val="auto"/>
          <w:highlight w:val="none"/>
        </w:rPr>
        <w:t>三个阶段，即前期准备、调研和工作方案阶段，分析论证和预测评价阶段、环境影响评价文件编制阶段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本项目环境影响评价工作程序见图1.2-1</w:t>
      </w:r>
      <w:r>
        <w:rPr>
          <w:rFonts w:hint="eastAsia" w:ascii="Times New Roman" w:hAnsi="Times New Roman" w:eastAsia="宋体"/>
          <w:strike w:val="0"/>
          <w:dstrike w:val="0"/>
          <w:color w:val="auto"/>
          <w:highlight w:val="none"/>
          <w:lang w:eastAsia="zh-CN"/>
        </w:rPr>
        <w:t>。</w:t>
      </w:r>
    </w:p>
    <w:p w14:paraId="1CA2B0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position w:val="-196"/>
        </w:rPr>
      </w:pPr>
      <w:r>
        <w:rPr>
          <w:rFonts w:ascii="Times New Roman" w:hAnsi="Times New Roman" w:eastAsia="宋体"/>
          <w:color w:val="auto"/>
          <w:position w:val="-196"/>
        </w:rPr>
        <w:drawing>
          <wp:inline distT="0" distB="0" distL="0" distR="0">
            <wp:extent cx="3599815" cy="4306570"/>
            <wp:effectExtent l="0" t="0" r="635" b="17780"/>
            <wp:docPr id="72" name="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 6"/>
                    <pic:cNvPicPr>
                      <a:picLocks noChangeAspect="1"/>
                    </pic:cNvPicPr>
                  </pic:nvPicPr>
                  <pic:blipFill>
                    <a:blip r:embed="rId27"/>
                    <a:stretch>
                      <a:fillRect/>
                    </a:stretch>
                  </pic:blipFill>
                  <pic:spPr>
                    <a:xfrm>
                      <a:off x="0" y="0"/>
                      <a:ext cx="3599815" cy="4306570"/>
                    </a:xfrm>
                    <a:prstGeom prst="rect">
                      <a:avLst/>
                    </a:prstGeom>
                  </pic:spPr>
                </pic:pic>
              </a:graphicData>
            </a:graphic>
          </wp:inline>
        </w:drawing>
      </w:r>
    </w:p>
    <w:p w14:paraId="459E6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bCs/>
          <w:strike w:val="0"/>
          <w:dstrike w:val="0"/>
          <w:color w:val="auto"/>
          <w:highlight w:val="red"/>
        </w:rPr>
      </w:pPr>
      <w:r>
        <w:rPr>
          <w:rFonts w:hint="eastAsia" w:ascii="Times New Roman" w:hAnsi="Times New Roman" w:eastAsia="宋体"/>
          <w:b/>
          <w:bCs/>
          <w:strike w:val="0"/>
          <w:dstrike w:val="0"/>
          <w:color w:val="auto"/>
          <w:highlight w:val="none"/>
        </w:rPr>
        <w:t>图1.2-1</w:t>
      </w:r>
      <w:r>
        <w:rPr>
          <w:rFonts w:hint="eastAsia" w:ascii="Times New Roman" w:hAnsi="Times New Roman" w:eastAsia="宋体"/>
          <w:b/>
          <w:bCs/>
          <w:strike w:val="0"/>
          <w:dstrike w:val="0"/>
          <w:color w:val="auto"/>
          <w:highlight w:val="none"/>
          <w:lang w:val="en-US" w:eastAsia="zh-CN"/>
        </w:rPr>
        <w:t xml:space="preserve"> </w:t>
      </w:r>
      <w:r>
        <w:rPr>
          <w:rFonts w:hint="eastAsia" w:ascii="Times New Roman" w:hAnsi="Times New Roman" w:eastAsia="宋体"/>
          <w:b/>
          <w:bCs/>
          <w:strike w:val="0"/>
          <w:dstrike w:val="0"/>
          <w:color w:val="auto"/>
          <w:highlight w:val="none"/>
        </w:rPr>
        <w:t>环境影响评价工作程序</w:t>
      </w:r>
    </w:p>
    <w:p w14:paraId="300B12A0">
      <w:pPr>
        <w:pStyle w:val="3"/>
        <w:snapToGrid w:val="0"/>
        <w:spacing w:before="0" w:after="0"/>
        <w:rPr>
          <w:rFonts w:ascii="Times New Roman" w:hAnsi="Times New Roman" w:eastAsia="宋体"/>
          <w:strike w:val="0"/>
          <w:dstrike w:val="0"/>
          <w:color w:val="auto"/>
          <w:highlight w:val="none"/>
        </w:rPr>
      </w:pPr>
      <w:bookmarkStart w:id="9" w:name="_Toc8140"/>
      <w:bookmarkStart w:id="10" w:name="_Toc71394702"/>
      <w:bookmarkStart w:id="11" w:name="_Toc89619320"/>
      <w:r>
        <w:rPr>
          <w:rFonts w:hint="eastAsia" w:ascii="Times New Roman" w:hAnsi="Times New Roman" w:eastAsia="宋体"/>
          <w:strike w:val="0"/>
          <w:dstrike w:val="0"/>
          <w:color w:val="auto"/>
          <w:highlight w:val="none"/>
        </w:rPr>
        <w:t>1.3分析判定相关情况</w:t>
      </w:r>
      <w:bookmarkEnd w:id="9"/>
      <w:bookmarkEnd w:id="10"/>
      <w:bookmarkEnd w:id="11"/>
    </w:p>
    <w:p w14:paraId="1E0B2E00">
      <w:pPr>
        <w:pStyle w:val="4"/>
        <w:snapToGrid w:val="0"/>
        <w:spacing w:before="0" w:after="0"/>
        <w:rPr>
          <w:rFonts w:ascii="Times New Roman" w:hAnsi="Times New Roman" w:eastAsia="宋体"/>
          <w:strike w:val="0"/>
          <w:dstrike w:val="0"/>
          <w:color w:val="auto"/>
          <w:highlight w:val="none"/>
        </w:rPr>
      </w:pPr>
      <w:bookmarkStart w:id="12" w:name="_Toc7905"/>
      <w:bookmarkStart w:id="13" w:name="_Toc106663413"/>
      <w:r>
        <w:rPr>
          <w:rFonts w:hint="eastAsia" w:ascii="Times New Roman" w:hAnsi="Times New Roman" w:eastAsia="宋体"/>
          <w:strike w:val="0"/>
          <w:dstrike w:val="0"/>
          <w:color w:val="auto"/>
          <w:highlight w:val="none"/>
        </w:rPr>
        <w:t>1.3.1产业政策相符性</w:t>
      </w:r>
      <w:bookmarkEnd w:id="12"/>
      <w:bookmarkEnd w:id="13"/>
    </w:p>
    <w:p w14:paraId="14090144">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本项目主要从事</w:t>
      </w:r>
      <w:r>
        <w:rPr>
          <w:rFonts w:hint="eastAsia" w:ascii="Times New Roman" w:hAnsi="Times New Roman" w:eastAsia="宋体"/>
          <w:strike w:val="0"/>
          <w:dstrike w:val="0"/>
          <w:color w:val="auto"/>
          <w:highlight w:val="none"/>
          <w:lang w:val="en-US" w:eastAsia="zh-CN"/>
        </w:rPr>
        <w:t>骆驼养殖</w:t>
      </w:r>
      <w:r>
        <w:rPr>
          <w:rFonts w:hint="eastAsia" w:ascii="Times New Roman" w:hAnsi="Times New Roman" w:eastAsia="宋体"/>
          <w:strike w:val="0"/>
          <w:dstrike w:val="0"/>
          <w:color w:val="auto"/>
          <w:highlight w:val="none"/>
        </w:rPr>
        <w:t>，根据《</w:t>
      </w:r>
      <w:r>
        <w:rPr>
          <w:rFonts w:hint="eastAsia" w:ascii="Times New Roman" w:hAnsi="Times New Roman" w:eastAsia="宋体"/>
          <w:strike w:val="0"/>
          <w:dstrike w:val="0"/>
          <w:color w:val="auto"/>
          <w:highlight w:val="none"/>
          <w:lang w:eastAsia="zh-CN"/>
        </w:rPr>
        <w:t>产业结构调整指导目录（</w:t>
      </w:r>
      <w:r>
        <w:rPr>
          <w:rFonts w:hint="eastAsia" w:ascii="Times New Roman" w:hAnsi="Times New Roman" w:eastAsia="宋体"/>
          <w:strike w:val="0"/>
          <w:dstrike w:val="0"/>
          <w:color w:val="auto"/>
          <w:highlight w:val="none"/>
          <w:lang w:val="en-US" w:eastAsia="zh-CN"/>
        </w:rPr>
        <w:t>2024</w:t>
      </w:r>
      <w:r>
        <w:rPr>
          <w:rFonts w:hint="eastAsia" w:ascii="Times New Roman" w:hAnsi="Times New Roman" w:eastAsia="宋体"/>
          <w:strike w:val="0"/>
          <w:dstrike w:val="0"/>
          <w:color w:val="auto"/>
          <w:highlight w:val="none"/>
          <w:lang w:eastAsia="zh-CN"/>
        </w:rPr>
        <w:t>年本）</w:t>
      </w:r>
      <w:r>
        <w:rPr>
          <w:rFonts w:hint="eastAsia" w:ascii="Times New Roman" w:hAnsi="Times New Roman" w:eastAsia="宋体"/>
          <w:strike w:val="0"/>
          <w:dstrike w:val="0"/>
          <w:color w:val="auto"/>
          <w:highlight w:val="none"/>
        </w:rPr>
        <w:t>》，本项目属于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第一类鼓励类—一、</w:t>
      </w:r>
      <w:r>
        <w:rPr>
          <w:rFonts w:hint="eastAsia" w:ascii="Times New Roman" w:hAnsi="Times New Roman" w:eastAsia="宋体"/>
          <w:strike w:val="0"/>
          <w:dstrike w:val="0"/>
          <w:color w:val="auto"/>
          <w:highlight w:val="none"/>
          <w:lang w:val="en-US" w:eastAsia="zh-CN"/>
        </w:rPr>
        <w:t>农林牧渔业</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14.现代畜牧业及水产生态健康养殖：畜禽标准化规模养殖技术开发与应用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，因此，符合国家产业政策</w:t>
      </w:r>
      <w:r>
        <w:rPr>
          <w:rFonts w:hint="eastAsia" w:ascii="Times New Roman" w:hAnsi="Times New Roman" w:eastAsia="宋体"/>
          <w:strike w:val="0"/>
          <w:dstrike w:val="0"/>
          <w:color w:val="auto"/>
          <w:highlight w:val="none"/>
          <w:lang w:eastAsia="zh-CN"/>
        </w:rPr>
        <w:t>。</w:t>
      </w:r>
    </w:p>
    <w:p w14:paraId="475E093C">
      <w:pPr>
        <w:pStyle w:val="4"/>
        <w:snapToGrid w:val="0"/>
        <w:spacing w:before="0" w:after="0"/>
        <w:rPr>
          <w:rFonts w:ascii="Times New Roman" w:hAnsi="Times New Roman" w:eastAsia="宋体"/>
          <w:strike w:val="0"/>
          <w:dstrike w:val="0"/>
          <w:color w:val="auto"/>
          <w:highlight w:val="none"/>
        </w:rPr>
      </w:pPr>
      <w:bookmarkStart w:id="14" w:name="_Toc32348"/>
      <w:bookmarkStart w:id="15" w:name="_Toc106663414"/>
      <w:r>
        <w:rPr>
          <w:rFonts w:hint="eastAsia" w:ascii="Times New Roman" w:hAnsi="Times New Roman" w:eastAsia="宋体"/>
          <w:strike w:val="0"/>
          <w:dstrike w:val="0"/>
          <w:color w:val="auto"/>
          <w:highlight w:val="none"/>
        </w:rPr>
        <w:t>1.3.2规划符合性</w:t>
      </w:r>
      <w:bookmarkEnd w:id="14"/>
      <w:bookmarkEnd w:id="15"/>
    </w:p>
    <w:p w14:paraId="66466AED">
      <w:pPr>
        <w:snapToGrid w:val="0"/>
        <w:ind w:firstLine="480"/>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（1）与《新疆维吾尔自治区国民经济和社会发展第十</w:t>
      </w:r>
      <w:r>
        <w:rPr>
          <w:rFonts w:hint="eastAsia" w:ascii="Times New Roman" w:hAnsi="Times New Roman" w:eastAsia="宋体"/>
          <w:b/>
          <w:bCs/>
          <w:strike w:val="0"/>
          <w:dstrike w:val="0"/>
          <w:color w:val="auto"/>
          <w:highlight w:val="none"/>
          <w:lang w:val="en-US" w:eastAsia="zh-CN"/>
        </w:rPr>
        <w:t>五</w:t>
      </w:r>
      <w:r>
        <w:rPr>
          <w:rFonts w:hint="eastAsia" w:ascii="Times New Roman" w:hAnsi="Times New Roman" w:eastAsia="宋体"/>
          <w:b/>
          <w:bCs/>
          <w:strike w:val="0"/>
          <w:dstrike w:val="0"/>
          <w:color w:val="auto"/>
          <w:highlight w:val="none"/>
        </w:rPr>
        <w:t>个五年规划纲要》的符合性分析</w:t>
      </w:r>
    </w:p>
    <w:p w14:paraId="2E1EE8E0">
      <w:pPr>
        <w:snapToGrid w:val="0"/>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《新疆维吾尔自治区国民经济和社会发展第十</w:t>
      </w:r>
      <w:r>
        <w:rPr>
          <w:rFonts w:hint="eastAsia" w:ascii="Times New Roman" w:hAnsi="Times New Roman" w:eastAsia="宋体"/>
          <w:strike w:val="0"/>
          <w:dstrike w:val="0"/>
          <w:color w:val="auto"/>
          <w:highlight w:val="none"/>
          <w:lang w:val="en-US" w:eastAsia="zh-CN"/>
        </w:rPr>
        <w:t>五</w:t>
      </w:r>
      <w:r>
        <w:rPr>
          <w:rFonts w:hint="eastAsia" w:ascii="Times New Roman" w:hAnsi="Times New Roman" w:eastAsia="宋体"/>
          <w:strike w:val="0"/>
          <w:dstrike w:val="0"/>
          <w:color w:val="auto"/>
          <w:highlight w:val="none"/>
        </w:rPr>
        <w:t>个五年规划纲要》指出，加强绿色畜牧产品生产基地和优质果蔬标准化基地建设，延伸精深加工产业链，推动优势产品“走出去”，全面提升综合生产能力和经营效益。建强绿色畜牧产品产业链。深入实施畜牧业振兴行动，加快草原畜牧业转型升级。推动品种改良和农区养殖业发展，实施畜禽遗传改良计划，提高优势畜禽主导品种自主供种能力。促进肉羊增产、肉牛提质、奶业增效，因地制宜发展生猪、家禽、马、驼、蜂等产业，稳步扩大特色渔业。持续建设肉牛肉羊特色产业集聚区、牛奶和特色驼乳生产加工集聚区，大力发展畜禽水产精深加工、分级包装、冷链物流，拓展多样化乳品生产。健全完善现代饲草生产、加工、储存、流通、配送体系。强化动物疫病防控，保障畜牧业生产安全。“十五五”期间，保障肉蛋奶稳定供给。</w:t>
      </w:r>
    </w:p>
    <w:p w14:paraId="4C5059A7">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本项目立足木垒县资源条件开展长眉驼规模化养殖，建设标准化繁育基地，属于区域重点扶持的特色骆驼产业，契合自治区绿色畜牧产业布局</w:t>
      </w:r>
      <w:r>
        <w:rPr>
          <w:rFonts w:hint="eastAsia" w:ascii="Times New Roman" w:hAnsi="Times New Roman" w:eastAsia="宋体"/>
          <w:strike w:val="0"/>
          <w:dstrike w:val="0"/>
          <w:color w:val="auto"/>
          <w:highlight w:val="none"/>
          <w:lang w:eastAsia="zh-CN"/>
        </w:rPr>
        <w:t>；项目开展长眉驼保种、繁育与品种选育，壮大良种种群，能够强化地方优良驼种资源保护，提高良种供给水平，严格落实畜禽遗传改良行动要求；项目养殖长眉驼并配套</w:t>
      </w:r>
      <w:r>
        <w:rPr>
          <w:rFonts w:hint="eastAsia" w:ascii="Times New Roman" w:hAnsi="Times New Roman" w:eastAsia="宋体"/>
          <w:strike w:val="0"/>
          <w:dstrike w:val="0"/>
          <w:color w:val="auto"/>
          <w:highlight w:val="none"/>
          <w:lang w:val="en-US" w:eastAsia="zh-CN"/>
        </w:rPr>
        <w:t>挤奶大厅</w:t>
      </w:r>
      <w:r>
        <w:rPr>
          <w:rFonts w:hint="eastAsia" w:ascii="Times New Roman" w:hAnsi="Times New Roman" w:eastAsia="宋体"/>
          <w:strike w:val="0"/>
          <w:dstrike w:val="0"/>
          <w:color w:val="auto"/>
          <w:highlight w:val="none"/>
          <w:lang w:eastAsia="zh-CN"/>
        </w:rPr>
        <w:t>，可为后续驼乳精深加工提供优质原料，延伸驼产业上下游链条，完善区域驼乳产业链条，推动特色畜牧产品提质增效；</w:t>
      </w:r>
      <w:r>
        <w:rPr>
          <w:rFonts w:hint="eastAsia" w:ascii="Times New Roman" w:hAnsi="Times New Roman" w:eastAsia="宋体"/>
          <w:strike w:val="0"/>
          <w:dstrike w:val="0"/>
          <w:color w:val="auto"/>
          <w:highlight w:val="none"/>
        </w:rPr>
        <w:t>项目配套建设饲草料贮存、加工设施，建立稳定饲草供给体系，实现种养配套、粮草平衡，保障养殖业稳定可持续发展</w:t>
      </w:r>
      <w:r>
        <w:rPr>
          <w:rFonts w:hint="eastAsia" w:ascii="Times New Roman" w:hAnsi="Times New Roman" w:eastAsia="宋体"/>
          <w:strike w:val="0"/>
          <w:dstrike w:val="0"/>
          <w:color w:val="auto"/>
          <w:highlight w:val="none"/>
          <w:lang w:eastAsia="zh-CN"/>
        </w:rPr>
        <w:t>；项目产出的驼粪经简单堆肥后外售有机肥厂，实现种养循环；驼乳作为原料外销精深加工企业。</w:t>
      </w:r>
      <w:r>
        <w:rPr>
          <w:rFonts w:hint="eastAsia" w:ascii="Times New Roman" w:hAnsi="Times New Roman" w:eastAsia="宋体"/>
          <w:strike w:val="0"/>
          <w:dstrike w:val="0"/>
          <w:color w:val="auto"/>
          <w:highlight w:val="none"/>
        </w:rPr>
        <w:t>因此，本项目符合《新疆维吾尔自治区国民经济和社会发展第十</w:t>
      </w:r>
      <w:r>
        <w:rPr>
          <w:rFonts w:hint="eastAsia" w:ascii="Times New Roman" w:hAnsi="Times New Roman" w:eastAsia="宋体"/>
          <w:strike w:val="0"/>
          <w:dstrike w:val="0"/>
          <w:color w:val="auto"/>
          <w:highlight w:val="none"/>
          <w:lang w:val="en-US" w:eastAsia="zh-CN"/>
        </w:rPr>
        <w:t>五</w:t>
      </w:r>
      <w:r>
        <w:rPr>
          <w:rFonts w:hint="eastAsia" w:ascii="Times New Roman" w:hAnsi="Times New Roman" w:eastAsia="宋体"/>
          <w:strike w:val="0"/>
          <w:dstrike w:val="0"/>
          <w:color w:val="auto"/>
          <w:highlight w:val="none"/>
        </w:rPr>
        <w:t>个五年规划纲要》相关要求</w:t>
      </w:r>
      <w:r>
        <w:rPr>
          <w:rFonts w:hint="eastAsia" w:ascii="Times New Roman" w:hAnsi="Times New Roman" w:eastAsia="宋体"/>
          <w:strike w:val="0"/>
          <w:dstrike w:val="0"/>
          <w:color w:val="auto"/>
          <w:highlight w:val="none"/>
          <w:lang w:eastAsia="zh-CN"/>
        </w:rPr>
        <w:t>。</w:t>
      </w:r>
    </w:p>
    <w:p w14:paraId="3D537F28">
      <w:pPr>
        <w:snapToGrid w:val="0"/>
        <w:ind w:firstLine="480"/>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（2）与《新疆维吾尔自治区畜牧业</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rPr>
        <w:t>十四五</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rPr>
        <w:t>发展规划》的符合性分析</w:t>
      </w:r>
    </w:p>
    <w:p w14:paraId="2E78259F">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《新疆维吾尔自治区畜牧业</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发展规划》提出，</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期间，全区畜牧业坚持生态化发展方向，坚持农牧结合、草畜配套，稳定发展牧区畜牧业，突出发展农区畜牧业，坚持走集约化、标准化、规模化的发展道路，着力夯基础、补短板、强弱项、优结构、促融合、壮主体、增动能，强化科技创新和政策支持，做大肉牛肉羊产业、加快奶业振兴、做优做强畜禽产业、因地制宜发展特色产业，构建科学合理、安全高效的畜产品供给保障体系，加快推进现代畜牧业发展</w:t>
      </w:r>
      <w:r>
        <w:rPr>
          <w:rFonts w:hint="eastAsia" w:ascii="Times New Roman" w:hAnsi="Times New Roman" w:eastAsia="宋体"/>
          <w:strike w:val="0"/>
          <w:dstrike w:val="0"/>
          <w:color w:val="auto"/>
          <w:highlight w:val="none"/>
          <w:lang w:eastAsia="zh-CN"/>
        </w:rPr>
        <w:t>。</w:t>
      </w:r>
    </w:p>
    <w:p w14:paraId="2345F818">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到2025年，将建立适合区情、支撑有力的畜牧业产业体系、生产体系、经营体系，形成天山北坡奶业、南疆特禽、北疆绿色有机牛羊肉、马产业等4个产值百亿元以上、有国内影响力的产业集群</w:t>
      </w:r>
      <w:r>
        <w:rPr>
          <w:rFonts w:hint="eastAsia" w:ascii="Times New Roman" w:hAnsi="Times New Roman" w:eastAsia="宋体"/>
          <w:strike w:val="0"/>
          <w:dstrike w:val="0"/>
          <w:color w:val="auto"/>
          <w:highlight w:val="none"/>
          <w:lang w:eastAsia="zh-CN"/>
        </w:rPr>
        <w:t>。</w:t>
      </w:r>
    </w:p>
    <w:p w14:paraId="54D26AC8">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本项目为</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，采用规模化、集约化养殖模式，项目重点发展骆驼特色养殖，属于规划因地制宜培育的特色产业，能够充实北疆畜牧产业集群</w:t>
      </w:r>
      <w:r>
        <w:rPr>
          <w:rFonts w:hint="eastAsia" w:ascii="Times New Roman" w:hAnsi="Times New Roman" w:eastAsia="宋体"/>
          <w:strike w:val="0"/>
          <w:dstrike w:val="0"/>
          <w:color w:val="auto"/>
          <w:highlight w:val="none"/>
          <w:lang w:eastAsia="zh-CN"/>
        </w:rPr>
        <w:t>，场区完善防疫、粪污资源化利用等基础设施，健全畜产品供给保障体系，驼乳外销加工企业，延伸产业链条，</w:t>
      </w:r>
      <w:r>
        <w:rPr>
          <w:rFonts w:hint="eastAsia" w:ascii="Times New Roman" w:hAnsi="Times New Roman" w:eastAsia="宋体"/>
          <w:strike w:val="0"/>
          <w:dstrike w:val="0"/>
          <w:color w:val="auto"/>
          <w:highlight w:val="none"/>
        </w:rPr>
        <w:t>项目的建设符合《新疆维吾尔自治区畜牧业</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发展规划》的相关要求</w:t>
      </w:r>
      <w:r>
        <w:rPr>
          <w:rFonts w:hint="eastAsia" w:ascii="Times New Roman" w:hAnsi="Times New Roman" w:eastAsia="宋体"/>
          <w:strike w:val="0"/>
          <w:dstrike w:val="0"/>
          <w:color w:val="auto"/>
          <w:highlight w:val="none"/>
          <w:lang w:eastAsia="zh-CN"/>
        </w:rPr>
        <w:t>。</w:t>
      </w:r>
    </w:p>
    <w:p w14:paraId="39C7C95F">
      <w:pPr>
        <w:snapToGrid w:val="0"/>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3</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与《新疆生态环境保护“十四五”规划》符合性分析</w:t>
      </w:r>
    </w:p>
    <w:p w14:paraId="5AAC5359">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新疆维吾尔自治区环境保护“十四五”规划》提出“强化养殖业污染治理。推进畜禽粪污资源化利用，大力发展生态循环农业，全面规范规模化畜禽养殖场和养殖小区污染治理设施，加大畜禽养殖废弃物收集、贮存、处理、输送和施用等设施建设力度。推进畜禽养殖大县整县治理。到2025年，畜禽粪污综合利用率达到80%以上。”</w:t>
      </w:r>
    </w:p>
    <w:p w14:paraId="448134B1">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本项目是集约化养殖项目，根据《畜禽养殖业污染物治理工程技术规范》（HJ497－2009）要求，本项目建设后拟采用干清粪工艺，粪便及时清出，粪便处理后外售有机肥厂，实现畜禽粪污综合利用。</w:t>
      </w:r>
    </w:p>
    <w:p w14:paraId="7C55658B">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综上所述，本项目符合《新疆生态环境保护“十四五”规划》的要求。</w:t>
      </w:r>
    </w:p>
    <w:p w14:paraId="3BB0CAD0">
      <w:pPr>
        <w:snapToGrid w:val="0"/>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（4）与《新疆维吾尔自治区七大片区“三线一单”生态环境分区管控要求》符合性分析</w:t>
      </w:r>
    </w:p>
    <w:p w14:paraId="672888E4">
      <w:pPr>
        <w:snapToGrid w:val="0"/>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本项目与《新疆维吾尔自治区七大片区“三线一单”生态环境分区管控要求》符合性分析。</w:t>
      </w:r>
    </w:p>
    <w:p w14:paraId="70206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表1.3-1与生态环境分区管控要求符合性分析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4287"/>
        <w:gridCol w:w="2983"/>
        <w:gridCol w:w="463"/>
      </w:tblGrid>
      <w:tr w14:paraId="5EF6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678D31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管控类别</w:t>
            </w:r>
          </w:p>
        </w:tc>
        <w:tc>
          <w:tcPr>
            <w:tcW w:w="2583" w:type="pct"/>
            <w:vAlign w:val="center"/>
          </w:tcPr>
          <w:p w14:paraId="5F61E2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管控要求</w:t>
            </w:r>
          </w:p>
        </w:tc>
        <w:tc>
          <w:tcPr>
            <w:tcW w:w="1797" w:type="pct"/>
            <w:vAlign w:val="center"/>
          </w:tcPr>
          <w:p w14:paraId="31334A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w:t>
            </w:r>
          </w:p>
        </w:tc>
        <w:tc>
          <w:tcPr>
            <w:tcW w:w="279" w:type="pct"/>
            <w:vAlign w:val="center"/>
          </w:tcPr>
          <w:p w14:paraId="7704E6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符合性</w:t>
            </w:r>
          </w:p>
        </w:tc>
      </w:tr>
      <w:tr w14:paraId="4A2D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20D753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空间布局约束</w:t>
            </w:r>
          </w:p>
        </w:tc>
        <w:tc>
          <w:tcPr>
            <w:tcW w:w="2583" w:type="pct"/>
            <w:vAlign w:val="center"/>
          </w:tcPr>
          <w:p w14:paraId="2EAA4C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严格执行国家、自治区产业政策和环境准入要求，严禁“三高”项目进新疆，坚决遏制“两高”项目盲目发展。不得在水源涵养区、饮用水水源保护区内和河流、湖泊、水库周围建设重化工、涉重金属等工业污染项目。推动项目集聚发展，新建、改建、扩建工业项目原则上应布置于由县级及以上人民政府批准建立、环境保护基础设施完善的产业园区、工业聚集区或规划矿区，并且符合相关规划和规划环评要求。</w:t>
            </w:r>
          </w:p>
        </w:tc>
        <w:tc>
          <w:tcPr>
            <w:tcW w:w="1797" w:type="pct"/>
            <w:vAlign w:val="center"/>
          </w:tcPr>
          <w:p w14:paraId="6A45BE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rPr>
              <w:t>本项目主要从事骆驼养殖，根据《产业结构调整指导目录（2024年本）》，本项目属于“第一类鼓励类—一、农林牧渔业—14.现代畜牧业及水产生态健康养殖：畜禽标准化规模养殖技术开发与应用”，</w:t>
            </w:r>
            <w:r>
              <w:rPr>
                <w:rFonts w:ascii="Times New Roman" w:hAnsi="Times New Roman" w:eastAsia="宋体" w:cs="宋体"/>
                <w:strike w:val="0"/>
                <w:dstrike w:val="0"/>
                <w:color w:val="auto"/>
                <w:sz w:val="21"/>
                <w:szCs w:val="24"/>
                <w:highlight w:val="none"/>
              </w:rPr>
              <w:t>项目不属于“三高”项目，不属于化工和涉重金属的工业项目</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因此符合产业政策及环境准入要求</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54321B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583E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7CBFCB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污染物排放管控</w:t>
            </w:r>
          </w:p>
        </w:tc>
        <w:tc>
          <w:tcPr>
            <w:tcW w:w="2583" w:type="pct"/>
            <w:vAlign w:val="center"/>
          </w:tcPr>
          <w:p w14:paraId="351864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深化行业污染源头治理，深入开展火电行业减排，全力推进钢铁行业超低排放改造，有序推进石化行业“泄漏检测与修复”技术改造</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强化煤化工、石化、有机化工、表面涂装、包装印刷等重点行业挥发性有机物控制</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深入开展燃煤锅炉污染综合整治，深化工业炉窑综合治理</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加强“散乱污”企业综合整治</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优化区域交通运输结构，加快货物运输绿色转型，做好车油联合管控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以改善流域水环境质量为核心，强化源头控制，“一河</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一策”精准施治，减少水污染物排放</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持续改善水环境质量</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强化园区</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工业集聚区</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水污染防治，不断提高工业用水重复利用率</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加快实施城镇污水处理设施提质增效，补齐生活污水收集和处理设施短板，提高再生水回用比例</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持续推进农业农村污染防治</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提升土壤环境监管能力，加强污染地块安全利用监管</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强化工矿用地管理，严格建设用地土壤环境风险管控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加强农用地土壤污染源头控制，科学施用化肥农药，提高农膜回收率</w:t>
            </w:r>
            <w:r>
              <w:rPr>
                <w:rFonts w:hint="eastAsia" w:ascii="Times New Roman" w:hAnsi="Times New Roman" w:eastAsia="宋体" w:cs="宋体"/>
                <w:strike w:val="0"/>
                <w:dstrike w:val="0"/>
                <w:color w:val="auto"/>
                <w:sz w:val="21"/>
                <w:szCs w:val="24"/>
                <w:highlight w:val="none"/>
                <w:lang w:eastAsia="zh-CN"/>
              </w:rPr>
              <w:t>。</w:t>
            </w:r>
          </w:p>
        </w:tc>
        <w:tc>
          <w:tcPr>
            <w:tcW w:w="1797" w:type="pct"/>
            <w:vAlign w:val="center"/>
          </w:tcPr>
          <w:p w14:paraId="1E94FA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rPr>
              <w:t>本项目主要从事骆驼养殖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不属于火电、钢铁、石化、煤化工、有机化工、表面涂装、包装印刷等行业</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r>
              <w:rPr>
                <w:rFonts w:hint="eastAsia" w:ascii="Times New Roman" w:hAnsi="Times New Roman" w:eastAsia="宋体" w:cs="宋体"/>
                <w:strike w:val="0"/>
                <w:dstrike w:val="0"/>
                <w:color w:val="auto"/>
                <w:sz w:val="21"/>
                <w:szCs w:val="24"/>
                <w:highlight w:val="none"/>
              </w:rPr>
              <w:t>不会影</w:t>
            </w:r>
            <w:r>
              <w:rPr>
                <w:rFonts w:ascii="Times New Roman" w:hAnsi="Times New Roman" w:eastAsia="宋体" w:cs="宋体"/>
                <w:strike w:val="0"/>
                <w:dstrike w:val="0"/>
                <w:color w:val="auto"/>
                <w:sz w:val="21"/>
                <w:szCs w:val="24"/>
                <w:highlight w:val="none"/>
              </w:rPr>
              <w:t>响区域水</w:t>
            </w:r>
            <w:r>
              <w:rPr>
                <w:rFonts w:hint="eastAsia" w:ascii="Times New Roman" w:hAnsi="Times New Roman" w:eastAsia="宋体" w:cs="宋体"/>
                <w:strike w:val="0"/>
                <w:dstrike w:val="0"/>
                <w:color w:val="auto"/>
                <w:sz w:val="21"/>
                <w:szCs w:val="24"/>
                <w:highlight w:val="none"/>
                <w:lang w:val="en-US" w:eastAsia="zh-CN"/>
              </w:rPr>
              <w:t>和土壤</w:t>
            </w:r>
            <w:r>
              <w:rPr>
                <w:rFonts w:ascii="Times New Roman" w:hAnsi="Times New Roman" w:eastAsia="宋体" w:cs="宋体"/>
                <w:strike w:val="0"/>
                <w:dstrike w:val="0"/>
                <w:color w:val="auto"/>
                <w:sz w:val="21"/>
                <w:szCs w:val="24"/>
                <w:highlight w:val="none"/>
              </w:rPr>
              <w:t>环境质量</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项目冬季采用电采暖，不会产生废气污染物，影响大气环境质量，本项目固体废弃物均得到妥善处置。</w:t>
            </w:r>
          </w:p>
        </w:tc>
        <w:tc>
          <w:tcPr>
            <w:tcW w:w="279" w:type="pct"/>
            <w:vAlign w:val="center"/>
          </w:tcPr>
          <w:p w14:paraId="45934E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74C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4E6CA8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环境风险防控</w:t>
            </w:r>
          </w:p>
        </w:tc>
        <w:tc>
          <w:tcPr>
            <w:tcW w:w="2583" w:type="pct"/>
            <w:vAlign w:val="center"/>
          </w:tcPr>
          <w:p w14:paraId="502FB6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禁止在化工园区外新建、扩建危险化学品生产项目</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严格落实危险废物处置相关要求</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加强重点流域水环境风险管控，保障水环境安全</w:t>
            </w:r>
          </w:p>
        </w:tc>
        <w:tc>
          <w:tcPr>
            <w:tcW w:w="1797" w:type="pct"/>
            <w:vAlign w:val="center"/>
          </w:tcPr>
          <w:p w14:paraId="509A5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本项目</w:t>
            </w:r>
            <w:r>
              <w:rPr>
                <w:rFonts w:hint="eastAsia" w:ascii="Times New Roman" w:hAnsi="Times New Roman" w:eastAsia="宋体" w:cs="宋体"/>
                <w:strike w:val="0"/>
                <w:dstrike w:val="0"/>
                <w:color w:val="auto"/>
                <w:sz w:val="21"/>
                <w:szCs w:val="24"/>
                <w:highlight w:val="none"/>
              </w:rPr>
              <w:t>主要从事骆驼养殖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不涉及危险化学品生产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工程运行过程中也无危险废物产生</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工程运营期无废污水外排，不会影响区域水环境质量</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7325FA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21E1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4C72F3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资源利用效率</w:t>
            </w:r>
          </w:p>
        </w:tc>
        <w:tc>
          <w:tcPr>
            <w:tcW w:w="2583" w:type="pct"/>
            <w:vAlign w:val="center"/>
          </w:tcPr>
          <w:p w14:paraId="1463FA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优化能源结构，控制煤炭等化石能源使用量，鼓励使用清洁能源，协同推进减污降碳</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全面实施节水工程，合理开发利用水资源，提升水资源利用效率，保障生态用水，严防地下水超采</w:t>
            </w:r>
            <w:r>
              <w:rPr>
                <w:rFonts w:hint="eastAsia" w:ascii="Times New Roman" w:hAnsi="Times New Roman" w:eastAsia="宋体" w:cs="宋体"/>
                <w:strike w:val="0"/>
                <w:dstrike w:val="0"/>
                <w:color w:val="auto"/>
                <w:sz w:val="21"/>
                <w:szCs w:val="24"/>
                <w:highlight w:val="none"/>
                <w:lang w:eastAsia="zh-CN"/>
              </w:rPr>
              <w:t>。</w:t>
            </w:r>
          </w:p>
        </w:tc>
        <w:tc>
          <w:tcPr>
            <w:tcW w:w="1797" w:type="pct"/>
            <w:vAlign w:val="center"/>
          </w:tcPr>
          <w:p w14:paraId="462829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项目不使用燃煤锅炉</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冬季采用电采暖，项目生产废水经黑膜池发酵处理后用于项目区周边林带施肥，</w:t>
            </w:r>
            <w:r>
              <w:rPr>
                <w:rFonts w:ascii="Times New Roman" w:hAnsi="Times New Roman" w:eastAsia="宋体" w:cs="宋体"/>
                <w:strike w:val="0"/>
                <w:dstrike w:val="0"/>
                <w:color w:val="auto"/>
                <w:sz w:val="21"/>
                <w:szCs w:val="24"/>
                <w:highlight w:val="none"/>
              </w:rPr>
              <w:t>项目不涉及地下水开采</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4504A2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bl>
    <w:p w14:paraId="020F9233">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b/>
          <w:bCs/>
          <w:strike w:val="0"/>
          <w:dstrike w:val="0"/>
          <w:color w:val="auto"/>
          <w:sz w:val="24"/>
        </w:rPr>
      </w:pPr>
      <w:r>
        <w:rPr>
          <w:rFonts w:hint="eastAsia" w:ascii="Times New Roman" w:hAnsi="Times New Roman" w:eastAsia="宋体" w:cs="宋体"/>
          <w:b/>
          <w:bCs/>
          <w:strike w:val="0"/>
          <w:dstrike w:val="0"/>
          <w:color w:val="auto"/>
          <w:kern w:val="0"/>
          <w:sz w:val="24"/>
          <w:szCs w:val="24"/>
          <w:lang w:val="en-US" w:eastAsia="zh-CN" w:bidi="ar"/>
        </w:rPr>
        <w:t>（5）与《国务院办公厅关于加快推进畜禽养殖废弃物资源化利用的意见》（国办发〔</w:t>
      </w:r>
      <w:r>
        <w:rPr>
          <w:rFonts w:hint="default" w:ascii="Times New Roman" w:hAnsi="Times New Roman" w:eastAsia="宋体" w:cs="Times New Roman"/>
          <w:b/>
          <w:bCs/>
          <w:strike w:val="0"/>
          <w:dstrike w:val="0"/>
          <w:color w:val="auto"/>
          <w:kern w:val="0"/>
          <w:sz w:val="24"/>
          <w:szCs w:val="24"/>
          <w:lang w:val="en-US" w:eastAsia="zh-CN" w:bidi="ar"/>
        </w:rPr>
        <w:t>2017</w:t>
      </w:r>
      <w:r>
        <w:rPr>
          <w:rFonts w:hint="eastAsia" w:ascii="Times New Roman" w:hAnsi="Times New Roman" w:eastAsia="宋体" w:cs="宋体"/>
          <w:b/>
          <w:bCs/>
          <w:strike w:val="0"/>
          <w:dstrike w:val="0"/>
          <w:color w:val="auto"/>
          <w:kern w:val="0"/>
          <w:sz w:val="24"/>
          <w:szCs w:val="24"/>
          <w:lang w:val="en-US" w:eastAsia="zh-CN" w:bidi="ar"/>
        </w:rPr>
        <w:t>〕</w:t>
      </w:r>
      <w:r>
        <w:rPr>
          <w:rFonts w:hint="default" w:ascii="Times New Roman" w:hAnsi="Times New Roman" w:eastAsia="宋体" w:cs="Times New Roman"/>
          <w:b/>
          <w:bCs/>
          <w:strike w:val="0"/>
          <w:dstrike w:val="0"/>
          <w:color w:val="auto"/>
          <w:kern w:val="0"/>
          <w:sz w:val="24"/>
          <w:szCs w:val="24"/>
          <w:lang w:val="en-US" w:eastAsia="zh-CN" w:bidi="ar"/>
        </w:rPr>
        <w:t>48</w:t>
      </w:r>
      <w:r>
        <w:rPr>
          <w:rFonts w:hint="eastAsia" w:ascii="Times New Roman" w:hAnsi="Times New Roman" w:eastAsia="宋体" w:cs="宋体"/>
          <w:b/>
          <w:bCs/>
          <w:strike w:val="0"/>
          <w:dstrike w:val="0"/>
          <w:color w:val="auto"/>
          <w:kern w:val="0"/>
          <w:sz w:val="24"/>
          <w:szCs w:val="24"/>
          <w:lang w:val="en-US" w:eastAsia="zh-CN" w:bidi="ar"/>
        </w:rPr>
        <w:t>号）相符性分析</w:t>
      </w:r>
    </w:p>
    <w:p w14:paraId="2BADDF3D">
      <w:pPr>
        <w:keepNext w:val="0"/>
        <w:keepLines w:val="0"/>
        <w:pageBreakBefore w:val="0"/>
        <w:widowControl w:val="0"/>
        <w:suppressLineNumbers w:val="0"/>
        <w:kinsoku/>
        <w:wordWrap/>
        <w:overflowPunct/>
        <w:topLinePunct w:val="0"/>
        <w:autoSpaceDE/>
        <w:autoSpaceDN/>
        <w:bidi w:val="0"/>
        <w:adjustRightInd/>
        <w:jc w:val="left"/>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文件总体要求为</w:t>
      </w:r>
      <w:r>
        <w:rPr>
          <w:rFonts w:hint="eastAsia" w:ascii="Times New Roman" w:hAnsi="Times New Roman" w:eastAsia="宋体"/>
          <w:strike w:val="0"/>
          <w:dstrike w:val="0"/>
          <w:color w:val="auto"/>
          <w:highlight w:val="none"/>
        </w:rPr>
        <w:t>坚持源头减量、过程控制、末端利用的治理路径，以畜牧大县和规模养殖场为重点，以沼气和生物天然气为主要处理方向，以农用有机肥和农村能源为主要利用方向，全面推进畜禽养殖废弃物资源化利用，加快构建种养结合、农牧循环的可持续发展新格局</w:t>
      </w:r>
      <w:r>
        <w:rPr>
          <w:rFonts w:hint="eastAsia" w:ascii="Times New Roman" w:hAnsi="Times New Roman" w:eastAsia="宋体"/>
          <w:strike w:val="0"/>
          <w:dstrike w:val="0"/>
          <w:color w:val="auto"/>
          <w:highlight w:val="none"/>
          <w:lang w:eastAsia="zh-CN"/>
        </w:rPr>
        <w:t>；根据不同区域、不同畜种、不同规模，以肥料化利用为基础，采取经济高效适用的处理模式，宜肥则肥，宜气则气，宜电则电，实现粪污就地就近利用。</w:t>
      </w:r>
    </w:p>
    <w:p w14:paraId="4EF7487C">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新建或改扩建畜禽规模养殖场，应突出养分综合利用，配套与养殖规模和处理工艺相适应的粪污消纳用地，配备必要的粪污收集、贮存、处理、利用设施，依法进行环境影响评价；畜禽规模养殖场要严格执行环境保护法、畜禽规模养殖污染防治条例、水污染防治行动计划、土壤污染防治行动计划等法律法规和规定，切实履行环境保护主体责任，建设污染防治配套设施并保持正常运行，或者委托第三方进行粪污处理，确保粪污资源化利用；大力发展标准化规模养殖，建设自动喂料、自动饮水、环境控制等现代化装备，推广节水、节料等清洁养殖工艺和干清粪、微生物发酵等实用技术，实现源头减量。加强规模养殖场精细化管理，推行标准化、规范化饲养，推广散装饲料和精准配方，提高饲料转化效率。</w:t>
      </w:r>
    </w:p>
    <w:p w14:paraId="5E676528">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本项目配备堆肥场，骆驼粪便清运至堆肥场，经处理后外售有机肥厂，生活污水和生产废水经排污管道排放至舍外黑膜池，厌氧发酵处理后，用于周边林带及厂区绿化施肥，本项目粪污均能得到合理处置，并确保粪污资源化利用；本项目采用人工授精、TMR饲喂、标准化管理、高效繁育技术、干清粪、卫生防疫及长眉驼保健技术等措施，实行科学饲养管理，因此本项目符合《国务院办公厅关于加快推进畜禽养殖废弃物资源化利用的意见》（国办发〔</w:t>
      </w:r>
      <w:r>
        <w:rPr>
          <w:rFonts w:hint="default" w:ascii="Times New Roman" w:hAnsi="Times New Roman" w:eastAsia="宋体" w:cs="Times New Roman"/>
          <w:strike w:val="0"/>
          <w:dstrike w:val="0"/>
          <w:color w:val="auto"/>
          <w:kern w:val="0"/>
          <w:sz w:val="24"/>
          <w:szCs w:val="24"/>
          <w:lang w:val="en-US" w:eastAsia="zh-CN" w:bidi="ar"/>
        </w:rPr>
        <w:t>2017</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48</w:t>
      </w:r>
      <w:r>
        <w:rPr>
          <w:rFonts w:hint="eastAsia" w:ascii="Times New Roman" w:hAnsi="Times New Roman" w:eastAsia="宋体" w:cs="宋体"/>
          <w:strike w:val="0"/>
          <w:dstrike w:val="0"/>
          <w:color w:val="auto"/>
          <w:kern w:val="0"/>
          <w:sz w:val="24"/>
          <w:szCs w:val="24"/>
          <w:lang w:val="en-US" w:eastAsia="zh-CN" w:bidi="ar"/>
        </w:rPr>
        <w:t>号）相关意见。</w:t>
      </w:r>
    </w:p>
    <w:p w14:paraId="02B5B22B">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b/>
          <w:bCs/>
          <w:strike w:val="0"/>
          <w:dstrike w:val="0"/>
          <w:color w:val="auto"/>
          <w:sz w:val="24"/>
          <w:highlight w:val="none"/>
          <w:lang w:val="en-US" w:eastAsia="zh-CN"/>
        </w:rPr>
        <w:t>（6）与《新疆维吾尔自治区大气污染防治条例》符合性分析</w:t>
      </w:r>
    </w:p>
    <w:p w14:paraId="74529C0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根据《新疆维吾尔自治区大气污染防治条例》要求：</w:t>
      </w:r>
    </w:p>
    <w:p w14:paraId="763AEBB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二十四条推进城市建成区、工业园区实行集中供热，使用清洁燃料。在集中供热管网覆盖区域内，禁止新建、改建、扩建燃煤供热锅炉，集中供热管网覆盖前，已建成使用的燃煤供热锅炉应当限期停止使用。在集中供热未覆盖的区域，鼓励使用清洁能源替代，推广使用高效节能环保型锅炉。城市人民政府应当限期淘汰不符合国家和自治区规定规模的燃煤锅炉。</w:t>
      </w:r>
    </w:p>
    <w:p w14:paraId="66364AC8">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二十五条城市人民政府根据大气环境质量改善要求，划定并公布高污染燃料禁燃区，并逐步扩大高污染燃料禁燃区范围。在禁燃区内，禁止销售、燃用高污染燃料；禁止新建、扩建燃用高污染燃料的设施。已建成的，应当在规定期限内改用清洁能源。</w:t>
      </w:r>
    </w:p>
    <w:p w14:paraId="4186FE5F">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第四十七条畜禽养殖场、养殖小区应当及时对畜禽粪便和尸体等进行收集、贮存、清运和无害化处理，根据养殖规模和污染防治需要，配套相应的净化装置和其他大气污染防治设施。</w:t>
      </w:r>
    </w:p>
    <w:p w14:paraId="196E1015">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县（市、区）人民政府应当加强对畜禽养殖废弃物综合利用和无害化处理的宣传，建设畜禽粪便和尸体无害化集中处理设施，引导规模以下畜禽养殖者集中处置养殖废弃物，防止排放恶臭气体。</w:t>
      </w:r>
    </w:p>
    <w:p w14:paraId="1B49663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乡（镇）人民政府应当协助有关部门做好本行政区域内的畜禽养殖污染防治工作。</w:t>
      </w:r>
    </w:p>
    <w:p w14:paraId="51BA4C4B">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本项目供热使用电采暖，不使用高污染燃料；病死骆驼、分娩废弃物（胎衣、死胎、胎盘附属物）委托具有合法资质的无害化处理单位进行无害化处理；项目运营期产生的生产废水经黑膜池发酵处理后用于项目区周边林带施肥，骆驼粪便清运至堆肥场，经处理后外售有机肥厂；根据分析，本项目符合《新疆维吾尔自治区大气污染防治条例》相关要求。</w:t>
      </w:r>
    </w:p>
    <w:p w14:paraId="5426D7A5">
      <w:pPr>
        <w:keepNext w:val="0"/>
        <w:keepLines w:val="0"/>
        <w:pageBreakBefore w:val="0"/>
        <w:widowControl w:val="0"/>
        <w:numPr>
          <w:ilvl w:val="0"/>
          <w:numId w:val="0"/>
        </w:numPr>
        <w:kinsoku/>
        <w:wordWrap/>
        <w:overflowPunct/>
        <w:topLinePunct w:val="0"/>
        <w:autoSpaceDE/>
        <w:autoSpaceDN/>
        <w:bidi w:val="0"/>
        <w:adjustRightInd/>
        <w:snapToGrid w:val="0"/>
        <w:ind w:firstLine="482" w:firstLineChars="20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cs="Times New Roman"/>
          <w:b/>
          <w:bCs/>
          <w:strike w:val="0"/>
          <w:dstrike w:val="0"/>
          <w:color w:val="auto"/>
          <w:sz w:val="24"/>
          <w:lang w:val="en-US" w:eastAsia="zh-CN" w:bidi="ar-SA"/>
        </w:rPr>
        <w:t>（7）</w:t>
      </w:r>
      <w:r>
        <w:rPr>
          <w:rFonts w:hint="eastAsia" w:ascii="Times New Roman" w:hAnsi="Times New Roman" w:eastAsia="宋体"/>
          <w:b/>
          <w:bCs/>
          <w:strike w:val="0"/>
          <w:dstrike w:val="0"/>
          <w:color w:val="auto"/>
          <w:sz w:val="24"/>
          <w:highlight w:val="none"/>
          <w:lang w:val="en-US" w:eastAsia="zh-CN"/>
        </w:rPr>
        <w:t>与《关于做好畜禽规模养殖项目环境影响评价管理工作的通知》（环办环评</w:t>
      </w:r>
      <w:r>
        <w:rPr>
          <w:rFonts w:hint="eastAsia" w:ascii="Times New Roman" w:hAnsi="Times New Roman" w:eastAsia="宋体" w:cs="宋体"/>
          <w:b/>
          <w:bCs/>
          <w:strike w:val="0"/>
          <w:dstrike w:val="0"/>
          <w:color w:val="auto"/>
          <w:kern w:val="0"/>
          <w:sz w:val="24"/>
          <w:szCs w:val="24"/>
          <w:lang w:val="en-US" w:eastAsia="zh-CN" w:bidi="ar"/>
        </w:rPr>
        <w:t>〔</w:t>
      </w:r>
      <w:r>
        <w:rPr>
          <w:rFonts w:hint="default" w:ascii="Times New Roman" w:hAnsi="Times New Roman" w:eastAsia="宋体" w:cs="Times New Roman"/>
          <w:b/>
          <w:bCs/>
          <w:strike w:val="0"/>
          <w:dstrike w:val="0"/>
          <w:color w:val="auto"/>
          <w:kern w:val="0"/>
          <w:sz w:val="24"/>
          <w:szCs w:val="24"/>
          <w:lang w:val="en-US" w:eastAsia="zh-CN" w:bidi="ar"/>
        </w:rPr>
        <w:t>201</w:t>
      </w:r>
      <w:r>
        <w:rPr>
          <w:rFonts w:hint="eastAsia" w:ascii="Times New Roman" w:hAnsi="Times New Roman" w:eastAsia="宋体" w:cs="Times New Roman"/>
          <w:b/>
          <w:bCs/>
          <w:strike w:val="0"/>
          <w:dstrike w:val="0"/>
          <w:color w:val="auto"/>
          <w:kern w:val="0"/>
          <w:sz w:val="24"/>
          <w:szCs w:val="24"/>
          <w:lang w:val="en-US" w:eastAsia="zh-CN" w:bidi="ar"/>
        </w:rPr>
        <w:t>8</w:t>
      </w:r>
      <w:r>
        <w:rPr>
          <w:rFonts w:hint="eastAsia" w:ascii="Times New Roman" w:hAnsi="Times New Roman" w:eastAsia="宋体" w:cs="宋体"/>
          <w:b/>
          <w:bCs/>
          <w:strike w:val="0"/>
          <w:dstrike w:val="0"/>
          <w:color w:val="auto"/>
          <w:kern w:val="0"/>
          <w:sz w:val="24"/>
          <w:szCs w:val="24"/>
          <w:lang w:val="en-US" w:eastAsia="zh-CN" w:bidi="ar"/>
        </w:rPr>
        <w:t>〕</w:t>
      </w:r>
      <w:r>
        <w:rPr>
          <w:rFonts w:hint="eastAsia" w:ascii="Times New Roman" w:hAnsi="Times New Roman" w:eastAsia="宋体"/>
          <w:b/>
          <w:bCs/>
          <w:strike w:val="0"/>
          <w:dstrike w:val="0"/>
          <w:color w:val="auto"/>
          <w:sz w:val="24"/>
          <w:highlight w:val="none"/>
          <w:lang w:val="en-US" w:eastAsia="zh-CN"/>
        </w:rPr>
        <w:t>31号）的符合性分析。</w:t>
      </w:r>
    </w:p>
    <w:p w14:paraId="6C4E15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表1.3-2与《关于做好畜禽规模养殖项目环境影响评价管理工作的通知》的符合性分析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4787"/>
        <w:gridCol w:w="2711"/>
        <w:gridCol w:w="477"/>
      </w:tblGrid>
      <w:tr w14:paraId="0FD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114AE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环办环评〔</w:t>
            </w:r>
            <w:r>
              <w:rPr>
                <w:rFonts w:hint="default" w:ascii="Times New Roman" w:hAnsi="Times New Roman" w:eastAsia="宋体"/>
                <w:strike w:val="0"/>
                <w:dstrike w:val="0"/>
                <w:color w:val="auto"/>
                <w:sz w:val="21"/>
                <w:highlight w:val="none"/>
                <w:vertAlign w:val="baseline"/>
                <w:lang w:val="en-US" w:eastAsia="zh-CN"/>
              </w:rPr>
              <w:t>201</w:t>
            </w:r>
            <w:r>
              <w:rPr>
                <w:rFonts w:hint="eastAsia" w:ascii="Times New Roman" w:hAnsi="Times New Roman" w:eastAsia="宋体"/>
                <w:strike w:val="0"/>
                <w:dstrike w:val="0"/>
                <w:color w:val="auto"/>
                <w:sz w:val="21"/>
                <w:highlight w:val="none"/>
                <w:vertAlign w:val="baseline"/>
                <w:lang w:val="en-US" w:eastAsia="zh-CN"/>
              </w:rPr>
              <w:t>8〕31号</w:t>
            </w:r>
          </w:p>
        </w:tc>
        <w:tc>
          <w:tcPr>
            <w:tcW w:w="1635" w:type="pct"/>
            <w:vAlign w:val="center"/>
          </w:tcPr>
          <w:p w14:paraId="281F3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本项目情况</w:t>
            </w:r>
          </w:p>
        </w:tc>
        <w:tc>
          <w:tcPr>
            <w:tcW w:w="289" w:type="pct"/>
            <w:vAlign w:val="center"/>
          </w:tcPr>
          <w:p w14:paraId="6C8E9B9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符合性分析</w:t>
            </w:r>
          </w:p>
        </w:tc>
      </w:tr>
      <w:tr w14:paraId="134D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DCE5B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一、优化项目选址，合理布置养殖区</w:t>
            </w:r>
          </w:p>
        </w:tc>
        <w:tc>
          <w:tcPr>
            <w:tcW w:w="1635" w:type="pct"/>
            <w:vAlign w:val="center"/>
          </w:tcPr>
          <w:p w14:paraId="073521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1165B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65BF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48A34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66197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充分论证选址的环境合理性，选址应避开当地划定的禁止养殖区域，并与区域主体功能区规划、环境功能区划、土地利用规划、城乡规划、畜牧业发展规划、畜禽养殖污染防治规划等规划相协调。当地未划定禁止养殖区域的，应避开饮用水水源保护区、风景名胜区、自然保护区的核心区和缓冲区、村镇人口集中区域，以及法律、法规规定的禁止养殖区域</w:t>
            </w:r>
          </w:p>
        </w:tc>
        <w:tc>
          <w:tcPr>
            <w:tcW w:w="1635" w:type="pct"/>
            <w:vAlign w:val="center"/>
          </w:tcPr>
          <w:p w14:paraId="0BE47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本项目的选址不在当地政府划定的禁养区及限养区</w:t>
            </w:r>
            <w:r>
              <w:rPr>
                <w:rFonts w:hint="eastAsia" w:ascii="Times New Roman" w:hAnsi="Times New Roman" w:eastAsia="宋体"/>
                <w:strike w:val="0"/>
                <w:dstrike w:val="0"/>
                <w:color w:val="auto"/>
                <w:sz w:val="21"/>
                <w:highlight w:val="none"/>
                <w:vertAlign w:val="baseline"/>
                <w:lang w:val="en-US" w:eastAsia="zh-CN"/>
              </w:rPr>
              <w:t>，本项目与禁养区、限养区位置关系见附图1.3-2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strike w:val="0"/>
                <w:dstrike w:val="0"/>
                <w:color w:val="auto"/>
                <w:sz w:val="21"/>
                <w:highlight w:val="none"/>
                <w:vertAlign w:val="baseline"/>
                <w:lang w:val="en-US" w:eastAsia="zh-CN"/>
              </w:rPr>
              <w:t>项目选址不涉及饮用水水源保护区、风景名胜区、自然保护区的核心区、缓冲区，以及村镇人口集中区域</w:t>
            </w:r>
          </w:p>
        </w:tc>
        <w:tc>
          <w:tcPr>
            <w:tcW w:w="289" w:type="pct"/>
            <w:vAlign w:val="center"/>
          </w:tcPr>
          <w:p w14:paraId="70E9D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4BDA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6774F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078E1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结合环境保护要求优化养殖场区内部布置。畜禽养殖区及畜禽粪污贮存、处理和畜禽尸体无害化处理等产生恶臭影响的设施，应位于养殖场区主导风向的下风向位置，并尽量远离周边环境保护目标。参照《畜禽养殖业污染防治技术规范》，并根据恶臭污染物无组织排放源强，以及当地的环境及气象等因素，按照《环境影响评价技术导则大气环境》要求计算大气环境防护距离，作为养殖场选址以及周边规划控制的依据，减轻对周围环境保护目标的不利影响</w:t>
            </w:r>
          </w:p>
        </w:tc>
        <w:tc>
          <w:tcPr>
            <w:tcW w:w="1635" w:type="pct"/>
            <w:vAlign w:val="center"/>
          </w:tcPr>
          <w:p w14:paraId="22AE12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本项目堆肥场、黑膜池位于厂区西南侧，远离东侧乡道，项目建设符合《畜禽养殖业污染防治技术规范》要求，根据《环境影响评价技术导则大气环境》要求，项目无需设置大气环境防护距离。</w:t>
            </w:r>
          </w:p>
        </w:tc>
        <w:tc>
          <w:tcPr>
            <w:tcW w:w="289" w:type="pct"/>
            <w:vAlign w:val="center"/>
          </w:tcPr>
          <w:p w14:paraId="23AE8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3DF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24A3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二、加强粪污减量控制，促进畜禽养殖粪污资源化利用</w:t>
            </w:r>
          </w:p>
        </w:tc>
        <w:tc>
          <w:tcPr>
            <w:tcW w:w="1635" w:type="pct"/>
            <w:vAlign w:val="center"/>
          </w:tcPr>
          <w:p w14:paraId="15B52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2A5C13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246C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AB90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15C3DC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以农业绿色发展为导向，优化工艺，通过采取优化饲料配方、提高饲养技术等措施，从源头减少粪污的产生量。鼓励采取干清粪方式，采取水泡类工艺的应最大限度降低用水量。场区应采取雨污分离措施，防止雨水进入粪污收集系统</w:t>
            </w:r>
          </w:p>
        </w:tc>
        <w:tc>
          <w:tcPr>
            <w:tcW w:w="1635" w:type="pct"/>
            <w:vAlign w:val="center"/>
          </w:tcPr>
          <w:p w14:paraId="07911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本项目采用科学喂养方法，采用干清粪工艺，厂区设置雨污分流措施。</w:t>
            </w:r>
          </w:p>
        </w:tc>
        <w:tc>
          <w:tcPr>
            <w:tcW w:w="289" w:type="pct"/>
            <w:vAlign w:val="center"/>
          </w:tcPr>
          <w:p w14:paraId="6041CE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217D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89CB6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3E7230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结合地域、畜种、规模等特点以及地方相关部门制定的畜禽粪污综合利用目标等要求，加强畜禽养殖粪污资源化利用，因地制宜选择经济高效适用的处理利用模式，采取粪污全量收集还田利用、污水肥料化利用、粪便垫料回用、异位发酵床、粪污专业化能源利用等模式处理利用畜禽粪污，促进畜禽规模养殖项目“种养结合”绿色发展。</w:t>
            </w:r>
          </w:p>
        </w:tc>
        <w:tc>
          <w:tcPr>
            <w:tcW w:w="1635" w:type="pct"/>
            <w:vAlign w:val="center"/>
          </w:tcPr>
          <w:p w14:paraId="142E7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p>
        </w:tc>
        <w:tc>
          <w:tcPr>
            <w:tcW w:w="289" w:type="pct"/>
            <w:vAlign w:val="center"/>
          </w:tcPr>
          <w:p w14:paraId="3023E7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6123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2339A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3</w:t>
            </w:r>
          </w:p>
        </w:tc>
        <w:tc>
          <w:tcPr>
            <w:tcW w:w="2886" w:type="pct"/>
            <w:vAlign w:val="center"/>
          </w:tcPr>
          <w:p w14:paraId="10E6D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鼓励根据土地承载能力确定畜禽养殖场的适宜养殖规模，土地承载能力可采用农业农村主管部门发布的测算技术方法确定。耕地面积大、土地消纳能力相对较高的区域，畜禽养殖场产生的粪污应力争实现全部就地就近资源化利用或委托第三方处理；当土地消纳能力不足时，应进一步提高资源化利用能力或适当减少养殖规模。鼓励依托符合环保要求的专业化粪污处理利用企业，提高畜禽养殖粪污集中收集利用能力。环评应明确畜禽养殖粪污资源化利用的主体，严格落实利用渠道或途径，确保资源化利用有效实施。</w:t>
            </w:r>
          </w:p>
        </w:tc>
        <w:tc>
          <w:tcPr>
            <w:tcW w:w="1635" w:type="pct"/>
            <w:vAlign w:val="center"/>
          </w:tcPr>
          <w:p w14:paraId="6FD82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r>
              <w:rPr>
                <w:rFonts w:hint="eastAsia" w:ascii="Times New Roman" w:hAnsi="Times New Roman" w:eastAsia="宋体"/>
                <w:strike w:val="0"/>
                <w:dstrike w:val="0"/>
                <w:color w:val="auto"/>
                <w:sz w:val="21"/>
                <w:highlight w:val="none"/>
                <w:vertAlign w:val="baseline"/>
                <w:lang w:val="en-US" w:eastAsia="zh-CN"/>
              </w:rPr>
              <w:t>经计算，配套消纳地面积约为55公顷（825亩），博斯坦乡总计林地面积6750亩，可完全消纳本项目产生的液肥，</w:t>
            </w:r>
            <w:r>
              <w:rPr>
                <w:rFonts w:hint="default" w:ascii="Times New Roman" w:hAnsi="Times New Roman" w:eastAsia="宋体"/>
                <w:strike w:val="0"/>
                <w:dstrike w:val="0"/>
                <w:color w:val="auto"/>
                <w:sz w:val="21"/>
                <w:highlight w:val="none"/>
                <w:vertAlign w:val="baseline"/>
                <w:lang w:val="en-US" w:eastAsia="zh-CN"/>
              </w:rPr>
              <w:t>不会超过</w:t>
            </w:r>
            <w:r>
              <w:rPr>
                <w:rFonts w:hint="eastAsia" w:ascii="Times New Roman" w:hAnsi="Times New Roman" w:eastAsia="宋体"/>
                <w:strike w:val="0"/>
                <w:dstrike w:val="0"/>
                <w:color w:val="auto"/>
                <w:sz w:val="21"/>
                <w:highlight w:val="none"/>
                <w:vertAlign w:val="baseline"/>
                <w:lang w:val="en-US" w:eastAsia="zh-CN"/>
              </w:rPr>
              <w:t>林地</w:t>
            </w:r>
            <w:r>
              <w:rPr>
                <w:rFonts w:hint="default" w:ascii="Times New Roman" w:hAnsi="Times New Roman" w:eastAsia="宋体"/>
                <w:strike w:val="0"/>
                <w:dstrike w:val="0"/>
                <w:color w:val="auto"/>
                <w:sz w:val="21"/>
                <w:highlight w:val="none"/>
                <w:vertAlign w:val="baseline"/>
                <w:lang w:val="en-US" w:eastAsia="zh-CN"/>
              </w:rPr>
              <w:t>的肥力承载力。</w:t>
            </w:r>
          </w:p>
        </w:tc>
        <w:tc>
          <w:tcPr>
            <w:tcW w:w="289" w:type="pct"/>
            <w:vAlign w:val="center"/>
          </w:tcPr>
          <w:p w14:paraId="3AF52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584D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0358E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三、强化粪污治理措施，做好污染防治</w:t>
            </w:r>
          </w:p>
        </w:tc>
        <w:tc>
          <w:tcPr>
            <w:tcW w:w="1635" w:type="pct"/>
            <w:vAlign w:val="center"/>
          </w:tcPr>
          <w:p w14:paraId="52F550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1B2E0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6A4B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2B678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78B8B5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强化对粪污的治理措施，加强畜禽养殖粪污资源化利用过程中的污染控制，推进粪污资源的良性利用，应对无法资源化利用的粪污采取治理措施确保达标排放。畜禽规模养殖项目应配套建设与养殖规模相匹配的雨污分离设施，以及粪污贮存、处理和利用设施等，委托满足相关环保要求的第三方代为利用或者处理的，可不自行建设粪污处理或利用设施</w:t>
            </w:r>
          </w:p>
        </w:tc>
        <w:tc>
          <w:tcPr>
            <w:tcW w:w="1635" w:type="pct"/>
            <w:vAlign w:val="center"/>
          </w:tcPr>
          <w:p w14:paraId="6A97DA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r>
              <w:rPr>
                <w:rFonts w:hint="eastAsia" w:ascii="Times New Roman" w:hAnsi="Times New Roman" w:eastAsia="宋体"/>
                <w:strike w:val="0"/>
                <w:dstrike w:val="0"/>
                <w:color w:val="auto"/>
                <w:sz w:val="21"/>
                <w:highlight w:val="none"/>
                <w:vertAlign w:val="baseline"/>
                <w:lang w:val="en-US" w:eastAsia="zh-CN"/>
              </w:rPr>
              <w:t>厂区设置相应规模的雨污分流措施；</w:t>
            </w:r>
            <w:r>
              <w:rPr>
                <w:rFonts w:hint="eastAsia" w:ascii="Times New Roman" w:hAnsi="Times New Roman" w:eastAsia="宋体" w:cs="宋体"/>
                <w:strike w:val="0"/>
                <w:dstrike w:val="0"/>
                <w:color w:val="auto"/>
                <w:sz w:val="21"/>
                <w:szCs w:val="24"/>
                <w:highlight w:val="none"/>
                <w:lang w:val="en-US" w:eastAsia="zh-CN"/>
              </w:rPr>
              <w:t>配套建设堆肥厂和黑膜池。</w:t>
            </w:r>
          </w:p>
        </w:tc>
        <w:tc>
          <w:tcPr>
            <w:tcW w:w="289" w:type="pct"/>
            <w:vAlign w:val="center"/>
          </w:tcPr>
          <w:p w14:paraId="4893D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4879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E694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1FEC99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明确畜禽粪污贮存、处理和利用措施。贮存池应采取有效的防雨、防渗和防溢流措施，防止畜禽粪污污染地下水。贮存池总有效容积应根据贮存期确定。进行资源化利用的畜禽粪污须处理并达到畜禽粪便还田、无害化处理等技术规范要求。畜禽规模养殖项目配套建设沼气工程的，应充分考虑沼气制备及贮存过程中的环境风险，制定环境风险防范措施及应急预案</w:t>
            </w:r>
          </w:p>
        </w:tc>
        <w:tc>
          <w:tcPr>
            <w:tcW w:w="1635" w:type="pct"/>
            <w:vAlign w:val="center"/>
          </w:tcPr>
          <w:p w14:paraId="62D6D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运营期产生的生产废水经黑膜池发酵处理后用于项目区周边林带施肥，骆驼粪便清运至堆肥场，经处理后外售有机肥厂；配套建设堆肥厂和黑膜池；</w:t>
            </w:r>
            <w:r>
              <w:rPr>
                <w:rFonts w:hint="eastAsia" w:ascii="Times New Roman" w:hAnsi="Times New Roman" w:eastAsia="宋体"/>
                <w:strike w:val="0"/>
                <w:dstrike w:val="0"/>
                <w:color w:val="auto"/>
                <w:sz w:val="21"/>
                <w:highlight w:val="none"/>
                <w:vertAlign w:val="baseline"/>
                <w:lang w:val="en-US" w:eastAsia="zh-CN"/>
              </w:rPr>
              <w:t>本环评要求</w:t>
            </w:r>
            <w:r>
              <w:rPr>
                <w:rFonts w:hint="eastAsia" w:ascii="Times New Roman" w:hAnsi="Times New Roman" w:eastAsia="宋体" w:cs="宋体"/>
                <w:strike w:val="0"/>
                <w:dstrike w:val="0"/>
                <w:color w:val="auto"/>
                <w:spacing w:val="0"/>
                <w:position w:val="0"/>
                <w:sz w:val="21"/>
                <w:szCs w:val="21"/>
                <w:highlight w:val="none"/>
                <w:lang w:val="en-US" w:eastAsia="zh-CN"/>
              </w:rPr>
              <w:t>对项目厂区</w:t>
            </w:r>
            <w:r>
              <w:rPr>
                <w:rFonts w:ascii="Times New Roman" w:hAnsi="Times New Roman" w:eastAsia="宋体" w:cs="宋体"/>
                <w:strike w:val="0"/>
                <w:dstrike w:val="0"/>
                <w:color w:val="auto"/>
                <w:spacing w:val="0"/>
                <w:position w:val="0"/>
                <w:sz w:val="21"/>
                <w:szCs w:val="21"/>
                <w:highlight w:val="none"/>
              </w:rPr>
              <w:t>进行分区防渗</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289" w:type="pct"/>
            <w:vAlign w:val="center"/>
          </w:tcPr>
          <w:p w14:paraId="4C41E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3728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1A083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3</w:t>
            </w:r>
          </w:p>
        </w:tc>
        <w:tc>
          <w:tcPr>
            <w:tcW w:w="2886" w:type="pct"/>
            <w:vAlign w:val="center"/>
          </w:tcPr>
          <w:p w14:paraId="46C44E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畜禽养殖粪污作为肥料还田利用的，应明确畜禽养殖场与还田利用的林地、农田之间的输送系统及环境管理措施，严格控制肥水输送沿途的弃、撒和跑冒滴漏，防止进入外部水体。对无法采取资源化利用的畜禽养殖废水应明确处理措施及工艺，确保达标排放或消毒回用，排放去向应符合国家和地方的有关规定，不得排入敏感水域和有特殊功能的水域</w:t>
            </w:r>
          </w:p>
        </w:tc>
        <w:tc>
          <w:tcPr>
            <w:tcW w:w="1635" w:type="pct"/>
            <w:vAlign w:val="center"/>
          </w:tcPr>
          <w:p w14:paraId="684D9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p>
        </w:tc>
        <w:tc>
          <w:tcPr>
            <w:tcW w:w="289" w:type="pct"/>
            <w:vAlign w:val="center"/>
          </w:tcPr>
          <w:p w14:paraId="62FD02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1FD1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0F957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4</w:t>
            </w:r>
          </w:p>
        </w:tc>
        <w:tc>
          <w:tcPr>
            <w:tcW w:w="2886" w:type="pct"/>
            <w:vAlign w:val="center"/>
          </w:tcPr>
          <w:p w14:paraId="512CC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依据相关法律法规和技术规范，制定明确的病死畜禽处理、处置方案，及时处理病死畜禽。针对畜禽规模养殖项目的恶臭影响，可采取控制饲养密度、改善舍内通风、及时清粪、采用除臭剂、集中收集处理等措施，确保项目恶臭污染物达标排放</w:t>
            </w:r>
          </w:p>
        </w:tc>
        <w:tc>
          <w:tcPr>
            <w:tcW w:w="1635" w:type="pct"/>
            <w:vAlign w:val="center"/>
          </w:tcPr>
          <w:p w14:paraId="78F65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本环评要求病死骆驼、分娩废弃物（胎衣、死胎、胎盘附属物）按照要求委托有资质的第三方处置。</w:t>
            </w:r>
          </w:p>
        </w:tc>
        <w:tc>
          <w:tcPr>
            <w:tcW w:w="289" w:type="pct"/>
            <w:vAlign w:val="center"/>
          </w:tcPr>
          <w:p w14:paraId="6F035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271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366DD4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四、落实环评信息公开要求，发挥公众参与的监督作用</w:t>
            </w:r>
          </w:p>
        </w:tc>
        <w:tc>
          <w:tcPr>
            <w:tcW w:w="1635" w:type="pct"/>
            <w:vAlign w:val="center"/>
          </w:tcPr>
          <w:p w14:paraId="78B3C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431EB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4EB7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9911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建设单位在项目环评报告书报送审批前，应采取适当形式，遵循依法、有序、公开、便利的原则，公开征求意见并对征求到的意见的真实性和处理结果负责。</w:t>
            </w:r>
          </w:p>
        </w:tc>
        <w:tc>
          <w:tcPr>
            <w:tcW w:w="1635" w:type="pct"/>
            <w:vAlign w:val="center"/>
          </w:tcPr>
          <w:p w14:paraId="0185B7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接受委托后，建设单位在网上进行了第一次网络平台公示，并将公众意见表一并公示。在编制完成征求意见稿后，通过网上平台进行了征求意见稿公示，并将公众意见表作为附件一并公示。在报告书征求意见稿期间，建设单位在乡政府以张贴公告方式进行了征求意见稿现场公示，并向相关民众和团体发放了公众意见表进行意见征询，开展公众参与调查活动。</w:t>
            </w:r>
          </w:p>
        </w:tc>
        <w:tc>
          <w:tcPr>
            <w:tcW w:w="289" w:type="pct"/>
            <w:vAlign w:val="center"/>
          </w:tcPr>
          <w:p w14:paraId="5D138A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0EB4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42488D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五、强化事中事后监管，形成长效管理机制</w:t>
            </w:r>
          </w:p>
        </w:tc>
        <w:tc>
          <w:tcPr>
            <w:tcW w:w="1635" w:type="pct"/>
            <w:vAlign w:val="center"/>
          </w:tcPr>
          <w:p w14:paraId="53C06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42279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430E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0F20C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建设单位应严格执行环境保护“三同时”制度，落实各项生态环境保护措施，在项目建成后按照国家规定的程序和技术规范，开展建设项目竣工环境保护验收。</w:t>
            </w:r>
          </w:p>
        </w:tc>
        <w:tc>
          <w:tcPr>
            <w:tcW w:w="1635" w:type="pct"/>
            <w:vAlign w:val="center"/>
          </w:tcPr>
          <w:p w14:paraId="21688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建设单位应严格执行环境保护“三同时”制度，落实各项生态环境保护措施，在项目建成后按照国家规定的程序和技术规范，开展建设项目竣工环境保护验收。</w:t>
            </w:r>
          </w:p>
        </w:tc>
        <w:tc>
          <w:tcPr>
            <w:tcW w:w="289" w:type="pct"/>
            <w:vAlign w:val="center"/>
          </w:tcPr>
          <w:p w14:paraId="1A6724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bl>
    <w:p w14:paraId="597CBE30">
      <w:pPr>
        <w:keepNext w:val="0"/>
        <w:keepLines w:val="0"/>
        <w:pageBreakBefore w:val="0"/>
        <w:widowControl w:val="0"/>
        <w:kinsoku/>
        <w:wordWrap/>
        <w:overflowPunct/>
        <w:topLinePunct w:val="0"/>
        <w:autoSpaceDE/>
        <w:autoSpaceDN/>
        <w:bidi w:val="0"/>
        <w:adjustRightInd/>
        <w:snapToGrid w:val="0"/>
        <w:ind w:leftChars="0" w:firstLine="482" w:firstLineChars="20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b/>
          <w:bCs/>
          <w:strike w:val="0"/>
          <w:dstrike w:val="0"/>
          <w:color w:val="auto"/>
          <w:sz w:val="24"/>
          <w:highlight w:val="none"/>
          <w:lang w:val="en-US" w:eastAsia="zh-CN"/>
        </w:rPr>
        <w:t>（8）与《畜禽场场区设计技术规范》（NY/T682-2023）符合性</w:t>
      </w:r>
    </w:p>
    <w:p w14:paraId="64633BBE">
      <w:pPr>
        <w:keepNext w:val="0"/>
        <w:keepLines w:val="0"/>
        <w:pageBreakBefore w:val="0"/>
        <w:widowControl w:val="0"/>
        <w:kinsoku/>
        <w:wordWrap/>
        <w:overflowPunct/>
        <w:topLinePunct w:val="0"/>
        <w:autoSpaceDE/>
        <w:autoSpaceDN/>
        <w:bidi w:val="0"/>
        <w:adjustRightInd/>
        <w:snapToGrid w:val="0"/>
        <w:ind w:leftChars="0" w:firstLine="480" w:firstLineChars="20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根据《畜禽场场区设计技术规范》（NY/T682-2023）中畜禽养殖场总平面布置要求，本项目场区平面布置与其符合性分析见表1.3-3。</w:t>
      </w:r>
    </w:p>
    <w:p w14:paraId="32346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表1.3-3场区布局与《畜禽场场区设计技术规范》（NY/T682-2023）符合性</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4501"/>
        <w:gridCol w:w="2820"/>
        <w:gridCol w:w="512"/>
      </w:tblGrid>
      <w:tr w14:paraId="5E2A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32CB82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序号</w:t>
            </w:r>
          </w:p>
        </w:tc>
        <w:tc>
          <w:tcPr>
            <w:tcW w:w="2712" w:type="pct"/>
            <w:vAlign w:val="center"/>
          </w:tcPr>
          <w:p w14:paraId="1D8EE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bCs/>
                <w:strike w:val="0"/>
                <w:dstrike w:val="0"/>
                <w:color w:val="auto"/>
                <w:sz w:val="21"/>
                <w:highlight w:val="none"/>
                <w:lang w:val="en-US" w:eastAsia="zh-CN"/>
              </w:rPr>
              <w:t>《畜禽场场区设计技术规范》有关要求</w:t>
            </w:r>
          </w:p>
        </w:tc>
        <w:tc>
          <w:tcPr>
            <w:tcW w:w="1699" w:type="pct"/>
            <w:vAlign w:val="center"/>
          </w:tcPr>
          <w:p w14:paraId="7AC91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本项目</w:t>
            </w:r>
          </w:p>
        </w:tc>
        <w:tc>
          <w:tcPr>
            <w:tcW w:w="308" w:type="pct"/>
            <w:vAlign w:val="center"/>
          </w:tcPr>
          <w:p w14:paraId="1F5AE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符合性</w:t>
            </w:r>
          </w:p>
        </w:tc>
      </w:tr>
      <w:tr w14:paraId="6463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1B457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1</w:t>
            </w:r>
          </w:p>
        </w:tc>
        <w:tc>
          <w:tcPr>
            <w:tcW w:w="2712" w:type="pct"/>
            <w:vAlign w:val="center"/>
          </w:tcPr>
          <w:p w14:paraId="17626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ascii="Times New Roman" w:hAnsi="Times New Roman" w:eastAsia="宋体" w:cs="宋体"/>
                <w:b w:val="0"/>
                <w:strike w:val="0"/>
                <w:dstrike w:val="0"/>
                <w:color w:val="auto"/>
                <w:sz w:val="21"/>
                <w:szCs w:val="24"/>
              </w:rPr>
              <w:t>根据畜禽场的生产工艺要求，按功能分区布置各个建（构）筑物的位置，为畜禽生产提供一个良好的生产环境</w:t>
            </w:r>
            <w:r>
              <w:rPr>
                <w:rFonts w:hint="eastAsia" w:ascii="Times New Roman" w:hAnsi="Times New Roman" w:eastAsia="宋体" w:cs="宋体"/>
                <w:b w:val="0"/>
                <w:strike w:val="0"/>
                <w:dstrike w:val="0"/>
                <w:color w:val="auto"/>
                <w:sz w:val="21"/>
                <w:szCs w:val="24"/>
                <w:lang w:eastAsia="zh-CN"/>
              </w:rPr>
              <w:t>。</w:t>
            </w:r>
            <w:r>
              <w:rPr>
                <w:rFonts w:ascii="Times New Roman" w:hAnsi="Times New Roman" w:eastAsia="宋体" w:cs="宋体"/>
                <w:b w:val="0"/>
                <w:strike w:val="0"/>
                <w:dstrike w:val="0"/>
                <w:color w:val="auto"/>
                <w:sz w:val="21"/>
                <w:szCs w:val="24"/>
              </w:rPr>
              <w:t>畜禽场一般应划分为生活管理区、辅助生产区、生产区和隔离区</w:t>
            </w:r>
          </w:p>
        </w:tc>
        <w:tc>
          <w:tcPr>
            <w:tcW w:w="1699" w:type="pct"/>
            <w:vAlign w:val="center"/>
          </w:tcPr>
          <w:p w14:paraId="76AD99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cs="宋体"/>
                <w:b w:val="0"/>
                <w:strike w:val="0"/>
                <w:dstrike w:val="0"/>
                <w:color w:val="auto"/>
                <w:sz w:val="21"/>
                <w:szCs w:val="24"/>
                <w:lang w:val="en-US" w:eastAsia="zh-CN"/>
              </w:rPr>
              <w:t>本</w:t>
            </w:r>
            <w:r>
              <w:rPr>
                <w:rFonts w:hint="eastAsia" w:ascii="Times New Roman" w:hAnsi="Times New Roman" w:eastAsia="宋体" w:cs="宋体"/>
                <w:b w:val="0"/>
                <w:strike w:val="0"/>
                <w:dstrike w:val="0"/>
                <w:color w:val="auto"/>
                <w:sz w:val="21"/>
                <w:szCs w:val="24"/>
              </w:rPr>
              <w:t>项目总平面采用分区集中、环形道路布局模式，整体划分为养殖区、</w:t>
            </w:r>
            <w:r>
              <w:rPr>
                <w:rFonts w:hint="eastAsia" w:ascii="Times New Roman" w:hAnsi="Times New Roman" w:eastAsia="宋体" w:cs="宋体"/>
                <w:b w:val="0"/>
                <w:strike w:val="0"/>
                <w:dstrike w:val="0"/>
                <w:color w:val="auto"/>
                <w:sz w:val="21"/>
                <w:szCs w:val="24"/>
                <w:lang w:val="en-US" w:eastAsia="zh-CN"/>
              </w:rPr>
              <w:t>生产区、饲料加工区、互动体验区、</w:t>
            </w:r>
            <w:r>
              <w:rPr>
                <w:rFonts w:hint="eastAsia" w:ascii="Times New Roman" w:hAnsi="Times New Roman" w:eastAsia="宋体" w:cs="宋体"/>
                <w:b w:val="0"/>
                <w:strike w:val="0"/>
                <w:dstrike w:val="0"/>
                <w:color w:val="auto"/>
                <w:sz w:val="21"/>
                <w:szCs w:val="24"/>
              </w:rPr>
              <w:t>防疫隔离区五大功能板块，布局规整、流线清晰。</w:t>
            </w:r>
          </w:p>
        </w:tc>
        <w:tc>
          <w:tcPr>
            <w:tcW w:w="308" w:type="pct"/>
            <w:vAlign w:val="center"/>
          </w:tcPr>
          <w:p w14:paraId="06990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w:t>
            </w:r>
          </w:p>
        </w:tc>
      </w:tr>
      <w:tr w14:paraId="77BE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07D196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2</w:t>
            </w:r>
          </w:p>
        </w:tc>
        <w:tc>
          <w:tcPr>
            <w:tcW w:w="2712" w:type="pct"/>
            <w:vAlign w:val="center"/>
          </w:tcPr>
          <w:p w14:paraId="1D0B2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ascii="Times New Roman" w:hAnsi="Times New Roman" w:eastAsia="宋体" w:cs="宋体"/>
                <w:b w:val="0"/>
                <w:strike w:val="0"/>
                <w:dstrike w:val="0"/>
                <w:color w:val="auto"/>
                <w:sz w:val="21"/>
                <w:szCs w:val="24"/>
                <w:highlight w:val="none"/>
              </w:rPr>
              <w:t>生活管理区一般应位于场区全年主导风向上风向或侧风向处，并应在紧邻场区大门内侧集中布置</w:t>
            </w:r>
          </w:p>
        </w:tc>
        <w:tc>
          <w:tcPr>
            <w:tcW w:w="1699" w:type="pct"/>
            <w:vAlign w:val="center"/>
          </w:tcPr>
          <w:p w14:paraId="32EAC5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cs="宋体"/>
                <w:b w:val="0"/>
                <w:strike w:val="0"/>
                <w:dstrike w:val="0"/>
                <w:color w:val="auto"/>
                <w:sz w:val="21"/>
                <w:szCs w:val="24"/>
                <w:highlight w:val="none"/>
                <w:lang w:val="en-US" w:eastAsia="zh-CN"/>
              </w:rPr>
              <w:t>本项目</w:t>
            </w:r>
            <w:r>
              <w:rPr>
                <w:rFonts w:ascii="Times New Roman" w:hAnsi="Times New Roman" w:eastAsia="宋体" w:cs="宋体"/>
                <w:b w:val="0"/>
                <w:strike w:val="0"/>
                <w:dstrike w:val="0"/>
                <w:color w:val="auto"/>
                <w:sz w:val="21"/>
                <w:szCs w:val="24"/>
                <w:highlight w:val="none"/>
              </w:rPr>
              <w:t>生活管理区</w:t>
            </w:r>
            <w:r>
              <w:rPr>
                <w:rFonts w:hint="eastAsia" w:ascii="Times New Roman" w:hAnsi="Times New Roman" w:eastAsia="宋体" w:cs="宋体"/>
                <w:b w:val="0"/>
                <w:strike w:val="0"/>
                <w:dstrike w:val="0"/>
                <w:color w:val="auto"/>
                <w:sz w:val="21"/>
                <w:szCs w:val="24"/>
                <w:highlight w:val="none"/>
                <w:lang w:eastAsia="zh-CN"/>
              </w:rPr>
              <w:t>（</w:t>
            </w:r>
            <w:r>
              <w:rPr>
                <w:rFonts w:hint="eastAsia" w:ascii="Times New Roman" w:hAnsi="Times New Roman" w:eastAsia="宋体" w:cs="宋体"/>
                <w:b w:val="0"/>
                <w:strike w:val="0"/>
                <w:dstrike w:val="0"/>
                <w:color w:val="auto"/>
                <w:sz w:val="21"/>
                <w:szCs w:val="24"/>
                <w:highlight w:val="none"/>
                <w:lang w:val="en-US" w:eastAsia="zh-CN"/>
              </w:rPr>
              <w:t>互动体验区</w:t>
            </w:r>
            <w:r>
              <w:rPr>
                <w:rFonts w:hint="eastAsia" w:ascii="Times New Roman" w:hAnsi="Times New Roman" w:eastAsia="宋体" w:cs="宋体"/>
                <w:b w:val="0"/>
                <w:strike w:val="0"/>
                <w:dstrike w:val="0"/>
                <w:color w:val="auto"/>
                <w:sz w:val="21"/>
                <w:szCs w:val="24"/>
                <w:highlight w:val="none"/>
                <w:lang w:eastAsia="zh-CN"/>
              </w:rPr>
              <w:t>）</w:t>
            </w:r>
            <w:r>
              <w:rPr>
                <w:rFonts w:ascii="Times New Roman" w:hAnsi="Times New Roman" w:eastAsia="宋体" w:cs="宋体"/>
                <w:b w:val="0"/>
                <w:strike w:val="0"/>
                <w:dstrike w:val="0"/>
                <w:color w:val="auto"/>
                <w:sz w:val="21"/>
                <w:szCs w:val="24"/>
                <w:highlight w:val="none"/>
              </w:rPr>
              <w:t>位于场区全年主导风向的侧风向处，并靠近场区大门集中布置</w:t>
            </w:r>
          </w:p>
        </w:tc>
        <w:tc>
          <w:tcPr>
            <w:tcW w:w="308" w:type="pct"/>
            <w:vAlign w:val="center"/>
          </w:tcPr>
          <w:p w14:paraId="31A15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w:t>
            </w:r>
          </w:p>
        </w:tc>
      </w:tr>
    </w:tbl>
    <w:p w14:paraId="50429DFC">
      <w:pPr>
        <w:keepNext w:val="0"/>
        <w:keepLines w:val="0"/>
        <w:pageBreakBefore w:val="0"/>
        <w:widowControl w:val="0"/>
        <w:kinsoku/>
        <w:wordWrap/>
        <w:overflowPunct/>
        <w:topLinePunct w:val="0"/>
        <w:autoSpaceDE/>
        <w:autoSpaceDN/>
        <w:bidi w:val="0"/>
        <w:adjustRightInd/>
        <w:snapToGrid w:val="0"/>
        <w:ind w:leftChars="0" w:firstLine="482" w:firstLineChars="200"/>
        <w:textAlignment w:val="auto"/>
        <w:rPr>
          <w:rFonts w:hint="eastAsia" w:ascii="Times New Roman" w:hAnsi="Times New Roman" w:eastAsia="宋体" w:cs="Times New Roman"/>
          <w:b/>
          <w:bCs/>
          <w:strike w:val="0"/>
          <w:dstrike w:val="0"/>
          <w:color w:val="auto"/>
          <w:sz w:val="24"/>
          <w:highlight w:val="none"/>
          <w:lang w:val="en-US" w:eastAsia="zh-CN"/>
        </w:rPr>
      </w:pPr>
      <w:bookmarkStart w:id="16" w:name="_Toc106663416"/>
      <w:r>
        <w:rPr>
          <w:rFonts w:hint="eastAsia" w:ascii="Times New Roman" w:hAnsi="Times New Roman" w:eastAsia="宋体" w:cs="Times New Roman"/>
          <w:b/>
          <w:bCs/>
          <w:strike w:val="0"/>
          <w:dstrike w:val="0"/>
          <w:color w:val="auto"/>
          <w:sz w:val="24"/>
          <w:highlight w:val="none"/>
          <w:lang w:val="en-US" w:eastAsia="zh-CN"/>
        </w:rPr>
        <w:t>（10）与《畜禽养殖业污染治理工程技术规范》（HJ497-2009）符合性</w:t>
      </w:r>
    </w:p>
    <w:p w14:paraId="26B3AD22">
      <w:pPr>
        <w:snapToGrid w:val="0"/>
        <w:ind w:firstLine="480"/>
        <w:rPr>
          <w:rFonts w:ascii="Times New Roman" w:hAnsi="Times New Roman" w:eastAsia="宋体"/>
          <w:strike w:val="0"/>
          <w:dstrike w:val="0"/>
          <w:color w:val="auto"/>
        </w:rPr>
      </w:pPr>
      <w:r>
        <w:rPr>
          <w:rFonts w:hint="eastAsia" w:ascii="Times New Roman" w:hAnsi="Times New Roman" w:eastAsia="宋体"/>
          <w:strike w:val="0"/>
          <w:dstrike w:val="0"/>
          <w:color w:val="auto"/>
        </w:rPr>
        <w:t>根据《畜禽养殖业污染治理工程技术规范》（HJ497-2009）中畜禽养殖场总平面布置要求，本项目场区平面布置与其符合性分析见表1.3-4。</w:t>
      </w:r>
    </w:p>
    <w:p w14:paraId="5605A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表1.3-4场区布局与《畜禽养殖业污染治理工程技术规范》（HJ497-2009）符合性</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827"/>
        <w:gridCol w:w="2837"/>
        <w:gridCol w:w="928"/>
      </w:tblGrid>
      <w:tr w14:paraId="0549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2578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序号</w:t>
            </w:r>
          </w:p>
        </w:tc>
        <w:tc>
          <w:tcPr>
            <w:tcW w:w="2306" w:type="pct"/>
            <w:vAlign w:val="center"/>
          </w:tcPr>
          <w:p w14:paraId="621A0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bCs/>
                <w:strike w:val="0"/>
                <w:dstrike w:val="0"/>
                <w:color w:val="auto"/>
                <w:sz w:val="21"/>
              </w:rPr>
              <w:t>《畜禽养殖业污染治理工程技术规范》（HJ497-2009）有关要求</w:t>
            </w:r>
          </w:p>
        </w:tc>
        <w:tc>
          <w:tcPr>
            <w:tcW w:w="1709" w:type="pct"/>
            <w:vAlign w:val="center"/>
          </w:tcPr>
          <w:p w14:paraId="1B5CB1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本项目</w:t>
            </w:r>
          </w:p>
        </w:tc>
        <w:tc>
          <w:tcPr>
            <w:tcW w:w="559" w:type="pct"/>
            <w:vAlign w:val="center"/>
          </w:tcPr>
          <w:p w14:paraId="4E1B38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符合性</w:t>
            </w:r>
          </w:p>
        </w:tc>
      </w:tr>
      <w:tr w14:paraId="1A5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7082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1</w:t>
            </w:r>
          </w:p>
        </w:tc>
        <w:tc>
          <w:tcPr>
            <w:tcW w:w="2306" w:type="pct"/>
            <w:vAlign w:val="center"/>
          </w:tcPr>
          <w:p w14:paraId="3F7DB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平面布置应以污水处理系统、固体粪便处理系统、恶臭集中处理系统为主体，其他各项设施应按粪污处理流程合理安排，确保相关设备充分发挥功能，保证设施运行稳定、维修方便、经济合理、安全</w:t>
            </w:r>
            <w:r>
              <w:rPr>
                <w:rFonts w:hint="eastAsia" w:ascii="Times New Roman" w:hAnsi="Times New Roman" w:eastAsia="宋体"/>
                <w:strike w:val="0"/>
                <w:dstrike w:val="0"/>
                <w:color w:val="auto"/>
                <w:sz w:val="21"/>
                <w:lang w:eastAsia="zh-CN"/>
              </w:rPr>
              <w:t>卫生</w:t>
            </w:r>
          </w:p>
          <w:p w14:paraId="55683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生。</w:t>
            </w:r>
          </w:p>
        </w:tc>
        <w:tc>
          <w:tcPr>
            <w:tcW w:w="1709" w:type="pct"/>
            <w:vAlign w:val="center"/>
          </w:tcPr>
          <w:p w14:paraId="1B17C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lang w:val="en-US" w:eastAsia="zh-CN"/>
              </w:rPr>
              <w:t>本项目</w:t>
            </w:r>
            <w:r>
              <w:rPr>
                <w:rFonts w:hint="eastAsia" w:ascii="Times New Roman" w:hAnsi="Times New Roman" w:eastAsia="宋体"/>
                <w:strike w:val="0"/>
                <w:dstrike w:val="0"/>
                <w:color w:val="auto"/>
                <w:sz w:val="21"/>
              </w:rPr>
              <w:t>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含饲料加工间、草料房、青贮窖，位于养殖生产区北侧，靠近场区次出入口，减少场内运输交叉。</w:t>
            </w:r>
          </w:p>
        </w:tc>
        <w:tc>
          <w:tcPr>
            <w:tcW w:w="559" w:type="pct"/>
            <w:vAlign w:val="center"/>
          </w:tcPr>
          <w:p w14:paraId="7B201F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符合</w:t>
            </w:r>
          </w:p>
        </w:tc>
      </w:tr>
    </w:tbl>
    <w:p w14:paraId="510BC719">
      <w:pPr>
        <w:keepNext w:val="0"/>
        <w:keepLines w:val="0"/>
        <w:pageBreakBefore w:val="0"/>
        <w:widowControl w:val="0"/>
        <w:numPr>
          <w:ilvl w:val="0"/>
          <w:numId w:val="0"/>
        </w:numPr>
        <w:kinsoku/>
        <w:wordWrap/>
        <w:overflowPunct/>
        <w:topLinePunct w:val="0"/>
        <w:autoSpaceDE/>
        <w:autoSpaceDN/>
        <w:bidi w:val="0"/>
        <w:adjustRightInd/>
        <w:snapToGrid w:val="0"/>
        <w:ind w:left="0" w:leftChars="0" w:firstLine="482" w:firstLineChars="200"/>
        <w:textAlignment w:val="auto"/>
        <w:rPr>
          <w:rFonts w:hint="eastAsia" w:ascii="Times New Roman" w:hAnsi="Times New Roman" w:eastAsia="宋体" w:cs="Times New Roman"/>
          <w:b/>
          <w:bCs/>
          <w:strike w:val="0"/>
          <w:dstrike w:val="0"/>
          <w:color w:val="auto"/>
          <w:sz w:val="24"/>
          <w:highlight w:val="none"/>
          <w:lang w:val="en-US" w:eastAsia="zh-CN"/>
        </w:rPr>
      </w:pPr>
      <w:r>
        <w:rPr>
          <w:rFonts w:hint="eastAsia" w:ascii="Times New Roman" w:hAnsi="Times New Roman" w:eastAsia="宋体" w:cs="Times New Roman"/>
          <w:b/>
          <w:bCs/>
          <w:strike w:val="0"/>
          <w:dstrike w:val="0"/>
          <w:color w:val="auto"/>
          <w:sz w:val="24"/>
          <w:lang w:val="en-US" w:eastAsia="zh-CN" w:bidi="ar-SA"/>
        </w:rPr>
        <w:t>（11）</w:t>
      </w:r>
      <w:r>
        <w:rPr>
          <w:rFonts w:hint="eastAsia" w:ascii="Times New Roman" w:hAnsi="Times New Roman" w:eastAsia="宋体" w:cs="Times New Roman"/>
          <w:b/>
          <w:bCs/>
          <w:strike w:val="0"/>
          <w:dstrike w:val="0"/>
          <w:color w:val="auto"/>
          <w:sz w:val="24"/>
          <w:highlight w:val="none"/>
          <w:lang w:val="en-US" w:eastAsia="zh-CN"/>
        </w:rPr>
        <w:t>与</w:t>
      </w:r>
      <w:r>
        <w:rPr>
          <w:rFonts w:hint="default" w:ascii="Times New Roman" w:hAnsi="Times New Roman" w:eastAsia="宋体" w:cs="Times New Roman"/>
          <w:b/>
          <w:bCs/>
          <w:strike w:val="0"/>
          <w:dstrike w:val="0"/>
          <w:color w:val="auto"/>
          <w:sz w:val="24"/>
          <w:highlight w:val="none"/>
          <w:lang w:val="en-US" w:eastAsia="zh-CN"/>
        </w:rPr>
        <w:t>《规模化畜禽场良好生产环境第 1 部分：场地要求》（GB/T41441.1-2022）</w:t>
      </w:r>
      <w:r>
        <w:rPr>
          <w:rFonts w:hint="eastAsia" w:ascii="Times New Roman" w:hAnsi="Times New Roman" w:eastAsia="宋体" w:cs="Times New Roman"/>
          <w:b/>
          <w:bCs/>
          <w:strike w:val="0"/>
          <w:dstrike w:val="0"/>
          <w:color w:val="auto"/>
          <w:sz w:val="24"/>
          <w:highlight w:val="none"/>
          <w:lang w:val="en-US" w:eastAsia="zh-CN"/>
        </w:rPr>
        <w:t>符合性分析</w:t>
      </w:r>
    </w:p>
    <w:p w14:paraId="21D39815">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根据</w:t>
      </w:r>
      <w:r>
        <w:rPr>
          <w:rFonts w:hint="default" w:ascii="Times New Roman" w:hAnsi="Times New Roman" w:eastAsia="宋体"/>
          <w:strike w:val="0"/>
          <w:dstrike w:val="0"/>
          <w:color w:val="auto"/>
          <w:highlight w:val="none"/>
          <w:lang w:val="en-US" w:eastAsia="zh-CN"/>
        </w:rPr>
        <w:t>《规模化畜禽场良好生产环境第 1 部分：场地要求》（GB/T41441.1-2022）</w:t>
      </w:r>
      <w:r>
        <w:rPr>
          <w:rFonts w:hint="eastAsia" w:ascii="Times New Roman" w:hAnsi="Times New Roman" w:eastAsia="宋体"/>
          <w:strike w:val="0"/>
          <w:dstrike w:val="0"/>
          <w:color w:val="auto"/>
          <w:highlight w:val="none"/>
          <w:lang w:val="en-US" w:eastAsia="zh-CN"/>
        </w:rPr>
        <w:t>，本项目与其符合性分析见表1.3-5。</w:t>
      </w:r>
    </w:p>
    <w:p w14:paraId="33E5A3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表1.3-5本项目与《规模化畜禽场良好生产环境第 1 部分：场地要求》（GB/T41441.1-2022）符合性分析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04"/>
        <w:gridCol w:w="3827"/>
        <w:gridCol w:w="2837"/>
        <w:gridCol w:w="928"/>
      </w:tblGrid>
      <w:tr w14:paraId="5588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3CEB41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C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bCs/>
                <w:strike w:val="0"/>
                <w:dstrike w:val="0"/>
                <w:color w:val="auto"/>
                <w:sz w:val="21"/>
              </w:rPr>
              <w:t>《规模化畜禽场良好生产环境第 1 部分：场地要求》（GB/T41441.1-2022）</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B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本项目</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E5B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符合性</w:t>
            </w:r>
          </w:p>
        </w:tc>
      </w:tr>
      <w:tr w14:paraId="2944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3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eastAsia="zh-CN"/>
              </w:rPr>
            </w:pPr>
            <w:r>
              <w:rPr>
                <w:rFonts w:hint="eastAsia" w:ascii="Times New Roman" w:hAnsi="Times New Roman" w:eastAsia="宋体"/>
                <w:b w:val="0"/>
                <w:strike w:val="0"/>
                <w:dstrike w:val="0"/>
                <w:color w:val="auto"/>
                <w:sz w:val="21"/>
                <w:lang w:val="en-US" w:eastAsia="zh-CN"/>
              </w:rPr>
              <w:t>基本要求</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C36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4.1.1</w:t>
            </w:r>
            <w:r>
              <w:rPr>
                <w:rFonts w:hint="eastAsia" w:ascii="Times New Roman" w:hAnsi="Times New Roman" w:eastAsia="宋体"/>
                <w:b w:val="0"/>
                <w:strike w:val="0"/>
                <w:dstrike w:val="0"/>
                <w:color w:val="auto"/>
                <w:sz w:val="21"/>
              </w:rPr>
              <w:t>应符合当地土地利用总体规划、城乡发展规划和环境保护规划</w:t>
            </w:r>
          </w:p>
          <w:p w14:paraId="1597A34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4.1.2</w:t>
            </w:r>
            <w:r>
              <w:rPr>
                <w:rFonts w:hint="eastAsia" w:ascii="Times New Roman" w:hAnsi="Times New Roman" w:eastAsia="宋体"/>
                <w:b w:val="0"/>
                <w:strike w:val="0"/>
                <w:dstrike w:val="0"/>
                <w:color w:val="auto"/>
                <w:sz w:val="21"/>
              </w:rPr>
              <w:t>应符合当地畜牧业发展规划。</w:t>
            </w:r>
          </w:p>
          <w:p w14:paraId="4171BE8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4.1.3</w:t>
            </w:r>
            <w:r>
              <w:rPr>
                <w:rFonts w:hint="eastAsia" w:ascii="Times New Roman" w:hAnsi="Times New Roman" w:eastAsia="宋体"/>
                <w:b w:val="0"/>
                <w:strike w:val="0"/>
                <w:dstrike w:val="0"/>
                <w:color w:val="auto"/>
                <w:sz w:val="21"/>
              </w:rPr>
              <w:t>不应占用基本农田。</w:t>
            </w:r>
          </w:p>
          <w:p w14:paraId="6D2854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4.1.4</w:t>
            </w:r>
            <w:r>
              <w:rPr>
                <w:rFonts w:hint="eastAsia" w:ascii="Times New Roman" w:hAnsi="Times New Roman" w:eastAsia="宋体"/>
                <w:b w:val="0"/>
                <w:strike w:val="0"/>
                <w:dstrike w:val="0"/>
                <w:color w:val="auto"/>
                <w:sz w:val="21"/>
              </w:rPr>
              <w:t>应与种植业结合，对畜禽粪便进行资源利用。</w:t>
            </w:r>
          </w:p>
          <w:p w14:paraId="3B940EC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4.1.5</w:t>
            </w:r>
            <w:r>
              <w:rPr>
                <w:rFonts w:hint="eastAsia" w:ascii="Times New Roman" w:hAnsi="Times New Roman" w:eastAsia="宋体"/>
                <w:b w:val="0"/>
                <w:strike w:val="0"/>
                <w:dstrike w:val="0"/>
                <w:color w:val="auto"/>
                <w:sz w:val="21"/>
              </w:rPr>
              <w:t>不应在下列区域内建设畜禽养殖场:</w:t>
            </w:r>
          </w:p>
          <w:p w14:paraId="4A0DE0B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a) 生活饮用水的水源保护区、风景名胜区以及自然保护区的核心区和缓冲区;</w:t>
            </w:r>
          </w:p>
          <w:p w14:paraId="5FD328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b) 城镇居民区、文化教育科学研究区等人口集中区域。</w:t>
            </w:r>
          </w:p>
          <w:p w14:paraId="77389C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4.1.6</w:t>
            </w:r>
            <w:r>
              <w:rPr>
                <w:rFonts w:hint="eastAsia" w:ascii="Times New Roman" w:hAnsi="Times New Roman" w:eastAsia="宋体"/>
                <w:b w:val="0"/>
                <w:strike w:val="0"/>
                <w:dstrike w:val="0"/>
                <w:color w:val="auto"/>
                <w:sz w:val="21"/>
              </w:rPr>
              <w:t>应距离铁路、高速公路、主要交通干线500m以上，与其他养殖场、养殖小区的距离在500m以上，距离功能地表水体400m以上。</w:t>
            </w:r>
          </w:p>
          <w:p w14:paraId="7A449E7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4.1.7 在4.1.5规定区域外建设的畜禽养殖场.应建在该区域常年主导风向的下风向或侧风向处，畜禽养殖的场界与4.1.5规定区域边界的距离应不小于500m(见HJ/T81)。</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B6F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本项目用地性质为设施农用地，不占用基本农田，符合土地利用总体规划，产生的骆驼粪便定期清运至堆肥场，经过处理后作为有机肥外售，生活污水和生产废水经地下排污管道自流至舍外黑膜池，发酵处理后用于项目区周边林带施肥；</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本项目所在地不涉及</w:t>
            </w:r>
            <w:r>
              <w:rPr>
                <w:rFonts w:hint="eastAsia" w:ascii="Times New Roman" w:hAnsi="Times New Roman" w:eastAsia="宋体"/>
                <w:b w:val="0"/>
                <w:strike w:val="0"/>
                <w:dstrike w:val="0"/>
                <w:color w:val="auto"/>
                <w:sz w:val="21"/>
              </w:rPr>
              <w:t>生活饮用水的水源保护区、风景名胜区以及自然保护区的核心区和缓冲区</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rPr>
              <w:t>城镇居民区、文化教育科学研究区等人口集中区域</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lang w:val="en-US" w:eastAsia="zh-CN"/>
              </w:rPr>
              <w:t>本项目距离北侧省道550m，本项目不涉及</w:t>
            </w:r>
            <w:r>
              <w:rPr>
                <w:rFonts w:hint="eastAsia" w:ascii="Times New Roman" w:hAnsi="Times New Roman" w:eastAsia="宋体"/>
                <w:b w:val="0"/>
                <w:strike w:val="0"/>
                <w:dstrike w:val="0"/>
                <w:color w:val="auto"/>
                <w:sz w:val="21"/>
              </w:rPr>
              <w:t>能地表水体</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lang w:val="en-US" w:eastAsia="zh-CN"/>
              </w:rPr>
              <w:t>本项目所在区域常年主导风向为西风，项目区主导风向下风向无居民区。</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B0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符合</w:t>
            </w:r>
          </w:p>
        </w:tc>
      </w:tr>
      <w:tr w14:paraId="7751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DA5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场地要求</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D22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4.2.1宜平坦开阔，山区场地应为稍平缓坡，总坡度宜小于20%。建筑区坡度以1%~3%为宜。</w:t>
            </w:r>
          </w:p>
          <w:p w14:paraId="1AD9AB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4.2.2给水充足，水质应符合NY5027的规定。</w:t>
            </w:r>
          </w:p>
          <w:p w14:paraId="0D9D33C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4.2.3宜有二级供电电源，如果仅有三级供电电源则应自备发电机。</w:t>
            </w:r>
          </w:p>
          <w:p w14:paraId="1B95748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4.2.4场区应实施雨污分流，对场区已接触或可能接触废弃物的径流雨水进行导流，应视其为污水进行处理，对场区周围的地表径流进行导流，未接触废弃物的径流雨水应净水处理。</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115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宋体"/>
                <w:b w:val="0"/>
                <w:strike w:val="0"/>
                <w:dstrike w:val="0"/>
                <w:color w:val="auto"/>
                <w:sz w:val="21"/>
                <w:szCs w:val="24"/>
                <w:lang w:val="en-US" w:eastAsia="zh-CN"/>
              </w:rPr>
            </w:pPr>
            <w:r>
              <w:rPr>
                <w:rFonts w:hint="eastAsia" w:ascii="Times New Roman" w:hAnsi="Times New Roman" w:eastAsia="宋体" w:cs="宋体"/>
                <w:b w:val="0"/>
                <w:strike w:val="0"/>
                <w:dstrike w:val="0"/>
                <w:color w:val="auto"/>
                <w:sz w:val="21"/>
                <w:szCs w:val="24"/>
                <w:lang w:val="en-US" w:eastAsia="zh-CN"/>
              </w:rPr>
              <w:t>本项目地势平坦，生产、生活用水水源来自村庄管网接入，由厂区东侧接入；供电由项目区外电网接入，场区内设变配电室，供电采用树干式与放射式相结合供电方式；项目区堆肥场四周设置截洪沟，实现雨污分流。</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23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符合</w:t>
            </w:r>
          </w:p>
        </w:tc>
      </w:tr>
      <w:tr w14:paraId="208F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0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场区布局</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7D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5.1 结合当地气候条件和地形地势，合理组织场内、外的人流和物流，因地制宜进行功能分区。场区布局应按照NY/T682、NY/T1167的规定执行。</w:t>
            </w:r>
          </w:p>
          <w:p w14:paraId="1E04A3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5.2 生活管理区和辅助生产区应位于场区常年主导风向的上风处和地势较高处，隔离区位于常年主导风向的下风处和地势较低处，生产区位于辅助生产区和隔离区之间，生产区与废弃物管理区分开。</w:t>
            </w:r>
          </w:p>
          <w:p w14:paraId="540B05F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5.3 畜禽舍建筑之间的防火间距应不小于10m，并配备防火设施。</w:t>
            </w:r>
          </w:p>
          <w:p w14:paraId="4F590D2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5.4 各功能区设施应按照NY/T682和NY/T1167执行。</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DDF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宋体"/>
                <w:b w:val="0"/>
                <w:strike w:val="0"/>
                <w:dstrike w:val="0"/>
                <w:color w:val="auto"/>
                <w:sz w:val="21"/>
                <w:szCs w:val="24"/>
                <w:lang w:val="en-US" w:eastAsia="zh-CN"/>
              </w:rPr>
            </w:pPr>
            <w:r>
              <w:rPr>
                <w:rFonts w:hint="eastAsia" w:ascii="Times New Roman" w:hAnsi="Times New Roman" w:eastAsia="宋体" w:cs="宋体"/>
                <w:b w:val="0"/>
                <w:strike w:val="0"/>
                <w:dstrike w:val="0"/>
                <w:color w:val="auto"/>
                <w:sz w:val="21"/>
                <w:szCs w:val="24"/>
                <w:lang w:val="en-US" w:eastAsia="zh-CN"/>
              </w:rPr>
              <w:t>本项目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含饲料加工间、草料房、青贮窖，位于养殖生产区北侧，靠近场区次出入口，减少场内运输交叉。</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14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符合</w:t>
            </w:r>
          </w:p>
        </w:tc>
      </w:tr>
    </w:tbl>
    <w:p w14:paraId="59ADC474">
      <w:pPr>
        <w:pStyle w:val="4"/>
        <w:numPr>
          <w:ilvl w:val="0"/>
          <w:numId w:val="0"/>
        </w:numPr>
        <w:rPr>
          <w:rFonts w:ascii="Times New Roman" w:hAnsi="Times New Roman" w:eastAsia="宋体"/>
          <w:strike w:val="0"/>
          <w:dstrike w:val="0"/>
          <w:color w:val="auto"/>
          <w:highlight w:val="none"/>
        </w:rPr>
      </w:pPr>
      <w:bookmarkStart w:id="17" w:name="_Toc22764"/>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3 生态环境分区管控要求</w:t>
      </w:r>
      <w:r>
        <w:rPr>
          <w:rFonts w:hint="eastAsia" w:ascii="Times New Roman" w:hAnsi="Times New Roman" w:eastAsia="宋体"/>
          <w:strike w:val="0"/>
          <w:dstrike w:val="0"/>
          <w:color w:val="auto"/>
          <w:highlight w:val="none"/>
        </w:rPr>
        <w:t>符合性</w:t>
      </w:r>
      <w:bookmarkEnd w:id="16"/>
      <w:bookmarkEnd w:id="17"/>
    </w:p>
    <w:p w14:paraId="2A712A1D">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.1与《关于印发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新疆维吾尔自治区生态环境分区管控动态更新成果</w:t>
      </w:r>
      <w:r>
        <w:rPr>
          <w:rFonts w:hint="eastAsia" w:ascii="Times New Roman" w:hAnsi="Times New Roman" w:eastAsia="宋体"/>
          <w:strike w:val="0"/>
          <w:dstrike w:val="0"/>
          <w:color w:val="auto"/>
          <w:highlight w:val="none"/>
          <w:lang w:eastAsia="zh-CN"/>
        </w:rPr>
        <w:t>〉的通知》</w:t>
      </w:r>
      <w:r>
        <w:rPr>
          <w:rFonts w:hint="eastAsia" w:ascii="Times New Roman" w:hAnsi="Times New Roman" w:eastAsia="宋体"/>
          <w:strike w:val="0"/>
          <w:dstrike w:val="0"/>
          <w:color w:val="auto"/>
          <w:highlight w:val="none"/>
        </w:rPr>
        <w:t>（新环环评发〔2024〕157号）的符合性分析</w:t>
      </w:r>
    </w:p>
    <w:p w14:paraId="034E6E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根据《关于印发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新疆维吾尔自治区生态环境分区管控动态更新成果</w:t>
      </w:r>
      <w:r>
        <w:rPr>
          <w:rFonts w:hint="eastAsia" w:ascii="Times New Roman" w:hAnsi="Times New Roman" w:eastAsia="宋体"/>
          <w:strike w:val="0"/>
          <w:dstrike w:val="0"/>
          <w:color w:val="auto"/>
          <w:highlight w:val="none"/>
          <w:lang w:eastAsia="zh-CN"/>
        </w:rPr>
        <w:t>〉的通知》</w:t>
      </w:r>
      <w:r>
        <w:rPr>
          <w:rFonts w:hint="eastAsia" w:ascii="Times New Roman" w:hAnsi="Times New Roman" w:eastAsia="宋体"/>
          <w:strike w:val="0"/>
          <w:dstrike w:val="0"/>
          <w:color w:val="auto"/>
          <w:highlight w:val="none"/>
        </w:rPr>
        <w:t>（新环环评发〔2024〕157号），</w:t>
      </w:r>
      <w:r>
        <w:rPr>
          <w:rFonts w:hint="eastAsia" w:ascii="Times New Roman" w:hAnsi="Times New Roman" w:eastAsia="宋体"/>
          <w:strike w:val="0"/>
          <w:dstrike w:val="0"/>
          <w:color w:val="auto"/>
          <w:highlight w:val="none"/>
          <w:lang w:val="en-US" w:eastAsia="zh-CN"/>
        </w:rPr>
        <w:t>本项目符合性分析见表1.3-5。</w:t>
      </w:r>
    </w:p>
    <w:p w14:paraId="31404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default" w:ascii="Times New Roman" w:hAnsi="Times New Roman" w:eastAsia="宋体"/>
          <w:b/>
          <w:bCs/>
          <w:strike w:val="0"/>
          <w:dstrike w:val="0"/>
          <w:color w:val="auto"/>
          <w:highlight w:val="none"/>
          <w:lang w:val="en-US" w:eastAsia="zh-CN"/>
        </w:rPr>
        <w:t>表1</w:t>
      </w:r>
      <w:r>
        <w:rPr>
          <w:rFonts w:hint="eastAsia" w:ascii="Times New Roman" w:hAnsi="Times New Roman" w:eastAsia="宋体"/>
          <w:b/>
          <w:bCs/>
          <w:strike w:val="0"/>
          <w:dstrike w:val="0"/>
          <w:color w:val="auto"/>
          <w:highlight w:val="none"/>
          <w:lang w:val="en-US" w:eastAsia="zh-CN"/>
        </w:rPr>
        <w:t>.3-5 本</w:t>
      </w:r>
      <w:r>
        <w:rPr>
          <w:rFonts w:hint="default" w:ascii="Times New Roman" w:hAnsi="Times New Roman" w:eastAsia="宋体"/>
          <w:b/>
          <w:bCs/>
          <w:strike w:val="0"/>
          <w:dstrike w:val="0"/>
          <w:color w:val="auto"/>
          <w:highlight w:val="none"/>
          <w:lang w:val="en-US" w:eastAsia="zh-CN"/>
        </w:rPr>
        <w:t>项目与《新疆维吾尔自治区生态环境分区管控动态更新成果》的通知（新环环评发</w:t>
      </w:r>
      <w:r>
        <w:rPr>
          <w:rFonts w:hint="eastAsia" w:ascii="Times New Roman" w:hAnsi="Times New Roman" w:eastAsia="宋体"/>
          <w:b/>
          <w:bCs/>
          <w:strike w:val="0"/>
          <w:dstrike w:val="0"/>
          <w:color w:val="auto"/>
          <w:highlight w:val="none"/>
          <w:lang w:val="en-US" w:eastAsia="zh-CN"/>
        </w:rPr>
        <w:t>〔2024〕157号</w:t>
      </w:r>
      <w:r>
        <w:rPr>
          <w:rFonts w:hint="default" w:ascii="Times New Roman" w:hAnsi="Times New Roman" w:eastAsia="宋体"/>
          <w:b/>
          <w:bCs/>
          <w:strike w:val="0"/>
          <w:dstrike w:val="0"/>
          <w:color w:val="auto"/>
          <w:highlight w:val="none"/>
          <w:lang w:val="en-US" w:eastAsia="zh-CN"/>
        </w:rPr>
        <w:t>）符合性分析表</w:t>
      </w:r>
    </w:p>
    <w:tbl>
      <w:tblPr>
        <w:tblStyle w:val="39"/>
        <w:tblW w:w="4998" w:type="pct"/>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04"/>
        <w:gridCol w:w="2914"/>
        <w:gridCol w:w="675"/>
      </w:tblGrid>
      <w:tr w14:paraId="58885A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bottom w:val="single" w:color="000000" w:sz="4" w:space="0"/>
              <w:right w:val="single" w:color="000000" w:sz="4" w:space="0"/>
              <w:tl2br w:val="nil"/>
            </w:tcBorders>
            <w:shd w:val="clear" w:color="auto" w:fill="auto"/>
            <w:noWrap w:val="0"/>
            <w:vAlign w:val="center"/>
          </w:tcPr>
          <w:p w14:paraId="2D135D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hint="eastAsia" w:ascii="Times New Roman" w:hAnsi="Times New Roman" w:eastAsia="宋体" w:cs="宋体"/>
                <w:b w:val="0"/>
                <w:bCs w:val="0"/>
                <w:i w:val="0"/>
                <w:iCs w:val="0"/>
                <w:strike w:val="0"/>
                <w:dstrike w:val="0"/>
                <w:color w:val="auto"/>
                <w:kern w:val="0"/>
                <w:sz w:val="21"/>
                <w:szCs w:val="34"/>
                <w:highlight w:val="none"/>
                <w:u w:val="none"/>
                <w:lang w:val="en-US" w:eastAsia="zh-CN" w:bidi="ar"/>
              </w:rPr>
              <w:t>生态环境分区管控</w:t>
            </w: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要求</w:t>
            </w:r>
          </w:p>
        </w:tc>
        <w:tc>
          <w:tcPr>
            <w:tcW w:w="1756" w:type="pct"/>
            <w:tcBorders>
              <w:left w:val="single" w:color="000000" w:sz="4" w:space="0"/>
              <w:bottom w:val="single" w:color="000000" w:sz="4" w:space="0"/>
              <w:right w:val="single" w:color="000000" w:sz="4" w:space="0"/>
            </w:tcBorders>
            <w:shd w:val="clear" w:color="auto" w:fill="auto"/>
            <w:noWrap w:val="0"/>
            <w:vAlign w:val="center"/>
          </w:tcPr>
          <w:p w14:paraId="5393C3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项目情况</w:t>
            </w:r>
          </w:p>
        </w:tc>
        <w:tc>
          <w:tcPr>
            <w:tcW w:w="407" w:type="pct"/>
            <w:tcBorders>
              <w:left w:val="single" w:color="000000" w:sz="4" w:space="0"/>
              <w:bottom w:val="single" w:color="000000" w:sz="4" w:space="0"/>
            </w:tcBorders>
            <w:shd w:val="clear" w:color="auto" w:fill="auto"/>
            <w:noWrap w:val="0"/>
            <w:vAlign w:val="center"/>
          </w:tcPr>
          <w:p w14:paraId="51D380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符合性</w:t>
            </w:r>
          </w:p>
        </w:tc>
      </w:tr>
      <w:tr w14:paraId="52A72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03E46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生态保护红线：按照“生态功能不降低、面积不减少、性质不改变”的基本要求，对划定的生态保护红线实施严格管控，保障和维护国家生态安全的底线和生命线。</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E75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博斯坦乡阿克卓勒村，本项目所在地不涉及自然保护区、风景名胜区等各类保护地边界、江河、湖库以及海岸等向陆域延伸一定距离的边界、地理国情普查、全国土地调查、森林草原湿地荒漠等，因此判定项目建设不涉及生态红线保护区域，符合生态保护红线要求。</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4D8828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3F198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72041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质量底线：全区水环境质量持续改善，受污染地表水体得到有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4AA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不会影响区域水和土壤环境质量，项目冬季采用电采暖，不会产生废气污染物，影响大气环境质量，本项目固体废弃物均得到妥善处置，项目</w:t>
            </w:r>
            <w:r>
              <w:rPr>
                <w:rFonts w:ascii="Times New Roman" w:hAnsi="Times New Roman" w:eastAsia="宋体" w:cs="宋体"/>
                <w:b w:val="0"/>
                <w:i w:val="0"/>
                <w:iCs w:val="0"/>
                <w:strike w:val="0"/>
                <w:dstrike w:val="0"/>
                <w:color w:val="auto"/>
                <w:kern w:val="0"/>
                <w:sz w:val="21"/>
                <w:szCs w:val="34"/>
                <w:highlight w:val="none"/>
                <w:u w:val="none"/>
                <w:lang w:val="en-US" w:eastAsia="zh-CN" w:bidi="ar"/>
              </w:rPr>
              <w:t>产生的废气、废水、固废等污染物均采取了严格的治理和处置措施，污染物能达标排放，采取相应措施后能够满足相关标准要求，符合环境质量底线的要求，不会对环境质量底线产生冲击。</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0BB707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2E37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0F8144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资源利用上线：强化节约集约利用，持续提升资源能源利用效率，水资源、土地资源、能源消耗等达到国家、自治区下达的总量和强度控制目标。加快区域低碳发展，积极推动乌鲁木齐市、昌吉市、伊宁市、和田市等4个国家级低碳试点城市发挥低碳试点示范和引领作用。</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8E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hint="eastAsia" w:ascii="Times New Roman" w:hAnsi="Times New Roman" w:eastAsia="宋体" w:cs="宋体"/>
                <w:b w:val="0"/>
                <w:i w:val="0"/>
                <w:iCs w:val="0"/>
                <w:strike w:val="0"/>
                <w:dstrike w:val="0"/>
                <w:color w:val="auto"/>
                <w:sz w:val="21"/>
                <w:szCs w:val="34"/>
                <w:highlight w:val="none"/>
                <w:u w:val="none"/>
              </w:rPr>
              <w:t>本项目属于骆驼养殖项目，主要利用当地土地资源、电能、水资源，项目区占地类型为设施农业用地，不涉及基本农田等占地，项目用水由农村供水管网供给，用电来自当地供电网，本项目的用水、用电不会对供水和供电单位产生负担。本项目选址位于木垒县</w:t>
            </w:r>
            <w:r>
              <w:rPr>
                <w:rFonts w:hint="eastAsia" w:ascii="Times New Roman" w:hAnsi="Times New Roman" w:eastAsia="宋体" w:cs="宋体"/>
                <w:b w:val="0"/>
                <w:i w:val="0"/>
                <w:iCs w:val="0"/>
                <w:strike w:val="0"/>
                <w:dstrike w:val="0"/>
                <w:color w:val="auto"/>
                <w:sz w:val="21"/>
                <w:szCs w:val="34"/>
                <w:highlight w:val="none"/>
                <w:u w:val="none"/>
                <w:lang w:val="en-US" w:eastAsia="zh-CN"/>
              </w:rPr>
              <w:t>博斯坦乡阿克卓勒村</w:t>
            </w:r>
            <w:r>
              <w:rPr>
                <w:rFonts w:hint="eastAsia" w:ascii="Times New Roman" w:hAnsi="Times New Roman" w:eastAsia="宋体" w:cs="宋体"/>
                <w:b w:val="0"/>
                <w:i w:val="0"/>
                <w:iCs w:val="0"/>
                <w:strike w:val="0"/>
                <w:dstrike w:val="0"/>
                <w:color w:val="auto"/>
                <w:sz w:val="21"/>
                <w:szCs w:val="34"/>
                <w:highlight w:val="none"/>
                <w:u w:val="none"/>
              </w:rPr>
              <w:t>，符合用地规划。因此本项目不会超出资源利用上线，符合资源利用上线要求。</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21129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2C252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right w:val="single" w:color="000000" w:sz="4" w:space="0"/>
            </w:tcBorders>
            <w:shd w:val="clear" w:color="auto" w:fill="auto"/>
            <w:noWrap w:val="0"/>
            <w:vAlign w:val="center"/>
          </w:tcPr>
          <w:p w14:paraId="11DD74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生态环境准入清单：指基于环境管控单元，统筹考虑生态保护红线、环境质量底线、资源利用上线的管控要求，提出的空间布局、污染物排放、环境风险、资源开发利用等方面禁止和限制的环境准入要求。</w:t>
            </w:r>
          </w:p>
        </w:tc>
        <w:tc>
          <w:tcPr>
            <w:tcW w:w="1756" w:type="pct"/>
            <w:tcBorders>
              <w:top w:val="single" w:color="000000" w:sz="4" w:space="0"/>
              <w:left w:val="single" w:color="000000" w:sz="4" w:space="0"/>
              <w:right w:val="single" w:color="000000" w:sz="4" w:space="0"/>
            </w:tcBorders>
            <w:shd w:val="clear" w:color="auto" w:fill="auto"/>
            <w:noWrap w:val="0"/>
            <w:vAlign w:val="center"/>
          </w:tcPr>
          <w:p w14:paraId="1C5541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木垒县博斯坦乡阿克卓勒村</w:t>
            </w:r>
            <w:r>
              <w:rPr>
                <w:rFonts w:ascii="Times New Roman" w:hAnsi="Times New Roman" w:eastAsia="宋体" w:cs="宋体"/>
                <w:b w:val="0"/>
                <w:i w:val="0"/>
                <w:iCs w:val="0"/>
                <w:strike w:val="0"/>
                <w:dstrike w:val="0"/>
                <w:color w:val="auto"/>
                <w:kern w:val="0"/>
                <w:sz w:val="21"/>
                <w:szCs w:val="34"/>
                <w:highlight w:val="none"/>
                <w:u w:val="none"/>
                <w:lang w:val="en-US" w:eastAsia="zh-CN" w:bidi="ar"/>
              </w:rPr>
              <w:t>，对照国家发展改革委和商务部发布的《市场准入负面清单</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202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5</w:t>
            </w:r>
            <w:r>
              <w:rPr>
                <w:rFonts w:ascii="Times New Roman" w:hAnsi="Times New Roman" w:eastAsia="宋体" w:cs="宋体"/>
                <w:b w:val="0"/>
                <w:i w:val="0"/>
                <w:iCs w:val="0"/>
                <w:strike w:val="0"/>
                <w:dstrike w:val="0"/>
                <w:color w:val="auto"/>
                <w:kern w:val="0"/>
                <w:sz w:val="21"/>
                <w:szCs w:val="34"/>
                <w:highlight w:val="none"/>
                <w:u w:val="none"/>
                <w:lang w:val="en-US" w:eastAsia="zh-CN" w:bidi="ar"/>
              </w:rPr>
              <w:t>年版</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属于许可准入类。</w:t>
            </w:r>
          </w:p>
        </w:tc>
        <w:tc>
          <w:tcPr>
            <w:tcW w:w="407" w:type="pct"/>
            <w:tcBorders>
              <w:top w:val="single" w:color="000000" w:sz="4" w:space="0"/>
              <w:left w:val="single" w:color="000000" w:sz="4" w:space="0"/>
            </w:tcBorders>
            <w:shd w:val="clear" w:color="auto" w:fill="auto"/>
            <w:noWrap w:val="0"/>
            <w:vAlign w:val="center"/>
          </w:tcPr>
          <w:p w14:paraId="3F285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48952FF3">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.2与《关于发布昌吉回族自治州生态环境分区管控动态更新成果的公告》的符合性分析</w:t>
      </w:r>
    </w:p>
    <w:p w14:paraId="08CC25E0">
      <w:pPr>
        <w:ind w:firstLine="48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本项目位于木垒县博斯坦乡阿克卓勒村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根据《关于发布昌吉回族自治州生态环境分区管控动态更新成果的公告》</w:t>
      </w:r>
      <w:r>
        <w:rPr>
          <w:rFonts w:hint="eastAsia" w:ascii="Times New Roman" w:hAnsi="Times New Roman" w:eastAsia="宋体"/>
          <w:strike w:val="0"/>
          <w:dstrike w:val="0"/>
          <w:color w:val="auto"/>
          <w:highlight w:val="none"/>
          <w:lang w:val="en-US" w:eastAsia="zh-CN"/>
        </w:rPr>
        <w:t>昌吉回族自治州生态环境准入清单</w:t>
      </w:r>
      <w:r>
        <w:rPr>
          <w:rFonts w:hint="eastAsia" w:ascii="Times New Roman" w:hAnsi="Times New Roman" w:eastAsia="宋体"/>
          <w:strike w:val="0"/>
          <w:dstrike w:val="0"/>
          <w:color w:val="auto"/>
          <w:highlight w:val="none"/>
        </w:rPr>
        <w:t>，</w:t>
      </w:r>
    </w:p>
    <w:p w14:paraId="31E3AC99">
      <w:pPr>
        <w:bidi w:val="0"/>
        <w:rPr>
          <w:rFonts w:hint="default" w:ascii="Times New Roman" w:hAnsi="Times New Roman" w:eastAsia="宋体"/>
          <w:color w:val="auto"/>
          <w:lang w:val="en-US" w:eastAsia="zh-CN"/>
        </w:rPr>
      </w:pPr>
      <w:r>
        <w:rPr>
          <w:rFonts w:hint="eastAsia" w:ascii="Times New Roman" w:hAnsi="Times New Roman" w:eastAsia="宋体"/>
          <w:color w:val="auto"/>
        </w:rPr>
        <w:t>本项目位于木垒哈萨克自治县一般管控单元，管控单元编码：ZH65232830001</w:t>
      </w:r>
      <w:r>
        <w:rPr>
          <w:rFonts w:hint="eastAsia" w:ascii="Times New Roman" w:hAnsi="Times New Roman" w:eastAsia="宋体"/>
          <w:color w:val="auto"/>
          <w:lang w:eastAsia="zh-CN"/>
        </w:rPr>
        <w:t>；</w:t>
      </w:r>
      <w:r>
        <w:rPr>
          <w:rFonts w:ascii="Times New Roman" w:hAnsi="Times New Roman" w:eastAsia="宋体"/>
          <w:color w:val="auto"/>
        </w:rPr>
        <w:t>本项目与其符合情况见表</w:t>
      </w:r>
      <w:r>
        <w:rPr>
          <w:rFonts w:hint="eastAsia" w:ascii="Times New Roman" w:hAnsi="Times New Roman" w:eastAsia="宋体"/>
          <w:color w:val="auto"/>
          <w:lang w:val="en-US" w:eastAsia="zh-CN"/>
        </w:rPr>
        <w:t>1.3-6</w:t>
      </w:r>
      <w:r>
        <w:rPr>
          <w:rFonts w:ascii="Times New Roman" w:hAnsi="Times New Roman" w:eastAsia="宋体"/>
          <w:color w:val="auto"/>
        </w:rPr>
        <w:t>。</w:t>
      </w:r>
      <w:r>
        <w:rPr>
          <w:rFonts w:hint="eastAsia" w:ascii="Times New Roman" w:hAnsi="Times New Roman" w:eastAsia="宋体"/>
          <w:color w:val="auto"/>
        </w:rPr>
        <w:t>项目在</w:t>
      </w:r>
      <w:r>
        <w:rPr>
          <w:rFonts w:hint="eastAsia" w:ascii="Times New Roman" w:hAnsi="Times New Roman" w:eastAsia="宋体"/>
          <w:color w:val="auto"/>
          <w:lang w:val="en-US" w:eastAsia="zh-CN"/>
        </w:rPr>
        <w:t>昌吉州</w:t>
      </w:r>
      <w:r>
        <w:rPr>
          <w:rFonts w:ascii="Times New Roman" w:hAnsi="Times New Roman" w:eastAsia="宋体"/>
          <w:color w:val="auto"/>
        </w:rPr>
        <w:t>环境管控单元</w:t>
      </w:r>
      <w:r>
        <w:rPr>
          <w:rFonts w:hint="eastAsia" w:ascii="Times New Roman" w:hAnsi="Times New Roman" w:eastAsia="宋体"/>
          <w:color w:val="auto"/>
        </w:rPr>
        <w:t>中的位置见附图</w:t>
      </w:r>
      <w:r>
        <w:rPr>
          <w:rFonts w:ascii="Times New Roman" w:hAnsi="Times New Roman" w:eastAsia="宋体"/>
          <w:color w:val="auto"/>
        </w:rPr>
        <w:t>1</w:t>
      </w:r>
      <w:r>
        <w:rPr>
          <w:rFonts w:hint="eastAsia" w:ascii="Times New Roman" w:hAnsi="Times New Roman" w:eastAsia="宋体"/>
          <w:color w:val="auto"/>
        </w:rPr>
        <w:t>.</w:t>
      </w:r>
      <w:r>
        <w:rPr>
          <w:rFonts w:ascii="Times New Roman" w:hAnsi="Times New Roman" w:eastAsia="宋体"/>
          <w:color w:val="auto"/>
        </w:rPr>
        <w:t>3</w:t>
      </w:r>
      <w:r>
        <w:rPr>
          <w:rFonts w:hint="eastAsia" w:ascii="Times New Roman" w:hAnsi="Times New Roman" w:eastAsia="宋体"/>
          <w:color w:val="auto"/>
        </w:rPr>
        <w:t>-</w:t>
      </w:r>
      <w:r>
        <w:rPr>
          <w:rFonts w:hint="eastAsia" w:ascii="Times New Roman" w:hAnsi="Times New Roman" w:eastAsia="宋体"/>
          <w:color w:val="auto"/>
          <w:lang w:val="en-US" w:eastAsia="zh-CN"/>
        </w:rPr>
        <w:t>1</w:t>
      </w:r>
      <w:r>
        <w:rPr>
          <w:rFonts w:ascii="Times New Roman" w:hAnsi="Times New Roman" w:eastAsia="宋体"/>
          <w:color w:val="auto"/>
        </w:rPr>
        <w:t>。</w:t>
      </w:r>
    </w:p>
    <w:p w14:paraId="3F4AA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表1.3-6与木垒哈萨克自治县环境管控单元生态环境准入清单（一般管控单元）符合性分析表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33"/>
        <w:gridCol w:w="645"/>
        <w:gridCol w:w="2616"/>
        <w:gridCol w:w="2525"/>
        <w:gridCol w:w="1090"/>
      </w:tblGrid>
      <w:tr w14:paraId="646A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Align w:val="center"/>
          </w:tcPr>
          <w:p w14:paraId="0DF0B3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环境管控单元编码</w:t>
            </w:r>
          </w:p>
        </w:tc>
        <w:tc>
          <w:tcPr>
            <w:tcW w:w="381" w:type="pct"/>
            <w:vAlign w:val="center"/>
          </w:tcPr>
          <w:p w14:paraId="6C8D2D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环境管控单元名称</w:t>
            </w:r>
          </w:p>
        </w:tc>
        <w:tc>
          <w:tcPr>
            <w:tcW w:w="389" w:type="pct"/>
            <w:vAlign w:val="center"/>
          </w:tcPr>
          <w:p w14:paraId="416E6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环境管控单元类别</w:t>
            </w:r>
          </w:p>
        </w:tc>
        <w:tc>
          <w:tcPr>
            <w:tcW w:w="1577" w:type="pct"/>
            <w:vAlign w:val="center"/>
          </w:tcPr>
          <w:p w14:paraId="4D2EF9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管控要求</w:t>
            </w:r>
          </w:p>
        </w:tc>
        <w:tc>
          <w:tcPr>
            <w:tcW w:w="1522" w:type="pct"/>
            <w:vAlign w:val="center"/>
          </w:tcPr>
          <w:p w14:paraId="40D502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本项目基本情况</w:t>
            </w:r>
          </w:p>
        </w:tc>
        <w:tc>
          <w:tcPr>
            <w:tcW w:w="657" w:type="pct"/>
            <w:vAlign w:val="center"/>
          </w:tcPr>
          <w:p w14:paraId="25AEA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w:t>
            </w:r>
          </w:p>
        </w:tc>
      </w:tr>
      <w:tr w14:paraId="4007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restart"/>
            <w:vAlign w:val="center"/>
          </w:tcPr>
          <w:p w14:paraId="404C40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ZH65232830001</w:t>
            </w:r>
          </w:p>
        </w:tc>
        <w:tc>
          <w:tcPr>
            <w:tcW w:w="381" w:type="pct"/>
            <w:vMerge w:val="restart"/>
            <w:vAlign w:val="center"/>
          </w:tcPr>
          <w:p w14:paraId="2BF039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木垒哈萨 克自治县 一般管控 单元</w:t>
            </w:r>
          </w:p>
        </w:tc>
        <w:tc>
          <w:tcPr>
            <w:tcW w:w="389" w:type="pct"/>
            <w:vMerge w:val="restart"/>
            <w:vAlign w:val="center"/>
          </w:tcPr>
          <w:p w14:paraId="5F3C4F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一般管控 单元</w:t>
            </w:r>
          </w:p>
        </w:tc>
        <w:tc>
          <w:tcPr>
            <w:tcW w:w="1577" w:type="pct"/>
            <w:vAlign w:val="center"/>
          </w:tcPr>
          <w:p w14:paraId="1F5FDC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1、污染物排放执行国家和地方相关标准中普适性要求。</w:t>
            </w:r>
          </w:p>
          <w:p w14:paraId="784B60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2、加强农业面源污染治理，科学合理使用化肥农药，逐步削减农业面源污染物排放量。</w:t>
            </w:r>
          </w:p>
          <w:p w14:paraId="0FD178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3、施工工地全面落实“六个百分之百”（施工工地周边围挡、物料堆放覆盖、出入车辆冲洗、施工现场地面硬化、拆迁工地湿法作业、渣土车辆密闭运输）。</w:t>
            </w:r>
          </w:p>
        </w:tc>
        <w:tc>
          <w:tcPr>
            <w:tcW w:w="1522" w:type="pct"/>
            <w:vAlign w:val="center"/>
          </w:tcPr>
          <w:p w14:paraId="29B81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运营期产生的生产废水经黑膜池发酵处理后用于项目区周边林带施肥，骆驼粪便清运至堆肥场，经处理后外售有机肥厂</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会影响区域水和土壤环境质量，项目冬季采用电采暖，不会产生废气污染物，影响大气环境质量，固体废弃物均得到妥善处置；项目产生的废气、废水、固废等污染物均采取了严格的治理和处置措施，污染物能达标排放，采取相应措施后能够满足相关标准要求，本环评要求项目施工全面落实“六个百分之百”，施工工地周边围挡、物料堆放覆盖、出入车辆冲洗、施工现场地面硬化、拆迁工地湿法作业、渣土车辆密闭运输。</w:t>
            </w:r>
          </w:p>
        </w:tc>
        <w:tc>
          <w:tcPr>
            <w:tcW w:w="657" w:type="pct"/>
            <w:vAlign w:val="center"/>
          </w:tcPr>
          <w:p w14:paraId="2645F1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0CBB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1A2AE6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08E6CF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5BCB8B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0A7ABD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1、应符合国土空间规划要求。</w:t>
            </w:r>
          </w:p>
          <w:p w14:paraId="3C7615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2、应符合《产业结构调整指导目录（2024年本）》《市场准入负面清单（2022年版）》。</w:t>
            </w:r>
          </w:p>
        </w:tc>
        <w:tc>
          <w:tcPr>
            <w:tcW w:w="1522" w:type="pct"/>
            <w:vAlign w:val="center"/>
          </w:tcPr>
          <w:p w14:paraId="7D3C9B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木垒县博斯坦乡阿克卓勒村</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b w:val="0"/>
                <w:strike w:val="0"/>
                <w:dstrike w:val="0"/>
                <w:color w:val="auto"/>
                <w:sz w:val="21"/>
                <w:lang w:val="en-US" w:eastAsia="zh-CN"/>
              </w:rPr>
              <w:t>用地性质为设施农用地，</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符合国土空间规划，</w:t>
            </w:r>
            <w:r>
              <w:rPr>
                <w:rFonts w:ascii="Times New Roman" w:hAnsi="Times New Roman" w:eastAsia="宋体" w:cs="宋体"/>
                <w:b w:val="0"/>
                <w:i w:val="0"/>
                <w:iCs w:val="0"/>
                <w:strike w:val="0"/>
                <w:dstrike w:val="0"/>
                <w:color w:val="auto"/>
                <w:kern w:val="0"/>
                <w:sz w:val="21"/>
                <w:szCs w:val="34"/>
                <w:highlight w:val="none"/>
                <w:u w:val="none"/>
                <w:lang w:val="en-US" w:eastAsia="zh-CN" w:bidi="ar"/>
              </w:rPr>
              <w:t>对照国家发展改革委和商务部发布的《市场准入负面清单</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202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5</w:t>
            </w:r>
            <w:r>
              <w:rPr>
                <w:rFonts w:ascii="Times New Roman" w:hAnsi="Times New Roman" w:eastAsia="宋体" w:cs="宋体"/>
                <w:b w:val="0"/>
                <w:i w:val="0"/>
                <w:iCs w:val="0"/>
                <w:strike w:val="0"/>
                <w:dstrike w:val="0"/>
                <w:color w:val="auto"/>
                <w:kern w:val="0"/>
                <w:sz w:val="21"/>
                <w:szCs w:val="34"/>
                <w:highlight w:val="none"/>
                <w:u w:val="none"/>
                <w:lang w:val="en-US" w:eastAsia="zh-CN" w:bidi="ar"/>
              </w:rPr>
              <w:t>年版</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属于许可准入类</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，符合《产业结构调整指导目录（2024年本）》。</w:t>
            </w:r>
          </w:p>
        </w:tc>
        <w:tc>
          <w:tcPr>
            <w:tcW w:w="657" w:type="pct"/>
            <w:vAlign w:val="center"/>
          </w:tcPr>
          <w:p w14:paraId="71471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37AC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07FF49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1DC771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27EA5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4E3802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1、执行区域生态环境保护的基本要求。</w:t>
            </w:r>
          </w:p>
          <w:p w14:paraId="7CE437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2、执行昌吉州总体准入清单中的要求。</w:t>
            </w:r>
          </w:p>
        </w:tc>
        <w:tc>
          <w:tcPr>
            <w:tcW w:w="1522" w:type="pct"/>
            <w:vAlign w:val="center"/>
          </w:tcPr>
          <w:p w14:paraId="18E1F7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所在地不涉及自然保护区、风景名胜区等各类保护地边界、江河、湖库以及海岸等向陆域延伸一定距离的边界、地理国情普查、全国土地调查、森林草原湿地荒漠等，项目运营期产生的粪污均外售，不会影响区域水和土壤环境质量，项目冬季采用电采暖，不会产生废气污染物，影响大气环境质量，本项目固体废弃物均得到妥善处置。</w:t>
            </w:r>
          </w:p>
        </w:tc>
        <w:tc>
          <w:tcPr>
            <w:tcW w:w="657" w:type="pct"/>
            <w:vAlign w:val="center"/>
          </w:tcPr>
          <w:p w14:paraId="7193E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15F5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38BDFB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46CF7E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1BA266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0BA508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1、执行区域资源能源利用的基本要求。</w:t>
            </w:r>
          </w:p>
          <w:p w14:paraId="4876D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2、执行昌吉州总体准入清单中的要求。</w:t>
            </w:r>
          </w:p>
        </w:tc>
        <w:tc>
          <w:tcPr>
            <w:tcW w:w="1522" w:type="pct"/>
            <w:vAlign w:val="center"/>
          </w:tcPr>
          <w:p w14:paraId="33272F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sz w:val="21"/>
                <w:szCs w:val="34"/>
                <w:highlight w:val="none"/>
                <w:u w:val="none"/>
              </w:rPr>
              <w:t>本项目属于骆驼养殖项目，主要利用当地土地资源、电能、水资源，项目区占地类型为设施农业用地，不涉及基本农田等占地，项目用水由农村供水管网供给，用电来自当地供电网，本项目的用水、用电不会对供水和供电单位产生负担。</w:t>
            </w:r>
          </w:p>
        </w:tc>
        <w:tc>
          <w:tcPr>
            <w:tcW w:w="657" w:type="pct"/>
            <w:vAlign w:val="center"/>
          </w:tcPr>
          <w:p w14:paraId="629F81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40E7958F">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w:t>
      </w:r>
      <w:r>
        <w:rPr>
          <w:rFonts w:hint="eastAsia" w:ascii="Times New Roman" w:hAnsi="Times New Roman" w:eastAsia="宋体"/>
          <w:strike w:val="0"/>
          <w:dstrike w:val="0"/>
          <w:color w:val="auto"/>
          <w:highlight w:val="none"/>
        </w:rPr>
        <w:t>本项目的建设符合《关于印发&lt;新疆维吾尔自治区生态环境分区管控动态更新成果&gt;的通知》（新环环评发〔2024〕157号）</w:t>
      </w:r>
      <w:r>
        <w:rPr>
          <w:rFonts w:hint="eastAsia" w:ascii="Times New Roman" w:hAnsi="Times New Roman" w:eastAsia="宋体"/>
          <w:strike w:val="0"/>
          <w:dstrike w:val="0"/>
          <w:color w:val="auto"/>
          <w:highlight w:val="none"/>
          <w:lang w:eastAsia="zh-CN"/>
        </w:rPr>
        <w:t>、《关于发布昌吉回族自治州生态环境分区管控动态更新成果的公告》</w:t>
      </w:r>
      <w:r>
        <w:rPr>
          <w:rFonts w:hint="eastAsia" w:ascii="Times New Roman" w:hAnsi="Times New Roman" w:eastAsia="宋体"/>
          <w:strike w:val="0"/>
          <w:dstrike w:val="0"/>
          <w:color w:val="auto"/>
          <w:highlight w:val="none"/>
          <w:lang w:val="en-US" w:eastAsia="zh-CN"/>
        </w:rPr>
        <w:t>和《关于发布昌吉回族自治州生态环境分区管控动态更新成果的公告》相关要求。</w:t>
      </w:r>
      <w:bookmarkStart w:id="18" w:name="_Toc106663417"/>
    </w:p>
    <w:p w14:paraId="263B4474">
      <w:pPr>
        <w:pStyle w:val="4"/>
        <w:rPr>
          <w:rFonts w:hint="eastAsia" w:ascii="Times New Roman" w:hAnsi="Times New Roman" w:eastAsia="宋体" w:cs="Times New Roman"/>
          <w:strike w:val="0"/>
          <w:dstrike w:val="0"/>
          <w:color w:val="auto"/>
          <w:highlight w:val="none"/>
        </w:rPr>
      </w:pPr>
      <w:bookmarkStart w:id="19" w:name="_Toc28838"/>
      <w:r>
        <w:rPr>
          <w:rFonts w:hint="eastAsia" w:ascii="Times New Roman" w:hAnsi="Times New Roman" w:eastAsia="宋体" w:cs="Times New Roman"/>
          <w:strike w:val="0"/>
          <w:dstrike w:val="0"/>
          <w:color w:val="auto"/>
          <w:highlight w:val="none"/>
        </w:rPr>
        <w:t>1.3.</w:t>
      </w:r>
      <w:r>
        <w:rPr>
          <w:rFonts w:hint="eastAsia" w:ascii="Times New Roman" w:hAnsi="Times New Roman" w:eastAsia="宋体" w:cs="Times New Roman"/>
          <w:strike w:val="0"/>
          <w:dstrike w:val="0"/>
          <w:color w:val="auto"/>
          <w:highlight w:val="none"/>
          <w:lang w:val="en-US" w:eastAsia="zh-CN"/>
        </w:rPr>
        <w:t>4</w:t>
      </w:r>
      <w:r>
        <w:rPr>
          <w:rFonts w:hint="eastAsia" w:ascii="Times New Roman" w:hAnsi="Times New Roman" w:eastAsia="宋体" w:cs="Times New Roman"/>
          <w:strike w:val="0"/>
          <w:dstrike w:val="0"/>
          <w:color w:val="auto"/>
          <w:highlight w:val="none"/>
        </w:rPr>
        <w:t>选址合理性</w:t>
      </w:r>
      <w:bookmarkEnd w:id="18"/>
      <w:bookmarkEnd w:id="19"/>
    </w:p>
    <w:p w14:paraId="7673666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.1与《畜禽规模养殖污染防治条例》（国务院令第643号）、《畜禽养殖业污染防治技术规范》（HJ/T81-2001）、《畜禽养殖业污染防治技术政策》（环发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）的符合性分析</w:t>
      </w:r>
    </w:p>
    <w:p w14:paraId="2A5A81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本项目与《畜禽规模养殖污染防治条例》（国务院令第643号）、《畜禽养殖业污染防治技术规范》（HJ/T81-2001）、《畜禽养殖业污染防治技术政策》（环发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）的符合性分析见表1.3-</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325353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表1.3-7选址合理性分析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3239"/>
        <w:gridCol w:w="2513"/>
        <w:gridCol w:w="788"/>
      </w:tblGrid>
      <w:tr w14:paraId="3808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74926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w:t>
            </w:r>
          </w:p>
        </w:tc>
        <w:tc>
          <w:tcPr>
            <w:tcW w:w="2007" w:type="pct"/>
            <w:vAlign w:val="center"/>
          </w:tcPr>
          <w:p w14:paraId="6151AE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要求</w:t>
            </w:r>
          </w:p>
        </w:tc>
        <w:tc>
          <w:tcPr>
            <w:tcW w:w="1569" w:type="pct"/>
            <w:vAlign w:val="center"/>
          </w:tcPr>
          <w:p w14:paraId="2D6C55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符合性分析</w:t>
            </w:r>
          </w:p>
        </w:tc>
        <w:tc>
          <w:tcPr>
            <w:tcW w:w="529" w:type="pct"/>
            <w:vAlign w:val="center"/>
          </w:tcPr>
          <w:p w14:paraId="2DE9CF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w:t>
            </w:r>
          </w:p>
        </w:tc>
      </w:tr>
      <w:tr w14:paraId="23F2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227D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《畜禽规模养殖污染防治条例》（国务院令第643号）第二章第十一条</w:t>
            </w:r>
          </w:p>
        </w:tc>
        <w:tc>
          <w:tcPr>
            <w:tcW w:w="2007" w:type="pct"/>
            <w:vAlign w:val="center"/>
          </w:tcPr>
          <w:p w14:paraId="5F1BCA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禁止在下列区域内建设畜禽养殖场、养殖小区：</w:t>
            </w:r>
          </w:p>
          <w:p w14:paraId="1389B8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①饮用水水源保护区，风景名胜区；</w:t>
            </w:r>
          </w:p>
          <w:p w14:paraId="634BD0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②自然保护区的核心区和缓冲区；</w:t>
            </w:r>
          </w:p>
          <w:p w14:paraId="7BFF38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③城镇居民区、文化教育科学研究区等人口集中区域；</w:t>
            </w:r>
          </w:p>
          <w:p w14:paraId="028F4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④法律、法规规定的其他禁止养殖区域。</w:t>
            </w:r>
          </w:p>
        </w:tc>
        <w:tc>
          <w:tcPr>
            <w:tcW w:w="1569" w:type="pct"/>
            <w:vAlign w:val="center"/>
          </w:tcPr>
          <w:p w14:paraId="79122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red"/>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本项目的选址不在当地政府划定的禁养区及限养区</w:t>
            </w:r>
            <w:r>
              <w:rPr>
                <w:rFonts w:hint="eastAsia" w:ascii="Times New Roman" w:hAnsi="Times New Roman" w:eastAsia="宋体"/>
                <w:strike w:val="0"/>
                <w:dstrike w:val="0"/>
                <w:color w:val="auto"/>
                <w:sz w:val="21"/>
                <w:highlight w:val="none"/>
                <w:vertAlign w:val="baseline"/>
                <w:lang w:val="en-US" w:eastAsia="zh-CN"/>
              </w:rPr>
              <w:t>，本项目与禁养区、限养区位置关系见附图1.3-2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，本项目不涉饮用水水源保护区、风景名胜区、自然保护区；项目位于昌吉木垒县博斯坦乡阿克卓勒村，不涉及城镇居民区、文化教育科学研究区等人口集中区域。</w:t>
            </w:r>
          </w:p>
        </w:tc>
        <w:tc>
          <w:tcPr>
            <w:tcW w:w="529" w:type="pct"/>
            <w:vAlign w:val="center"/>
          </w:tcPr>
          <w:p w14:paraId="40C5D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7C31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A77DF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《畜禽养殖业污染防治技术规范》（HJ/T81-2001）</w:t>
            </w:r>
          </w:p>
        </w:tc>
        <w:tc>
          <w:tcPr>
            <w:tcW w:w="2007" w:type="pct"/>
            <w:vAlign w:val="center"/>
          </w:tcPr>
          <w:p w14:paraId="038708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止在下列区域内建设畜禽养殖场：a.生活饮用水水源保护区，风景名胜区、自然保护区的核心区和缓冲区；b.城市和城镇居民区，包括文教科研区、医疗区、商业区、工业区、游览区等人口集中地区；c.县级人民政府依法划定的禁养区域；d.国家或地方法律、法规规定需特殊保护的其他区域。</w:t>
            </w:r>
          </w:p>
          <w:p w14:paraId="64B259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新建改建、扩建的畜禽养殖场选址应避开以上禁建区域。在禁建区域附近建设的，应设在禁建区域常年主导风向的下风向或侧风向处，场界与禁建区域边界的最小距离不得小于500m。</w:t>
            </w:r>
          </w:p>
        </w:tc>
        <w:tc>
          <w:tcPr>
            <w:tcW w:w="1569" w:type="pct"/>
            <w:vAlign w:val="center"/>
          </w:tcPr>
          <w:p w14:paraId="0E730A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不涉饮用水水源保护区、风景名胜区、自然保护区；项目位于昌吉木垒县博斯坦乡阿克卓勒村，不涉及城镇居民区、文化教育科学研究区等人口集中区域；本项目的选址不在当地政府划定的禁养区及限养区，本项目与禁养区、限养区位置关系见附图1.3-2，项目区常年主导风向为西风，项目区主导风向下风向无居民区</w:t>
            </w:r>
          </w:p>
        </w:tc>
        <w:tc>
          <w:tcPr>
            <w:tcW w:w="529" w:type="pct"/>
            <w:vAlign w:val="center"/>
          </w:tcPr>
          <w:p w14:paraId="2221AE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0E15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60202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《畜禽养殖业污染防治技术政策》（环发〔2010〕151号）</w:t>
            </w:r>
          </w:p>
        </w:tc>
        <w:tc>
          <w:tcPr>
            <w:tcW w:w="2007" w:type="pct"/>
            <w:vAlign w:val="center"/>
          </w:tcPr>
          <w:p w14:paraId="626B02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污染防治应遵循以下技术原则：“全面规划、合理布局，贯彻执行当地人民政府颁布的畜禽养殖区划，严格遵守‘禁养区’和‘限养区’的规定，已有的畜禽养殖场（小区）应限期搬迁；结合当地城乡总体规划、环境保护规划和畜牧业发展规划，做好畜禽养殖污染防治规划，优化规模化畜禽养殖场（小区）及其污染防治设施的布局，避开饮用水水源地等环境敏感区域。”</w:t>
            </w:r>
          </w:p>
        </w:tc>
        <w:tc>
          <w:tcPr>
            <w:tcW w:w="1569" w:type="pct"/>
            <w:vAlign w:val="center"/>
          </w:tcPr>
          <w:p w14:paraId="4215EB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本项目的建设布局在设计阶段进行了合理规划和布局，处于最近的保护目标常年主导风向的侧风向；本项目与禁养区、限养区位置关系见附图1.3-2；本项目不涉及饮水水源地等环境敏感区域；</w:t>
            </w:r>
          </w:p>
        </w:tc>
        <w:tc>
          <w:tcPr>
            <w:tcW w:w="529" w:type="pct"/>
            <w:vAlign w:val="center"/>
          </w:tcPr>
          <w:p w14:paraId="684A3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5B4B5225">
      <w:pPr>
        <w:pStyle w:val="3"/>
        <w:rPr>
          <w:rFonts w:ascii="Times New Roman" w:hAnsi="Times New Roman" w:eastAsia="宋体"/>
          <w:strike w:val="0"/>
          <w:dstrike w:val="0"/>
          <w:color w:val="auto"/>
          <w:highlight w:val="none"/>
        </w:rPr>
      </w:pPr>
      <w:bookmarkStart w:id="20" w:name="_Toc15337"/>
      <w:bookmarkStart w:id="21" w:name="_Toc89619321"/>
      <w:r>
        <w:rPr>
          <w:rFonts w:hint="eastAsia" w:ascii="Times New Roman" w:hAnsi="Times New Roman" w:eastAsia="宋体"/>
          <w:strike w:val="0"/>
          <w:dstrike w:val="0"/>
          <w:color w:val="auto"/>
          <w:highlight w:val="none"/>
        </w:rPr>
        <w:t>1.4关注的主要环境问题</w:t>
      </w:r>
      <w:bookmarkEnd w:id="20"/>
      <w:bookmarkEnd w:id="21"/>
    </w:p>
    <w:p w14:paraId="0600979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本项目为养殖类项目，本次评价主要关注的环境问题是建设项目投入营运后主要污染物的产生、控制和对周边环境的影响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本项目关注的环境问题是：</w:t>
      </w:r>
    </w:p>
    <w:p w14:paraId="7990DD9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大气：本项目运营期大气环境影响主要为</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圈舍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堆肥厂、黑膜池</w:t>
      </w:r>
      <w:r>
        <w:rPr>
          <w:rFonts w:ascii="Times New Roman" w:hAnsi="Times New Roman" w:eastAsia="宋体"/>
          <w:strike w:val="0"/>
          <w:dstrike w:val="0"/>
          <w:color w:val="auto"/>
          <w:highlight w:val="none"/>
        </w:rPr>
        <w:t>产生的臭气对周围环境的影响，主要特征污染物有NH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S，环评中重点关注运营期养殖圈舍产生的NH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S的排放情况，分析本项目建成后，运营期对项目区的影响程度</w:t>
      </w:r>
      <w:r>
        <w:rPr>
          <w:rFonts w:hint="eastAsia" w:ascii="Times New Roman" w:hAnsi="Times New Roman" w:eastAsia="宋体"/>
          <w:strike w:val="0"/>
          <w:dstrike w:val="0"/>
          <w:color w:val="auto"/>
          <w:highlight w:val="none"/>
          <w:lang w:eastAsia="zh-CN"/>
        </w:rPr>
        <w:t>。</w:t>
      </w:r>
    </w:p>
    <w:p w14:paraId="4344135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水环境：运营期污水排放去向及对周边水环境的影响；</w:t>
      </w:r>
    </w:p>
    <w:p w14:paraId="3D20FA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（3）</w:t>
      </w:r>
      <w:r>
        <w:rPr>
          <w:rFonts w:ascii="Times New Roman" w:hAnsi="Times New Roman" w:eastAsia="宋体"/>
          <w:strike w:val="0"/>
          <w:dstrike w:val="0"/>
          <w:color w:val="auto"/>
          <w:highlight w:val="none"/>
        </w:rPr>
        <w:t>固体废物：运营期粪污、病死</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分娩废弃物（胎衣、死胎、胎盘附属物）、废弃包装物、生活垃圾、医疗废物</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黑膜池污泥</w:t>
      </w:r>
      <w:r>
        <w:rPr>
          <w:rFonts w:ascii="Times New Roman" w:hAnsi="Times New Roman" w:eastAsia="宋体"/>
          <w:strike w:val="0"/>
          <w:dstrike w:val="0"/>
          <w:color w:val="auto"/>
          <w:highlight w:val="none"/>
        </w:rPr>
        <w:t>等固体废弃物的处置合理性及其对周边环境的影响</w:t>
      </w:r>
      <w:r>
        <w:rPr>
          <w:rFonts w:hint="eastAsia" w:ascii="Times New Roman" w:hAnsi="Times New Roman" w:eastAsia="宋体"/>
          <w:strike w:val="0"/>
          <w:dstrike w:val="0"/>
          <w:color w:val="auto"/>
          <w:highlight w:val="none"/>
          <w:lang w:eastAsia="zh-CN"/>
        </w:rPr>
        <w:t>。</w:t>
      </w:r>
    </w:p>
    <w:p w14:paraId="4B5DC4EA">
      <w:pPr>
        <w:pStyle w:val="3"/>
        <w:rPr>
          <w:rFonts w:ascii="Times New Roman" w:hAnsi="Times New Roman" w:eastAsia="宋体"/>
          <w:strike w:val="0"/>
          <w:dstrike w:val="0"/>
          <w:color w:val="auto"/>
          <w:highlight w:val="none"/>
        </w:rPr>
      </w:pPr>
      <w:bookmarkStart w:id="22" w:name="_Toc89619322"/>
      <w:bookmarkStart w:id="23" w:name="_Toc18623"/>
      <w:r>
        <w:rPr>
          <w:rFonts w:hint="eastAsia" w:ascii="Times New Roman" w:hAnsi="Times New Roman" w:eastAsia="宋体"/>
          <w:strike w:val="0"/>
          <w:dstrike w:val="0"/>
          <w:color w:val="auto"/>
          <w:highlight w:val="none"/>
        </w:rPr>
        <w:t>1.5环评报告书的主要结论</w:t>
      </w:r>
      <w:bookmarkEnd w:id="22"/>
      <w:bookmarkEnd w:id="23"/>
    </w:p>
    <w:p w14:paraId="677BC80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本项目为养殖类项目，属于《</w:t>
      </w:r>
      <w:r>
        <w:rPr>
          <w:rFonts w:hint="eastAsia" w:ascii="Times New Roman" w:hAnsi="Times New Roman" w:eastAsia="宋体"/>
          <w:strike w:val="0"/>
          <w:dstrike w:val="0"/>
          <w:color w:val="auto"/>
          <w:highlight w:val="none"/>
          <w:lang w:eastAsia="zh-CN"/>
        </w:rPr>
        <w:t>产业结构调整指导目录（2024年本）</w:t>
      </w:r>
      <w:r>
        <w:rPr>
          <w:rFonts w:ascii="Times New Roman" w:hAnsi="Times New Roman" w:eastAsia="宋体"/>
          <w:strike w:val="0"/>
          <w:dstrike w:val="0"/>
          <w:color w:val="auto"/>
          <w:highlight w:val="none"/>
        </w:rPr>
        <w:t>》中的鼓励类项目，符合国家产业政策要求</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本工程建成投产后，</w:t>
      </w:r>
      <w:r>
        <w:rPr>
          <w:rFonts w:hint="eastAsia" w:ascii="Times New Roman" w:hAnsi="Times New Roman" w:eastAsia="宋体"/>
          <w:strike w:val="0"/>
          <w:dstrike w:val="0"/>
          <w:color w:val="auto"/>
          <w:highlight w:val="none"/>
          <w:lang w:val="en-US" w:eastAsia="zh-CN"/>
        </w:rPr>
        <w:t>生活污水和生产废水经地下排污管道自流至舍外黑膜池，发酵处理后用于项目区周边林带施肥</w:t>
      </w:r>
      <w:r>
        <w:rPr>
          <w:rFonts w:ascii="Times New Roman" w:hAnsi="Times New Roman" w:eastAsia="宋体"/>
          <w:strike w:val="0"/>
          <w:dstrike w:val="0"/>
          <w:color w:val="auto"/>
          <w:highlight w:val="none"/>
        </w:rPr>
        <w:t>、固废合理处置，</w:t>
      </w:r>
      <w:r>
        <w:rPr>
          <w:rFonts w:hint="eastAsia" w:ascii="Times New Roman" w:hAnsi="Times New Roman" w:eastAsia="宋体"/>
          <w:strike w:val="0"/>
          <w:dstrike w:val="0"/>
          <w:color w:val="auto"/>
          <w:highlight w:val="none"/>
          <w:lang w:val="en-US" w:eastAsia="zh-CN"/>
        </w:rPr>
        <w:t>骆驼粪便定期清运至堆肥场，经过处理后作为有机肥外售</w:t>
      </w:r>
      <w:r>
        <w:rPr>
          <w:rFonts w:ascii="Times New Roman" w:hAnsi="Times New Roman" w:eastAsia="宋体"/>
          <w:strike w:val="0"/>
          <w:dstrike w:val="0"/>
          <w:color w:val="auto"/>
          <w:highlight w:val="none"/>
        </w:rPr>
        <w:t>，把污染物转变为经济优势和产品优势，有利于</w:t>
      </w:r>
      <w:r>
        <w:rPr>
          <w:rFonts w:hint="eastAsia" w:ascii="Times New Roman" w:hAnsi="Times New Roman" w:eastAsia="宋体"/>
          <w:strike w:val="0"/>
          <w:dstrike w:val="0"/>
          <w:color w:val="auto"/>
          <w:highlight w:val="none"/>
          <w:lang w:eastAsia="zh-CN"/>
        </w:rPr>
        <w:t>木垒县</w:t>
      </w:r>
      <w:r>
        <w:rPr>
          <w:rFonts w:ascii="Times New Roman" w:hAnsi="Times New Roman" w:eastAsia="宋体"/>
          <w:strike w:val="0"/>
          <w:dstrike w:val="0"/>
          <w:color w:val="auto"/>
          <w:highlight w:val="none"/>
        </w:rPr>
        <w:t>发展经济的同时，还促进了地方养殖业的蓬勃发展，为社会稳定和解决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问题做出良好贡献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工程具有很好的环境效益和社会效益，场区布置合理，工程主要采取的环境保护措施较为可行，污染物能够实现达标排放，饲养工艺先进，总体清洁水平良好，通过采取报告书中提出的各项环境保护措施，项目对环境的影响可降低到当地环境能够容许的程度，不会对周围环境产生明显影响和环境质量功能的改变</w:t>
      </w:r>
      <w:r>
        <w:rPr>
          <w:rFonts w:hint="eastAsia" w:ascii="Times New Roman" w:hAnsi="Times New Roman" w:eastAsia="宋体"/>
          <w:strike w:val="0"/>
          <w:dstrike w:val="0"/>
          <w:color w:val="auto"/>
          <w:highlight w:val="none"/>
          <w:lang w:eastAsia="zh-CN"/>
        </w:rPr>
        <w:t>。</w:t>
      </w:r>
    </w:p>
    <w:p w14:paraId="5D3F835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综上所述，本项目符合国家的产业政策导向，选址合理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只要有效实施本环评报告所提出的有关防治措施，保证废弃物资源化利用，对周围环境影响较小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因此，从环保角度来讲，本建设项目实施是可行的</w:t>
      </w:r>
      <w:r>
        <w:rPr>
          <w:rFonts w:hint="eastAsia" w:ascii="Times New Roman" w:hAnsi="Times New Roman" w:eastAsia="宋体"/>
          <w:strike w:val="0"/>
          <w:dstrike w:val="0"/>
          <w:color w:val="auto"/>
          <w:highlight w:val="none"/>
          <w:lang w:eastAsia="zh-CN"/>
        </w:rPr>
        <w:t>。</w:t>
      </w:r>
    </w:p>
    <w:p w14:paraId="573FDADF">
      <w:pPr>
        <w:ind w:firstLine="480"/>
        <w:rPr>
          <w:rFonts w:ascii="Times New Roman" w:hAnsi="Times New Roman" w:eastAsia="宋体"/>
          <w:strike w:val="0"/>
          <w:dstrike w:val="0"/>
          <w:color w:val="auto"/>
          <w:highlight w:val="none"/>
        </w:rPr>
      </w:pPr>
    </w:p>
    <w:p w14:paraId="6EC6BA48">
      <w:pPr>
        <w:ind w:firstLine="480"/>
        <w:rPr>
          <w:rFonts w:ascii="Times New Roman" w:hAnsi="Times New Roman" w:eastAsia="宋体"/>
          <w:strike w:val="0"/>
          <w:dstrike w:val="0"/>
          <w:color w:val="auto"/>
          <w:highlight w:val="none"/>
        </w:rPr>
        <w:sectPr>
          <w:footerReference r:id="rId13" w:type="first"/>
          <w:footerReference r:id="rId11" w:type="default"/>
          <w:footerReference r:id="rId12"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titlePg/>
          <w:docGrid w:type="lines" w:linePitch="326" w:charSpace="0"/>
        </w:sectPr>
      </w:pPr>
    </w:p>
    <w:p w14:paraId="41523284">
      <w:pPr>
        <w:pStyle w:val="2"/>
        <w:rPr>
          <w:rFonts w:ascii="Times New Roman" w:hAnsi="Times New Roman" w:eastAsia="宋体"/>
          <w:strike w:val="0"/>
          <w:dstrike w:val="0"/>
          <w:color w:val="auto"/>
          <w:highlight w:val="none"/>
        </w:rPr>
      </w:pPr>
      <w:bookmarkStart w:id="24" w:name="_Toc89619323"/>
      <w:bookmarkStart w:id="25" w:name="_Toc71394703"/>
      <w:bookmarkStart w:id="26" w:name="_Toc9363"/>
      <w:r>
        <w:rPr>
          <w:rFonts w:hint="eastAsia" w:ascii="Times New Roman" w:hAnsi="Times New Roman" w:eastAsia="宋体"/>
          <w:strike w:val="0"/>
          <w:dstrike w:val="0"/>
          <w:color w:val="auto"/>
          <w:highlight w:val="none"/>
        </w:rPr>
        <w:t>2、总论</w:t>
      </w:r>
      <w:bookmarkEnd w:id="24"/>
      <w:bookmarkEnd w:id="25"/>
      <w:bookmarkEnd w:id="26"/>
    </w:p>
    <w:p w14:paraId="29D92BB1">
      <w:pPr>
        <w:pStyle w:val="3"/>
        <w:rPr>
          <w:rFonts w:ascii="Times New Roman" w:hAnsi="Times New Roman" w:eastAsia="宋体"/>
          <w:strike w:val="0"/>
          <w:dstrike w:val="0"/>
          <w:color w:val="auto"/>
          <w:highlight w:val="none"/>
        </w:rPr>
      </w:pPr>
      <w:bookmarkStart w:id="27" w:name="_Toc24450"/>
      <w:bookmarkStart w:id="28" w:name="_Toc89619324"/>
      <w:bookmarkStart w:id="29" w:name="_Toc71394704"/>
      <w:r>
        <w:rPr>
          <w:rFonts w:hint="eastAsia" w:ascii="Times New Roman" w:hAnsi="Times New Roman" w:eastAsia="宋体"/>
          <w:strike w:val="0"/>
          <w:dstrike w:val="0"/>
          <w:color w:val="auto"/>
          <w:highlight w:val="none"/>
        </w:rPr>
        <w:t>2.1编制依据</w:t>
      </w:r>
      <w:bookmarkEnd w:id="27"/>
      <w:bookmarkEnd w:id="28"/>
      <w:bookmarkEnd w:id="29"/>
    </w:p>
    <w:p w14:paraId="54B68098">
      <w:pPr>
        <w:pStyle w:val="4"/>
        <w:rPr>
          <w:rFonts w:ascii="Times New Roman" w:hAnsi="Times New Roman" w:eastAsia="宋体"/>
          <w:strike w:val="0"/>
          <w:dstrike w:val="0"/>
          <w:color w:val="auto"/>
          <w:highlight w:val="none"/>
        </w:rPr>
      </w:pPr>
      <w:bookmarkStart w:id="30" w:name="_Toc801"/>
      <w:bookmarkStart w:id="31" w:name="_Toc106663422"/>
      <w:r>
        <w:rPr>
          <w:rFonts w:hint="eastAsia" w:ascii="Times New Roman" w:hAnsi="Times New Roman" w:eastAsia="宋体"/>
          <w:strike w:val="0"/>
          <w:dstrike w:val="0"/>
          <w:color w:val="auto"/>
          <w:highlight w:val="none"/>
        </w:rPr>
        <w:t>2.1.1国家法律、法规</w:t>
      </w:r>
      <w:bookmarkEnd w:id="30"/>
      <w:bookmarkEnd w:id="31"/>
    </w:p>
    <w:p w14:paraId="3F24561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（1）《中华人民共和国环境保护法》（2015.01.01）；</w:t>
      </w:r>
    </w:p>
    <w:p w14:paraId="574CAB1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（2）《中华人民共和国环境影响评价法》（2018.12.29）；</w:t>
      </w:r>
    </w:p>
    <w:p w14:paraId="6C54B63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（3）《中华人民共和国大气污染防治法》（2018.12.29修正）；</w:t>
      </w:r>
    </w:p>
    <w:p w14:paraId="47BD211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（4）《中华人民共和国水污染防治法》（2018.01.01）；</w:t>
      </w:r>
    </w:p>
    <w:p w14:paraId="0D5530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（5）《中华人民共和国环境噪声污染防治法》（202</w:t>
      </w:r>
      <w:r>
        <w:rPr>
          <w:rFonts w:hint="eastAsia" w:ascii="Times New Roman" w:hAnsi="Times New Roman" w:eastAsia="宋体"/>
          <w:strike w:val="0"/>
          <w:dstrike w:val="0"/>
          <w:color w:val="auto"/>
          <w:highlight w:val="none"/>
          <w:lang w:val="en-US" w:eastAsia="zh-CN"/>
        </w:rPr>
        <w:t>2.6.5</w:t>
      </w:r>
      <w:r>
        <w:rPr>
          <w:rFonts w:hint="eastAsia" w:ascii="Times New Roman" w:hAnsi="Times New Roman" w:eastAsia="宋体"/>
          <w:strike w:val="0"/>
          <w:dstrike w:val="0"/>
          <w:color w:val="auto"/>
          <w:highlight w:val="none"/>
        </w:rPr>
        <w:t>）；</w:t>
      </w:r>
    </w:p>
    <w:p w14:paraId="6197D45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（6）《中华人民共和国固体废物污染环境防治法》（2020.4.29）；</w:t>
      </w:r>
    </w:p>
    <w:p w14:paraId="5ABEB1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（7）《中华人民共和国土壤污染防治法》（2019.01.01）；</w:t>
      </w:r>
    </w:p>
    <w:p w14:paraId="1BE4DF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（8）《中华人民共和国水法（2016年修订）》（2016.09.01）；</w:t>
      </w:r>
    </w:p>
    <w:p w14:paraId="5080F2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（9）《中华人民共和国水土保持法（2010年修订）》（2011.03.01）；</w:t>
      </w:r>
    </w:p>
    <w:p w14:paraId="0754F89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（10）《中华人民共和国清洁生产促进法》（2012.07.01）；</w:t>
      </w:r>
    </w:p>
    <w:p w14:paraId="0BB8E17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（11）《中华人民共和国节约能源法》（2018年10月修订）；</w:t>
      </w:r>
    </w:p>
    <w:p w14:paraId="66B4D1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（12）《中华人民共和国循环经济促进法》（2018年10月修订）；</w:t>
      </w:r>
    </w:p>
    <w:p w14:paraId="06EF738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（13）《建设项目环境保护管理条例》（国务院令第682号，2017.10.1）；</w:t>
      </w:r>
    </w:p>
    <w:p w14:paraId="6C975B6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（14）《中华人民共和国畜牧法（修订）》（20</w:t>
      </w:r>
      <w:r>
        <w:rPr>
          <w:rFonts w:hint="eastAsia" w:ascii="Times New Roman" w:hAnsi="Times New Roman" w:eastAsia="宋体"/>
          <w:strike w:val="0"/>
          <w:dstrike w:val="0"/>
          <w:color w:val="auto"/>
          <w:highlight w:val="none"/>
          <w:lang w:val="en-US" w:eastAsia="zh-CN"/>
        </w:rPr>
        <w:t>23</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日）；</w:t>
      </w:r>
    </w:p>
    <w:p w14:paraId="5C7547E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（15）《中华人民共和国动物防疫法（修订）》（20</w:t>
      </w:r>
      <w:r>
        <w:rPr>
          <w:rFonts w:hint="eastAsia" w:ascii="Times New Roman" w:hAnsi="Times New Roman" w:eastAsia="宋体"/>
          <w:strike w:val="0"/>
          <w:dstrike w:val="0"/>
          <w:color w:val="auto"/>
          <w:highlight w:val="none"/>
          <w:lang w:val="en-US" w:eastAsia="zh-CN"/>
        </w:rPr>
        <w:t>21</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22</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修订</w:t>
      </w:r>
      <w:r>
        <w:rPr>
          <w:rFonts w:hint="eastAsia" w:ascii="Times New Roman" w:hAnsi="Times New Roman" w:eastAsia="宋体"/>
          <w:strike w:val="0"/>
          <w:dstrike w:val="0"/>
          <w:color w:val="auto"/>
          <w:highlight w:val="none"/>
        </w:rPr>
        <w:t>）；</w:t>
      </w:r>
    </w:p>
    <w:p w14:paraId="79A3226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（16）《畜禽规模养殖污染防治条例》（20</w:t>
      </w:r>
      <w:r>
        <w:rPr>
          <w:rFonts w:hint="eastAsia" w:ascii="Times New Roman" w:hAnsi="Times New Roman" w:eastAsia="宋体"/>
          <w:strike w:val="0"/>
          <w:dstrike w:val="0"/>
          <w:color w:val="auto"/>
          <w:highlight w:val="none"/>
          <w:lang w:val="en-US" w:eastAsia="zh-CN"/>
        </w:rPr>
        <w:t>14</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788687DE">
      <w:pPr>
        <w:pStyle w:val="4"/>
        <w:rPr>
          <w:rFonts w:ascii="Times New Roman" w:hAnsi="Times New Roman" w:eastAsia="宋体"/>
          <w:strike w:val="0"/>
          <w:dstrike w:val="0"/>
          <w:color w:val="auto"/>
          <w:highlight w:val="none"/>
        </w:rPr>
      </w:pPr>
      <w:bookmarkStart w:id="32" w:name="_Toc7153"/>
      <w:bookmarkStart w:id="33" w:name="_Toc106663423"/>
      <w:r>
        <w:rPr>
          <w:rFonts w:hint="eastAsia" w:ascii="Times New Roman" w:hAnsi="Times New Roman" w:eastAsia="宋体"/>
          <w:strike w:val="0"/>
          <w:dstrike w:val="0"/>
          <w:color w:val="auto"/>
          <w:highlight w:val="none"/>
        </w:rPr>
        <w:t>2.1.2部门规章</w:t>
      </w:r>
      <w:bookmarkEnd w:id="32"/>
      <w:bookmarkEnd w:id="33"/>
    </w:p>
    <w:p w14:paraId="5D50583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（1）《建设项目环境影响评价分类管理名录》（2021年版）；</w:t>
      </w:r>
    </w:p>
    <w:p w14:paraId="1D3358D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）关于印发《企业事业单位突发环境事件应急预案备案管理办法（试行）》的通知（环发〔2015〕4号，2015.1.8）；</w:t>
      </w:r>
    </w:p>
    <w:p w14:paraId="7DCDF0D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）《资源综合利用企业所得税优惠目录（2024年版）》；</w:t>
      </w:r>
    </w:p>
    <w:p w14:paraId="510E30B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产业结构调整指导目录（</w:t>
      </w:r>
      <w:r>
        <w:rPr>
          <w:rFonts w:hint="eastAsia" w:ascii="Times New Roman" w:hAnsi="Times New Roman" w:eastAsia="宋体"/>
          <w:strike w:val="0"/>
          <w:dstrike w:val="0"/>
          <w:color w:val="auto"/>
          <w:highlight w:val="none"/>
          <w:lang w:val="en-US" w:eastAsia="zh-CN"/>
        </w:rPr>
        <w:t>2024</w:t>
      </w:r>
      <w:r>
        <w:rPr>
          <w:rFonts w:hint="eastAsia" w:ascii="Times New Roman" w:hAnsi="Times New Roman" w:eastAsia="宋体"/>
          <w:strike w:val="0"/>
          <w:dstrike w:val="0"/>
          <w:color w:val="auto"/>
          <w:highlight w:val="none"/>
          <w:lang w:eastAsia="zh-CN"/>
        </w:rPr>
        <w:t>年本）</w:t>
      </w:r>
      <w:r>
        <w:rPr>
          <w:rFonts w:hint="eastAsia" w:ascii="Times New Roman" w:hAnsi="Times New Roman" w:eastAsia="宋体"/>
          <w:strike w:val="0"/>
          <w:dstrike w:val="0"/>
          <w:color w:val="auto"/>
          <w:highlight w:val="none"/>
        </w:rPr>
        <w:t>》；</w:t>
      </w:r>
    </w:p>
    <w:p w14:paraId="40134CA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）《自然资源要素支撑产业高质量发展指导目录（2024 年本）》；</w:t>
      </w:r>
    </w:p>
    <w:p w14:paraId="53B13E3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）《关于进一步加强环境影响评价管理防范环境风险的通知》（环发〔2012〕77号，2012.07.03）；</w:t>
      </w:r>
    </w:p>
    <w:p w14:paraId="099A340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）《关于切实加强风险防范严格环境影响评价管理的通知》（环发〔2012〕98号，2012.08.07）；</w:t>
      </w:r>
    </w:p>
    <w:p w14:paraId="2FDA30D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）《国务院关于印发大气污染防治行动计划的通知》（国发〔2013〕37号，2013.09.10）；</w:t>
      </w:r>
    </w:p>
    <w:p w14:paraId="4FF4458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）《环境保护公众参与办法》（环境保护部第35号令，2015.09.01）；</w:t>
      </w:r>
    </w:p>
    <w:p w14:paraId="490C640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rPr>
        <w:t>）《关于加强西部地区环境影响评价工作的通知》（环发〔2011〕150号，2011.12.29）；</w:t>
      </w:r>
    </w:p>
    <w:p w14:paraId="7E0162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）《国务院关于印发水污染防治行动计划的通知》（国发〔2015〕17号，2015.04.02）；</w:t>
      </w:r>
    </w:p>
    <w:p w14:paraId="40F47E2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）《国务院办公厅关于加快推进畜禽养殖废弃物资源化利用的意见》（2017年6月）；</w:t>
      </w:r>
    </w:p>
    <w:p w14:paraId="12C54B2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）《关于在畜禽养殖废弃物资源化利用过程中加强环境监管的通知》（2017年9月6日）；</w:t>
      </w:r>
    </w:p>
    <w:p w14:paraId="5C4F1C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）《畜禽养殖禁养区划定技术指南》（2016年10月）；</w:t>
      </w:r>
    </w:p>
    <w:p w14:paraId="2B3876A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）《关于落实大气污染防治行动计划严格环境影响评价准入的通知》（环办〔2014〕30号，2014.03.25）；</w:t>
      </w:r>
    </w:p>
    <w:p w14:paraId="010169C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）《国务院关于印发土壤污染防治行动计划的通知》（国发〔2016〕31号，2016.5.28）；</w:t>
      </w:r>
    </w:p>
    <w:p w14:paraId="417B71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）《关于做好畜禽规模养殖项目环境影响评价管理工作的通知》（环办环评</w:t>
      </w:r>
      <w:r>
        <w:rPr>
          <w:rFonts w:hint="eastAsia" w:ascii="Times New Roman" w:hAnsi="Times New Roman" w:eastAsia="宋体"/>
          <w:strike w:val="0"/>
          <w:dstrike w:val="0"/>
          <w:color w:val="auto"/>
          <w:highlight w:val="none"/>
          <w:lang w:eastAsia="zh-CN"/>
        </w:rPr>
        <w:t>〔2018〕31号，</w:t>
      </w:r>
      <w:r>
        <w:rPr>
          <w:rFonts w:hint="eastAsia" w:ascii="Times New Roman" w:hAnsi="Times New Roman" w:eastAsia="宋体"/>
          <w:strike w:val="0"/>
          <w:dstrike w:val="0"/>
          <w:color w:val="auto"/>
          <w:highlight w:val="none"/>
        </w:rPr>
        <w:t>2018年10月12日）；</w:t>
      </w:r>
    </w:p>
    <w:p w14:paraId="4870ED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）《国家突发事件总体应急预案》（2025.2.25）；</w:t>
      </w:r>
    </w:p>
    <w:p w14:paraId="51CC9B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19</w:t>
      </w:r>
      <w:r>
        <w:rPr>
          <w:rFonts w:hint="eastAsia" w:ascii="Times New Roman" w:hAnsi="Times New Roman" w:eastAsia="宋体"/>
          <w:strike w:val="0"/>
          <w:dstrike w:val="0"/>
          <w:color w:val="auto"/>
          <w:highlight w:val="none"/>
        </w:rPr>
        <w:t>）《关于病害动物无害化处理有关意见的复函》（环办函</w:t>
      </w:r>
      <w:r>
        <w:rPr>
          <w:rFonts w:hint="eastAsia" w:ascii="Times New Roman" w:hAnsi="Times New Roman" w:eastAsia="宋体"/>
          <w:strike w:val="0"/>
          <w:dstrike w:val="0"/>
          <w:color w:val="auto"/>
          <w:highlight w:val="none"/>
          <w:lang w:eastAsia="zh-CN"/>
        </w:rPr>
        <w:t>〔2014〕</w:t>
      </w:r>
      <w:r>
        <w:rPr>
          <w:rFonts w:hint="eastAsia" w:ascii="Times New Roman" w:hAnsi="Times New Roman" w:eastAsia="宋体"/>
          <w:strike w:val="0"/>
          <w:dstrike w:val="0"/>
          <w:color w:val="auto"/>
          <w:highlight w:val="none"/>
        </w:rPr>
        <w:t>789</w:t>
      </w:r>
    </w:p>
    <w:p w14:paraId="648B3C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号）（2014年6月）；</w:t>
      </w:r>
    </w:p>
    <w:p w14:paraId="2D49182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）《关于病死及病害动物无害化处理技术规范》（农医发</w:t>
      </w:r>
      <w:r>
        <w:rPr>
          <w:rFonts w:hint="eastAsia" w:ascii="Times New Roman" w:hAnsi="Times New Roman" w:eastAsia="宋体"/>
          <w:strike w:val="0"/>
          <w:dstrike w:val="0"/>
          <w:color w:val="auto"/>
          <w:highlight w:val="none"/>
          <w:lang w:eastAsia="zh-CN"/>
        </w:rPr>
        <w:t>〔2017〕</w:t>
      </w:r>
      <w:r>
        <w:rPr>
          <w:rFonts w:hint="eastAsia" w:ascii="Times New Roman" w:hAnsi="Times New Roman" w:eastAsia="宋体"/>
          <w:strike w:val="0"/>
          <w:dstrike w:val="0"/>
          <w:color w:val="auto"/>
          <w:highlight w:val="none"/>
        </w:rPr>
        <w:t>25</w:t>
      </w:r>
    </w:p>
    <w:p w14:paraId="780F80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号）（2017年7月3日）；</w:t>
      </w:r>
    </w:p>
    <w:p w14:paraId="6CF9862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）《国家危险废物名录》（202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年版）；</w:t>
      </w:r>
    </w:p>
    <w:p w14:paraId="243AF8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）《关于印发&lt;关于强化畜禽养殖废弃物综合治理的指导意见&gt;的通知》，（新畜牧字</w:t>
      </w:r>
      <w:r>
        <w:rPr>
          <w:rFonts w:hint="eastAsia" w:ascii="Times New Roman" w:hAnsi="Times New Roman" w:eastAsia="宋体"/>
          <w:strike w:val="0"/>
          <w:dstrike w:val="0"/>
          <w:color w:val="auto"/>
          <w:highlight w:val="none"/>
          <w:lang w:eastAsia="zh-CN"/>
        </w:rPr>
        <w:t>〔2016〕</w:t>
      </w:r>
      <w:r>
        <w:rPr>
          <w:rFonts w:hint="eastAsia" w:ascii="Times New Roman" w:hAnsi="Times New Roman" w:eastAsia="宋体"/>
          <w:strike w:val="0"/>
          <w:dstrike w:val="0"/>
          <w:color w:val="auto"/>
          <w:highlight w:val="none"/>
        </w:rPr>
        <w:t>50号）；</w:t>
      </w:r>
    </w:p>
    <w:p w14:paraId="4B8763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）《建设项目环境影响评价信息公开机制方案》（环发〔2015〕162号）；</w:t>
      </w:r>
    </w:p>
    <w:p w14:paraId="0BA937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）《控制污染物排放许可制实施方案》（国办发〔2016〕81号，2016.11.10）；</w:t>
      </w:r>
    </w:p>
    <w:p w14:paraId="20E9D12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color w:val="auto"/>
        </w:rPr>
        <w:t>《排污许可管理办法（试行）》</w:t>
      </w:r>
      <w:r>
        <w:rPr>
          <w:rFonts w:hint="eastAsia" w:ascii="Times New Roman" w:hAnsi="Times New Roman" w:eastAsia="宋体"/>
          <w:color w:val="auto"/>
          <w:lang w:eastAsia="zh-CN"/>
        </w:rPr>
        <w:t>（</w:t>
      </w:r>
      <w:r>
        <w:rPr>
          <w:rFonts w:hint="eastAsia" w:ascii="Times New Roman" w:hAnsi="Times New Roman" w:eastAsia="宋体"/>
          <w:color w:val="auto"/>
        </w:rPr>
        <w:t xml:space="preserve">部令第 </w:t>
      </w:r>
      <w:r>
        <w:rPr>
          <w:rFonts w:hint="eastAsia" w:ascii="Times New Roman" w:hAnsi="Times New Roman" w:eastAsia="宋体"/>
          <w:color w:val="auto"/>
          <w:lang w:val="en-US" w:eastAsia="zh-CN"/>
        </w:rPr>
        <w:t>32</w:t>
      </w:r>
      <w:r>
        <w:rPr>
          <w:rFonts w:hint="eastAsia" w:ascii="Times New Roman" w:hAnsi="Times New Roman" w:eastAsia="宋体"/>
          <w:color w:val="auto"/>
        </w:rPr>
        <w:t xml:space="preserve"> 号，20</w:t>
      </w:r>
      <w:r>
        <w:rPr>
          <w:rFonts w:hint="eastAsia" w:ascii="Times New Roman" w:hAnsi="Times New Roman" w:eastAsia="宋体"/>
          <w:color w:val="auto"/>
          <w:lang w:val="en-US" w:eastAsia="zh-CN"/>
        </w:rPr>
        <w:t>24</w:t>
      </w:r>
      <w:r>
        <w:rPr>
          <w:rFonts w:hint="eastAsia" w:ascii="Times New Roman" w:hAnsi="Times New Roman" w:eastAsia="宋体"/>
          <w:color w:val="auto"/>
        </w:rPr>
        <w:t xml:space="preserve"> 年</w:t>
      </w:r>
      <w:r>
        <w:rPr>
          <w:rFonts w:hint="eastAsia" w:ascii="Times New Roman" w:hAnsi="Times New Roman" w:eastAsia="宋体"/>
          <w:color w:val="auto"/>
          <w:lang w:eastAsia="zh-CN"/>
        </w:rPr>
        <w:t>）</w:t>
      </w:r>
      <w:r>
        <w:rPr>
          <w:rFonts w:hint="eastAsia" w:ascii="Times New Roman" w:hAnsi="Times New Roman" w:eastAsia="宋体"/>
          <w:strike w:val="0"/>
          <w:dstrike w:val="0"/>
          <w:color w:val="auto"/>
          <w:highlight w:val="none"/>
        </w:rPr>
        <w:t>；</w:t>
      </w:r>
    </w:p>
    <w:p w14:paraId="7B70B33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）《危险废物转移管理办法》部令第 23 号，2022-01-01</w:t>
      </w:r>
      <w:r>
        <w:rPr>
          <w:rFonts w:hint="eastAsia" w:ascii="Times New Roman" w:hAnsi="Times New Roman" w:eastAsia="宋体"/>
          <w:strike w:val="0"/>
          <w:dstrike w:val="0"/>
          <w:color w:val="auto"/>
          <w:highlight w:val="none"/>
          <w:lang w:eastAsia="zh-CN"/>
        </w:rPr>
        <w:t>。</w:t>
      </w:r>
    </w:p>
    <w:p w14:paraId="3265911C">
      <w:pPr>
        <w:pStyle w:val="4"/>
        <w:rPr>
          <w:rFonts w:ascii="Times New Roman" w:hAnsi="Times New Roman" w:eastAsia="宋体"/>
          <w:strike w:val="0"/>
          <w:dstrike w:val="0"/>
          <w:color w:val="auto"/>
          <w:highlight w:val="none"/>
        </w:rPr>
      </w:pPr>
      <w:bookmarkStart w:id="34" w:name="_Toc106663424"/>
      <w:bookmarkStart w:id="35" w:name="_Toc936"/>
      <w:r>
        <w:rPr>
          <w:rFonts w:hint="eastAsia" w:ascii="Times New Roman" w:hAnsi="Times New Roman" w:eastAsia="宋体"/>
          <w:strike w:val="0"/>
          <w:dstrike w:val="0"/>
          <w:color w:val="auto"/>
          <w:highlight w:val="none"/>
        </w:rPr>
        <w:t>2.1.3地方法规及政策</w:t>
      </w:r>
      <w:bookmarkEnd w:id="34"/>
      <w:bookmarkEnd w:id="35"/>
    </w:p>
    <w:p w14:paraId="31D2B0E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（1）《新疆维吾尔自治区环境保护条例》（2019.01.01）；</w:t>
      </w:r>
    </w:p>
    <w:p w14:paraId="52A70D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（2）《新疆维吾尔自治区危险废物污染环境防治办法》（第11届人大第9次会议，2010.05.01）；</w:t>
      </w:r>
    </w:p>
    <w:p w14:paraId="25C957E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（3）《认真贯彻落实国务院关于做好建设节约型社会近期重点工作通知的实施意见》（新政发〔2005〕87号，2005.10.20）；</w:t>
      </w:r>
    </w:p>
    <w:p w14:paraId="32C152B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（4）转发贯彻落实《全国生态环境保护纲要》实施意见的通知（自治区人民政府办公厅，2009.09.30）；</w:t>
      </w:r>
    </w:p>
    <w:p w14:paraId="6CF7D73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（5）《关于印发新疆维吾尔自治区工业和生活用水定额的通知》（新政办发〔2007〕105号，2007.06.06）；</w:t>
      </w:r>
    </w:p>
    <w:p w14:paraId="73A840E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（6）《新疆维吾尔自治区畜禽养殖场、养殖小区备案管理办法》，新政办发〔2011〕55号，2011年4月29日；</w:t>
      </w:r>
    </w:p>
    <w:p w14:paraId="234E3F1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（7）《关于印发新疆维吾尔自治区水污染防治工作方案的通知》（新政发〔2016〕21号，2016.2.4）；</w:t>
      </w:r>
    </w:p>
    <w:p w14:paraId="0BD11A8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（8）《关于印发新疆维吾尔自治区土壤污染防治工作方案的通知》（新政发〔2017〕25号，2017.3.1）；</w:t>
      </w:r>
    </w:p>
    <w:p w14:paraId="25B7838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（9）《新疆维吾尔自治区人民政府关于全疆水土流失重点预防保护区、重点监督区、重点治理区划分的公告》（2000年10月31）；</w:t>
      </w:r>
    </w:p>
    <w:p w14:paraId="1E333D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（10）《新疆维吾尔自治区重点行业</w:t>
      </w:r>
      <w:r>
        <w:rPr>
          <w:rFonts w:hint="eastAsia" w:ascii="Times New Roman" w:hAnsi="Times New Roman" w:eastAsia="宋体"/>
          <w:strike w:val="0"/>
          <w:dstrike w:val="0"/>
          <w:color w:val="auto"/>
          <w:highlight w:val="none"/>
          <w:lang w:val="en-US" w:eastAsia="zh-CN"/>
        </w:rPr>
        <w:t>生态</w:t>
      </w:r>
      <w:r>
        <w:rPr>
          <w:rFonts w:hint="eastAsia" w:ascii="Times New Roman" w:hAnsi="Times New Roman" w:eastAsia="宋体"/>
          <w:strike w:val="0"/>
          <w:dstrike w:val="0"/>
          <w:color w:val="auto"/>
          <w:highlight w:val="none"/>
        </w:rPr>
        <w:t>环境准入条件》（</w:t>
      </w:r>
      <w:r>
        <w:rPr>
          <w:rFonts w:hint="eastAsia" w:ascii="Times New Roman" w:hAnsi="Times New Roman" w:eastAsia="宋体"/>
          <w:strike w:val="0"/>
          <w:dstrike w:val="0"/>
          <w:color w:val="auto"/>
          <w:highlight w:val="none"/>
          <w:lang w:val="en-US" w:eastAsia="zh-CN"/>
        </w:rPr>
        <w:t>2024年6月13日</w:t>
      </w:r>
      <w:r>
        <w:rPr>
          <w:rFonts w:hint="eastAsia" w:ascii="Times New Roman" w:hAnsi="Times New Roman" w:eastAsia="宋体"/>
          <w:strike w:val="0"/>
          <w:dstrike w:val="0"/>
          <w:color w:val="auto"/>
          <w:highlight w:val="none"/>
        </w:rPr>
        <w:t>）；</w:t>
      </w:r>
    </w:p>
    <w:p w14:paraId="711A09C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（11）《关于重点区域执行大气污染物特别排放限值的公告》（新疆环保厅公告2016年第45号）</w:t>
      </w:r>
      <w:r>
        <w:rPr>
          <w:rFonts w:hint="eastAsia" w:ascii="Times New Roman" w:hAnsi="Times New Roman" w:eastAsia="宋体"/>
          <w:strike w:val="0"/>
          <w:dstrike w:val="0"/>
          <w:color w:val="auto"/>
          <w:highlight w:val="none"/>
          <w:lang w:eastAsia="zh-CN"/>
        </w:rPr>
        <w:t>；</w:t>
      </w:r>
    </w:p>
    <w:p w14:paraId="085C66A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（12）《新疆维吾尔自治区突发环境事件应急预案编制导则（试行）》（新环发〔2014〕234号，2014.6.12）；</w:t>
      </w:r>
    </w:p>
    <w:p w14:paraId="4737509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（13）《关于印发自治区&lt;建设项目主要污染物总量指标确认办法（试行）&gt;的通知》（新疆环保厅，新环总量发〔2011〕86号，2011.3.8）；</w:t>
      </w:r>
    </w:p>
    <w:p w14:paraId="3FB642A5">
      <w:pPr>
        <w:pStyle w:val="4"/>
        <w:rPr>
          <w:rFonts w:ascii="Times New Roman" w:hAnsi="Times New Roman" w:eastAsia="宋体"/>
          <w:strike w:val="0"/>
          <w:dstrike w:val="0"/>
          <w:color w:val="auto"/>
          <w:highlight w:val="none"/>
        </w:rPr>
      </w:pPr>
      <w:bookmarkStart w:id="36" w:name="_Toc15998"/>
      <w:bookmarkStart w:id="37" w:name="_Toc106663425"/>
      <w:r>
        <w:rPr>
          <w:rFonts w:hint="eastAsia" w:ascii="Times New Roman" w:hAnsi="Times New Roman" w:eastAsia="宋体"/>
          <w:strike w:val="0"/>
          <w:dstrike w:val="0"/>
          <w:color w:val="auto"/>
          <w:highlight w:val="none"/>
        </w:rPr>
        <w:t>2.1.4相关规划</w:t>
      </w:r>
      <w:bookmarkEnd w:id="36"/>
      <w:bookmarkEnd w:id="37"/>
    </w:p>
    <w:p w14:paraId="2820BEF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）《新疆环境功能区划》；</w:t>
      </w:r>
    </w:p>
    <w:p w14:paraId="1C4C485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）《新疆生态功能区划》；</w:t>
      </w:r>
    </w:p>
    <w:p w14:paraId="6120CA0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）《新疆水环境功能区划》；</w:t>
      </w:r>
    </w:p>
    <w:p w14:paraId="2D2D5A9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）《新疆维吾尔自治区环境保护</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规划》；</w:t>
      </w:r>
    </w:p>
    <w:p w14:paraId="07BD44DF">
      <w:pPr>
        <w:pStyle w:val="4"/>
        <w:rPr>
          <w:rFonts w:ascii="Times New Roman" w:hAnsi="Times New Roman" w:eastAsia="宋体"/>
          <w:strike w:val="0"/>
          <w:dstrike w:val="0"/>
          <w:color w:val="auto"/>
          <w:highlight w:val="none"/>
        </w:rPr>
      </w:pPr>
      <w:bookmarkStart w:id="38" w:name="_Toc24253"/>
      <w:bookmarkStart w:id="39" w:name="_Toc106663426"/>
      <w:r>
        <w:rPr>
          <w:rFonts w:hint="eastAsia" w:ascii="Times New Roman" w:hAnsi="Times New Roman" w:eastAsia="宋体"/>
          <w:strike w:val="0"/>
          <w:dstrike w:val="0"/>
          <w:color w:val="auto"/>
          <w:highlight w:val="none"/>
        </w:rPr>
        <w:t>2.1.5环评编制要求</w:t>
      </w:r>
      <w:bookmarkEnd w:id="38"/>
      <w:bookmarkEnd w:id="39"/>
    </w:p>
    <w:p w14:paraId="4DBF1EC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（1）《关于加强西部地区环境影响评价工作的通知》（环发〔2011〕150号，2011.12.29）；</w:t>
      </w:r>
    </w:p>
    <w:p w14:paraId="333AAE3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（2）《环境影响评价公众参与办法（生态部令第4号）》（2018.7.16）；</w:t>
      </w:r>
    </w:p>
    <w:p w14:paraId="0098A9B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（3）《关于进一步加强环境影响评价管理防范环境风险的通知》（环发〔2012〕77号，2012.7.3）；</w:t>
      </w:r>
    </w:p>
    <w:p w14:paraId="5157650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（4）《关于切实加强风险防范严格环境影响评价管理的通知》（环发〔2012〕98号，2012.8.7）；</w:t>
      </w:r>
    </w:p>
    <w:p w14:paraId="69888A5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（5）《关于切实加强环境影响评价监督管理工作的通知》（环办〔2013〕104号，2013.11.15）</w:t>
      </w:r>
      <w:r>
        <w:rPr>
          <w:rFonts w:hint="eastAsia" w:ascii="Times New Roman" w:hAnsi="Times New Roman" w:eastAsia="宋体"/>
          <w:strike w:val="0"/>
          <w:dstrike w:val="0"/>
          <w:color w:val="auto"/>
          <w:highlight w:val="none"/>
          <w:lang w:eastAsia="zh-CN"/>
        </w:rPr>
        <w:t>。</w:t>
      </w:r>
    </w:p>
    <w:p w14:paraId="404B651F">
      <w:pPr>
        <w:pStyle w:val="4"/>
        <w:rPr>
          <w:rFonts w:ascii="Times New Roman" w:hAnsi="Times New Roman" w:eastAsia="宋体"/>
          <w:strike w:val="0"/>
          <w:dstrike w:val="0"/>
          <w:color w:val="auto"/>
          <w:highlight w:val="none"/>
        </w:rPr>
      </w:pPr>
      <w:bookmarkStart w:id="40" w:name="_Toc22442"/>
      <w:bookmarkStart w:id="41" w:name="_Toc106663427"/>
      <w:r>
        <w:rPr>
          <w:rFonts w:hint="eastAsia" w:ascii="Times New Roman" w:hAnsi="Times New Roman" w:eastAsia="宋体"/>
          <w:strike w:val="0"/>
          <w:dstrike w:val="0"/>
          <w:color w:val="auto"/>
          <w:highlight w:val="none"/>
        </w:rPr>
        <w:t>2.1.6技术导则</w:t>
      </w:r>
      <w:bookmarkEnd w:id="40"/>
      <w:bookmarkEnd w:id="41"/>
    </w:p>
    <w:p w14:paraId="095039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《建设项目环境影响评价技术导则总纲》</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HJ2.1-2016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20BB2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《环境影响评价技术导则地表水环境》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HJ2.3-2018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96998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《环境影响评价技术导则大气环境》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BE9D84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AB2D0C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《环境影响评价技术导则地下水环境》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HJ610-2016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77A7C9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《环境影响评价技术导则生态影响》</w:t>
      </w:r>
      <w:r>
        <w:rPr>
          <w:rFonts w:hint="eastAsia" w:ascii="Times New Roman" w:hAnsi="Times New Roman" w:eastAsia="宋体"/>
          <w:strike w:val="0"/>
          <w:dstrike w:val="0"/>
          <w:color w:val="auto"/>
          <w:highlight w:val="none"/>
          <w:lang w:eastAsia="zh-CN"/>
        </w:rPr>
        <w:t>（HJ19-2022）</w:t>
      </w:r>
      <w:r>
        <w:rPr>
          <w:rFonts w:hint="eastAsia" w:ascii="Times New Roman" w:hAnsi="Times New Roman" w:eastAsia="宋体"/>
          <w:strike w:val="0"/>
          <w:dstrike w:val="0"/>
          <w:color w:val="auto"/>
          <w:highlight w:val="none"/>
        </w:rPr>
        <w:t>；</w:t>
      </w:r>
    </w:p>
    <w:p w14:paraId="77AA52C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《环境影响评价技术导则土壤环境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HJ964-2018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F92A9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《建设项目环境风险评价技术导则》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HJ169-2018</w:t>
      </w:r>
      <w:r>
        <w:rPr>
          <w:rFonts w:hint="eastAsia" w:ascii="Times New Roman" w:hAnsi="Times New Roman" w:eastAsia="宋体"/>
          <w:strike w:val="0"/>
          <w:dstrike w:val="0"/>
          <w:color w:val="auto"/>
          <w:highlight w:val="none"/>
          <w:lang w:eastAsia="zh-CN"/>
        </w:rPr>
        <w:t>）</w:t>
      </w:r>
    </w:p>
    <w:p w14:paraId="20B79B5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《建设项目危险废物环境影响评价指南》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环境保护部公告2017年第43号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1507CA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《畜禽粪污土地承载力测算技术指南》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农办牧〔2018〕1号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C6B09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《畜禽粪便无害化处理技术规范》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GB/T36195-2018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68053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《畜禽养殖业污染治理工程技术规范》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ED882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《畜禽养殖业污染防治技术规范》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F9D291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《规模畜禽养殖场污染防治最佳可行技术指南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HJ-BAT-10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FDC915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《农业固体废物污染控制技术导则》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HJ588-2010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75FDB65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《排污单位自行监测技术指南总则》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HJ819-2017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455919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《重点排污单位名录管理规定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环办监测</w:t>
      </w:r>
      <w:r>
        <w:rPr>
          <w:rFonts w:hint="eastAsia" w:ascii="Times New Roman" w:hAnsi="Times New Roman" w:eastAsia="宋体"/>
          <w:strike w:val="0"/>
          <w:dstrike w:val="0"/>
          <w:color w:val="auto"/>
          <w:highlight w:val="none"/>
          <w:lang w:eastAsia="zh-CN"/>
        </w:rPr>
        <w:t>〔2017〕86号）</w:t>
      </w:r>
      <w:r>
        <w:rPr>
          <w:rFonts w:hint="eastAsia" w:ascii="Times New Roman" w:hAnsi="Times New Roman" w:eastAsia="宋体"/>
          <w:strike w:val="0"/>
          <w:dstrike w:val="0"/>
          <w:color w:val="auto"/>
          <w:highlight w:val="none"/>
        </w:rPr>
        <w:t>；</w:t>
      </w:r>
    </w:p>
    <w:p w14:paraId="7FA17A1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《关于畜禽养殖业选址问题的回复》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环保部部长信箱，2018.2.26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1692C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《村镇规划卫生标准》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GB18055-2012</w:t>
      </w:r>
      <w:r>
        <w:rPr>
          <w:rFonts w:hint="eastAsia" w:ascii="Times New Roman" w:hAnsi="Times New Roman" w:eastAsia="宋体"/>
          <w:strike w:val="0"/>
          <w:dstrike w:val="0"/>
          <w:color w:val="auto"/>
          <w:highlight w:val="none"/>
          <w:lang w:eastAsia="zh-CN"/>
        </w:rPr>
        <w:t>）。</w:t>
      </w:r>
    </w:p>
    <w:p w14:paraId="1BD87A8C">
      <w:pPr>
        <w:pStyle w:val="4"/>
        <w:rPr>
          <w:rFonts w:ascii="Times New Roman" w:hAnsi="Times New Roman" w:eastAsia="宋体"/>
          <w:strike w:val="0"/>
          <w:dstrike w:val="0"/>
          <w:color w:val="auto"/>
          <w:highlight w:val="none"/>
        </w:rPr>
      </w:pPr>
      <w:bookmarkStart w:id="42" w:name="_Toc106663428"/>
      <w:bookmarkStart w:id="43" w:name="_Toc15384"/>
      <w:r>
        <w:rPr>
          <w:rFonts w:hint="eastAsia" w:ascii="Times New Roman" w:hAnsi="Times New Roman" w:eastAsia="宋体"/>
          <w:strike w:val="0"/>
          <w:dstrike w:val="0"/>
          <w:color w:val="auto"/>
          <w:highlight w:val="none"/>
        </w:rPr>
        <w:t>2.1.7项目有关文件</w:t>
      </w:r>
      <w:bookmarkEnd w:id="42"/>
      <w:bookmarkEnd w:id="43"/>
    </w:p>
    <w:p w14:paraId="76D77CC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可行性研究报告</w:t>
      </w:r>
      <w:r>
        <w:rPr>
          <w:rFonts w:hint="eastAsia" w:ascii="Times New Roman" w:hAnsi="Times New Roman" w:eastAsia="宋体"/>
          <w:strike w:val="0"/>
          <w:dstrike w:val="0"/>
          <w:color w:val="auto"/>
          <w:highlight w:val="none"/>
          <w:lang w:eastAsia="zh-CN"/>
        </w:rPr>
        <w:t>。</w:t>
      </w:r>
    </w:p>
    <w:p w14:paraId="2B50E2A5">
      <w:pPr>
        <w:pStyle w:val="3"/>
        <w:rPr>
          <w:rFonts w:ascii="Times New Roman" w:hAnsi="Times New Roman" w:eastAsia="宋体"/>
          <w:strike w:val="0"/>
          <w:dstrike w:val="0"/>
          <w:color w:val="auto"/>
          <w:highlight w:val="none"/>
        </w:rPr>
      </w:pPr>
      <w:bookmarkStart w:id="44" w:name="_Toc71394705"/>
      <w:bookmarkStart w:id="45" w:name="_Toc89619325"/>
      <w:bookmarkStart w:id="46" w:name="_Toc19617"/>
      <w:r>
        <w:rPr>
          <w:rFonts w:hint="eastAsia" w:ascii="Times New Roman" w:hAnsi="Times New Roman" w:eastAsia="宋体"/>
          <w:strike w:val="0"/>
          <w:dstrike w:val="0"/>
          <w:color w:val="auto"/>
          <w:highlight w:val="none"/>
        </w:rPr>
        <w:t>2.2评价目的和原则</w:t>
      </w:r>
      <w:bookmarkEnd w:id="44"/>
      <w:bookmarkEnd w:id="45"/>
      <w:bookmarkEnd w:id="46"/>
    </w:p>
    <w:p w14:paraId="48B910C9">
      <w:pPr>
        <w:pStyle w:val="4"/>
        <w:rPr>
          <w:rFonts w:ascii="Times New Roman" w:hAnsi="Times New Roman" w:eastAsia="宋体"/>
          <w:strike w:val="0"/>
          <w:dstrike w:val="0"/>
          <w:color w:val="auto"/>
          <w:highlight w:val="none"/>
        </w:rPr>
      </w:pPr>
      <w:bookmarkStart w:id="47" w:name="_Toc7994"/>
      <w:bookmarkStart w:id="48" w:name="_Toc106663430"/>
      <w:r>
        <w:rPr>
          <w:rFonts w:hint="eastAsia" w:ascii="Times New Roman" w:hAnsi="Times New Roman" w:eastAsia="宋体"/>
          <w:strike w:val="0"/>
          <w:dstrike w:val="0"/>
          <w:color w:val="auto"/>
          <w:highlight w:val="none"/>
        </w:rPr>
        <w:t>2.2.1评价目的</w:t>
      </w:r>
      <w:bookmarkEnd w:id="47"/>
      <w:bookmarkEnd w:id="48"/>
    </w:p>
    <w:p w14:paraId="61D40E7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（1）通过调查、收集资料与实测，了解本项目评价范围内的社会环境、自然环境和环境质量现状；</w:t>
      </w:r>
    </w:p>
    <w:p w14:paraId="70516A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（2）通过工程分析，明确本项目的主要污染源、污染物种类、排放强度，并对污染物达标排放进行分析；</w:t>
      </w:r>
    </w:p>
    <w:p w14:paraId="6BDD4DD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（3）论证本项目采取的环境保护措施的可行性及合理性，并针对存在的问题，提出预防或者减轻不良环境影响的对策和措施；</w:t>
      </w:r>
    </w:p>
    <w:p w14:paraId="689BCC3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（4）论证项目与产业政策的符合性、与当地建设规划的相容性、资源利用可行性以及环境可行性；</w:t>
      </w:r>
    </w:p>
    <w:p w14:paraId="27C2AAB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（5）分析本项目可能存在的事故隐患，预测可能产生的环境风险程度，提出具体的环境风险防范措施</w:t>
      </w:r>
      <w:r>
        <w:rPr>
          <w:rFonts w:hint="eastAsia" w:ascii="Times New Roman" w:hAnsi="Times New Roman" w:eastAsia="宋体"/>
          <w:strike w:val="0"/>
          <w:dstrike w:val="0"/>
          <w:color w:val="auto"/>
          <w:highlight w:val="none"/>
          <w:lang w:eastAsia="zh-CN"/>
        </w:rPr>
        <w:t>。</w:t>
      </w:r>
    </w:p>
    <w:p w14:paraId="701D4C8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通过上述评价，论证项目在环境方面的可行性，给出环境影响评价结论，为环境保护主管部门提供决策依据</w:t>
      </w:r>
      <w:r>
        <w:rPr>
          <w:rFonts w:hint="eastAsia" w:ascii="Times New Roman" w:hAnsi="Times New Roman" w:eastAsia="宋体"/>
          <w:strike w:val="0"/>
          <w:dstrike w:val="0"/>
          <w:color w:val="auto"/>
          <w:highlight w:val="none"/>
          <w:lang w:eastAsia="zh-CN"/>
        </w:rPr>
        <w:t>。</w:t>
      </w:r>
    </w:p>
    <w:p w14:paraId="2BD0A857">
      <w:pPr>
        <w:pStyle w:val="4"/>
        <w:rPr>
          <w:rFonts w:ascii="Times New Roman" w:hAnsi="Times New Roman" w:eastAsia="宋体"/>
          <w:strike w:val="0"/>
          <w:dstrike w:val="0"/>
          <w:color w:val="auto"/>
          <w:highlight w:val="none"/>
        </w:rPr>
      </w:pPr>
      <w:bookmarkStart w:id="49" w:name="_Toc8639"/>
      <w:bookmarkStart w:id="50" w:name="_Toc106663431"/>
      <w:r>
        <w:rPr>
          <w:rFonts w:hint="eastAsia" w:ascii="Times New Roman" w:hAnsi="Times New Roman" w:eastAsia="宋体"/>
          <w:strike w:val="0"/>
          <w:dstrike w:val="0"/>
          <w:color w:val="auto"/>
          <w:highlight w:val="none"/>
        </w:rPr>
        <w:t>2.2.2评价原则</w:t>
      </w:r>
      <w:bookmarkEnd w:id="49"/>
      <w:bookmarkEnd w:id="50"/>
    </w:p>
    <w:p w14:paraId="046AC8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突出环境影响评价的源头预防作用，坚持保护和改善环境质量</w:t>
      </w:r>
      <w:r>
        <w:rPr>
          <w:rFonts w:hint="eastAsia" w:ascii="Times New Roman" w:hAnsi="Times New Roman" w:eastAsia="宋体"/>
          <w:strike w:val="0"/>
          <w:dstrike w:val="0"/>
          <w:color w:val="auto"/>
          <w:highlight w:val="none"/>
          <w:lang w:eastAsia="zh-CN"/>
        </w:rPr>
        <w:t>。</w:t>
      </w:r>
    </w:p>
    <w:p w14:paraId="6FCD48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（1）依法评价</w:t>
      </w:r>
    </w:p>
    <w:p w14:paraId="3BD663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贯彻执行我国环境保护相关法律法规、标准、政策和规划等，优化项目建设，服务环境管理</w:t>
      </w:r>
      <w:r>
        <w:rPr>
          <w:rFonts w:hint="eastAsia" w:ascii="Times New Roman" w:hAnsi="Times New Roman" w:eastAsia="宋体"/>
          <w:strike w:val="0"/>
          <w:dstrike w:val="0"/>
          <w:color w:val="auto"/>
          <w:highlight w:val="none"/>
          <w:lang w:eastAsia="zh-CN"/>
        </w:rPr>
        <w:t>。</w:t>
      </w:r>
    </w:p>
    <w:p w14:paraId="0841732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（2）科学评价</w:t>
      </w:r>
    </w:p>
    <w:p w14:paraId="70C513C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规范环境影响评价方法，科学分析项目建设对环境质量的影响</w:t>
      </w:r>
      <w:r>
        <w:rPr>
          <w:rFonts w:hint="eastAsia" w:ascii="Times New Roman" w:hAnsi="Times New Roman" w:eastAsia="宋体"/>
          <w:strike w:val="0"/>
          <w:dstrike w:val="0"/>
          <w:color w:val="auto"/>
          <w:highlight w:val="none"/>
          <w:lang w:eastAsia="zh-CN"/>
        </w:rPr>
        <w:t>。</w:t>
      </w:r>
    </w:p>
    <w:p w14:paraId="4A34A17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（3）突出重点</w:t>
      </w:r>
    </w:p>
    <w:p w14:paraId="10BF2CA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r>
        <w:rPr>
          <w:rFonts w:hint="eastAsia" w:ascii="Times New Roman" w:hAnsi="Times New Roman" w:eastAsia="宋体"/>
          <w:strike w:val="0"/>
          <w:dstrike w:val="0"/>
          <w:color w:val="auto"/>
          <w:highlight w:val="none"/>
          <w:lang w:eastAsia="zh-CN"/>
        </w:rPr>
        <w:t>。</w:t>
      </w:r>
    </w:p>
    <w:p w14:paraId="38EE1CA3">
      <w:pPr>
        <w:pStyle w:val="3"/>
        <w:rPr>
          <w:rFonts w:ascii="Times New Roman" w:hAnsi="Times New Roman" w:eastAsia="宋体"/>
          <w:strike w:val="0"/>
          <w:dstrike w:val="0"/>
          <w:color w:val="auto"/>
          <w:highlight w:val="none"/>
        </w:rPr>
      </w:pPr>
      <w:bookmarkStart w:id="51" w:name="_Toc89619326"/>
      <w:bookmarkStart w:id="52" w:name="_Toc71394706"/>
      <w:bookmarkStart w:id="53" w:name="_Toc22126"/>
      <w:r>
        <w:rPr>
          <w:rFonts w:hint="eastAsia" w:ascii="Times New Roman" w:hAnsi="Times New Roman" w:eastAsia="宋体"/>
          <w:strike w:val="0"/>
          <w:dstrike w:val="0"/>
          <w:color w:val="auto"/>
          <w:highlight w:val="none"/>
        </w:rPr>
        <w:t>2.3评价内容及评价重点</w:t>
      </w:r>
      <w:bookmarkEnd w:id="51"/>
      <w:bookmarkEnd w:id="52"/>
      <w:bookmarkEnd w:id="53"/>
    </w:p>
    <w:p w14:paraId="7174CE48">
      <w:pPr>
        <w:pStyle w:val="4"/>
        <w:rPr>
          <w:rFonts w:ascii="Times New Roman" w:hAnsi="Times New Roman" w:eastAsia="宋体"/>
          <w:strike w:val="0"/>
          <w:dstrike w:val="0"/>
          <w:color w:val="auto"/>
          <w:highlight w:val="none"/>
        </w:rPr>
      </w:pPr>
      <w:bookmarkStart w:id="54" w:name="_Toc16924"/>
      <w:bookmarkStart w:id="55" w:name="_Toc106663433"/>
      <w:r>
        <w:rPr>
          <w:rFonts w:hint="eastAsia" w:ascii="Times New Roman" w:hAnsi="Times New Roman" w:eastAsia="宋体"/>
          <w:strike w:val="0"/>
          <w:dstrike w:val="0"/>
          <w:color w:val="auto"/>
          <w:highlight w:val="none"/>
        </w:rPr>
        <w:t>2.3.1评价内容</w:t>
      </w:r>
      <w:bookmarkEnd w:id="54"/>
      <w:bookmarkEnd w:id="55"/>
    </w:p>
    <w:p w14:paraId="5E9AFB7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本次评价的主要内容包括以下几个方面：</w:t>
      </w:r>
    </w:p>
    <w:p w14:paraId="6691E2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（1）通过对项目厂址及周围环境的综合现状调查和现场监测，了解和掌握项目区环境现状；</w:t>
      </w:r>
    </w:p>
    <w:p w14:paraId="0B34404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（2）分析本次工程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排放特征，产生的污染物能否实现达标排放或妥善处理；</w:t>
      </w:r>
    </w:p>
    <w:p w14:paraId="52C6D6F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（3）分析本工程运行中存在的环境风险，提出有关风险防治措施及风险防范预案；</w:t>
      </w:r>
    </w:p>
    <w:p w14:paraId="0C27AD1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（4）对该建设项目的污染控制措施的可行性和合理性进行评估，并提出防止或减轻污染的对策建议</w:t>
      </w:r>
      <w:r>
        <w:rPr>
          <w:rFonts w:hint="eastAsia" w:ascii="Times New Roman" w:hAnsi="Times New Roman" w:eastAsia="宋体"/>
          <w:strike w:val="0"/>
          <w:dstrike w:val="0"/>
          <w:color w:val="auto"/>
          <w:highlight w:val="none"/>
          <w:lang w:eastAsia="zh-CN"/>
        </w:rPr>
        <w:t>。</w:t>
      </w:r>
    </w:p>
    <w:p w14:paraId="36C30747">
      <w:pPr>
        <w:pStyle w:val="4"/>
        <w:rPr>
          <w:rFonts w:ascii="Times New Roman" w:hAnsi="Times New Roman" w:eastAsia="宋体"/>
          <w:strike w:val="0"/>
          <w:dstrike w:val="0"/>
          <w:color w:val="auto"/>
          <w:highlight w:val="none"/>
        </w:rPr>
      </w:pPr>
      <w:bookmarkStart w:id="56" w:name="_Toc26261"/>
      <w:bookmarkStart w:id="57" w:name="_Toc106663434"/>
      <w:r>
        <w:rPr>
          <w:rFonts w:hint="eastAsia" w:ascii="Times New Roman" w:hAnsi="Times New Roman" w:eastAsia="宋体"/>
          <w:strike w:val="0"/>
          <w:dstrike w:val="0"/>
          <w:color w:val="auto"/>
          <w:highlight w:val="none"/>
        </w:rPr>
        <w:t>2.3.2评价重点</w:t>
      </w:r>
      <w:bookmarkEnd w:id="56"/>
      <w:bookmarkEnd w:id="57"/>
    </w:p>
    <w:p w14:paraId="4F2D9F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（1）工程分析</w:t>
      </w:r>
    </w:p>
    <w:p w14:paraId="38A774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结合工艺过程，对物料、水等进行平衡计算，并根据企业实际运行情况，分析生产过程中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及噪声排放情况</w:t>
      </w:r>
      <w:r>
        <w:rPr>
          <w:rFonts w:hint="eastAsia" w:ascii="Times New Roman" w:hAnsi="Times New Roman" w:eastAsia="宋体"/>
          <w:strike w:val="0"/>
          <w:dstrike w:val="0"/>
          <w:color w:val="auto"/>
          <w:highlight w:val="none"/>
          <w:lang w:eastAsia="zh-CN"/>
        </w:rPr>
        <w:t>。</w:t>
      </w:r>
    </w:p>
    <w:p w14:paraId="1322252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（2）污染防治措施分析推荐</w:t>
      </w:r>
    </w:p>
    <w:p w14:paraId="05AF1E6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根据工程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及噪声排放特点，结合相似企业实际治理经验，对设计的治理措施可行性进行分析，并提出推荐方案，确保本项目各污染物达标排放</w:t>
      </w:r>
      <w:r>
        <w:rPr>
          <w:rFonts w:hint="eastAsia" w:ascii="Times New Roman" w:hAnsi="Times New Roman" w:eastAsia="宋体"/>
          <w:strike w:val="0"/>
          <w:dstrike w:val="0"/>
          <w:color w:val="auto"/>
          <w:highlight w:val="none"/>
          <w:lang w:eastAsia="zh-CN"/>
        </w:rPr>
        <w:t>。</w:t>
      </w:r>
    </w:p>
    <w:p w14:paraId="2AC2EE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（3）环境影响预测及评价</w:t>
      </w:r>
    </w:p>
    <w:p w14:paraId="361702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结合生产过程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特点以及评价范围内环境概况，分析预测本项目大气污染物对大气环境的影响程度和范围；项目用水的保证性以及排放的生产生活污水对区域水环境的影响；固体废物处理处置对区域环境的影响；预测和评价厂界噪声是否满足《工业企业厂界环境噪声排放标准》，评价项目噪声排放对声环境敏感区的影响</w:t>
      </w:r>
      <w:r>
        <w:rPr>
          <w:rFonts w:hint="eastAsia" w:ascii="Times New Roman" w:hAnsi="Times New Roman" w:eastAsia="宋体"/>
          <w:strike w:val="0"/>
          <w:dstrike w:val="0"/>
          <w:color w:val="auto"/>
          <w:highlight w:val="none"/>
          <w:lang w:eastAsia="zh-CN"/>
        </w:rPr>
        <w:t>。</w:t>
      </w:r>
    </w:p>
    <w:p w14:paraId="45DDA53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（4）环境风险评价</w:t>
      </w:r>
    </w:p>
    <w:p w14:paraId="4CDB98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结合生产工艺特点，分析确定本项目风险因素，预测风险发生时对环境造成的危害，提出环境风险防范措施，并编制应急预案</w:t>
      </w:r>
      <w:r>
        <w:rPr>
          <w:rFonts w:hint="eastAsia" w:ascii="Times New Roman" w:hAnsi="Times New Roman" w:eastAsia="宋体"/>
          <w:strike w:val="0"/>
          <w:dstrike w:val="0"/>
          <w:color w:val="auto"/>
          <w:highlight w:val="none"/>
          <w:lang w:eastAsia="zh-CN"/>
        </w:rPr>
        <w:t>。</w:t>
      </w:r>
    </w:p>
    <w:p w14:paraId="53CC33D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（5）清洁生产分析</w:t>
      </w:r>
    </w:p>
    <w:p w14:paraId="2489C4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从工艺装备先进性、资源能源利用、污染物产生、废物综合利用、产品指标、环境管理等方面分析，并与国内其他企业进行对比，评述项目清洁生产水平</w:t>
      </w:r>
      <w:r>
        <w:rPr>
          <w:rFonts w:hint="eastAsia" w:ascii="Times New Roman" w:hAnsi="Times New Roman" w:eastAsia="宋体"/>
          <w:strike w:val="0"/>
          <w:dstrike w:val="0"/>
          <w:color w:val="auto"/>
          <w:highlight w:val="none"/>
          <w:lang w:eastAsia="zh-CN"/>
        </w:rPr>
        <w:t>。</w:t>
      </w:r>
    </w:p>
    <w:p w14:paraId="3B1D0065">
      <w:pPr>
        <w:pStyle w:val="3"/>
        <w:rPr>
          <w:rFonts w:ascii="Times New Roman" w:hAnsi="Times New Roman" w:eastAsia="宋体"/>
          <w:strike w:val="0"/>
          <w:dstrike w:val="0"/>
          <w:color w:val="auto"/>
          <w:highlight w:val="none"/>
        </w:rPr>
      </w:pPr>
      <w:bookmarkStart w:id="58" w:name="_Toc71394707"/>
      <w:bookmarkStart w:id="59" w:name="_Toc89619327"/>
      <w:bookmarkStart w:id="60" w:name="_Toc29838"/>
      <w:r>
        <w:rPr>
          <w:rFonts w:hint="eastAsia" w:ascii="Times New Roman" w:hAnsi="Times New Roman" w:eastAsia="宋体"/>
          <w:strike w:val="0"/>
          <w:dstrike w:val="0"/>
          <w:color w:val="auto"/>
          <w:highlight w:val="none"/>
        </w:rPr>
        <w:t>2.4评价因子识别与筛选</w:t>
      </w:r>
      <w:bookmarkEnd w:id="58"/>
      <w:bookmarkEnd w:id="59"/>
      <w:bookmarkEnd w:id="60"/>
    </w:p>
    <w:p w14:paraId="2E4C2C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根据工程的特征、阶段和所处区域的环境特征，全面分析判别本项目建设对环境可能产生影响的因素、影响途径，初步估算影响程度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通过筛选确定本次评价重点和评价因子</w:t>
      </w:r>
      <w:r>
        <w:rPr>
          <w:rFonts w:hint="eastAsia" w:ascii="Times New Roman" w:hAnsi="Times New Roman" w:eastAsia="宋体"/>
          <w:strike w:val="0"/>
          <w:dstrike w:val="0"/>
          <w:color w:val="auto"/>
          <w:highlight w:val="none"/>
          <w:lang w:eastAsia="zh-CN"/>
        </w:rPr>
        <w:t>。</w:t>
      </w:r>
    </w:p>
    <w:p w14:paraId="0182705D">
      <w:pPr>
        <w:pStyle w:val="4"/>
        <w:rPr>
          <w:rFonts w:ascii="Times New Roman" w:hAnsi="Times New Roman" w:eastAsia="宋体"/>
          <w:strike w:val="0"/>
          <w:dstrike w:val="0"/>
          <w:color w:val="auto"/>
          <w:highlight w:val="none"/>
        </w:rPr>
      </w:pPr>
      <w:bookmarkStart w:id="61" w:name="_Toc676"/>
      <w:bookmarkStart w:id="62" w:name="_Toc106663436"/>
      <w:r>
        <w:rPr>
          <w:rFonts w:hint="eastAsia" w:ascii="Times New Roman" w:hAnsi="Times New Roman" w:eastAsia="宋体"/>
          <w:strike w:val="0"/>
          <w:dstrike w:val="0"/>
          <w:color w:val="auto"/>
          <w:highlight w:val="none"/>
        </w:rPr>
        <w:t>2.4.1影响因素识别</w:t>
      </w:r>
      <w:bookmarkEnd w:id="61"/>
      <w:bookmarkEnd w:id="62"/>
    </w:p>
    <w:p w14:paraId="75E377B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根据项目的排污特点及所处环境特征，环境影响因子的识别见表2.4-1</w:t>
      </w:r>
      <w:r>
        <w:rPr>
          <w:rFonts w:hint="eastAsia" w:ascii="Times New Roman" w:hAnsi="Times New Roman" w:eastAsia="宋体"/>
          <w:strike w:val="0"/>
          <w:dstrike w:val="0"/>
          <w:color w:val="auto"/>
          <w:highlight w:val="none"/>
          <w:lang w:eastAsia="zh-CN"/>
        </w:rPr>
        <w:t>。</w:t>
      </w:r>
    </w:p>
    <w:p w14:paraId="4309E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表2.4-1环境影响因子识别表</w:t>
      </w:r>
    </w:p>
    <w:tbl>
      <w:tblPr>
        <w:tblStyle w:val="3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7" w:type="dxa"/>
          <w:bottom w:w="0" w:type="dxa"/>
          <w:right w:w="57" w:type="dxa"/>
        </w:tblCellMar>
      </w:tblPr>
      <w:tblGrid>
        <w:gridCol w:w="456"/>
        <w:gridCol w:w="632"/>
        <w:gridCol w:w="17"/>
        <w:gridCol w:w="957"/>
        <w:gridCol w:w="834"/>
        <w:gridCol w:w="803"/>
        <w:gridCol w:w="859"/>
        <w:gridCol w:w="889"/>
        <w:gridCol w:w="866"/>
        <w:gridCol w:w="965"/>
        <w:gridCol w:w="954"/>
        <w:gridCol w:w="61"/>
      </w:tblGrid>
      <w:tr w14:paraId="5F7AA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0" w:hRule="atLeast"/>
          <w:jc w:val="center"/>
        </w:trPr>
        <w:tc>
          <w:tcPr>
            <w:tcW w:w="275" w:type="pct"/>
            <w:vMerge w:val="restart"/>
            <w:tcBorders>
              <w:right w:val="single" w:color="auto" w:sz="4" w:space="0"/>
              <w:tl2br w:val="nil"/>
              <w:tr2bl w:val="nil"/>
            </w:tcBorders>
            <w:vAlign w:val="center"/>
          </w:tcPr>
          <w:p w14:paraId="4628A50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阶段</w:t>
            </w:r>
          </w:p>
        </w:tc>
        <w:tc>
          <w:tcPr>
            <w:tcW w:w="968" w:type="pct"/>
            <w:gridSpan w:val="3"/>
            <w:vMerge w:val="restart"/>
            <w:tcBorders>
              <w:left w:val="single" w:color="auto" w:sz="4" w:space="0"/>
              <w:tl2br w:val="nil"/>
              <w:tr2bl w:val="nil"/>
            </w:tcBorders>
            <w:vAlign w:val="center"/>
          </w:tcPr>
          <w:p w14:paraId="6C8E161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污染因素</w:t>
            </w:r>
          </w:p>
        </w:tc>
        <w:tc>
          <w:tcPr>
            <w:tcW w:w="3756" w:type="pct"/>
            <w:gridSpan w:val="8"/>
            <w:tcBorders>
              <w:right w:val="single" w:color="auto" w:sz="4" w:space="0"/>
              <w:tl2br w:val="nil"/>
              <w:tr2bl w:val="nil"/>
            </w:tcBorders>
            <w:vAlign w:val="center"/>
          </w:tcPr>
          <w:p w14:paraId="679A151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环境要素</w:t>
            </w:r>
          </w:p>
        </w:tc>
      </w:tr>
      <w:tr w14:paraId="6C0E5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418" w:hRule="atLeast"/>
          <w:jc w:val="center"/>
        </w:trPr>
        <w:tc>
          <w:tcPr>
            <w:tcW w:w="275" w:type="pct"/>
            <w:vMerge w:val="continue"/>
            <w:tcBorders>
              <w:right w:val="single" w:color="auto" w:sz="4" w:space="0"/>
              <w:tl2br w:val="nil"/>
              <w:tr2bl w:val="nil"/>
            </w:tcBorders>
            <w:vAlign w:val="center"/>
          </w:tcPr>
          <w:p w14:paraId="7A30CB06">
            <w:pPr>
              <w:snapToGrid w:val="0"/>
              <w:spacing w:line="240" w:lineRule="auto"/>
              <w:ind w:firstLine="0" w:firstLineChars="0"/>
              <w:jc w:val="center"/>
              <w:rPr>
                <w:rFonts w:ascii="Times New Roman" w:hAnsi="Times New Roman" w:eastAsia="宋体"/>
                <w:b/>
                <w:bCs/>
                <w:strike w:val="0"/>
                <w:dstrike w:val="0"/>
                <w:color w:val="auto"/>
                <w:sz w:val="21"/>
                <w:szCs w:val="21"/>
                <w:highlight w:val="none"/>
              </w:rPr>
            </w:pPr>
          </w:p>
        </w:tc>
        <w:tc>
          <w:tcPr>
            <w:tcW w:w="968" w:type="pct"/>
            <w:gridSpan w:val="3"/>
            <w:vMerge w:val="continue"/>
            <w:tcBorders>
              <w:left w:val="single" w:color="auto" w:sz="4" w:space="0"/>
              <w:tl2br w:val="nil"/>
              <w:tr2bl w:val="nil"/>
            </w:tcBorders>
            <w:vAlign w:val="center"/>
          </w:tcPr>
          <w:p w14:paraId="325FBCF7">
            <w:pPr>
              <w:snapToGrid w:val="0"/>
              <w:spacing w:line="240" w:lineRule="auto"/>
              <w:ind w:firstLine="0" w:firstLineChars="0"/>
              <w:jc w:val="center"/>
              <w:rPr>
                <w:rFonts w:ascii="Times New Roman" w:hAnsi="Times New Roman" w:eastAsia="宋体"/>
                <w:b/>
                <w:bCs/>
                <w:strike w:val="0"/>
                <w:dstrike w:val="0"/>
                <w:color w:val="auto"/>
                <w:sz w:val="21"/>
                <w:szCs w:val="21"/>
                <w:highlight w:val="none"/>
              </w:rPr>
            </w:pPr>
          </w:p>
        </w:tc>
        <w:tc>
          <w:tcPr>
            <w:tcW w:w="503" w:type="pct"/>
            <w:tcBorders>
              <w:tl2br w:val="nil"/>
              <w:tr2bl w:val="nil"/>
            </w:tcBorders>
            <w:vAlign w:val="center"/>
          </w:tcPr>
          <w:p w14:paraId="2A9C3D5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大气</w:t>
            </w:r>
          </w:p>
        </w:tc>
        <w:tc>
          <w:tcPr>
            <w:tcW w:w="484" w:type="pct"/>
            <w:tcBorders>
              <w:tl2br w:val="nil"/>
              <w:tr2bl w:val="nil"/>
            </w:tcBorders>
            <w:vAlign w:val="center"/>
          </w:tcPr>
          <w:p w14:paraId="26DAE06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地表水</w:t>
            </w:r>
          </w:p>
        </w:tc>
        <w:tc>
          <w:tcPr>
            <w:tcW w:w="518" w:type="pct"/>
            <w:tcBorders>
              <w:tl2br w:val="nil"/>
              <w:tr2bl w:val="nil"/>
            </w:tcBorders>
            <w:vAlign w:val="center"/>
          </w:tcPr>
          <w:p w14:paraId="0A10B37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w:t>
            </w:r>
          </w:p>
        </w:tc>
        <w:tc>
          <w:tcPr>
            <w:tcW w:w="536" w:type="pct"/>
            <w:tcBorders>
              <w:tl2br w:val="nil"/>
              <w:tr2bl w:val="nil"/>
            </w:tcBorders>
            <w:vAlign w:val="center"/>
          </w:tcPr>
          <w:p w14:paraId="3ABEC73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522" w:type="pct"/>
            <w:tcBorders>
              <w:tl2br w:val="nil"/>
              <w:tr2bl w:val="nil"/>
            </w:tcBorders>
            <w:vAlign w:val="center"/>
          </w:tcPr>
          <w:p w14:paraId="7763A63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w:t>
            </w:r>
          </w:p>
        </w:tc>
        <w:tc>
          <w:tcPr>
            <w:tcW w:w="582" w:type="pct"/>
            <w:tcBorders>
              <w:right w:val="single" w:color="auto" w:sz="4" w:space="0"/>
              <w:tl2br w:val="nil"/>
              <w:tr2bl w:val="nil"/>
            </w:tcBorders>
            <w:vAlign w:val="center"/>
          </w:tcPr>
          <w:p w14:paraId="2582170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w:t>
            </w:r>
          </w:p>
        </w:tc>
        <w:tc>
          <w:tcPr>
            <w:tcW w:w="573" w:type="pct"/>
            <w:tcBorders>
              <w:right w:val="single" w:color="auto" w:sz="4" w:space="0"/>
              <w:tl2br w:val="nil"/>
              <w:tr2bl w:val="nil"/>
            </w:tcBorders>
            <w:vAlign w:val="center"/>
          </w:tcPr>
          <w:p w14:paraId="2F4A756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居民生活</w:t>
            </w:r>
          </w:p>
        </w:tc>
      </w:tr>
      <w:tr w14:paraId="47D65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restart"/>
            <w:tcBorders>
              <w:right w:val="single" w:color="auto" w:sz="4" w:space="0"/>
              <w:tl2br w:val="nil"/>
              <w:tr2bl w:val="nil"/>
            </w:tcBorders>
            <w:vAlign w:val="center"/>
          </w:tcPr>
          <w:p w14:paraId="191FB8D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施工期</w:t>
            </w:r>
          </w:p>
        </w:tc>
        <w:tc>
          <w:tcPr>
            <w:tcW w:w="381" w:type="pct"/>
            <w:vMerge w:val="restart"/>
            <w:tcBorders>
              <w:left w:val="single" w:color="auto" w:sz="4" w:space="0"/>
              <w:right w:val="single" w:color="auto" w:sz="4" w:space="0"/>
              <w:tl2br w:val="nil"/>
              <w:tr2bl w:val="nil"/>
            </w:tcBorders>
            <w:vAlign w:val="center"/>
          </w:tcPr>
          <w:p w14:paraId="17CBE07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场区</w:t>
            </w:r>
          </w:p>
        </w:tc>
        <w:tc>
          <w:tcPr>
            <w:tcW w:w="587" w:type="pct"/>
            <w:gridSpan w:val="2"/>
            <w:tcBorders>
              <w:left w:val="single" w:color="auto" w:sz="4" w:space="0"/>
              <w:tl2br w:val="nil"/>
              <w:tr2bl w:val="nil"/>
            </w:tcBorders>
            <w:vAlign w:val="center"/>
          </w:tcPr>
          <w:p w14:paraId="19C6B4F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扬尘</w:t>
            </w:r>
          </w:p>
        </w:tc>
        <w:tc>
          <w:tcPr>
            <w:tcW w:w="503" w:type="pct"/>
            <w:tcBorders>
              <w:tl2br w:val="nil"/>
              <w:tr2bl w:val="nil"/>
            </w:tcBorders>
            <w:vAlign w:val="center"/>
          </w:tcPr>
          <w:p w14:paraId="40BC2A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0288" behindDoc="0" locked="0" layoutInCell="1" allowOverlap="1">
                      <wp:simplePos x="0" y="0"/>
                      <wp:positionH relativeFrom="column">
                        <wp:posOffset>63500</wp:posOffset>
                      </wp:positionH>
                      <wp:positionV relativeFrom="paragraph">
                        <wp:posOffset>31115</wp:posOffset>
                      </wp:positionV>
                      <wp:extent cx="95250" cy="95250"/>
                      <wp:effectExtent l="2540" t="7620" r="6985" b="1905"/>
                      <wp:wrapNone/>
                      <wp:docPr id="333" name="菱形 333"/>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5pt;margin-top:2.45pt;height:7.5pt;width:7.5pt;z-index:251660288;mso-width-relative:page;mso-height-relative:page;" fillcolor="#000000" filled="t" stroked="f" coordsize="21600,21600" o:gfxdata="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HohgNYAAAAGAQAADwAA&#10;AAAAAAABACAAAAAiAAAAZHJzL2Rvd25yZXYueG1sUEsBAhQAFAAAAAgAh07iQHYpbacYAgAAKgQA&#10;AA4AAAAAAAAAAQAgAAAAJQEAAGRycy9lMm9Eb2MueG1sUEsFBgAAAAAGAAYAWQEAAK8FA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484" w:type="pct"/>
            <w:tcBorders>
              <w:tl2br w:val="nil"/>
              <w:tr2bl w:val="nil"/>
            </w:tcBorders>
            <w:vAlign w:val="center"/>
          </w:tcPr>
          <w:p w14:paraId="76D4D2D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117475</wp:posOffset>
                      </wp:positionH>
                      <wp:positionV relativeFrom="paragraph">
                        <wp:posOffset>50800</wp:posOffset>
                      </wp:positionV>
                      <wp:extent cx="75565" cy="75565"/>
                      <wp:effectExtent l="12065" t="8255" r="7620" b="11430"/>
                      <wp:wrapNone/>
                      <wp:docPr id="332" name="椭圆 332"/>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pt;height:5.95pt;width:5.95pt;z-index:251661312;mso-width-relative:page;mso-height-relative:page;" fillcolor="#FFFFFF" filled="t" stroked="t" coordsize="21600,21600" o:gfxdata="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T+sl9UAAAAGAQAADwAAAAAAAAABACAAAAAiAAAAZHJzL2Rvd25yZXYueG1s&#10;UEsBAhQAFAAAAAgAh07iQKA9DF80AgAAcQQAAA4AAAAAAAAAAQAgAAAAJAEAAGRycy9lMm9Eb2Mu&#10;eG1sUEsFBgAAAAAGAAYAWQEAAMo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4B39362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2336" behindDoc="0" locked="0" layoutInCell="1" allowOverlap="1">
                      <wp:simplePos x="0" y="0"/>
                      <wp:positionH relativeFrom="column">
                        <wp:posOffset>94615</wp:posOffset>
                      </wp:positionH>
                      <wp:positionV relativeFrom="paragraph">
                        <wp:posOffset>50800</wp:posOffset>
                      </wp:positionV>
                      <wp:extent cx="75565" cy="75565"/>
                      <wp:effectExtent l="11430" t="8255" r="8255" b="11430"/>
                      <wp:wrapNone/>
                      <wp:docPr id="331" name="椭圆 33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pt;height:5.95pt;width:5.95pt;z-index:251662336;mso-width-relative:page;mso-height-relative:page;" fillcolor="#FFFFFF" filled="t" stroked="t" coordsize="21600,21600" o:gfxdata="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hgIINUAAAAGAQAADwAAAAAAAAABACAAAAAiAAAAZHJzL2Rvd25yZXYueG1s&#10;UEsBAhQAFAAAAAgAh07iQIyibYA0AgAAcQQAAA4AAAAAAAAAAQAgAAAAJAEAAGRycy9lMm9Eb2Mu&#10;eG1sUEsFBgAAAAAGAAYAWQEAAMoFA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528B04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50800</wp:posOffset>
                      </wp:positionV>
                      <wp:extent cx="75565" cy="75565"/>
                      <wp:effectExtent l="11430" t="8255" r="8255" b="11430"/>
                      <wp:wrapNone/>
                      <wp:docPr id="330" name="椭圆 33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pt;height:5.95pt;width:5.95pt;z-index:251663360;mso-width-relative:page;mso-height-relative:page;" fillcolor="#FFFFFF" filled="t" stroked="t" coordsize="21600,21600" o:gfxdata="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g7xefUAAAABgEAAA8AAAAAAAAAAQAgAAAAIgAAAGRycy9kb3ducmV2LnhtbFBL&#10;AQIUABQAAAAIAIdO4kBXKmJ8MwIAAHEEAAAOAAAAAAAAAAEAIAAAACMBAABkcnMvZTJvRG9jLnht&#10;bFBLBQYAAAAABgAGAFkBAADIBQ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239C245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5584" behindDoc="0" locked="0" layoutInCell="1" allowOverlap="1">
                      <wp:simplePos x="0" y="0"/>
                      <wp:positionH relativeFrom="column">
                        <wp:posOffset>100330</wp:posOffset>
                      </wp:positionH>
                      <wp:positionV relativeFrom="paragraph">
                        <wp:posOffset>40640</wp:posOffset>
                      </wp:positionV>
                      <wp:extent cx="76200" cy="85725"/>
                      <wp:effectExtent l="12700" t="17780" r="15875" b="10795"/>
                      <wp:wrapNone/>
                      <wp:docPr id="329" name="等腰三角形 32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2pt;height:6.75pt;width:6pt;z-index:251715584;mso-width-relative:page;mso-height-relative:page;" filled="f" stroked="t" coordsize="21600,21600" o:gfxdata="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h4C761AAAAAYB&#10;AAAPAAAAAAAAAAEAIAAAACIAAABkcnMvZG93bnJldi54bWxQSwECFAAUAAAACACHTuJAXldgb1gC&#10;AACLBAAADgAAAAAAAAABACAAAAAj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657DA5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4384" behindDoc="0" locked="0" layoutInCell="1" allowOverlap="1">
                      <wp:simplePos x="0" y="0"/>
                      <wp:positionH relativeFrom="column">
                        <wp:posOffset>151130</wp:posOffset>
                      </wp:positionH>
                      <wp:positionV relativeFrom="paragraph">
                        <wp:posOffset>50800</wp:posOffset>
                      </wp:positionV>
                      <wp:extent cx="75565" cy="75565"/>
                      <wp:effectExtent l="10160" t="8255" r="9525" b="11430"/>
                      <wp:wrapNone/>
                      <wp:docPr id="328" name="椭圆 32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pt;height:5.95pt;width:5.95pt;z-index:251664384;mso-width-relative:page;mso-height-relative:page;" fillcolor="#FFFFFF" filled="t" stroked="t" coordsize="21600,21600" o:gfxdata="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XM2A1QAAAAYBAAAPAAAAAAAAAAEAIAAAACIAAABkcnMvZG93bnJldi54bWxQ&#10;SwECFAAUAAAACACHTuJAX3En4DMCAABxBAAADgAAAAAAAAABACAAAAAkAQAAZHJzL2Uyb0RvYy54&#10;bWxQSwUGAAAAAAYABgBZAQAAyQU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2EC46EB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7392" behindDoc="0" locked="0" layoutInCell="1" allowOverlap="1">
                      <wp:simplePos x="0" y="0"/>
                      <wp:positionH relativeFrom="column">
                        <wp:posOffset>118745</wp:posOffset>
                      </wp:positionH>
                      <wp:positionV relativeFrom="paragraph">
                        <wp:posOffset>40640</wp:posOffset>
                      </wp:positionV>
                      <wp:extent cx="76200" cy="85725"/>
                      <wp:effectExtent l="1905" t="8255" r="7620" b="1270"/>
                      <wp:wrapNone/>
                      <wp:docPr id="298" name="等腰三角形 29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2pt;height:6.75pt;width:6pt;z-index:251707392;mso-width-relative:page;mso-height-relative:page;" fillcolor="#000000" filled="t" stroked="f" coordsize="21600,21600" o:gfxdata="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&#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IoDdTSAAAABgEAAA8AAAAAAAAAAQAgAAAAIgAAAGRy&#10;cy9kb3ducmV2LnhtbFBLAQIUABQAAAAIAIdO4kBKBoy9RAIAAGAEAAAOAAAAAAAAAAEAIAAAACEB&#10;AABkcnMvZTJvRG9jLnhtbFBLBQYAAAAABgAGAFkBAADX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0A196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40417F8A">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81" w:type="pct"/>
            <w:vMerge w:val="continue"/>
            <w:tcBorders>
              <w:left w:val="single" w:color="auto" w:sz="4" w:space="0"/>
              <w:right w:val="single" w:color="auto" w:sz="4" w:space="0"/>
              <w:tl2br w:val="nil"/>
              <w:tr2bl w:val="nil"/>
            </w:tcBorders>
            <w:vAlign w:val="center"/>
          </w:tcPr>
          <w:p w14:paraId="55E827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87" w:type="pct"/>
            <w:gridSpan w:val="2"/>
            <w:tcBorders>
              <w:left w:val="single" w:color="auto" w:sz="4" w:space="0"/>
              <w:tl2br w:val="nil"/>
              <w:tr2bl w:val="nil"/>
            </w:tcBorders>
            <w:vAlign w:val="center"/>
          </w:tcPr>
          <w:p w14:paraId="54EA0F3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施工废水</w:t>
            </w:r>
          </w:p>
        </w:tc>
        <w:tc>
          <w:tcPr>
            <w:tcW w:w="503" w:type="pct"/>
            <w:tcBorders>
              <w:tl2br w:val="nil"/>
              <w:tr2bl w:val="nil"/>
            </w:tcBorders>
            <w:vAlign w:val="center"/>
          </w:tcPr>
          <w:p w14:paraId="21093C1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6432" behindDoc="0" locked="0" layoutInCell="1" allowOverlap="1">
                      <wp:simplePos x="0" y="0"/>
                      <wp:positionH relativeFrom="column">
                        <wp:posOffset>63500</wp:posOffset>
                      </wp:positionH>
                      <wp:positionV relativeFrom="paragraph">
                        <wp:posOffset>52705</wp:posOffset>
                      </wp:positionV>
                      <wp:extent cx="75565" cy="75565"/>
                      <wp:effectExtent l="12700" t="8255" r="6985" b="11430"/>
                      <wp:wrapNone/>
                      <wp:docPr id="297" name="椭圆 29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15pt;height:5.95pt;width:5.95pt;z-index:251666432;mso-width-relative:page;mso-height-relative:page;" fillcolor="#FFFFFF" filled="t" stroked="t" coordsize="21600,21600" o:gfxdata="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2V5eH1QAAAAYBAAAPAAAAAAAAAAEAIAAAACIAAABkcnMvZG93bnJldi54bWxQ&#10;SwECFAAUAAAACACHTuJAVF5iyDMCAABxBAAADgAAAAAAAAABACAAAAAkAQAAZHJzL2Uyb0RvYy54&#10;bWxQSwUGAAAAAAYABgBZAQAAyQU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5D5CEFC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8480" behindDoc="0" locked="0" layoutInCell="1" allowOverlap="1">
                      <wp:simplePos x="0" y="0"/>
                      <wp:positionH relativeFrom="column">
                        <wp:posOffset>117475</wp:posOffset>
                      </wp:positionH>
                      <wp:positionV relativeFrom="paragraph">
                        <wp:posOffset>52705</wp:posOffset>
                      </wp:positionV>
                      <wp:extent cx="75565" cy="75565"/>
                      <wp:effectExtent l="12065" t="8255" r="7620" b="11430"/>
                      <wp:wrapNone/>
                      <wp:docPr id="296" name="椭圆 29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15pt;height:5.95pt;width:5.95pt;z-index:251668480;mso-width-relative:page;mso-height-relative:page;" fillcolor="#FFFFFF" filled="t" stroked="t" coordsize="21600,21600" o:gfxdata="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1KjXUAAAABgEAAA8AAAAAAAAAAQAgAAAAIgAAAGRycy9kb3ducmV2LnhtbFBL&#10;AQIUABQAAAAIAIdO4kCP1m00MwIAAHEEAAAOAAAAAAAAAAEAIAAAACMBAABkcnMvZTJvRG9jLnht&#10;bFBLBQYAAAAABgAGAFkBAADIBQ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235BB69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4320" behindDoc="0" locked="0" layoutInCell="1" allowOverlap="1">
                      <wp:simplePos x="0" y="0"/>
                      <wp:positionH relativeFrom="column">
                        <wp:posOffset>94615</wp:posOffset>
                      </wp:positionH>
                      <wp:positionV relativeFrom="paragraph">
                        <wp:posOffset>42545</wp:posOffset>
                      </wp:positionV>
                      <wp:extent cx="76200" cy="85725"/>
                      <wp:effectExtent l="3175" t="8255" r="6350" b="1270"/>
                      <wp:wrapNone/>
                      <wp:docPr id="295" name="等腰三角形 295"/>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3.35pt;height:6.75pt;width:6pt;z-index:251704320;mso-width-relative:page;mso-height-relative:page;" fillcolor="#000000" filled="t" stroked="f" coordsize="21600,21600" o:gfxdata="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&#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D8NYXTAAAABgEAAA8AAAAAAAAAAQAgAAAAIgAAAGRy&#10;cy9kb3ducmV2LnhtbFBLAQIUABQAAAAIAIdO4kD+TKdnQwIAAGAEAAAOAAAAAAAAAAEAIAAAACIB&#10;AABkcnMvZTJvRG9jLnhtbFBLBQYAAAAABgAGAFkBAADX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36" w:type="pct"/>
            <w:tcBorders>
              <w:tl2br w:val="nil"/>
              <w:tr2bl w:val="nil"/>
            </w:tcBorders>
            <w:vAlign w:val="center"/>
          </w:tcPr>
          <w:p w14:paraId="379001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1792" behindDoc="0" locked="0" layoutInCell="1" allowOverlap="1">
                      <wp:simplePos x="0" y="0"/>
                      <wp:positionH relativeFrom="column">
                        <wp:posOffset>83185</wp:posOffset>
                      </wp:positionH>
                      <wp:positionV relativeFrom="paragraph">
                        <wp:posOffset>52705</wp:posOffset>
                      </wp:positionV>
                      <wp:extent cx="75565" cy="75565"/>
                      <wp:effectExtent l="11430" t="8255" r="8255" b="11430"/>
                      <wp:wrapNone/>
                      <wp:docPr id="294" name="椭圆 29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15pt;height:5.95pt;width:5.95pt;z-index:251681792;mso-width-relative:page;mso-height-relative:page;" fillcolor="#FFFFFF" filled="t" stroked="t" coordsize="21600,21600" o:gfxdata="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rxQ0XUAAAABgEAAA8AAAAAAAAAAQAgAAAAIgAAAGRycy9kb3ducmV2LnhtbFBL&#10;AQIUABQAAAAIAIdO4kB4wQMXMwIAAHEEAAAOAAAAAAAAAAEAIAAAACMBAABkcnMvZTJvRG9jLnht&#10;bFBLBQYAAAAABgAGAFkBAADIBQ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097AE6F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6608" behindDoc="0" locked="0" layoutInCell="1" allowOverlap="1">
                      <wp:simplePos x="0" y="0"/>
                      <wp:positionH relativeFrom="column">
                        <wp:posOffset>100330</wp:posOffset>
                      </wp:positionH>
                      <wp:positionV relativeFrom="paragraph">
                        <wp:posOffset>42545</wp:posOffset>
                      </wp:positionV>
                      <wp:extent cx="76200" cy="85725"/>
                      <wp:effectExtent l="12700" t="17780" r="15875" b="10795"/>
                      <wp:wrapNone/>
                      <wp:docPr id="293" name="等腰三角形 293"/>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35pt;height:6.75pt;width:6pt;z-index:251716608;mso-width-relative:page;mso-height-relative:page;" filled="f" stroked="t" coordsize="21600,21600" o:gfxdata="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yqoWNUAAAAG&#10;AQAADwAAAAAAAAABACAAAAAiAAAAZHJzL2Rvd25yZXYueG1sUEsBAhQAFAAAAAgAh07iQG1r4Y5Y&#10;AgAAiwQAAA4AAAAAAAAAAQAgAAAAJAEAAGRycy9lMm9Eb2MueG1sUEsFBgAAAAAGAAYAWQEAAO4F&#10;A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25A1EC3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0704" behindDoc="0" locked="0" layoutInCell="1" allowOverlap="1">
                      <wp:simplePos x="0" y="0"/>
                      <wp:positionH relativeFrom="column">
                        <wp:posOffset>151130</wp:posOffset>
                      </wp:positionH>
                      <wp:positionV relativeFrom="paragraph">
                        <wp:posOffset>42545</wp:posOffset>
                      </wp:positionV>
                      <wp:extent cx="76200" cy="85725"/>
                      <wp:effectExtent l="21590" t="17780" r="16510" b="10795"/>
                      <wp:wrapNone/>
                      <wp:docPr id="292" name="等腰三角形 29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3.35pt;height:6.75pt;width:6pt;z-index:251720704;mso-width-relative:page;mso-height-relative:page;" filled="f" stroked="t" coordsize="21600,21600" o:gfxdata="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HGlD9UAAAAG&#10;AQAADwAAAAAAAAABACAAAAAiAAAAZHJzL2Rvd25yZXYueG1sUEsBAhQAFAAAAAgAh07iQOxGFZdY&#10;AgAAiwQAAA4AAAAAAAAAAQAgAAAAJAEAAGRycy9lMm9Eb2MueG1sUEsFBgAAAAAGAAYAWQEAAO4F&#10;A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73" w:type="pct"/>
            <w:tcBorders>
              <w:tl2br w:val="nil"/>
              <w:tr2bl w:val="nil"/>
            </w:tcBorders>
            <w:vAlign w:val="center"/>
          </w:tcPr>
          <w:p w14:paraId="245F654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5408" behindDoc="0" locked="0" layoutInCell="1" allowOverlap="1">
                      <wp:simplePos x="0" y="0"/>
                      <wp:positionH relativeFrom="column">
                        <wp:posOffset>118745</wp:posOffset>
                      </wp:positionH>
                      <wp:positionV relativeFrom="paragraph">
                        <wp:posOffset>52705</wp:posOffset>
                      </wp:positionV>
                      <wp:extent cx="75565" cy="75565"/>
                      <wp:effectExtent l="9525" t="8255" r="10160" b="11430"/>
                      <wp:wrapNone/>
                      <wp:docPr id="291" name="椭圆 29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35pt;margin-top:4.15pt;height:5.95pt;width:5.95pt;z-index:251665408;mso-width-relative:page;mso-height-relative:page;" fillcolor="#FFFFFF" filled="t" stroked="t" coordsize="21600,21600" o:gfxdata="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DMMHHUAAAABgEAAA8AAAAAAAAAAQAgAAAAIgAAAGRycy9kb3ducmV2LnhtbFBL&#10;AQIUABQAAAAIAIdO4kBNZtCtMwIAAHEEAAAOAAAAAAAAAAEAIAAAACMBAABkcnMvZTJvRG9jLnht&#10;bFBLBQYAAAAABgAGAFkBAADIBQAAAAA=&#10;">
                      <v:fill on="t" focussize="0,0"/>
                      <v:stroke color="#000000" joinstyle="round"/>
                      <v:imagedata o:title=""/>
                      <o:lock v:ext="edit" aspectratio="f"/>
                    </v:shape>
                  </w:pict>
                </mc:Fallback>
              </mc:AlternateContent>
            </w:r>
          </w:p>
        </w:tc>
      </w:tr>
      <w:tr w14:paraId="6903D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37236E7D">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81" w:type="pct"/>
            <w:vMerge w:val="continue"/>
            <w:tcBorders>
              <w:left w:val="single" w:color="auto" w:sz="4" w:space="0"/>
              <w:right w:val="single" w:color="auto" w:sz="4" w:space="0"/>
              <w:tl2br w:val="nil"/>
              <w:tr2bl w:val="nil"/>
            </w:tcBorders>
            <w:vAlign w:val="center"/>
          </w:tcPr>
          <w:p w14:paraId="00DF2111">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87" w:type="pct"/>
            <w:gridSpan w:val="2"/>
            <w:tcBorders>
              <w:left w:val="single" w:color="auto" w:sz="4" w:space="0"/>
              <w:tl2br w:val="nil"/>
              <w:tr2bl w:val="nil"/>
            </w:tcBorders>
            <w:vAlign w:val="center"/>
          </w:tcPr>
          <w:p w14:paraId="6DB1FE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施工噪声</w:t>
            </w:r>
          </w:p>
        </w:tc>
        <w:tc>
          <w:tcPr>
            <w:tcW w:w="503" w:type="pct"/>
            <w:tcBorders>
              <w:tl2br w:val="nil"/>
              <w:tr2bl w:val="nil"/>
            </w:tcBorders>
            <w:vAlign w:val="center"/>
          </w:tcPr>
          <w:p w14:paraId="1474FF4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7456" behindDoc="0" locked="0" layoutInCell="1" allowOverlap="1">
                      <wp:simplePos x="0" y="0"/>
                      <wp:positionH relativeFrom="column">
                        <wp:posOffset>63500</wp:posOffset>
                      </wp:positionH>
                      <wp:positionV relativeFrom="paragraph">
                        <wp:posOffset>53975</wp:posOffset>
                      </wp:positionV>
                      <wp:extent cx="75565" cy="75565"/>
                      <wp:effectExtent l="12700" t="7620" r="6985" b="12065"/>
                      <wp:wrapNone/>
                      <wp:docPr id="290" name="椭圆 29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25pt;height:5.95pt;width:5.95pt;z-index:251667456;mso-width-relative:page;mso-height-relative:page;" fillcolor="#FFFFFF" filled="t" stroked="t" coordsize="21600,21600" o:gfxdata="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WJpzW1QAAAAYBAAAPAAAAAAAAAAEAIAAAACIAAABkcnMvZG93bnJldi54bWxQ&#10;SwECFAAUAAAACACHTuJAlu7fUTMCAABxBAAADgAAAAAAAAABACAAAAAkAQAAZHJzL2Uyb0RvYy54&#10;bWxQSwUGAAAAAAYABgBZAQAAyQU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53F3506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9504" behindDoc="0" locked="0" layoutInCell="1" allowOverlap="1">
                      <wp:simplePos x="0" y="0"/>
                      <wp:positionH relativeFrom="column">
                        <wp:posOffset>117475</wp:posOffset>
                      </wp:positionH>
                      <wp:positionV relativeFrom="paragraph">
                        <wp:posOffset>53975</wp:posOffset>
                      </wp:positionV>
                      <wp:extent cx="75565" cy="75565"/>
                      <wp:effectExtent l="12065" t="7620" r="7620" b="12065"/>
                      <wp:wrapNone/>
                      <wp:docPr id="289" name="椭圆 28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25pt;height:5.95pt;width:5.95pt;z-index:251669504;mso-width-relative:page;mso-height-relative:page;" fillcolor="#FFFFFF" filled="t" stroked="t" coordsize="21600,21600" o:gfxdata="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4QhZNMAAAAGAQAADwAAAAAAAAABACAAAAAiAAAAZHJzL2Rvd25yZXYueG1sUEsB&#10;AhQAFAAAAAgAh07iQEU9lTEzAgAAcQQAAA4AAAAAAAAAAQAgAAAAIg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558F86D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6672" behindDoc="0" locked="0" layoutInCell="1" allowOverlap="1">
                      <wp:simplePos x="0" y="0"/>
                      <wp:positionH relativeFrom="column">
                        <wp:posOffset>94615</wp:posOffset>
                      </wp:positionH>
                      <wp:positionV relativeFrom="paragraph">
                        <wp:posOffset>53975</wp:posOffset>
                      </wp:positionV>
                      <wp:extent cx="75565" cy="75565"/>
                      <wp:effectExtent l="11430" t="7620" r="8255" b="12065"/>
                      <wp:wrapNone/>
                      <wp:docPr id="288" name="椭圆 28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25pt;height:5.95pt;width:5.95pt;z-index:251676672;mso-width-relative:page;mso-height-relative:page;" fillcolor="#FFFFFF" filled="t" stroked="t" coordsize="21600,21600" o:gfxdata="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o4XT1QAAAAYBAAAPAAAAAAAAAAEAIAAAACIAAABkcnMvZG93bnJldi54bWxQ&#10;SwECFAAUAAAACACHTuJAnrWazTMCAABxBAAADgAAAAAAAAABACAAAAAkAQAAZHJzL2Uyb0RvYy54&#10;bWxQSwUGAAAAAAYABgBZAQAAyQU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162C093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8176" behindDoc="0" locked="0" layoutInCell="1" allowOverlap="1">
                      <wp:simplePos x="0" y="0"/>
                      <wp:positionH relativeFrom="column">
                        <wp:posOffset>83185</wp:posOffset>
                      </wp:positionH>
                      <wp:positionV relativeFrom="paragraph">
                        <wp:posOffset>34290</wp:posOffset>
                      </wp:positionV>
                      <wp:extent cx="95250" cy="95250"/>
                      <wp:effectExtent l="3175" t="6985" r="6350" b="2540"/>
                      <wp:wrapNone/>
                      <wp:docPr id="95" name="菱形 95"/>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6.55pt;margin-top:2.7pt;height:7.5pt;width:7.5pt;z-index:251698176;mso-width-relative:page;mso-height-relative:page;" fillcolor="#000000" filled="t" stroked="f" coordsize="21600,21600" o:gfxdata="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B0dUg1gAAAAYBAAAPAAAA&#10;AAAAAAEAIAAAACIAAABkcnMvZG93bnJldi54bWxQSwECFAAUAAAACACHTuJAzSwASh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22" w:type="pct"/>
            <w:tcBorders>
              <w:tl2br w:val="nil"/>
              <w:tr2bl w:val="nil"/>
            </w:tcBorders>
            <w:vAlign w:val="center"/>
          </w:tcPr>
          <w:p w14:paraId="433B67E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7632" behindDoc="0" locked="0" layoutInCell="1" allowOverlap="1">
                      <wp:simplePos x="0" y="0"/>
                      <wp:positionH relativeFrom="column">
                        <wp:posOffset>100330</wp:posOffset>
                      </wp:positionH>
                      <wp:positionV relativeFrom="paragraph">
                        <wp:posOffset>43815</wp:posOffset>
                      </wp:positionV>
                      <wp:extent cx="76200" cy="85725"/>
                      <wp:effectExtent l="12700" t="17145" r="15875" b="11430"/>
                      <wp:wrapNone/>
                      <wp:docPr id="94" name="等腰三角形 9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45pt;height:6.75pt;width:6pt;z-index:251717632;mso-width-relative:page;mso-height-relative:page;" filled="f" stroked="t" coordsize="21600,21600" o:gfxdata="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b65sPUAAAABgEA&#10;AA8AAAAAAAAAAQAgAAAAIgAAAGRycy9kb3ducmV2LnhtbFBLAQIUABQAAAAIAIdO4kBI4VhT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5304887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1008" behindDoc="0" locked="0" layoutInCell="1" allowOverlap="1">
                      <wp:simplePos x="0" y="0"/>
                      <wp:positionH relativeFrom="column">
                        <wp:posOffset>151130</wp:posOffset>
                      </wp:positionH>
                      <wp:positionV relativeFrom="paragraph">
                        <wp:posOffset>53975</wp:posOffset>
                      </wp:positionV>
                      <wp:extent cx="75565" cy="75565"/>
                      <wp:effectExtent l="10160" t="7620" r="9525" b="12065"/>
                      <wp:wrapNone/>
                      <wp:docPr id="93" name="椭圆 93"/>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25pt;height:5.95pt;width:5.95pt;z-index:251691008;mso-width-relative:page;mso-height-relative:page;" fillcolor="#FFFFFF" filled="t" stroked="t" coordsize="21600,21600" o:gfxdata="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fnQHPVAAAABgEAAA8AAAAAAAAAAQAgAAAAIgAAAGRycy9kb3ducmV2LnhtbFBL&#10;AQIUABQAAAAIAIdO4kB2DS+fMgIAAG8EAAAOAAAAAAAAAAEAIAAAACQBAABkcnMvZTJvRG9jLnht&#10;bFBLBQYAAAAABgAGAFkBAADIBQ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52E6FFE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2752" behindDoc="0" locked="0" layoutInCell="1" allowOverlap="1">
                      <wp:simplePos x="0" y="0"/>
                      <wp:positionH relativeFrom="column">
                        <wp:posOffset>118745</wp:posOffset>
                      </wp:positionH>
                      <wp:positionV relativeFrom="paragraph">
                        <wp:posOffset>43815</wp:posOffset>
                      </wp:positionV>
                      <wp:extent cx="76200" cy="85725"/>
                      <wp:effectExtent l="20955" t="17145" r="17145" b="11430"/>
                      <wp:wrapNone/>
                      <wp:docPr id="92" name="等腰三角形 9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45pt;height:6.75pt;width:6pt;z-index:251722752;mso-width-relative:page;mso-height-relative:page;" filled="f" stroked="t" coordsize="21600,21600" o:gfxdata="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vcEu51QAAAAYB&#10;AAAPAAAAAAAAAAEAIAAAACIAAABkcnMvZG93bnJldi54bWxQSwECFAAUAAAACACHTuJAj2rgolcC&#10;AACJBAAADgAAAAAAAAABACAAAAAk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695B9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2F398B5D">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56DFC2D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车辆运输</w:t>
            </w:r>
          </w:p>
        </w:tc>
        <w:tc>
          <w:tcPr>
            <w:tcW w:w="503" w:type="pct"/>
            <w:tcBorders>
              <w:tl2br w:val="nil"/>
              <w:tr2bl w:val="nil"/>
            </w:tcBorders>
            <w:vAlign w:val="center"/>
          </w:tcPr>
          <w:p w14:paraId="3792DE6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0224" behindDoc="0" locked="0" layoutInCell="1" allowOverlap="1">
                      <wp:simplePos x="0" y="0"/>
                      <wp:positionH relativeFrom="column">
                        <wp:posOffset>63500</wp:posOffset>
                      </wp:positionH>
                      <wp:positionV relativeFrom="paragraph">
                        <wp:posOffset>52705</wp:posOffset>
                      </wp:positionV>
                      <wp:extent cx="76200" cy="85725"/>
                      <wp:effectExtent l="4445" t="8255" r="5080" b="1270"/>
                      <wp:wrapNone/>
                      <wp:docPr id="91" name="等腰三角形 9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4.15pt;height:6.75pt;width:6pt;z-index:251700224;mso-width-relative:page;mso-height-relative:page;" fillcolor="#000000" filled="t" stroked="f" coordsize="21600,21600" o:gfxdata="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Znfhp0gAAAAYBAAAPAAAAAAAAAAEAIAAAACIAAABkcnMv&#10;ZG93bnJldi54bWxQSwECFAAUAAAACACHTuJAFyAHKk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484" w:type="pct"/>
            <w:tcBorders>
              <w:tl2br w:val="nil"/>
              <w:tr2bl w:val="nil"/>
            </w:tcBorders>
            <w:vAlign w:val="center"/>
          </w:tcPr>
          <w:p w14:paraId="30E9A0C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0528" behindDoc="0" locked="0" layoutInCell="1" allowOverlap="1">
                      <wp:simplePos x="0" y="0"/>
                      <wp:positionH relativeFrom="column">
                        <wp:posOffset>117475</wp:posOffset>
                      </wp:positionH>
                      <wp:positionV relativeFrom="paragraph">
                        <wp:posOffset>62865</wp:posOffset>
                      </wp:positionV>
                      <wp:extent cx="75565" cy="75565"/>
                      <wp:effectExtent l="12065" t="8255" r="7620" b="11430"/>
                      <wp:wrapNone/>
                      <wp:docPr id="90" name="椭圆 9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95pt;height:5.95pt;width:5.95pt;z-index:251670528;mso-width-relative:page;mso-height-relative:page;" fillcolor="#FFFFFF" filled="t" stroked="t" coordsize="21600,21600" o:gfxdata="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IkgNtUAAAAGAQAADwAAAAAAAAABACAAAAAiAAAAZHJzL2Rvd25yZXYueG1sUEsB&#10;AhQAFAAAAAgAh07iQBUTqmgxAgAAbwQAAA4AAAAAAAAAAQAgAAAAJA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7D32A8E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7696" behindDoc="0" locked="0" layoutInCell="1" allowOverlap="1">
                      <wp:simplePos x="0" y="0"/>
                      <wp:positionH relativeFrom="column">
                        <wp:posOffset>94615</wp:posOffset>
                      </wp:positionH>
                      <wp:positionV relativeFrom="paragraph">
                        <wp:posOffset>65405</wp:posOffset>
                      </wp:positionV>
                      <wp:extent cx="75565" cy="75565"/>
                      <wp:effectExtent l="11430" t="8255" r="8255" b="11430"/>
                      <wp:wrapNone/>
                      <wp:docPr id="89" name="椭圆 8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5.15pt;height:5.95pt;width:5.95pt;z-index:251677696;mso-width-relative:page;mso-height-relative:page;" fillcolor="#FFFFFF" filled="t" stroked="t" coordsize="21600,21600" o:gfxdata="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srZ6rVAAAABwEAAA8AAAAAAAAAAQAgAAAAIgAAAGRycy9kb3ducmV2LnhtbFBL&#10;AQIUABQAAAAIAIdO4kCr0ZmP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38E10B6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5344" behindDoc="0" locked="0" layoutInCell="1" allowOverlap="1">
                      <wp:simplePos x="0" y="0"/>
                      <wp:positionH relativeFrom="column">
                        <wp:posOffset>83185</wp:posOffset>
                      </wp:positionH>
                      <wp:positionV relativeFrom="paragraph">
                        <wp:posOffset>52705</wp:posOffset>
                      </wp:positionV>
                      <wp:extent cx="76200" cy="85725"/>
                      <wp:effectExtent l="3175" t="8255" r="6350" b="1270"/>
                      <wp:wrapNone/>
                      <wp:docPr id="88" name="等腰三角形 8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55pt;margin-top:4.15pt;height:6.75pt;width:6pt;z-index:251705344;mso-width-relative:page;mso-height-relative:page;" fillcolor="#000000" filled="t" stroked="f" coordsize="21600,21600" o:gfxdata="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Opwa9MAAAAGAQAADwAAAAAAAAABACAAAAAiAAAAZHJz&#10;L2Rvd25yZXYueG1sUEsBAhQAFAAAAAgAh07iQAL3U+hCAgAAXgQAAA4AAAAAAAAAAQAgAAAAIg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22" w:type="pct"/>
            <w:tcBorders>
              <w:tl2br w:val="nil"/>
              <w:tr2bl w:val="nil"/>
            </w:tcBorders>
            <w:vAlign w:val="center"/>
          </w:tcPr>
          <w:p w14:paraId="4681126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5888" behindDoc="0" locked="0" layoutInCell="1" allowOverlap="1">
                      <wp:simplePos x="0" y="0"/>
                      <wp:positionH relativeFrom="column">
                        <wp:posOffset>100330</wp:posOffset>
                      </wp:positionH>
                      <wp:positionV relativeFrom="paragraph">
                        <wp:posOffset>62865</wp:posOffset>
                      </wp:positionV>
                      <wp:extent cx="75565" cy="75565"/>
                      <wp:effectExtent l="11430" t="8255" r="8255" b="11430"/>
                      <wp:wrapNone/>
                      <wp:docPr id="87" name="椭圆 8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95pt;height:5.95pt;width:5.95pt;z-index:251685888;mso-width-relative:page;mso-height-relative:page;" fillcolor="#FFFFFF" filled="t" stroked="t" coordsize="21600,21600" o:gfxdata="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exTHbVAAAABgEAAA8AAAAAAAAAAQAgAAAAIgAAAGRycy9kb3ducmV2LnhtbFBL&#10;AQIUABQAAAAIAIdO4kDnsGlCMgIAAG8EAAAOAAAAAAAAAAEAIAAAACQBAABkcnMvZTJvRG9jLnht&#10;bFBLBQYAAAAABgAGAFkBAADIBQ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38F3FA7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2032" behindDoc="0" locked="0" layoutInCell="1" allowOverlap="1">
                      <wp:simplePos x="0" y="0"/>
                      <wp:positionH relativeFrom="column">
                        <wp:posOffset>151130</wp:posOffset>
                      </wp:positionH>
                      <wp:positionV relativeFrom="paragraph">
                        <wp:posOffset>62865</wp:posOffset>
                      </wp:positionV>
                      <wp:extent cx="75565" cy="75565"/>
                      <wp:effectExtent l="10160" t="8255" r="9525" b="11430"/>
                      <wp:wrapNone/>
                      <wp:docPr id="86" name="椭圆 8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95pt;height:5.95pt;width:5.95pt;z-index:251692032;mso-width-relative:page;mso-height-relative:page;" fillcolor="#FFFFFF" filled="t" stroked="t" coordsize="21600,21600" o:gfxdata="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TqQSHVAAAABgEAAA8AAAAAAAAAAQAgAAAAIgAAAGRycy9kb3ducmV2LnhtbFBL&#10;AQIUABQAAAAIAIdO4kDGuuoQMgIAAG8EAAAOAAAAAAAAAAEAIAAAACQBAABkcnMvZTJvRG9jLnht&#10;bFBLBQYAAAAABgAGAFkBAADIBQ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23594D7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8416" behindDoc="0" locked="0" layoutInCell="1" allowOverlap="1">
                      <wp:simplePos x="0" y="0"/>
                      <wp:positionH relativeFrom="column">
                        <wp:posOffset>118745</wp:posOffset>
                      </wp:positionH>
                      <wp:positionV relativeFrom="paragraph">
                        <wp:posOffset>52705</wp:posOffset>
                      </wp:positionV>
                      <wp:extent cx="76200" cy="85725"/>
                      <wp:effectExtent l="1905" t="8255" r="7620" b="1270"/>
                      <wp:wrapNone/>
                      <wp:docPr id="85" name="等腰三角形 85"/>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4.15pt;height:6.75pt;width:6pt;z-index:251708416;mso-width-relative:page;mso-height-relative:page;" fillcolor="#000000" filled="t" stroked="f" coordsize="21600,21600" o:gfxdata="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S1wNf0gAAAAYBAAAPAAAAAAAAAAEAIAAAACIAAABkcnMv&#10;ZG93bnJldi54bWxQSwECFAAUAAAACACHTuJAeQ34rk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3E5CA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restart"/>
            <w:tcBorders>
              <w:tl2br w:val="nil"/>
              <w:tr2bl w:val="nil"/>
            </w:tcBorders>
            <w:vAlign w:val="center"/>
          </w:tcPr>
          <w:p w14:paraId="602686E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运行期</w:t>
            </w:r>
          </w:p>
        </w:tc>
        <w:tc>
          <w:tcPr>
            <w:tcW w:w="391" w:type="pct"/>
            <w:gridSpan w:val="2"/>
            <w:vMerge w:val="restart"/>
            <w:tcBorders>
              <w:right w:val="single" w:color="auto" w:sz="4" w:space="0"/>
              <w:tl2br w:val="nil"/>
              <w:tr2bl w:val="nil"/>
            </w:tcBorders>
            <w:vAlign w:val="center"/>
          </w:tcPr>
          <w:p w14:paraId="44D3FDE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场区</w:t>
            </w:r>
          </w:p>
        </w:tc>
        <w:tc>
          <w:tcPr>
            <w:tcW w:w="576" w:type="pct"/>
            <w:tcBorders>
              <w:left w:val="single" w:color="auto" w:sz="4" w:space="0"/>
              <w:tl2br w:val="nil"/>
              <w:tr2bl w:val="nil"/>
            </w:tcBorders>
            <w:vAlign w:val="center"/>
          </w:tcPr>
          <w:p w14:paraId="4B5E3F4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工程废水</w:t>
            </w:r>
          </w:p>
        </w:tc>
        <w:tc>
          <w:tcPr>
            <w:tcW w:w="503" w:type="pct"/>
            <w:tcBorders>
              <w:tl2br w:val="nil"/>
              <w:tr2bl w:val="nil"/>
            </w:tcBorders>
            <w:vAlign w:val="center"/>
          </w:tcPr>
          <w:p w14:paraId="0BCC88D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1248" behindDoc="0" locked="0" layoutInCell="1" allowOverlap="1">
                      <wp:simplePos x="0" y="0"/>
                      <wp:positionH relativeFrom="column">
                        <wp:posOffset>63500</wp:posOffset>
                      </wp:positionH>
                      <wp:positionV relativeFrom="paragraph">
                        <wp:posOffset>38100</wp:posOffset>
                      </wp:positionV>
                      <wp:extent cx="76200" cy="85725"/>
                      <wp:effectExtent l="4445" t="8255" r="5080" b="1270"/>
                      <wp:wrapNone/>
                      <wp:docPr id="84" name="等腰三角形 8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pt;height:6.75pt;width:6pt;z-index:251701248;mso-width-relative:page;mso-height-relative:page;" fillcolor="#000000" filled="t" stroked="f" coordsize="21600,21600" o:gfxdata="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8IaWK0gAAAAYBAAAPAAAAAAAAAAEAIAAAACIAAABkcnMv&#10;ZG93bnJldi54bWxQSwECFAAUAAAACACHTuJAFSJJc0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2F7E557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1552" behindDoc="0" locked="0" layoutInCell="1" allowOverlap="1">
                      <wp:simplePos x="0" y="0"/>
                      <wp:positionH relativeFrom="column">
                        <wp:posOffset>117475</wp:posOffset>
                      </wp:positionH>
                      <wp:positionV relativeFrom="paragraph">
                        <wp:posOffset>48260</wp:posOffset>
                      </wp:positionV>
                      <wp:extent cx="75565" cy="75565"/>
                      <wp:effectExtent l="12065" t="8255" r="7620" b="11430"/>
                      <wp:wrapNone/>
                      <wp:docPr id="83" name="椭圆 83"/>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3.8pt;height:5.95pt;width:5.95pt;z-index:251671552;mso-width-relative:page;mso-height-relative:page;" fillcolor="#FFFFFF" filled="t" stroked="t" coordsize="21600,21600" o:gfxdata="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7HopfUAAAABgEAAA8AAAAAAAAAAQAgAAAAIgAAAGRycy9kb3ducmV2LnhtbFBL&#10;AQIUABQAAAAIAIdO4kAinhTTMwIAAG8EAAAOAAAAAAAAAAEAIAAAACMBAABkcnMvZTJvRG9jLnht&#10;bFBLBQYAAAAABgAGAFkBAADIBQ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47C6B1B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2512" behindDoc="0" locked="0" layoutInCell="1" allowOverlap="1">
                      <wp:simplePos x="0" y="0"/>
                      <wp:positionH relativeFrom="column">
                        <wp:posOffset>94615</wp:posOffset>
                      </wp:positionH>
                      <wp:positionV relativeFrom="paragraph">
                        <wp:posOffset>38100</wp:posOffset>
                      </wp:positionV>
                      <wp:extent cx="76200" cy="85725"/>
                      <wp:effectExtent l="12700" t="17780" r="15875" b="10795"/>
                      <wp:wrapNone/>
                      <wp:docPr id="82" name="等腰三角形 8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3pt;height:6.75pt;width:6pt;z-index:251712512;mso-width-relative:page;mso-height-relative:page;" filled="f" stroked="t" coordsize="21600,21600" o:gfxdata="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03bhvV&#10;AAAABgEAAA8AAAAAAAAAAQAgAAAAIgAAAGRycy9kb3ducmV2LnhtbFBLAQIUABQAAAAIAIdO4kCb&#10;TMZiXAIAAJcEAAAOAAAAAAAAAAEAIAAAACQBAABkcnMvZTJvRG9jLnhtbFBLBQYAAAAABgAGAFkB&#10;AADyBQ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36" w:type="pct"/>
            <w:tcBorders>
              <w:tl2br w:val="nil"/>
              <w:tr2bl w:val="nil"/>
            </w:tcBorders>
            <w:vAlign w:val="center"/>
          </w:tcPr>
          <w:p w14:paraId="6ADA083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2816" behindDoc="0" locked="0" layoutInCell="1" allowOverlap="1">
                      <wp:simplePos x="0" y="0"/>
                      <wp:positionH relativeFrom="column">
                        <wp:posOffset>83185</wp:posOffset>
                      </wp:positionH>
                      <wp:positionV relativeFrom="paragraph">
                        <wp:posOffset>48260</wp:posOffset>
                      </wp:positionV>
                      <wp:extent cx="75565" cy="75565"/>
                      <wp:effectExtent l="11430" t="8255" r="8255" b="11430"/>
                      <wp:wrapNone/>
                      <wp:docPr id="81" name="椭圆 8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3.8pt;height:5.95pt;width:5.95pt;z-index:251682816;mso-width-relative:page;mso-height-relative:page;" fillcolor="#FFFFFF" filled="t" stroked="t" coordsize="21600,21600" o:gfxdata="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8PL59QAAAAGAQAADwAAAAAAAAABACAAAAAiAAAAZHJzL2Rvd25yZXYueG1sUEsB&#10;AhQAFAAAAAgAh07iQGCKEnY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65EE4F3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8656" behindDoc="0" locked="0" layoutInCell="1" allowOverlap="1">
                      <wp:simplePos x="0" y="0"/>
                      <wp:positionH relativeFrom="column">
                        <wp:posOffset>100330</wp:posOffset>
                      </wp:positionH>
                      <wp:positionV relativeFrom="paragraph">
                        <wp:posOffset>38100</wp:posOffset>
                      </wp:positionV>
                      <wp:extent cx="76200" cy="85725"/>
                      <wp:effectExtent l="12700" t="17780" r="15875" b="10795"/>
                      <wp:wrapNone/>
                      <wp:docPr id="80" name="等腰三角形 80"/>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pt;height:6.75pt;width:6pt;z-index:251718656;mso-width-relative:page;mso-height-relative:page;" filled="f" stroked="t" coordsize="21600,21600" o:gfxdata="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SjfZLUAAAABgEA&#10;AA8AAAAAAAAAAQAgAAAAIgAAAGRycy9kb3ducmV2LnhtbFBLAQIUABQAAAAIAIdO4kBJQw9F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82" w:type="pct"/>
            <w:tcBorders>
              <w:tl2br w:val="nil"/>
              <w:tr2bl w:val="nil"/>
            </w:tcBorders>
            <w:vAlign w:val="center"/>
          </w:tcPr>
          <w:p w14:paraId="3E8234B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9680" behindDoc="0" locked="0" layoutInCell="1" allowOverlap="1">
                      <wp:simplePos x="0" y="0"/>
                      <wp:positionH relativeFrom="column">
                        <wp:posOffset>151130</wp:posOffset>
                      </wp:positionH>
                      <wp:positionV relativeFrom="paragraph">
                        <wp:posOffset>38100</wp:posOffset>
                      </wp:positionV>
                      <wp:extent cx="76200" cy="85725"/>
                      <wp:effectExtent l="21590" t="17780" r="16510" b="10795"/>
                      <wp:wrapNone/>
                      <wp:docPr id="79" name="等腰三角形 7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3pt;height:6.75pt;width:6pt;z-index:251719680;mso-width-relative:page;mso-height-relative:page;" filled="f" stroked="t" coordsize="21600,21600" o:gfxdata="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H+HDF1QAAAAYB&#10;AAAPAAAAAAAAAAEAIAAAACIAAABkcnMvZG93bnJldi54bWxQSwECFAAUAAAACACHTuJAfjfIEFcC&#10;AACJBAAADgAAAAAAAAABACAAAAAk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73" w:type="pct"/>
            <w:tcBorders>
              <w:tl2br w:val="nil"/>
              <w:tr2bl w:val="nil"/>
            </w:tcBorders>
            <w:vAlign w:val="center"/>
          </w:tcPr>
          <w:p w14:paraId="29239EF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9200" behindDoc="0" locked="0" layoutInCell="1" allowOverlap="1">
                      <wp:simplePos x="0" y="0"/>
                      <wp:positionH relativeFrom="column">
                        <wp:posOffset>118745</wp:posOffset>
                      </wp:positionH>
                      <wp:positionV relativeFrom="paragraph">
                        <wp:posOffset>28575</wp:posOffset>
                      </wp:positionV>
                      <wp:extent cx="95250" cy="95250"/>
                      <wp:effectExtent l="1905" t="7620" r="7620" b="1905"/>
                      <wp:wrapNone/>
                      <wp:docPr id="70" name="菱形 70"/>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9.35pt;margin-top:2.25pt;height:7.5pt;width:7.5pt;z-index:251699200;mso-width-relative:page;mso-height-relative:page;" fillcolor="#000000" filled="t" stroked="f" coordsize="21600,21600" o:gfxdata="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8mGxLVAAAABgEAAA8AAAAA&#10;AAAAAQAgAAAAIgAAAGRycy9kb3ducmV2LnhtbFBLAQIUABQAAAAIAIdO4kBqILvmFwIAACgEAAAO&#10;AAAAAAAAAAEAIAAAACQBAABkcnMvZTJvRG9jLnhtbFBLBQYAAAAABgAGAFkBAACtBQ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679E4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09619D39">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91" w:type="pct"/>
            <w:gridSpan w:val="2"/>
            <w:vMerge w:val="continue"/>
            <w:tcBorders>
              <w:right w:val="single" w:color="auto" w:sz="4" w:space="0"/>
              <w:tl2br w:val="nil"/>
              <w:tr2bl w:val="nil"/>
            </w:tcBorders>
            <w:vAlign w:val="center"/>
          </w:tcPr>
          <w:p w14:paraId="054965CF">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76" w:type="pct"/>
            <w:tcBorders>
              <w:left w:val="single" w:color="auto" w:sz="4" w:space="0"/>
              <w:tl2br w:val="nil"/>
              <w:tr2bl w:val="nil"/>
            </w:tcBorders>
            <w:vAlign w:val="center"/>
          </w:tcPr>
          <w:p w14:paraId="7433B41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生产恶臭</w:t>
            </w:r>
          </w:p>
        </w:tc>
        <w:tc>
          <w:tcPr>
            <w:tcW w:w="503" w:type="pct"/>
            <w:tcBorders>
              <w:tl2br w:val="nil"/>
              <w:tr2bl w:val="nil"/>
            </w:tcBorders>
            <w:vAlign w:val="center"/>
          </w:tcPr>
          <w:p w14:paraId="626738A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2272" behindDoc="0" locked="0" layoutInCell="1" allowOverlap="1">
                      <wp:simplePos x="0" y="0"/>
                      <wp:positionH relativeFrom="column">
                        <wp:posOffset>63500</wp:posOffset>
                      </wp:positionH>
                      <wp:positionV relativeFrom="paragraph">
                        <wp:posOffset>48895</wp:posOffset>
                      </wp:positionV>
                      <wp:extent cx="76200" cy="85725"/>
                      <wp:effectExtent l="4445" t="7620" r="5080" b="1905"/>
                      <wp:wrapNone/>
                      <wp:docPr id="69" name="等腰三角形 6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85pt;height:6.75pt;width:6pt;z-index:251702272;mso-width-relative:page;mso-height-relative:page;" fillcolor="#000000" filled="t" stroked="f" coordsize="21600,21600" o:gfxdata="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EdnsNMAAAAGAQAADwAAAAAAAAABACAAAAAiAAAAZHJz&#10;L2Rvd25yZXYueG1sUEsBAhQAFAAAAAgAh07iQMR/GT9CAgAAXgQAAA4AAAAAAAAAAQAgAAAAIg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33818D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3600" behindDoc="0" locked="0" layoutInCell="1" allowOverlap="1">
                      <wp:simplePos x="0" y="0"/>
                      <wp:positionH relativeFrom="column">
                        <wp:posOffset>117475</wp:posOffset>
                      </wp:positionH>
                      <wp:positionV relativeFrom="paragraph">
                        <wp:posOffset>59055</wp:posOffset>
                      </wp:positionV>
                      <wp:extent cx="75565" cy="75565"/>
                      <wp:effectExtent l="12065" t="7620" r="7620" b="12065"/>
                      <wp:wrapNone/>
                      <wp:docPr id="68" name="椭圆 6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65pt;height:5.95pt;width:5.95pt;z-index:251673600;mso-width-relative:page;mso-height-relative:page;" fillcolor="#FFFFFF" filled="t" stroked="t" coordsize="21600,21600" o:gfxdata="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Bo9xdQAAAAGAQAADwAAAAAAAAABACAAAAAiAAAAZHJzL2Rvd25yZXYueG1sUEsB&#10;AhQAFAAAAAgAh07iQFAmvaIyAgAAbwQAAA4AAAAAAAAAAQAgAAAAIw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2C383D2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8720" behindDoc="0" locked="0" layoutInCell="1" allowOverlap="1">
                      <wp:simplePos x="0" y="0"/>
                      <wp:positionH relativeFrom="column">
                        <wp:posOffset>94615</wp:posOffset>
                      </wp:positionH>
                      <wp:positionV relativeFrom="paragraph">
                        <wp:posOffset>59055</wp:posOffset>
                      </wp:positionV>
                      <wp:extent cx="75565" cy="75565"/>
                      <wp:effectExtent l="11430" t="7620" r="8255" b="12065"/>
                      <wp:wrapNone/>
                      <wp:docPr id="67" name="椭圆 6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65pt;height:5.95pt;width:5.95pt;z-index:251678720;mso-width-relative:page;mso-height-relative:page;" fillcolor="#FFFFFF" filled="t" stroked="t" coordsize="21600,21600" o:gfxdata="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9mXLVAAAABgEAAA8AAAAAAAAAAQAgAAAAIgAAAGRycy9kb3ducmV2LnhtbFBL&#10;AQIUABQAAAAIAIdO4kA9Tc49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009FCF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3840" behindDoc="0" locked="0" layoutInCell="1" allowOverlap="1">
                      <wp:simplePos x="0" y="0"/>
                      <wp:positionH relativeFrom="column">
                        <wp:posOffset>83185</wp:posOffset>
                      </wp:positionH>
                      <wp:positionV relativeFrom="paragraph">
                        <wp:posOffset>59055</wp:posOffset>
                      </wp:positionV>
                      <wp:extent cx="75565" cy="75565"/>
                      <wp:effectExtent l="11430" t="7620" r="8255" b="12065"/>
                      <wp:wrapNone/>
                      <wp:docPr id="66" name="椭圆 6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65pt;height:5.95pt;width:5.95pt;z-index:251683840;mso-width-relative:page;mso-height-relative:page;" fillcolor="#FFFFFF" filled="t" stroked="t" coordsize="21600,21600" o:gfxdata="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Zp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R5UtdQAAAAGAQAADwAAAAAAAAABACAAAAAiAAAAZHJzL2Rvd25yZXYueG1sUEsB&#10;AhQAFAAAAAgAh07iQBxHTW8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5874125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6912" behindDoc="0" locked="0" layoutInCell="1" allowOverlap="1">
                      <wp:simplePos x="0" y="0"/>
                      <wp:positionH relativeFrom="column">
                        <wp:posOffset>100330</wp:posOffset>
                      </wp:positionH>
                      <wp:positionV relativeFrom="paragraph">
                        <wp:posOffset>59055</wp:posOffset>
                      </wp:positionV>
                      <wp:extent cx="75565" cy="75565"/>
                      <wp:effectExtent l="11430" t="7620" r="8255" b="12065"/>
                      <wp:wrapNone/>
                      <wp:docPr id="65" name="椭圆 6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65pt;height:5.95pt;width:5.95pt;z-index:251686912;mso-width-relative:page;mso-height-relative:page;" fillcolor="#FFFFFF" filled="t" stroked="t" coordsize="21600,21600" o:gfxdata="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yJRhdUAAAAGAQAADwAAAAAAAAABACAAAAAiAAAAZHJzL2Rvd25yZXYueG1sUEsB&#10;AhQAFAAAAAgAh07iQH9ZyJgxAgAAbwQAAA4AAAAAAAAAAQAgAAAAJA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1BE8319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3056" behindDoc="0" locked="0" layoutInCell="1" allowOverlap="1">
                      <wp:simplePos x="0" y="0"/>
                      <wp:positionH relativeFrom="column">
                        <wp:posOffset>151130</wp:posOffset>
                      </wp:positionH>
                      <wp:positionV relativeFrom="paragraph">
                        <wp:posOffset>59055</wp:posOffset>
                      </wp:positionV>
                      <wp:extent cx="75565" cy="75565"/>
                      <wp:effectExtent l="10160" t="7620" r="9525" b="12065"/>
                      <wp:wrapNone/>
                      <wp:docPr id="64" name="椭圆 6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65pt;height:5.95pt;width:5.95pt;z-index:251693056;mso-width-relative:page;mso-height-relative:page;" fillcolor="#FFFFFF" filled="t" stroked="t" coordsize="21600,21600" o:gfxdata="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Jp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Hlc0tQAAAAGAQAADwAAAAAAAAABACAAAAAiAAAAZHJzL2Rvd25yZXYueG1sUEsB&#10;AhQAFAAAAAgAh07iQF5TS8o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1EF8534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9440" behindDoc="0" locked="0" layoutInCell="1" allowOverlap="1">
                      <wp:simplePos x="0" y="0"/>
                      <wp:positionH relativeFrom="column">
                        <wp:posOffset>118745</wp:posOffset>
                      </wp:positionH>
                      <wp:positionV relativeFrom="paragraph">
                        <wp:posOffset>48895</wp:posOffset>
                      </wp:positionV>
                      <wp:extent cx="76200" cy="85725"/>
                      <wp:effectExtent l="1905" t="7620" r="7620" b="1905"/>
                      <wp:wrapNone/>
                      <wp:docPr id="31" name="等腰三角形 3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85pt;height:6.75pt;width:6pt;z-index:251709440;mso-width-relative:page;mso-height-relative:page;" fillcolor="#000000" filled="t" stroked="f" coordsize="21600,21600" o:gfxdata="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DZyG0gAAAAYBAAAPAAAAAAAAAAEAIAAAACIAAABkcnMv&#10;ZG93bnJldi54bWxQSwECFAAUAAAACACHTuJAjPDr6E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0512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074EAD8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91" w:type="pct"/>
            <w:gridSpan w:val="2"/>
            <w:vMerge w:val="continue"/>
            <w:tcBorders>
              <w:right w:val="single" w:color="auto" w:sz="4" w:space="0"/>
              <w:tl2br w:val="nil"/>
              <w:tr2bl w:val="nil"/>
            </w:tcBorders>
            <w:vAlign w:val="center"/>
          </w:tcPr>
          <w:p w14:paraId="0220988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76" w:type="pct"/>
            <w:tcBorders>
              <w:left w:val="single" w:color="auto" w:sz="4" w:space="0"/>
              <w:tl2br w:val="nil"/>
              <w:tr2bl w:val="nil"/>
            </w:tcBorders>
            <w:vAlign w:val="center"/>
          </w:tcPr>
          <w:p w14:paraId="7B032E3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生产噪声</w:t>
            </w:r>
          </w:p>
        </w:tc>
        <w:tc>
          <w:tcPr>
            <w:tcW w:w="503" w:type="pct"/>
            <w:tcBorders>
              <w:tl2br w:val="nil"/>
              <w:tr2bl w:val="nil"/>
            </w:tcBorders>
            <w:vAlign w:val="center"/>
          </w:tcPr>
          <w:p w14:paraId="717D3EC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5648" behindDoc="0" locked="0" layoutInCell="1" allowOverlap="1">
                      <wp:simplePos x="0" y="0"/>
                      <wp:positionH relativeFrom="column">
                        <wp:posOffset>63500</wp:posOffset>
                      </wp:positionH>
                      <wp:positionV relativeFrom="paragraph">
                        <wp:posOffset>51435</wp:posOffset>
                      </wp:positionV>
                      <wp:extent cx="75565" cy="75565"/>
                      <wp:effectExtent l="12700" t="8255" r="6985" b="11430"/>
                      <wp:wrapNone/>
                      <wp:docPr id="30" name="椭圆 3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05pt;height:5.95pt;width:5.95pt;z-index:251675648;mso-width-relative:page;mso-height-relative:page;" fillcolor="#FFFFFF" filled="t" stroked="t" coordsize="21600,21600" o:gfxdata="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nhut9QAAAAGAQAADwAAAAAAAAABACAAAAAiAAAAZHJzL2Rvd25yZXYueG1sUEsB&#10;AhQAFAAAAAgAh07iQN6lkvwyAgAAbwQAAA4AAAAAAAAAAQAgAAAAIwEAAGRycy9lMm9Eb2MueG1s&#10;UEsFBgAAAAAGAAYAWQEAAMcFA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79594F4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2576" behindDoc="0" locked="0" layoutInCell="1" allowOverlap="1">
                      <wp:simplePos x="0" y="0"/>
                      <wp:positionH relativeFrom="column">
                        <wp:posOffset>117475</wp:posOffset>
                      </wp:positionH>
                      <wp:positionV relativeFrom="paragraph">
                        <wp:posOffset>51435</wp:posOffset>
                      </wp:positionV>
                      <wp:extent cx="75565" cy="75565"/>
                      <wp:effectExtent l="12065" t="8255" r="7620" b="11430"/>
                      <wp:wrapNone/>
                      <wp:docPr id="29" name="椭圆 2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05pt;height:5.95pt;width:5.95pt;z-index:251672576;mso-width-relative:page;mso-height-relative:page;" fillcolor="#FFFFFF" filled="t" stroked="t" coordsize="21600,21600" o:gfxdata="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v2tMF0wAAAAYBAAAPAAAAAAAAAAEAIAAAACIAAABkcnMvZG93bnJldi54bWxQSwEC&#10;FAAUAAAACACHTuJAYGehGzICAABvBAAADgAAAAAAAAABACAAAAAiAQAAZHJzL2Uyb0RvYy54bWxQ&#10;SwUGAAAAAAYABgBZAQAAxgU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7FC31A3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9744" behindDoc="0" locked="0" layoutInCell="1" allowOverlap="1">
                      <wp:simplePos x="0" y="0"/>
                      <wp:positionH relativeFrom="column">
                        <wp:posOffset>94615</wp:posOffset>
                      </wp:positionH>
                      <wp:positionV relativeFrom="paragraph">
                        <wp:posOffset>51435</wp:posOffset>
                      </wp:positionV>
                      <wp:extent cx="75565" cy="75565"/>
                      <wp:effectExtent l="11430" t="8255" r="8255" b="11430"/>
                      <wp:wrapNone/>
                      <wp:docPr id="28" name="椭圆 2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05pt;height:5.95pt;width:5.95pt;z-index:251679744;mso-width-relative:page;mso-height-relative:page;" fillcolor="#FFFFFF" filled="t" stroked="t" coordsize="21600,21600" o:gfxdata="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D9d7LVAAAABgEAAA8AAAAAAAAAAQAgAAAAIgAAAGRycy9kb3ducmV2LnhtbFBL&#10;AQIUABQAAAAIAIdO4kBBbSJJ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5179DCC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7152" behindDoc="0" locked="0" layoutInCell="1" allowOverlap="1">
                      <wp:simplePos x="0" y="0"/>
                      <wp:positionH relativeFrom="column">
                        <wp:posOffset>83185</wp:posOffset>
                      </wp:positionH>
                      <wp:positionV relativeFrom="paragraph">
                        <wp:posOffset>31750</wp:posOffset>
                      </wp:positionV>
                      <wp:extent cx="95250" cy="95250"/>
                      <wp:effectExtent l="3175" t="7620" r="6350" b="1905"/>
                      <wp:wrapNone/>
                      <wp:docPr id="27" name="菱形 27"/>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6.55pt;margin-top:2.5pt;height:7.5pt;width:7.5pt;z-index:251697152;mso-width-relative:page;mso-height-relative:page;" fillcolor="#000000" filled="t" stroked="f" coordsize="21600,21600" o:gfxdata="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jydB1gAAAAYBAAAPAAAA&#10;AAAAAAEAIAAAACIAAABkcnMvZG93bnJldi54bWxQSwECFAAUAAAACACHTuJAvhyXWh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22" w:type="pct"/>
            <w:tcBorders>
              <w:tl2br w:val="nil"/>
              <w:tr2bl w:val="nil"/>
            </w:tcBorders>
            <w:vAlign w:val="center"/>
          </w:tcPr>
          <w:p w14:paraId="5895DB3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7936" behindDoc="0" locked="0" layoutInCell="1" allowOverlap="1">
                      <wp:simplePos x="0" y="0"/>
                      <wp:positionH relativeFrom="column">
                        <wp:posOffset>100330</wp:posOffset>
                      </wp:positionH>
                      <wp:positionV relativeFrom="paragraph">
                        <wp:posOffset>51435</wp:posOffset>
                      </wp:positionV>
                      <wp:extent cx="75565" cy="75565"/>
                      <wp:effectExtent l="11430" t="8255" r="8255" b="11430"/>
                      <wp:wrapNone/>
                      <wp:docPr id="26" name="椭圆 2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05pt;height:5.95pt;width:5.95pt;z-index:251687936;mso-width-relative:page;mso-height-relative:page;" fillcolor="#FFFFFF" filled="t" stroked="t" coordsize="21600,21600" o:gfxdata="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KPZ5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OK/RdQAAAAGAQAADwAAAAAAAAABACAAAAAiAAAAZHJzL2Rvd25yZXYueG1sUEsB&#10;AhQAFAAAAAgAh07iQA0M0oQ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544A6AB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4080" behindDoc="0" locked="0" layoutInCell="1" allowOverlap="1">
                      <wp:simplePos x="0" y="0"/>
                      <wp:positionH relativeFrom="column">
                        <wp:posOffset>151130</wp:posOffset>
                      </wp:positionH>
                      <wp:positionV relativeFrom="paragraph">
                        <wp:posOffset>51435</wp:posOffset>
                      </wp:positionV>
                      <wp:extent cx="75565" cy="75565"/>
                      <wp:effectExtent l="10160" t="8255" r="9525" b="11430"/>
                      <wp:wrapNone/>
                      <wp:docPr id="25" name="椭圆 2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05pt;height:5.95pt;width:5.95pt;z-index:251694080;mso-width-relative:page;mso-height-relative:page;" fillcolor="#FFFFFF" filled="t" stroked="t" coordsize="21600,21600" o:gfxdata="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7myEtQAAAAGAQAADwAAAAAAAAABACAAAAAiAAAAZHJzL2Rvd25yZXYueG1sUEsB&#10;AhQAFAAAAAgAh07iQG4SV3M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76E968C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0464" behindDoc="0" locked="0" layoutInCell="1" allowOverlap="1">
                      <wp:simplePos x="0" y="0"/>
                      <wp:positionH relativeFrom="column">
                        <wp:posOffset>118745</wp:posOffset>
                      </wp:positionH>
                      <wp:positionV relativeFrom="paragraph">
                        <wp:posOffset>41275</wp:posOffset>
                      </wp:positionV>
                      <wp:extent cx="76200" cy="85725"/>
                      <wp:effectExtent l="1905" t="8255" r="7620" b="1270"/>
                      <wp:wrapNone/>
                      <wp:docPr id="24" name="等腰三角形 2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25pt;height:6.75pt;width:6pt;z-index:251710464;mso-width-relative:page;mso-height-relative:page;" fillcolor="#000000" filled="t" stroked="f" coordsize="21600,21600" o:gfxdata="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M1yRtIAAAAGAQAADwAAAAAAAAABACAAAAAiAAAAZHJz&#10;L2Rvd25yZXYueG1sUEsBAhQAFAAAAAgAh07iQI7ypbFDAgAAXgQAAA4AAAAAAAAAAQAgAAAAIQ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31691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7D59C955">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26BE56D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固废综合利用</w:t>
            </w:r>
          </w:p>
        </w:tc>
        <w:tc>
          <w:tcPr>
            <w:tcW w:w="503" w:type="pct"/>
            <w:tcBorders>
              <w:tl2br w:val="nil"/>
              <w:tr2bl w:val="nil"/>
            </w:tcBorders>
            <w:vAlign w:val="center"/>
          </w:tcPr>
          <w:p w14:paraId="1E9284B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6128" behindDoc="0" locked="0" layoutInCell="1" allowOverlap="1">
                      <wp:simplePos x="0" y="0"/>
                      <wp:positionH relativeFrom="column">
                        <wp:posOffset>63500</wp:posOffset>
                      </wp:positionH>
                      <wp:positionV relativeFrom="paragraph">
                        <wp:posOffset>24765</wp:posOffset>
                      </wp:positionV>
                      <wp:extent cx="95250" cy="95250"/>
                      <wp:effectExtent l="2540" t="7620" r="6985" b="1905"/>
                      <wp:wrapNone/>
                      <wp:docPr id="23" name="菱形 23"/>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5pt;margin-top:1.95pt;height:7.5pt;width:7.5pt;z-index:251696128;mso-width-relative:page;mso-height-relative:page;" fillcolor="#000000" filled="t" stroked="f" coordsize="21600,21600" o:gfxdata="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fYva51gAAAAYBAAAPAAAA&#10;AAAAAAEAIAAAACIAAABkcnMvZG93bnJldi54bWxQSwECFAAUAAAACACHTuJAOyTyXx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1C6B4B2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3536" behindDoc="0" locked="0" layoutInCell="1" allowOverlap="1">
                      <wp:simplePos x="0" y="0"/>
                      <wp:positionH relativeFrom="column">
                        <wp:posOffset>117475</wp:posOffset>
                      </wp:positionH>
                      <wp:positionV relativeFrom="paragraph">
                        <wp:posOffset>34290</wp:posOffset>
                      </wp:positionV>
                      <wp:extent cx="76200" cy="85725"/>
                      <wp:effectExtent l="13335" t="17780" r="15240" b="10795"/>
                      <wp:wrapNone/>
                      <wp:docPr id="22" name="等腰三角形 2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25pt;margin-top:2.7pt;height:6.75pt;width:6pt;z-index:251713536;mso-width-relative:page;mso-height-relative:page;" filled="f" stroked="t" coordsize="21600,21600" o:gfxdata="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8THsXUAAAABgEA&#10;AA8AAAAAAAAAAQAgAAAAIgAAAGRycy9kb3ducmV2LnhtbFBLAQIUABQAAAAIAIdO4kBc9Yob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18" w:type="pct"/>
            <w:tcBorders>
              <w:tl2br w:val="nil"/>
              <w:tr2bl w:val="nil"/>
            </w:tcBorders>
            <w:vAlign w:val="center"/>
          </w:tcPr>
          <w:p w14:paraId="277E7FC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4560" behindDoc="0" locked="0" layoutInCell="1" allowOverlap="1">
                      <wp:simplePos x="0" y="0"/>
                      <wp:positionH relativeFrom="column">
                        <wp:posOffset>94615</wp:posOffset>
                      </wp:positionH>
                      <wp:positionV relativeFrom="paragraph">
                        <wp:posOffset>34290</wp:posOffset>
                      </wp:positionV>
                      <wp:extent cx="76200" cy="85725"/>
                      <wp:effectExtent l="12700" t="17780" r="15875" b="10795"/>
                      <wp:wrapNone/>
                      <wp:docPr id="21" name="等腰三角形 2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2.7pt;height:6.75pt;width:6pt;z-index:251714560;mso-width-relative:page;mso-height-relative:page;" filled="f" stroked="t" coordsize="21600,21600" o:gfxdata="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A0unLVAAAA&#10;BgEAAA8AAAAAAAAAAQAgAAAAIgAAAGRycy9kb3ducmV2LnhtbFBLAQIUABQAAAAIAIdO4kCfM+6O&#10;WQIAAIkEAAAOAAAAAAAAAAEAIAAAACQBAABkcnMvZTJvRG9jLnhtbFBLBQYAAAAABgAGAFkBAADv&#10;BQ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36" w:type="pct"/>
            <w:tcBorders>
              <w:tl2br w:val="nil"/>
              <w:tr2bl w:val="nil"/>
            </w:tcBorders>
            <w:vAlign w:val="center"/>
          </w:tcPr>
          <w:p w14:paraId="4648A76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4864" behindDoc="0" locked="0" layoutInCell="1" allowOverlap="1">
                      <wp:simplePos x="0" y="0"/>
                      <wp:positionH relativeFrom="column">
                        <wp:posOffset>83185</wp:posOffset>
                      </wp:positionH>
                      <wp:positionV relativeFrom="paragraph">
                        <wp:posOffset>44450</wp:posOffset>
                      </wp:positionV>
                      <wp:extent cx="75565" cy="75565"/>
                      <wp:effectExtent l="11430" t="8255" r="8255" b="11430"/>
                      <wp:wrapNone/>
                      <wp:docPr id="20" name="椭圆 2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3.5pt;height:5.95pt;width:5.95pt;z-index:251684864;mso-width-relative:page;mso-height-relative:page;" fillcolor="#FFFFFF" filled="t" stroked="t" coordsize="21600,21600" o:gfxdata="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ZKyrtQAAAAGAQAADwAAAAAAAAABACAAAAAiAAAAZHJzL2Rvd25yZXYueG1sUEsB&#10;AhQAFAAAAAgAh07iQIo2qbA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41BCF2A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8960" behindDoc="0" locked="0" layoutInCell="1" allowOverlap="1">
                      <wp:simplePos x="0" y="0"/>
                      <wp:positionH relativeFrom="column">
                        <wp:posOffset>100330</wp:posOffset>
                      </wp:positionH>
                      <wp:positionV relativeFrom="paragraph">
                        <wp:posOffset>44450</wp:posOffset>
                      </wp:positionV>
                      <wp:extent cx="75565" cy="75565"/>
                      <wp:effectExtent l="11430" t="8255" r="8255" b="11430"/>
                      <wp:wrapNone/>
                      <wp:docPr id="19" name="椭圆 1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3.5pt;height:5.95pt;width:5.95pt;z-index:251688960;mso-width-relative:page;mso-height-relative:page;" fillcolor="#FFFFFF" filled="t" stroked="t" coordsize="21600,21600" o:gfxdata="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663ntQAAAAGAQAADwAAAAAAAAABACAAAAAiAAAAZHJzL2Rvd25yZXYueG1sUEsB&#10;AhQAFAAAAAgAh07iQJzS7c8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3A56275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6848" behindDoc="0" locked="0" layoutInCell="1" allowOverlap="1">
                      <wp:simplePos x="0" y="0"/>
                      <wp:positionH relativeFrom="column">
                        <wp:posOffset>151130</wp:posOffset>
                      </wp:positionH>
                      <wp:positionV relativeFrom="paragraph">
                        <wp:posOffset>34290</wp:posOffset>
                      </wp:positionV>
                      <wp:extent cx="76200" cy="85725"/>
                      <wp:effectExtent l="21590" t="17780" r="16510" b="10795"/>
                      <wp:wrapNone/>
                      <wp:docPr id="18" name="等腰三角形 1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2.7pt;height:6.75pt;width:6pt;z-index:251726848;mso-width-relative:page;mso-height-relative:page;" filled="f" stroked="t" coordsize="21600,21600" o:gfxdata="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r7pKzWAAAABgEA&#10;AA8AAAAAAAAAAQAgAAAAIgAAAGRycy9kb3ducmV2LnhtbFBLAQIUABQAAAAIAIdO4kCYmMrQVQIA&#10;AIkEAAAOAAAAAAAAAAEAIAAAACU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73" w:type="pct"/>
            <w:tcBorders>
              <w:tl2br w:val="nil"/>
              <w:tr2bl w:val="nil"/>
            </w:tcBorders>
            <w:vAlign w:val="center"/>
          </w:tcPr>
          <w:p w14:paraId="0F82055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3776" behindDoc="0" locked="0" layoutInCell="1" allowOverlap="1">
                      <wp:simplePos x="0" y="0"/>
                      <wp:positionH relativeFrom="column">
                        <wp:posOffset>118745</wp:posOffset>
                      </wp:positionH>
                      <wp:positionV relativeFrom="paragraph">
                        <wp:posOffset>34290</wp:posOffset>
                      </wp:positionV>
                      <wp:extent cx="76200" cy="85725"/>
                      <wp:effectExtent l="20955" t="17780" r="17145" b="10795"/>
                      <wp:wrapNone/>
                      <wp:docPr id="17" name="等腰三角形 17"/>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2.7pt;height:6.75pt;width:6pt;z-index:251723776;mso-width-relative:page;mso-height-relative:page;" filled="f" stroked="t" coordsize="21600,21600" o:gfxdata="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AqBIHVAAAABgEA&#10;AA8AAAAAAAAAAQAgAAAAIgAAAGRycy9kb3ducmV2LnhtbFBLAQIUABQAAAAIAIdO4kCUT659VgIA&#10;AIkEAAAOAAAAAAAAAAEAIAAAACQ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01C9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5CE5A5F9">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7FBF0F1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车辆运输</w:t>
            </w:r>
          </w:p>
        </w:tc>
        <w:tc>
          <w:tcPr>
            <w:tcW w:w="503" w:type="pct"/>
            <w:tcBorders>
              <w:tl2br w:val="nil"/>
              <w:tr2bl w:val="nil"/>
            </w:tcBorders>
            <w:vAlign w:val="center"/>
          </w:tcPr>
          <w:p w14:paraId="3AF8438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3296" behindDoc="0" locked="0" layoutInCell="1" allowOverlap="1">
                      <wp:simplePos x="0" y="0"/>
                      <wp:positionH relativeFrom="column">
                        <wp:posOffset>63500</wp:posOffset>
                      </wp:positionH>
                      <wp:positionV relativeFrom="paragraph">
                        <wp:posOffset>45085</wp:posOffset>
                      </wp:positionV>
                      <wp:extent cx="76200" cy="85725"/>
                      <wp:effectExtent l="4445" t="7620" r="5080" b="1905"/>
                      <wp:wrapNone/>
                      <wp:docPr id="16" name="等腰三角形 16"/>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55pt;height:6.75pt;width:6pt;z-index:251703296;mso-width-relative:page;mso-height-relative:page;" fillcolor="#000000" filled="t" stroked="f" coordsize="21600,21600" o:gfxdata="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C7/w0gAAAAYBAAAPAAAAAAAAAAEAIAAAACIAAABkcnMv&#10;ZG93bnJldi54bWxQSwECFAAUAAAACACHTuJA8w7cHE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2C6547E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4624" behindDoc="0" locked="0" layoutInCell="1" allowOverlap="1">
                      <wp:simplePos x="0" y="0"/>
                      <wp:positionH relativeFrom="column">
                        <wp:posOffset>117475</wp:posOffset>
                      </wp:positionH>
                      <wp:positionV relativeFrom="paragraph">
                        <wp:posOffset>55245</wp:posOffset>
                      </wp:positionV>
                      <wp:extent cx="75565" cy="75565"/>
                      <wp:effectExtent l="12065" t="7620" r="7620" b="12065"/>
                      <wp:wrapNone/>
                      <wp:docPr id="15" name="椭圆 1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35pt;height:5.95pt;width:5.95pt;z-index:251674624;mso-width-relative:page;mso-height-relative:page;" fillcolor="#FFFFFF" filled="t" stroked="t" coordsize="21600,21600" o:gfxdata="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6vYVNQAAAAGAQAADwAAAAAAAAABACAAAAAiAAAAZHJzL2Rvd25yZXYueG1sUEsB&#10;AhQAFAAAAAgAh07iQJKnG6cyAgAAbwQAAA4AAAAAAAAAAQAgAAAAIw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06297A8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0768" behindDoc="0" locked="0" layoutInCell="1" allowOverlap="1">
                      <wp:simplePos x="0" y="0"/>
                      <wp:positionH relativeFrom="column">
                        <wp:posOffset>94615</wp:posOffset>
                      </wp:positionH>
                      <wp:positionV relativeFrom="paragraph">
                        <wp:posOffset>55245</wp:posOffset>
                      </wp:positionV>
                      <wp:extent cx="75565" cy="75565"/>
                      <wp:effectExtent l="11430" t="7620" r="8255" b="12065"/>
                      <wp:wrapNone/>
                      <wp:docPr id="14" name="椭圆 1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35pt;height:5.95pt;width:5.95pt;z-index:251680768;mso-width-relative:page;mso-height-relative:page;" fillcolor="#FFFFFF" filled="t" stroked="t" coordsize="21600,21600" o:gfxdata="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MfOPVAAAABgEAAA8AAAAAAAAAAQAgAAAAIgAAAGRycy9kb3ducmV2LnhtbFBL&#10;AQIUABQAAAAIAIdO4kCzrZj1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1DCD7D6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6368" behindDoc="0" locked="0" layoutInCell="1" allowOverlap="1">
                      <wp:simplePos x="0" y="0"/>
                      <wp:positionH relativeFrom="column">
                        <wp:posOffset>83185</wp:posOffset>
                      </wp:positionH>
                      <wp:positionV relativeFrom="paragraph">
                        <wp:posOffset>45085</wp:posOffset>
                      </wp:positionV>
                      <wp:extent cx="76200" cy="85725"/>
                      <wp:effectExtent l="3175" t="7620" r="6350" b="1905"/>
                      <wp:wrapNone/>
                      <wp:docPr id="13" name="等腰三角形 13"/>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55pt;margin-top:3.55pt;height:6.75pt;width:6pt;z-index:251706368;mso-width-relative:page;mso-height-relative:page;" fillcolor="#000000" filled="t" stroked="f" coordsize="21600,21600" o:gfxdata="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58N/LRAAAABgEAAA8AAAAAAAAAAQAgAAAAIgAAAGRycy9k&#10;b3ducmV2LnhtbFBLAQIUABQAAAAIAIdO4kCtkEsBQgIAAF4EAAAOAAAAAAAAAAEAIAAAACABAABk&#10;cnMvZTJvRG9jLnhtbFBLBQYAAAAABgAGAFkBAADU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22" w:type="pct"/>
            <w:tcBorders>
              <w:tl2br w:val="nil"/>
              <w:tr2bl w:val="nil"/>
            </w:tcBorders>
            <w:vAlign w:val="center"/>
          </w:tcPr>
          <w:p w14:paraId="0DD750C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9984" behindDoc="0" locked="0" layoutInCell="1" allowOverlap="1">
                      <wp:simplePos x="0" y="0"/>
                      <wp:positionH relativeFrom="column">
                        <wp:posOffset>100330</wp:posOffset>
                      </wp:positionH>
                      <wp:positionV relativeFrom="paragraph">
                        <wp:posOffset>55245</wp:posOffset>
                      </wp:positionV>
                      <wp:extent cx="75565" cy="75565"/>
                      <wp:effectExtent l="11430" t="7620" r="8255" b="12065"/>
                      <wp:wrapNone/>
                      <wp:docPr id="12" name="椭圆 12"/>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35pt;height:5.95pt;width:5.95pt;z-index:251689984;mso-width-relative:page;mso-height-relative:page;" fillcolor="#FFFFFF" filled="t" stroked="t" coordsize="21600,21600" o:gfxdata="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JO0FNQAAAAGAQAADwAAAAAAAAABACAAAAAiAAAAZHJzL2Rvd25yZXYueG1sUEsB&#10;AhQAFAAAAAgAh07iQDSX48E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right w:val="single" w:color="auto" w:sz="4" w:space="0"/>
              <w:tl2br w:val="nil"/>
              <w:tr2bl w:val="nil"/>
            </w:tcBorders>
            <w:vAlign w:val="center"/>
          </w:tcPr>
          <w:p w14:paraId="767900C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5104" behindDoc="0" locked="0" layoutInCell="1" allowOverlap="1">
                      <wp:simplePos x="0" y="0"/>
                      <wp:positionH relativeFrom="column">
                        <wp:posOffset>151130</wp:posOffset>
                      </wp:positionH>
                      <wp:positionV relativeFrom="paragraph">
                        <wp:posOffset>55245</wp:posOffset>
                      </wp:positionV>
                      <wp:extent cx="75565" cy="75565"/>
                      <wp:effectExtent l="10160" t="7620" r="9525" b="12065"/>
                      <wp:wrapNone/>
                      <wp:docPr id="11" name="椭圆 1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35pt;height:5.95pt;width:5.95pt;z-index:251695104;mso-width-relative:page;mso-height-relative:page;" fillcolor="#FFFFFF" filled="t" stroked="t" coordsize="21600,21600" o:gfxdata="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8i5Q9QAAAAGAQAADwAAAAAAAAABACAAAAAiAAAAZHJzL2Rvd25yZXYueG1sUEsB&#10;AhQAFAAAAAgAh07iQFeJZjY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left w:val="single" w:color="auto" w:sz="4" w:space="0"/>
              <w:tl2br w:val="nil"/>
              <w:tr2bl w:val="nil"/>
            </w:tcBorders>
            <w:vAlign w:val="center"/>
          </w:tcPr>
          <w:p w14:paraId="5BD63B2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1488" behindDoc="0" locked="0" layoutInCell="1" allowOverlap="1">
                      <wp:simplePos x="0" y="0"/>
                      <wp:positionH relativeFrom="column">
                        <wp:posOffset>118745</wp:posOffset>
                      </wp:positionH>
                      <wp:positionV relativeFrom="paragraph">
                        <wp:posOffset>45085</wp:posOffset>
                      </wp:positionV>
                      <wp:extent cx="76200" cy="85725"/>
                      <wp:effectExtent l="1905" t="7620" r="7620" b="1905"/>
                      <wp:wrapNone/>
                      <wp:docPr id="10" name="等腰三角形 10"/>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55pt;height:6.75pt;width:6pt;z-index:251711488;mso-width-relative:page;mso-height-relative:page;" fillcolor="#000000" filled="t" stroked="f" coordsize="21600,21600" o:gfxdata="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RBRMbSAAAABgEAAA8AAAAAAAAAAQAgAAAAIgAAAGRycy9k&#10;b3ducmV2LnhtbFBLAQIUABQAAAAIAIdO4kBY5+m8QQIAAF4EAAAOAAAAAAAAAAEAIAAAACEBAABk&#10;cnMvZTJvRG9jLnhtbFBLBQYAAAAABgAGAFkBAADU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6BAE6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4963" w:type="pct"/>
            <w:gridSpan w:val="11"/>
            <w:tcBorders>
              <w:tl2br w:val="nil"/>
              <w:tr2bl w:val="nil"/>
            </w:tcBorders>
            <w:vAlign w:val="center"/>
          </w:tcPr>
          <w:p w14:paraId="4DA8DBC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30944" behindDoc="0" locked="0" layoutInCell="1" allowOverlap="1">
                      <wp:simplePos x="0" y="0"/>
                      <wp:positionH relativeFrom="column">
                        <wp:posOffset>2721610</wp:posOffset>
                      </wp:positionH>
                      <wp:positionV relativeFrom="paragraph">
                        <wp:posOffset>62230</wp:posOffset>
                      </wp:positionV>
                      <wp:extent cx="75565" cy="75565"/>
                      <wp:effectExtent l="10795" t="8255" r="8890" b="11430"/>
                      <wp:wrapNone/>
                      <wp:docPr id="9" name="椭圆 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14.3pt;margin-top:4.9pt;height:5.95pt;width:5.95pt;z-index:251730944;mso-width-relative:page;mso-height-relative:page;" fillcolor="#FFFFFF" filled="t" stroked="t" coordsize="21600,21600" o:gfxdata="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XlXxtYAAAAIAQAADwAAAAAAAAABACAAAAAiAAAAZHJzL2Rvd25yZXYueG1sUEsB&#10;AhQAFAAAAAgAh07iQP5zfZIwAgAAbQQAAA4AAAAAAAAAAQAgAAAAJQEAAGRycy9lMm9Eb2MueG1s&#10;UEsFBgAAAAAGAAYAWQEAAMcFAAAAAA==&#10;">
                      <v:fill on="t" focussize="0,0"/>
                      <v:stroke color="#000000" joinstyle="round"/>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9920" behindDoc="0" locked="0" layoutInCell="1" allowOverlap="1">
                      <wp:simplePos x="0" y="0"/>
                      <wp:positionH relativeFrom="column">
                        <wp:posOffset>1778635</wp:posOffset>
                      </wp:positionH>
                      <wp:positionV relativeFrom="paragraph">
                        <wp:posOffset>53975</wp:posOffset>
                      </wp:positionV>
                      <wp:extent cx="76200" cy="85725"/>
                      <wp:effectExtent l="20955" t="17780" r="17145" b="10795"/>
                      <wp:wrapNone/>
                      <wp:docPr id="8" name="等腰三角形 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40.05pt;margin-top:4.25pt;height:6.75pt;width:6pt;z-index:251729920;mso-width-relative:page;mso-height-relative:page;" filled="f" stroked="t" coordsize="21600,21600" o:gfxdata="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4CZz7XAAAACAEA&#10;AA8AAAAAAAAAAQAgAAAAIgAAAGRycy9kb3ducmV2LnhtbFBLAQIUABQAAAAIAIdO4kBma7ZuVAIA&#10;AIcEAAAOAAAAAAAAAAEAIAAAACYBAABkcnMvZTJvRG9jLnhtbFBLBQYAAAAABgAGAFkBAADsBQAA&#10;AAA=&#10;" adj="10800">
                      <v:fill on="f" focussize="0,0"/>
                      <v:stroke weight="0.5pt" color="#000000" miterlimit="8" joinstyle="miter"/>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8896" behindDoc="0" locked="0" layoutInCell="1" allowOverlap="1">
                      <wp:simplePos x="0" y="0"/>
                      <wp:positionH relativeFrom="column">
                        <wp:posOffset>847725</wp:posOffset>
                      </wp:positionH>
                      <wp:positionV relativeFrom="paragraph">
                        <wp:posOffset>45720</wp:posOffset>
                      </wp:positionV>
                      <wp:extent cx="76200" cy="85725"/>
                      <wp:effectExtent l="3175" t="8255" r="6350" b="1270"/>
                      <wp:wrapNone/>
                      <wp:docPr id="7" name="等腰三角形 7"/>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6.75pt;margin-top:3.6pt;height:6.75pt;width:6pt;z-index:251728896;mso-width-relative:page;mso-height-relative:page;" fillcolor="#000000" filled="t" stroked="f" coordsize="21600,21600" o:gfxdata="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&#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1DIYPVAAAACAEAAA8AAAAAAAAAAQAgAAAAIgAAAGRy&#10;cy9kb3ducmV2LnhtbFBLAQIUABQAAAAIAIdO4kCWUl5kQQIAAFwEAAAOAAAAAAAAAAEAIAAAACQB&#10;AABkcnMvZTJvRG9jLnhtbFBLBQYAAAAABgAGAFkBAADXBQAAAAA=&#10;" adj="10800">
                      <v:fill on="t" focussize="0,0"/>
                      <v:stroke on="f"/>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7872" behindDoc="0" locked="0" layoutInCell="1" allowOverlap="1">
                      <wp:simplePos x="0" y="0"/>
                      <wp:positionH relativeFrom="column">
                        <wp:posOffset>158115</wp:posOffset>
                      </wp:positionH>
                      <wp:positionV relativeFrom="paragraph">
                        <wp:posOffset>51435</wp:posOffset>
                      </wp:positionV>
                      <wp:extent cx="95250" cy="95250"/>
                      <wp:effectExtent l="1905" t="7620" r="7620" b="1905"/>
                      <wp:wrapNone/>
                      <wp:docPr id="6" name="菱形 6"/>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12.45pt;margin-top:4.05pt;height:7.5pt;width:7.5pt;z-index:251727872;mso-width-relative:page;mso-height-relative:page;" fillcolor="#000000" filled="t" stroked="f" coordsize="21600,21600" o:gfxdata="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Ugq/LVAAAABgEAAA8AAAAA&#10;AAAAAQAgAAAAIgAAAGRycy9kb3ducmV2LnhtbFBLAQIUABQAAAAIAIdO4kCs2X0uFwIAACYEAAAO&#10;AAAAAAAAAAEAIAAAACQBAABkcnMvZTJvRG9jLnhtbFBLBQYAAAAABgAGAFkBAACtBQ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：有影响，：有轻微影响，：可能有影响，：没有影响，S短期影响，L长期影响</w:t>
            </w:r>
          </w:p>
        </w:tc>
      </w:tr>
    </w:tbl>
    <w:p w14:paraId="5387187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项目施工期对环境空气及水环境、声环境等均有短期的不利影响，但其会随着施工期的结束而消失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运营期的影响为长期影响，其主要环境影响要素为环境空气及水环境，其次为声环境、固体废物</w:t>
      </w:r>
      <w:r>
        <w:rPr>
          <w:rFonts w:hint="eastAsia" w:ascii="Times New Roman" w:hAnsi="Times New Roman" w:eastAsia="宋体"/>
          <w:strike w:val="0"/>
          <w:dstrike w:val="0"/>
          <w:color w:val="auto"/>
          <w:highlight w:val="none"/>
          <w:lang w:eastAsia="zh-CN"/>
        </w:rPr>
        <w:t>。</w:t>
      </w:r>
    </w:p>
    <w:p w14:paraId="23959E39">
      <w:pPr>
        <w:pStyle w:val="4"/>
        <w:rPr>
          <w:rFonts w:ascii="Times New Roman" w:hAnsi="Times New Roman" w:eastAsia="宋体"/>
          <w:strike w:val="0"/>
          <w:dstrike w:val="0"/>
          <w:color w:val="auto"/>
          <w:highlight w:val="none"/>
        </w:rPr>
      </w:pPr>
      <w:bookmarkStart w:id="63" w:name="_Toc106663437"/>
      <w:bookmarkStart w:id="64" w:name="_Toc29135"/>
      <w:r>
        <w:rPr>
          <w:rFonts w:hint="eastAsia" w:ascii="Times New Roman" w:hAnsi="Times New Roman" w:eastAsia="宋体"/>
          <w:strike w:val="0"/>
          <w:dstrike w:val="0"/>
          <w:color w:val="auto"/>
          <w:highlight w:val="none"/>
        </w:rPr>
        <w:t>2.4.2评价因子筛选</w:t>
      </w:r>
      <w:bookmarkEnd w:id="63"/>
      <w:bookmarkEnd w:id="64"/>
    </w:p>
    <w:p w14:paraId="543A35C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根据本项目污染物的产生及排放情况，确定的本项目常规污染物和特征污染物表2.4-2</w:t>
      </w:r>
      <w:r>
        <w:rPr>
          <w:rFonts w:hint="eastAsia" w:ascii="Times New Roman" w:hAnsi="Times New Roman" w:eastAsia="宋体"/>
          <w:strike w:val="0"/>
          <w:dstrike w:val="0"/>
          <w:color w:val="auto"/>
          <w:highlight w:val="none"/>
          <w:lang w:eastAsia="zh-CN"/>
        </w:rPr>
        <w:t>。</w:t>
      </w:r>
    </w:p>
    <w:p w14:paraId="6A1493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表2.4-2常规污染物和特征污染物确定情况一览表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512"/>
        <w:gridCol w:w="2889"/>
        <w:gridCol w:w="1734"/>
        <w:gridCol w:w="1497"/>
      </w:tblGrid>
      <w:tr w14:paraId="7B14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dxa"/>
            <w:vAlign w:val="center"/>
          </w:tcPr>
          <w:p w14:paraId="5A67017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1512" w:type="dxa"/>
            <w:vAlign w:val="center"/>
          </w:tcPr>
          <w:p w14:paraId="0746772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评价项目</w:t>
            </w:r>
          </w:p>
        </w:tc>
        <w:tc>
          <w:tcPr>
            <w:tcW w:w="2889" w:type="dxa"/>
            <w:vAlign w:val="center"/>
          </w:tcPr>
          <w:p w14:paraId="1A55E8E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现状评价因子</w:t>
            </w:r>
          </w:p>
        </w:tc>
        <w:tc>
          <w:tcPr>
            <w:tcW w:w="1734" w:type="dxa"/>
            <w:vAlign w:val="center"/>
          </w:tcPr>
          <w:p w14:paraId="378B4C0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影响评价因子</w:t>
            </w:r>
          </w:p>
        </w:tc>
        <w:tc>
          <w:tcPr>
            <w:tcW w:w="1497" w:type="dxa"/>
            <w:vAlign w:val="center"/>
          </w:tcPr>
          <w:p w14:paraId="08F602E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总量控制因子</w:t>
            </w:r>
          </w:p>
        </w:tc>
      </w:tr>
      <w:tr w14:paraId="5F2A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3F2C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1512" w:type="dxa"/>
            <w:vAlign w:val="center"/>
          </w:tcPr>
          <w:p w14:paraId="618BF0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w:t>
            </w:r>
          </w:p>
        </w:tc>
        <w:tc>
          <w:tcPr>
            <w:tcW w:w="2889" w:type="dxa"/>
            <w:vAlign w:val="center"/>
          </w:tcPr>
          <w:p w14:paraId="55747CD4">
            <w:pPr>
              <w:spacing w:line="240" w:lineRule="auto"/>
              <w:ind w:firstLine="0" w:firstLineChars="0"/>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rPr>
              <w:t>SO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、NO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、PM</w:t>
            </w:r>
            <w:r>
              <w:rPr>
                <w:rFonts w:hint="eastAsia" w:ascii="Times New Roman" w:hAnsi="Times New Roman" w:eastAsia="宋体"/>
                <w:strike w:val="0"/>
                <w:dstrike w:val="0"/>
                <w:color w:val="auto"/>
                <w:sz w:val="21"/>
                <w:szCs w:val="21"/>
                <w:highlight w:val="none"/>
                <w:vertAlign w:val="subscript"/>
              </w:rPr>
              <w:t>10</w:t>
            </w:r>
            <w:r>
              <w:rPr>
                <w:rFonts w:hint="eastAsia" w:ascii="Times New Roman" w:hAnsi="Times New Roman" w:eastAsia="宋体"/>
                <w:strike w:val="0"/>
                <w:dstrike w:val="0"/>
                <w:color w:val="auto"/>
                <w:sz w:val="21"/>
                <w:szCs w:val="21"/>
                <w:highlight w:val="none"/>
              </w:rPr>
              <w:t>、PM</w:t>
            </w:r>
            <w:r>
              <w:rPr>
                <w:rFonts w:hint="eastAsia" w:ascii="Times New Roman" w:hAnsi="Times New Roman" w:eastAsia="宋体"/>
                <w:strike w:val="0"/>
                <w:dstrike w:val="0"/>
                <w:color w:val="auto"/>
                <w:sz w:val="21"/>
                <w:szCs w:val="21"/>
                <w:highlight w:val="none"/>
                <w:vertAlign w:val="subscript"/>
              </w:rPr>
              <w:t>2.5</w:t>
            </w:r>
            <w:r>
              <w:rPr>
                <w:rFonts w:hint="eastAsia" w:ascii="Times New Roman" w:hAnsi="Times New Roman" w:eastAsia="宋体"/>
                <w:strike w:val="0"/>
                <w:dstrike w:val="0"/>
                <w:color w:val="auto"/>
                <w:sz w:val="21"/>
                <w:szCs w:val="21"/>
                <w:highlight w:val="none"/>
              </w:rPr>
              <w:t>、CO、O</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S、NH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vertAlign w:val="baseline"/>
                <w:lang w:eastAsia="zh-CN"/>
              </w:rPr>
              <w:t>、</w:t>
            </w:r>
            <w:r>
              <w:rPr>
                <w:rFonts w:hint="eastAsia" w:ascii="Times New Roman" w:hAnsi="Times New Roman" w:eastAsia="宋体"/>
                <w:strike w:val="0"/>
                <w:dstrike w:val="0"/>
                <w:color w:val="auto"/>
                <w:sz w:val="21"/>
                <w:szCs w:val="21"/>
                <w:highlight w:val="none"/>
                <w:vertAlign w:val="baseline"/>
                <w:lang w:val="en-US" w:eastAsia="zh-CN"/>
              </w:rPr>
              <w:t>臭气浓度</w:t>
            </w:r>
          </w:p>
        </w:tc>
        <w:tc>
          <w:tcPr>
            <w:tcW w:w="1734" w:type="dxa"/>
            <w:vAlign w:val="center"/>
          </w:tcPr>
          <w:p w14:paraId="1EA43413">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S、NH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vertAlign w:val="baseline"/>
                <w:lang w:eastAsia="zh-CN"/>
              </w:rPr>
              <w:t>、</w:t>
            </w:r>
            <w:r>
              <w:rPr>
                <w:rFonts w:hint="eastAsia" w:ascii="Times New Roman" w:hAnsi="Times New Roman" w:eastAsia="宋体"/>
                <w:strike w:val="0"/>
                <w:dstrike w:val="0"/>
                <w:color w:val="auto"/>
                <w:sz w:val="21"/>
                <w:szCs w:val="21"/>
                <w:highlight w:val="none"/>
                <w:vertAlign w:val="baseline"/>
                <w:lang w:val="en-US" w:eastAsia="zh-CN"/>
              </w:rPr>
              <w:t>TSP、臭气浓度</w:t>
            </w:r>
          </w:p>
        </w:tc>
        <w:tc>
          <w:tcPr>
            <w:tcW w:w="1497" w:type="dxa"/>
            <w:vAlign w:val="center"/>
          </w:tcPr>
          <w:p w14:paraId="3EAF454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3B57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14C6F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w:t>
            </w:r>
          </w:p>
        </w:tc>
        <w:tc>
          <w:tcPr>
            <w:tcW w:w="1512" w:type="dxa"/>
            <w:vAlign w:val="center"/>
          </w:tcPr>
          <w:p w14:paraId="19F6A12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地下水</w:t>
            </w:r>
          </w:p>
        </w:tc>
        <w:tc>
          <w:tcPr>
            <w:tcW w:w="2889" w:type="dxa"/>
            <w:vAlign w:val="center"/>
          </w:tcPr>
          <w:p w14:paraId="5EA3CFE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pH、耗氧量、溶解性总固体、挥发性酚类、阴离子表面活性剂、氯化物、硫化物、石油类、汞、镉、砷、六价铬、铅、总大肠菌群、菌落总数</w:t>
            </w:r>
          </w:p>
        </w:tc>
        <w:tc>
          <w:tcPr>
            <w:tcW w:w="1734" w:type="dxa"/>
            <w:vAlign w:val="center"/>
          </w:tcPr>
          <w:p w14:paraId="42505BA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pH、COD</w:t>
            </w:r>
            <w:r>
              <w:rPr>
                <w:rFonts w:hint="eastAsia" w:ascii="Times New Roman" w:hAnsi="Times New Roman" w:eastAsia="宋体"/>
                <w:strike w:val="0"/>
                <w:dstrike w:val="0"/>
                <w:color w:val="auto"/>
                <w:sz w:val="21"/>
                <w:szCs w:val="21"/>
                <w:highlight w:val="none"/>
                <w:vertAlign w:val="subscript"/>
              </w:rPr>
              <w:t>cr</w:t>
            </w:r>
            <w:r>
              <w:rPr>
                <w:rFonts w:hint="eastAsia" w:ascii="Times New Roman" w:hAnsi="Times New Roman" w:eastAsia="宋体"/>
                <w:strike w:val="0"/>
                <w:dstrike w:val="0"/>
                <w:color w:val="auto"/>
                <w:sz w:val="21"/>
                <w:szCs w:val="21"/>
                <w:highlight w:val="none"/>
              </w:rPr>
              <w:t>、BOD</w:t>
            </w:r>
            <w:r>
              <w:rPr>
                <w:rFonts w:hint="eastAsia" w:ascii="Times New Roman" w:hAnsi="Times New Roman" w:eastAsia="宋体"/>
                <w:strike w:val="0"/>
                <w:dstrike w:val="0"/>
                <w:color w:val="auto"/>
                <w:sz w:val="21"/>
                <w:szCs w:val="21"/>
                <w:highlight w:val="none"/>
                <w:vertAlign w:val="subscript"/>
              </w:rPr>
              <w:t>5</w:t>
            </w:r>
            <w:r>
              <w:rPr>
                <w:rFonts w:hint="eastAsia" w:ascii="Times New Roman" w:hAnsi="Times New Roman" w:eastAsia="宋体"/>
                <w:strike w:val="0"/>
                <w:dstrike w:val="0"/>
                <w:color w:val="auto"/>
                <w:sz w:val="21"/>
                <w:szCs w:val="21"/>
                <w:highlight w:val="none"/>
              </w:rPr>
              <w:t>、NH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-N等</w:t>
            </w:r>
          </w:p>
        </w:tc>
        <w:tc>
          <w:tcPr>
            <w:tcW w:w="1497" w:type="dxa"/>
            <w:vAlign w:val="center"/>
          </w:tcPr>
          <w:p w14:paraId="196BD71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163B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ED39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w:t>
            </w:r>
          </w:p>
        </w:tc>
        <w:tc>
          <w:tcPr>
            <w:tcW w:w="1512" w:type="dxa"/>
            <w:vAlign w:val="center"/>
          </w:tcPr>
          <w:p w14:paraId="0038B97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w:t>
            </w:r>
          </w:p>
        </w:tc>
        <w:tc>
          <w:tcPr>
            <w:tcW w:w="2889" w:type="dxa"/>
            <w:vAlign w:val="center"/>
          </w:tcPr>
          <w:p w14:paraId="641AF3E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等效连续A声级</w:t>
            </w:r>
          </w:p>
        </w:tc>
        <w:tc>
          <w:tcPr>
            <w:tcW w:w="1734" w:type="dxa"/>
            <w:vAlign w:val="center"/>
          </w:tcPr>
          <w:p w14:paraId="559AB7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等效连续A声级</w:t>
            </w:r>
          </w:p>
        </w:tc>
        <w:tc>
          <w:tcPr>
            <w:tcW w:w="1497" w:type="dxa"/>
            <w:vAlign w:val="center"/>
          </w:tcPr>
          <w:p w14:paraId="7F1B6E3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29F1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86F0C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w:t>
            </w:r>
          </w:p>
        </w:tc>
        <w:tc>
          <w:tcPr>
            <w:tcW w:w="1512" w:type="dxa"/>
            <w:vAlign w:val="center"/>
          </w:tcPr>
          <w:p w14:paraId="31CA5B0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固体废物</w:t>
            </w:r>
          </w:p>
        </w:tc>
        <w:tc>
          <w:tcPr>
            <w:tcW w:w="2889" w:type="dxa"/>
            <w:vAlign w:val="center"/>
          </w:tcPr>
          <w:p w14:paraId="4059523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1734" w:type="dxa"/>
            <w:vAlign w:val="center"/>
          </w:tcPr>
          <w:p w14:paraId="4500E41B">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骆驼粪便</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分娩废弃物（胎衣、死胎、胎盘附属物）、废弃包装物、生活垃圾、医疗废物</w:t>
            </w:r>
            <w:r>
              <w:rPr>
                <w:rFonts w:ascii="Times New Roman" w:hAnsi="Times New Roman" w:eastAsia="宋体"/>
                <w:strike w:val="0"/>
                <w:dstrike w:val="0"/>
                <w:color w:val="auto"/>
                <w:sz w:val="21"/>
                <w:szCs w:val="21"/>
                <w:highlight w:val="none"/>
              </w:rPr>
              <w:t>等固体废物处置措施与处理效率</w:t>
            </w:r>
          </w:p>
        </w:tc>
        <w:tc>
          <w:tcPr>
            <w:tcW w:w="1497" w:type="dxa"/>
            <w:vAlign w:val="center"/>
          </w:tcPr>
          <w:p w14:paraId="19456B4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3760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9A9E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w:t>
            </w:r>
          </w:p>
        </w:tc>
        <w:tc>
          <w:tcPr>
            <w:tcW w:w="1512" w:type="dxa"/>
            <w:vAlign w:val="center"/>
          </w:tcPr>
          <w:p w14:paraId="05B9635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土壤环境</w:t>
            </w:r>
          </w:p>
        </w:tc>
        <w:tc>
          <w:tcPr>
            <w:tcW w:w="2889" w:type="dxa"/>
            <w:vAlign w:val="center"/>
          </w:tcPr>
          <w:p w14:paraId="296B518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《土壤环境质量农业用地土壤污染物风险管控标准》p</w:t>
            </w:r>
            <w:r>
              <w:rPr>
                <w:rFonts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rPr>
              <w:t>、砷、镉、铬、铜、锌、铅、汞、镍</w:t>
            </w:r>
          </w:p>
        </w:tc>
        <w:tc>
          <w:tcPr>
            <w:tcW w:w="1734" w:type="dxa"/>
            <w:vAlign w:val="center"/>
          </w:tcPr>
          <w:p w14:paraId="0892D4B6">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rPr>
              <w:t>、砷、镉、铬、铜、锌、铅、汞、镍</w:t>
            </w:r>
          </w:p>
        </w:tc>
        <w:tc>
          <w:tcPr>
            <w:tcW w:w="1497" w:type="dxa"/>
            <w:vAlign w:val="center"/>
          </w:tcPr>
          <w:p w14:paraId="4DC7D28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60A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0238D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w:t>
            </w:r>
          </w:p>
        </w:tc>
        <w:tc>
          <w:tcPr>
            <w:tcW w:w="1512" w:type="dxa"/>
            <w:vAlign w:val="center"/>
          </w:tcPr>
          <w:p w14:paraId="0AE4C55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生态环境</w:t>
            </w:r>
          </w:p>
        </w:tc>
        <w:tc>
          <w:tcPr>
            <w:tcW w:w="2889" w:type="dxa"/>
            <w:vAlign w:val="center"/>
          </w:tcPr>
          <w:p w14:paraId="3ACE6FF4">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土地利用、土壤、植被、野生动物</w:t>
            </w:r>
          </w:p>
        </w:tc>
        <w:tc>
          <w:tcPr>
            <w:tcW w:w="1734" w:type="dxa"/>
            <w:vAlign w:val="center"/>
          </w:tcPr>
          <w:p w14:paraId="722B7C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土地利用、土壤、植被、水土流失</w:t>
            </w:r>
          </w:p>
        </w:tc>
        <w:tc>
          <w:tcPr>
            <w:tcW w:w="1497" w:type="dxa"/>
            <w:vAlign w:val="center"/>
          </w:tcPr>
          <w:p w14:paraId="520AB14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43A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9668A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w:t>
            </w:r>
          </w:p>
        </w:tc>
        <w:tc>
          <w:tcPr>
            <w:tcW w:w="1512" w:type="dxa"/>
            <w:vAlign w:val="center"/>
          </w:tcPr>
          <w:p w14:paraId="76AE601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环境风险评价</w:t>
            </w:r>
          </w:p>
        </w:tc>
        <w:tc>
          <w:tcPr>
            <w:tcW w:w="2889" w:type="dxa"/>
            <w:vAlign w:val="center"/>
          </w:tcPr>
          <w:p w14:paraId="5879511E">
            <w:pPr>
              <w:spacing w:line="240" w:lineRule="auto"/>
              <w:ind w:firstLine="0" w:firstLineChars="0"/>
              <w:jc w:val="center"/>
              <w:rPr>
                <w:rFonts w:hint="eastAsia"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1734" w:type="dxa"/>
            <w:vAlign w:val="center"/>
          </w:tcPr>
          <w:p w14:paraId="22B42C88">
            <w:pPr>
              <w:spacing w:line="240" w:lineRule="auto"/>
              <w:ind w:firstLine="0" w:firstLineChars="0"/>
              <w:jc w:val="center"/>
              <w:rPr>
                <w:rFonts w:hint="eastAsia"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骆驼尸体、管网和黑膜池泄露、</w:t>
            </w:r>
            <w:r>
              <w:rPr>
                <w:rFonts w:hint="default" w:ascii="Times New Roman" w:hAnsi="Times New Roman" w:eastAsia="宋体"/>
                <w:strike w:val="0"/>
                <w:dstrike w:val="0"/>
                <w:color w:val="auto"/>
                <w:sz w:val="21"/>
                <w:szCs w:val="21"/>
                <w:highlight w:val="none"/>
                <w:lang w:val="en-US" w:eastAsia="zh-CN"/>
              </w:rPr>
              <w:t>医疗废物污染</w:t>
            </w:r>
            <w:r>
              <w:rPr>
                <w:rFonts w:hint="eastAsia" w:ascii="Times New Roman" w:hAnsi="Times New Roman" w:eastAsia="宋体"/>
                <w:strike w:val="0"/>
                <w:dstrike w:val="0"/>
                <w:color w:val="auto"/>
                <w:sz w:val="21"/>
                <w:szCs w:val="21"/>
                <w:highlight w:val="none"/>
                <w:lang w:val="en-US" w:eastAsia="zh-CN"/>
              </w:rPr>
              <w:t>、</w:t>
            </w:r>
            <w:r>
              <w:rPr>
                <w:rFonts w:hint="default" w:ascii="Times New Roman" w:hAnsi="Times New Roman" w:eastAsia="宋体"/>
                <w:strike w:val="0"/>
                <w:dstrike w:val="0"/>
                <w:color w:val="auto"/>
                <w:sz w:val="21"/>
                <w:szCs w:val="21"/>
                <w:highlight w:val="none"/>
                <w:lang w:val="en-US" w:eastAsia="zh-CN"/>
              </w:rPr>
              <w:t>疾病疫情</w:t>
            </w:r>
          </w:p>
        </w:tc>
        <w:tc>
          <w:tcPr>
            <w:tcW w:w="1497" w:type="dxa"/>
            <w:vAlign w:val="center"/>
          </w:tcPr>
          <w:p w14:paraId="7402013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bl>
    <w:p w14:paraId="05709CCF">
      <w:pPr>
        <w:pStyle w:val="3"/>
        <w:rPr>
          <w:rFonts w:ascii="Times New Roman" w:hAnsi="Times New Roman" w:eastAsia="宋体"/>
          <w:strike w:val="0"/>
          <w:dstrike w:val="0"/>
          <w:color w:val="auto"/>
          <w:highlight w:val="none"/>
        </w:rPr>
      </w:pPr>
      <w:bookmarkStart w:id="65" w:name="_Toc21435"/>
      <w:bookmarkStart w:id="66" w:name="_Toc89619328"/>
      <w:r>
        <w:rPr>
          <w:rFonts w:hint="eastAsia" w:ascii="Times New Roman" w:hAnsi="Times New Roman" w:eastAsia="宋体"/>
          <w:strike w:val="0"/>
          <w:dstrike w:val="0"/>
          <w:color w:val="auto"/>
          <w:highlight w:val="none"/>
        </w:rPr>
        <w:t>2.5环境功能区划及评价标准</w:t>
      </w:r>
      <w:bookmarkEnd w:id="65"/>
      <w:bookmarkEnd w:id="66"/>
    </w:p>
    <w:p w14:paraId="5653BB59">
      <w:pPr>
        <w:pStyle w:val="4"/>
        <w:rPr>
          <w:rFonts w:ascii="Times New Roman" w:hAnsi="Times New Roman" w:eastAsia="宋体"/>
          <w:strike w:val="0"/>
          <w:dstrike w:val="0"/>
          <w:color w:val="auto"/>
          <w:highlight w:val="none"/>
        </w:rPr>
      </w:pPr>
      <w:bookmarkStart w:id="67" w:name="_Toc106663439"/>
      <w:bookmarkStart w:id="68" w:name="_Toc27805"/>
      <w:r>
        <w:rPr>
          <w:rFonts w:hint="eastAsia" w:ascii="Times New Roman" w:hAnsi="Times New Roman" w:eastAsia="宋体"/>
          <w:strike w:val="0"/>
          <w:dstrike w:val="0"/>
          <w:color w:val="auto"/>
          <w:highlight w:val="none"/>
        </w:rPr>
        <w:t>2.5.1环境功能区划</w:t>
      </w:r>
      <w:bookmarkEnd w:id="67"/>
      <w:bookmarkEnd w:id="68"/>
    </w:p>
    <w:p w14:paraId="4C6B7AB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2.5.1.1环境空气功能区划</w:t>
      </w:r>
    </w:p>
    <w:p w14:paraId="662B3B8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本项目位于</w:t>
      </w:r>
      <w:r>
        <w:rPr>
          <w:rFonts w:hint="eastAsia" w:ascii="Times New Roman" w:hAnsi="Times New Roman" w:eastAsia="宋体"/>
          <w:strike w:val="0"/>
          <w:dstrike w:val="0"/>
          <w:color w:val="auto"/>
          <w:highlight w:val="none"/>
          <w:lang w:eastAsia="zh-CN"/>
        </w:rPr>
        <w:t>木垒县博斯坦乡</w:t>
      </w:r>
      <w:r>
        <w:rPr>
          <w:rFonts w:hint="eastAsia" w:ascii="Times New Roman" w:hAnsi="Times New Roman" w:eastAsia="宋体"/>
          <w:strike w:val="0"/>
          <w:dstrike w:val="0"/>
          <w:color w:val="auto"/>
          <w:highlight w:val="none"/>
          <w:lang w:val="en-US" w:eastAsia="zh-CN"/>
        </w:rPr>
        <w:t>阿克卓勒村</w:t>
      </w:r>
      <w:r>
        <w:rPr>
          <w:rFonts w:ascii="Times New Roman" w:hAnsi="Times New Roman" w:eastAsia="宋体"/>
          <w:strike w:val="0"/>
          <w:dstrike w:val="0"/>
          <w:color w:val="auto"/>
          <w:highlight w:val="none"/>
        </w:rPr>
        <w:t>，周边无自然保护区、风景名胜区和其他需要特殊保护的区域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根据环境空气功能区分类，评价区环境空气功能区为二类区，执行</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w:t>
      </w:r>
      <w:r>
        <w:rPr>
          <w:rFonts w:hint="eastAsia" w:ascii="Times New Roman" w:hAnsi="Times New Roman" w:eastAsia="宋体"/>
          <w:strike w:val="0"/>
          <w:dstrike w:val="0"/>
          <w:color w:val="auto"/>
          <w:highlight w:val="none"/>
          <w:lang w:eastAsia="zh-CN"/>
        </w:rPr>
        <w:t>。</w:t>
      </w:r>
    </w:p>
    <w:p w14:paraId="6695142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2.5.1.2水环境功能区划</w:t>
      </w:r>
    </w:p>
    <w:p w14:paraId="58330B7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根据《地下水质量标准》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GB/T14848-2017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中地下水质量分类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以人体健康基准值为依据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的要求，主要适用于集中式生活饮用水水源及工、农业用水的地下水为Ⅲ类水质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本项目所在区域地下水执行《地下水质量标准》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GB/T14848-2017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中的Ⅲ类标准</w:t>
      </w:r>
      <w:r>
        <w:rPr>
          <w:rFonts w:hint="eastAsia" w:ascii="Times New Roman" w:hAnsi="Times New Roman" w:eastAsia="宋体"/>
          <w:strike w:val="0"/>
          <w:dstrike w:val="0"/>
          <w:color w:val="auto"/>
          <w:highlight w:val="none"/>
          <w:lang w:eastAsia="zh-CN"/>
        </w:rPr>
        <w:t>。</w:t>
      </w:r>
    </w:p>
    <w:p w14:paraId="66C2BB6F">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2.5.1.3声环境功能区划</w:t>
      </w:r>
    </w:p>
    <w:p w14:paraId="08D2DC7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根据声环境功能区划分，项目所在地为2类声环境功能区，执行《声环境质量标准》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GB3096-2008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中2类标准要求</w:t>
      </w:r>
      <w:r>
        <w:rPr>
          <w:rFonts w:hint="eastAsia" w:ascii="Times New Roman" w:hAnsi="Times New Roman" w:eastAsia="宋体"/>
          <w:strike w:val="0"/>
          <w:dstrike w:val="0"/>
          <w:color w:val="auto"/>
          <w:highlight w:val="none"/>
          <w:lang w:eastAsia="zh-CN"/>
        </w:rPr>
        <w:t>。</w:t>
      </w:r>
    </w:p>
    <w:p w14:paraId="4CA2922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2.5.1.4生态环境功能区划</w:t>
      </w:r>
    </w:p>
    <w:p w14:paraId="2E2F754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根据《新疆生态功能区划》，本项目所在区域属于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II准噶尔盆地温性荒漠与绿洲农业生态区：II</w:t>
      </w:r>
      <w:r>
        <w:rPr>
          <w:rFonts w:hint="eastAsia" w:ascii="Times New Roman" w:hAnsi="Times New Roman" w:eastAsia="宋体"/>
          <w:strike w:val="0"/>
          <w:dstrike w:val="0"/>
          <w:color w:val="auto"/>
          <w:highlight w:val="none"/>
          <w:vertAlign w:val="subscript"/>
          <w:lang w:val="en-US" w:eastAsia="zh-CN"/>
        </w:rPr>
        <w:t>5</w:t>
      </w:r>
      <w:r>
        <w:rPr>
          <w:rFonts w:hint="eastAsia" w:ascii="Times New Roman" w:hAnsi="Times New Roman" w:eastAsia="宋体"/>
          <w:strike w:val="0"/>
          <w:dstrike w:val="0"/>
          <w:color w:val="auto"/>
          <w:highlight w:val="none"/>
          <w:vertAlign w:val="baseline"/>
          <w:lang w:val="en-US" w:eastAsia="zh-CN"/>
        </w:rPr>
        <w:t>准噶尔盆地南部荒漠绿洲农业生态亚区</w:t>
      </w:r>
      <w:r>
        <w:rPr>
          <w:rFonts w:hint="eastAsia" w:ascii="Times New Roman" w:hAnsi="Times New Roman" w:eastAsia="宋体"/>
          <w:strike w:val="0"/>
          <w:dstrike w:val="0"/>
          <w:color w:val="auto"/>
          <w:highlight w:val="none"/>
          <w:lang w:eastAsia="zh-CN"/>
        </w:rPr>
        <w:t>”。</w:t>
      </w:r>
    </w:p>
    <w:p w14:paraId="1C7D64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表2.5-1本项目所属生态功能区主要特征</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1"/>
        <w:gridCol w:w="6375"/>
      </w:tblGrid>
      <w:tr w14:paraId="3140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6A4355E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功能区</w:t>
            </w:r>
          </w:p>
        </w:tc>
        <w:tc>
          <w:tcPr>
            <w:tcW w:w="3841" w:type="pct"/>
          </w:tcPr>
          <w:p w14:paraId="5922143D">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28.阜康-木垒绿洲农业、荒漠草地保护生态功能区</w:t>
            </w:r>
          </w:p>
        </w:tc>
      </w:tr>
      <w:tr w14:paraId="7EEB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7A7E8D49">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主要生态服务功能</w:t>
            </w:r>
          </w:p>
        </w:tc>
        <w:tc>
          <w:tcPr>
            <w:tcW w:w="3841" w:type="pct"/>
          </w:tcPr>
          <w:p w14:paraId="47A63EDE">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农牧业产品生产、人居环境、荒漠化控制</w:t>
            </w:r>
          </w:p>
        </w:tc>
      </w:tr>
      <w:tr w14:paraId="66FB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99CA3B1">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主要生态环境问题</w:t>
            </w:r>
          </w:p>
        </w:tc>
        <w:tc>
          <w:tcPr>
            <w:tcW w:w="3841" w:type="pct"/>
          </w:tcPr>
          <w:p w14:paraId="35F04FA3">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地下水超采、荒漠植被退化、沙漠化威胁、局部土壤盐渍化、河流萎缩、滥开荒地</w:t>
            </w:r>
          </w:p>
        </w:tc>
      </w:tr>
      <w:tr w14:paraId="5378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61BDB5C1">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主要生态敏感因子、敏感程度</w:t>
            </w:r>
          </w:p>
        </w:tc>
        <w:tc>
          <w:tcPr>
            <w:tcW w:w="3841" w:type="pct"/>
          </w:tcPr>
          <w:p w14:paraId="49E05372">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生物多样性及其生态环境中敏感程度，土壤侵蚀轻度敏感，土地沙漠化中度敏感，土壤盐渍化轻度敏感</w:t>
            </w:r>
          </w:p>
        </w:tc>
      </w:tr>
      <w:tr w14:paraId="2F30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5390C28C">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主要保护目标</w:t>
            </w:r>
          </w:p>
        </w:tc>
        <w:tc>
          <w:tcPr>
            <w:tcW w:w="3841" w:type="pct"/>
          </w:tcPr>
          <w:p w14:paraId="162F2846">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保护基本农田、保护荒漠植被、保护土壤环境质量</w:t>
            </w:r>
          </w:p>
        </w:tc>
      </w:tr>
      <w:tr w14:paraId="4144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C215C55">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主要保护措施</w:t>
            </w:r>
          </w:p>
        </w:tc>
        <w:tc>
          <w:tcPr>
            <w:tcW w:w="3841" w:type="pct"/>
          </w:tcPr>
          <w:p w14:paraId="4BE87580">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节水灌溉、草场休牧、对坡耕地和沙化土地实施退耕还林（草），在水源无保障、植被稀少、生态脆弱地带禁止开荒、加强农田投入品的使用管理</w:t>
            </w:r>
          </w:p>
        </w:tc>
      </w:tr>
      <w:tr w14:paraId="7D21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0B4E477">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适宜发展方向</w:t>
            </w:r>
          </w:p>
        </w:tc>
        <w:tc>
          <w:tcPr>
            <w:tcW w:w="3841" w:type="pct"/>
          </w:tcPr>
          <w:p w14:paraId="335DE764">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农牧结合，发展优质、高效特色农业和畜牧业</w:t>
            </w:r>
          </w:p>
        </w:tc>
      </w:tr>
    </w:tbl>
    <w:p w14:paraId="2D819DD0">
      <w:pPr>
        <w:pStyle w:val="4"/>
        <w:rPr>
          <w:rFonts w:ascii="Times New Roman" w:hAnsi="Times New Roman" w:eastAsia="宋体"/>
          <w:strike w:val="0"/>
          <w:dstrike w:val="0"/>
          <w:color w:val="auto"/>
          <w:highlight w:val="none"/>
        </w:rPr>
      </w:pPr>
      <w:bookmarkStart w:id="69" w:name="_Toc106663440"/>
      <w:bookmarkStart w:id="70" w:name="_Toc16184"/>
      <w:r>
        <w:rPr>
          <w:rFonts w:hint="eastAsia" w:ascii="Times New Roman" w:hAnsi="Times New Roman" w:eastAsia="宋体"/>
          <w:strike w:val="0"/>
          <w:dstrike w:val="0"/>
          <w:color w:val="auto"/>
          <w:highlight w:val="none"/>
        </w:rPr>
        <w:t>2.5.2评价标准</w:t>
      </w:r>
      <w:bookmarkEnd w:id="69"/>
      <w:bookmarkEnd w:id="70"/>
    </w:p>
    <w:p w14:paraId="731D67E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2.5.2.1环境质量标准</w:t>
      </w:r>
    </w:p>
    <w:p w14:paraId="7F54A9F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（1）环境空气质量标准</w:t>
      </w:r>
    </w:p>
    <w:p w14:paraId="74519E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本项目所在地点所属环境空气区域为二类区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故评价区域大气环境质量常规污染物选用《环境空气质量标准》（GB3095-20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二级标准；氨和硫化氢选用《环境影响评价技术导则-大气环境》（HJ2.2-2018）中附录D氨和硫化氢的1h浓度限值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标准值见表2.5-</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5B0501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表2.5-2环境空气污染物浓度限值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853"/>
        <w:gridCol w:w="1985"/>
        <w:gridCol w:w="992"/>
        <w:gridCol w:w="851"/>
        <w:gridCol w:w="2318"/>
      </w:tblGrid>
      <w:tr w14:paraId="7EDE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vAlign w:val="center"/>
          </w:tcPr>
          <w:p w14:paraId="591C8618">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1853" w:type="dxa"/>
            <w:vAlign w:val="center"/>
          </w:tcPr>
          <w:p w14:paraId="3C45C9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污染物项目</w:t>
            </w:r>
          </w:p>
        </w:tc>
        <w:tc>
          <w:tcPr>
            <w:tcW w:w="1985" w:type="dxa"/>
            <w:vAlign w:val="center"/>
          </w:tcPr>
          <w:p w14:paraId="4AA8F60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平均时间</w:t>
            </w:r>
          </w:p>
        </w:tc>
        <w:tc>
          <w:tcPr>
            <w:tcW w:w="992" w:type="dxa"/>
            <w:vAlign w:val="center"/>
          </w:tcPr>
          <w:p w14:paraId="7F48FD2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浓度限值</w:t>
            </w:r>
          </w:p>
        </w:tc>
        <w:tc>
          <w:tcPr>
            <w:tcW w:w="851" w:type="dxa"/>
            <w:vAlign w:val="center"/>
          </w:tcPr>
          <w:p w14:paraId="4A995FF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单位</w:t>
            </w:r>
          </w:p>
        </w:tc>
        <w:tc>
          <w:tcPr>
            <w:tcW w:w="2318" w:type="dxa"/>
            <w:vAlign w:val="center"/>
          </w:tcPr>
          <w:p w14:paraId="05CB50C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标准来源</w:t>
            </w:r>
          </w:p>
        </w:tc>
      </w:tr>
      <w:tr w14:paraId="17CB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5470C09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1853" w:type="dxa"/>
            <w:vMerge w:val="restart"/>
            <w:vAlign w:val="center"/>
          </w:tcPr>
          <w:p w14:paraId="29F99FE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二氧化硫（SO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w:t>
            </w:r>
          </w:p>
        </w:tc>
        <w:tc>
          <w:tcPr>
            <w:tcW w:w="1985" w:type="dxa"/>
            <w:vAlign w:val="center"/>
          </w:tcPr>
          <w:p w14:paraId="4A45A16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5E500625">
            <w:pPr>
              <w:spacing w:line="240" w:lineRule="auto"/>
              <w:ind w:left="-120" w:leftChars="-50" w:right="-120" w:rightChars="-50"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restart"/>
            <w:vAlign w:val="center"/>
          </w:tcPr>
          <w:p w14:paraId="6896926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μg/m</w:t>
            </w:r>
            <w:r>
              <w:rPr>
                <w:rFonts w:ascii="Times New Roman" w:hAnsi="Times New Roman" w:eastAsia="宋体"/>
                <w:strike w:val="0"/>
                <w:dstrike w:val="0"/>
                <w:color w:val="auto"/>
                <w:sz w:val="21"/>
                <w:szCs w:val="21"/>
                <w:highlight w:val="none"/>
                <w:vertAlign w:val="superscript"/>
              </w:rPr>
              <w:t>3</w:t>
            </w:r>
          </w:p>
        </w:tc>
        <w:tc>
          <w:tcPr>
            <w:tcW w:w="2318" w:type="dxa"/>
            <w:vMerge w:val="restart"/>
            <w:vAlign w:val="center"/>
          </w:tcPr>
          <w:p w14:paraId="6410EAB5">
            <w:pPr>
              <w:spacing w:line="240" w:lineRule="auto"/>
              <w:ind w:left="-120" w:leftChars="-50" w:right="-120" w:rightChars="-50"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《环境空气质量标准》（GB3095-2026）中过渡阶段浓度限值二级标准</w:t>
            </w:r>
          </w:p>
        </w:tc>
      </w:tr>
      <w:tr w14:paraId="29E1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1815F45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773A166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1DB65FE">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71D7FD60">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150</w:t>
            </w:r>
          </w:p>
        </w:tc>
        <w:tc>
          <w:tcPr>
            <w:tcW w:w="851" w:type="dxa"/>
            <w:vMerge w:val="continue"/>
            <w:vAlign w:val="center"/>
          </w:tcPr>
          <w:p w14:paraId="5E143E3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1E121E8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E7E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0092C74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637F832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3B90AEB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8B6C7CF">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500</w:t>
            </w:r>
          </w:p>
        </w:tc>
        <w:tc>
          <w:tcPr>
            <w:tcW w:w="851" w:type="dxa"/>
            <w:vMerge w:val="continue"/>
            <w:vAlign w:val="center"/>
          </w:tcPr>
          <w:p w14:paraId="74445F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6363F72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1198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87468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w:t>
            </w:r>
          </w:p>
        </w:tc>
        <w:tc>
          <w:tcPr>
            <w:tcW w:w="1853" w:type="dxa"/>
            <w:vMerge w:val="restart"/>
            <w:vAlign w:val="center"/>
          </w:tcPr>
          <w:p w14:paraId="5C95B27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二氧化氮（</w:t>
            </w:r>
            <w:r>
              <w:rPr>
                <w:rFonts w:ascii="Times New Roman" w:hAnsi="Times New Roman" w:eastAsia="宋体"/>
                <w:strike w:val="0"/>
                <w:dstrike w:val="0"/>
                <w:color w:val="auto"/>
                <w:sz w:val="21"/>
                <w:szCs w:val="21"/>
                <w:highlight w:val="none"/>
              </w:rPr>
              <w:t>NO</w:t>
            </w:r>
            <w:r>
              <w:rPr>
                <w:rFonts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w:t>
            </w:r>
          </w:p>
        </w:tc>
        <w:tc>
          <w:tcPr>
            <w:tcW w:w="1985" w:type="dxa"/>
            <w:vAlign w:val="center"/>
          </w:tcPr>
          <w:p w14:paraId="183EF826">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1C24A324">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40</w:t>
            </w:r>
          </w:p>
        </w:tc>
        <w:tc>
          <w:tcPr>
            <w:tcW w:w="851" w:type="dxa"/>
            <w:vMerge w:val="continue"/>
            <w:vAlign w:val="center"/>
          </w:tcPr>
          <w:p w14:paraId="159B42D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70BF395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6212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58C9985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64D0B1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168B096">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1023E095">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80</w:t>
            </w:r>
          </w:p>
        </w:tc>
        <w:tc>
          <w:tcPr>
            <w:tcW w:w="851" w:type="dxa"/>
            <w:vMerge w:val="continue"/>
            <w:vAlign w:val="center"/>
          </w:tcPr>
          <w:p w14:paraId="58C4590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76CBD60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6110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4720526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24E7DA8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07263EC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46E9CDB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200</w:t>
            </w:r>
          </w:p>
        </w:tc>
        <w:tc>
          <w:tcPr>
            <w:tcW w:w="851" w:type="dxa"/>
            <w:vMerge w:val="continue"/>
            <w:vAlign w:val="center"/>
          </w:tcPr>
          <w:p w14:paraId="1A98412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FB05EC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3B9D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6FE4F45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w:t>
            </w:r>
          </w:p>
        </w:tc>
        <w:tc>
          <w:tcPr>
            <w:tcW w:w="1853" w:type="dxa"/>
            <w:vMerge w:val="restart"/>
            <w:vAlign w:val="center"/>
          </w:tcPr>
          <w:p w14:paraId="7494688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一氧化碳（CO）</w:t>
            </w:r>
          </w:p>
        </w:tc>
        <w:tc>
          <w:tcPr>
            <w:tcW w:w="1985" w:type="dxa"/>
            <w:vAlign w:val="center"/>
          </w:tcPr>
          <w:p w14:paraId="0183737D">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43E7447B">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w:t>
            </w:r>
          </w:p>
        </w:tc>
        <w:tc>
          <w:tcPr>
            <w:tcW w:w="851" w:type="dxa"/>
            <w:vMerge w:val="restart"/>
            <w:vAlign w:val="center"/>
          </w:tcPr>
          <w:p w14:paraId="195EA22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mg/m</w:t>
            </w:r>
            <w:r>
              <w:rPr>
                <w:rFonts w:hint="eastAsia" w:ascii="Times New Roman" w:hAnsi="Times New Roman" w:eastAsia="宋体"/>
                <w:strike w:val="0"/>
                <w:dstrike w:val="0"/>
                <w:color w:val="auto"/>
                <w:sz w:val="21"/>
                <w:szCs w:val="21"/>
                <w:highlight w:val="none"/>
                <w:vertAlign w:val="superscript"/>
              </w:rPr>
              <w:t>3</w:t>
            </w:r>
          </w:p>
        </w:tc>
        <w:tc>
          <w:tcPr>
            <w:tcW w:w="2318" w:type="dxa"/>
            <w:vMerge w:val="continue"/>
            <w:vAlign w:val="center"/>
          </w:tcPr>
          <w:p w14:paraId="0C4C27E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9F0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305E99C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5C8947E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2F10FD23">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7F23A9B">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10</w:t>
            </w:r>
          </w:p>
        </w:tc>
        <w:tc>
          <w:tcPr>
            <w:tcW w:w="851" w:type="dxa"/>
            <w:vMerge w:val="continue"/>
            <w:vAlign w:val="center"/>
          </w:tcPr>
          <w:p w14:paraId="582B950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0E7E998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4165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0B1644D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w:t>
            </w:r>
          </w:p>
        </w:tc>
        <w:tc>
          <w:tcPr>
            <w:tcW w:w="1853" w:type="dxa"/>
            <w:vMerge w:val="restart"/>
            <w:vAlign w:val="center"/>
          </w:tcPr>
          <w:p w14:paraId="03378B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臭氧（O</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w:t>
            </w:r>
          </w:p>
        </w:tc>
        <w:tc>
          <w:tcPr>
            <w:tcW w:w="1985" w:type="dxa"/>
            <w:vAlign w:val="center"/>
          </w:tcPr>
          <w:p w14:paraId="60520698">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日最大8小时平均</w:t>
            </w:r>
          </w:p>
        </w:tc>
        <w:tc>
          <w:tcPr>
            <w:tcW w:w="992" w:type="dxa"/>
            <w:vAlign w:val="center"/>
          </w:tcPr>
          <w:p w14:paraId="5AFC0CC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160</w:t>
            </w:r>
          </w:p>
        </w:tc>
        <w:tc>
          <w:tcPr>
            <w:tcW w:w="851" w:type="dxa"/>
            <w:vMerge w:val="restart"/>
            <w:vAlign w:val="center"/>
          </w:tcPr>
          <w:p w14:paraId="6B09F3C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μg/m</w:t>
            </w:r>
            <w:r>
              <w:rPr>
                <w:rFonts w:ascii="Times New Roman" w:hAnsi="Times New Roman" w:eastAsia="宋体"/>
                <w:strike w:val="0"/>
                <w:dstrike w:val="0"/>
                <w:color w:val="auto"/>
                <w:sz w:val="21"/>
                <w:szCs w:val="21"/>
                <w:highlight w:val="none"/>
                <w:vertAlign w:val="superscript"/>
              </w:rPr>
              <w:t>3</w:t>
            </w:r>
          </w:p>
        </w:tc>
        <w:tc>
          <w:tcPr>
            <w:tcW w:w="2318" w:type="dxa"/>
            <w:vMerge w:val="continue"/>
            <w:vAlign w:val="center"/>
          </w:tcPr>
          <w:p w14:paraId="5D161F6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3CB0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6265FC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9FD5ED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7015C97D">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FE413DB">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200</w:t>
            </w:r>
          </w:p>
        </w:tc>
        <w:tc>
          <w:tcPr>
            <w:tcW w:w="851" w:type="dxa"/>
            <w:vMerge w:val="continue"/>
            <w:vAlign w:val="center"/>
          </w:tcPr>
          <w:p w14:paraId="73350F7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A6372C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09AE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B8E7A0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w:t>
            </w:r>
          </w:p>
        </w:tc>
        <w:tc>
          <w:tcPr>
            <w:tcW w:w="1853" w:type="dxa"/>
            <w:vMerge w:val="restart"/>
            <w:vAlign w:val="center"/>
          </w:tcPr>
          <w:p w14:paraId="6CE702C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颗粒物（粒径小于等于10</w:t>
            </w:r>
            <w:r>
              <w:rPr>
                <w:rFonts w:ascii="Times New Roman" w:hAnsi="Times New Roman" w:eastAsia="宋体"/>
                <w:strike w:val="0"/>
                <w:dstrike w:val="0"/>
                <w:color w:val="auto"/>
                <w:sz w:val="21"/>
                <w:szCs w:val="21"/>
                <w:highlight w:val="none"/>
              </w:rPr>
              <w:t>μm</w:t>
            </w:r>
            <w:r>
              <w:rPr>
                <w:rFonts w:hint="eastAsia" w:ascii="Times New Roman" w:hAnsi="Times New Roman" w:eastAsia="宋体"/>
                <w:strike w:val="0"/>
                <w:dstrike w:val="0"/>
                <w:color w:val="auto"/>
                <w:sz w:val="21"/>
                <w:szCs w:val="21"/>
                <w:highlight w:val="none"/>
              </w:rPr>
              <w:t>）</w:t>
            </w:r>
          </w:p>
        </w:tc>
        <w:tc>
          <w:tcPr>
            <w:tcW w:w="1985" w:type="dxa"/>
            <w:vAlign w:val="center"/>
          </w:tcPr>
          <w:p w14:paraId="092EB33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52A7659B">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continue"/>
            <w:vAlign w:val="center"/>
          </w:tcPr>
          <w:p w14:paraId="2CD9586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0C42F08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F3D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1679AAA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30F787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78204F1">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2322668C">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120</w:t>
            </w:r>
          </w:p>
        </w:tc>
        <w:tc>
          <w:tcPr>
            <w:tcW w:w="851" w:type="dxa"/>
            <w:vMerge w:val="continue"/>
            <w:vAlign w:val="center"/>
          </w:tcPr>
          <w:p w14:paraId="0427AB9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5CD7AB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40F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AA83EA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w:t>
            </w:r>
          </w:p>
        </w:tc>
        <w:tc>
          <w:tcPr>
            <w:tcW w:w="1853" w:type="dxa"/>
            <w:vMerge w:val="restart"/>
            <w:vAlign w:val="center"/>
          </w:tcPr>
          <w:p w14:paraId="760BB2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颗粒物（粒径小于等于2.5</w:t>
            </w:r>
            <w:r>
              <w:rPr>
                <w:rFonts w:ascii="Times New Roman" w:hAnsi="Times New Roman" w:eastAsia="宋体"/>
                <w:strike w:val="0"/>
                <w:dstrike w:val="0"/>
                <w:color w:val="auto"/>
                <w:sz w:val="21"/>
                <w:szCs w:val="21"/>
                <w:highlight w:val="none"/>
              </w:rPr>
              <w:t>μm</w:t>
            </w:r>
            <w:r>
              <w:rPr>
                <w:rFonts w:hint="eastAsia" w:ascii="Times New Roman" w:hAnsi="Times New Roman" w:eastAsia="宋体"/>
                <w:strike w:val="0"/>
                <w:dstrike w:val="0"/>
                <w:color w:val="auto"/>
                <w:sz w:val="21"/>
                <w:szCs w:val="21"/>
                <w:highlight w:val="none"/>
              </w:rPr>
              <w:t>）</w:t>
            </w:r>
          </w:p>
        </w:tc>
        <w:tc>
          <w:tcPr>
            <w:tcW w:w="1985" w:type="dxa"/>
            <w:vAlign w:val="center"/>
          </w:tcPr>
          <w:p w14:paraId="471A330E">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122B97B9">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30</w:t>
            </w:r>
          </w:p>
        </w:tc>
        <w:tc>
          <w:tcPr>
            <w:tcW w:w="851" w:type="dxa"/>
            <w:vMerge w:val="continue"/>
            <w:vAlign w:val="center"/>
          </w:tcPr>
          <w:p w14:paraId="30D1D23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53D10F9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0B1D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660EED0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04EEF5F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5905699A">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1ADF8E9D">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continue"/>
            <w:vAlign w:val="center"/>
          </w:tcPr>
          <w:p w14:paraId="41B8D7C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D940F4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A39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3561AB8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w:t>
            </w:r>
          </w:p>
        </w:tc>
        <w:tc>
          <w:tcPr>
            <w:tcW w:w="1853" w:type="dxa"/>
            <w:vMerge w:val="restart"/>
            <w:vAlign w:val="center"/>
          </w:tcPr>
          <w:p w14:paraId="79C3E108">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总悬浮颗粒物（TSP）</w:t>
            </w:r>
          </w:p>
        </w:tc>
        <w:tc>
          <w:tcPr>
            <w:tcW w:w="1985" w:type="dxa"/>
            <w:vAlign w:val="center"/>
          </w:tcPr>
          <w:p w14:paraId="21392195">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04A47E9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200</w:t>
            </w:r>
          </w:p>
        </w:tc>
        <w:tc>
          <w:tcPr>
            <w:tcW w:w="851" w:type="dxa"/>
            <w:vMerge w:val="continue"/>
            <w:vAlign w:val="center"/>
          </w:tcPr>
          <w:p w14:paraId="7683A5F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C5D7B5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2CC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4938DA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01E9152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65350EDC">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314B78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300</w:t>
            </w:r>
          </w:p>
        </w:tc>
        <w:tc>
          <w:tcPr>
            <w:tcW w:w="851" w:type="dxa"/>
            <w:vMerge w:val="continue"/>
            <w:vAlign w:val="center"/>
          </w:tcPr>
          <w:p w14:paraId="45A4941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432CF8D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123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Align w:val="center"/>
          </w:tcPr>
          <w:p w14:paraId="5F6C085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w:t>
            </w:r>
          </w:p>
        </w:tc>
        <w:tc>
          <w:tcPr>
            <w:tcW w:w="1853" w:type="dxa"/>
            <w:vAlign w:val="center"/>
          </w:tcPr>
          <w:p w14:paraId="6A71F71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硫化氢（</w:t>
            </w:r>
            <w:r>
              <w:rPr>
                <w:rFonts w:ascii="Times New Roman" w:hAnsi="Times New Roman" w:eastAsia="宋体"/>
                <w:strike w:val="0"/>
                <w:dstrike w:val="0"/>
                <w:color w:val="auto"/>
                <w:sz w:val="21"/>
                <w:szCs w:val="21"/>
                <w:highlight w:val="none"/>
              </w:rPr>
              <w:t>H</w:t>
            </w:r>
            <w:r>
              <w:rPr>
                <w:rFonts w:ascii="Times New Roman" w:hAnsi="Times New Roman" w:eastAsia="宋体"/>
                <w:strike w:val="0"/>
                <w:dstrike w:val="0"/>
                <w:color w:val="auto"/>
                <w:sz w:val="21"/>
                <w:szCs w:val="21"/>
                <w:highlight w:val="none"/>
                <w:vertAlign w:val="subscript"/>
              </w:rPr>
              <w:t>2</w:t>
            </w:r>
            <w:r>
              <w:rPr>
                <w:rFonts w:ascii="Times New Roman" w:hAnsi="Times New Roman" w:eastAsia="宋体"/>
                <w:strike w:val="0"/>
                <w:dstrike w:val="0"/>
                <w:color w:val="auto"/>
                <w:sz w:val="21"/>
                <w:szCs w:val="21"/>
                <w:highlight w:val="none"/>
              </w:rPr>
              <w:t>S</w:t>
            </w:r>
            <w:r>
              <w:rPr>
                <w:rFonts w:hint="eastAsia" w:ascii="Times New Roman" w:hAnsi="Times New Roman" w:eastAsia="宋体"/>
                <w:strike w:val="0"/>
                <w:dstrike w:val="0"/>
                <w:color w:val="auto"/>
                <w:sz w:val="21"/>
                <w:szCs w:val="21"/>
                <w:highlight w:val="none"/>
              </w:rPr>
              <w:t>）</w:t>
            </w:r>
          </w:p>
        </w:tc>
        <w:tc>
          <w:tcPr>
            <w:tcW w:w="1985" w:type="dxa"/>
            <w:vAlign w:val="center"/>
          </w:tcPr>
          <w:p w14:paraId="51DE457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1小时平均</w:t>
            </w:r>
          </w:p>
        </w:tc>
        <w:tc>
          <w:tcPr>
            <w:tcW w:w="992" w:type="dxa"/>
            <w:vAlign w:val="center"/>
          </w:tcPr>
          <w:p w14:paraId="1FE5888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0.01</w:t>
            </w:r>
          </w:p>
        </w:tc>
        <w:tc>
          <w:tcPr>
            <w:tcW w:w="851" w:type="dxa"/>
            <w:vMerge w:val="restart"/>
            <w:vAlign w:val="center"/>
          </w:tcPr>
          <w:p w14:paraId="6AF6191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mg/m</w:t>
            </w:r>
            <w:r>
              <w:rPr>
                <w:rFonts w:hint="eastAsia" w:ascii="Times New Roman" w:hAnsi="Times New Roman" w:eastAsia="宋体"/>
                <w:strike w:val="0"/>
                <w:dstrike w:val="0"/>
                <w:color w:val="auto"/>
                <w:sz w:val="21"/>
                <w:szCs w:val="21"/>
                <w:highlight w:val="none"/>
                <w:vertAlign w:val="superscript"/>
              </w:rPr>
              <w:t>3</w:t>
            </w:r>
          </w:p>
        </w:tc>
        <w:tc>
          <w:tcPr>
            <w:tcW w:w="2318" w:type="dxa"/>
            <w:vMerge w:val="restart"/>
            <w:vAlign w:val="center"/>
          </w:tcPr>
          <w:p w14:paraId="4E16FF2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《环境影响评价技术导则-大气环境》（HJ2.2-2018）附录D</w:t>
            </w:r>
          </w:p>
        </w:tc>
      </w:tr>
      <w:tr w14:paraId="4708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Align w:val="center"/>
          </w:tcPr>
          <w:p w14:paraId="3F822A3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9</w:t>
            </w:r>
          </w:p>
        </w:tc>
        <w:tc>
          <w:tcPr>
            <w:tcW w:w="1853" w:type="dxa"/>
            <w:vAlign w:val="center"/>
          </w:tcPr>
          <w:p w14:paraId="180C4EE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氨（NH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w:t>
            </w:r>
          </w:p>
        </w:tc>
        <w:tc>
          <w:tcPr>
            <w:tcW w:w="1985" w:type="dxa"/>
            <w:vAlign w:val="center"/>
          </w:tcPr>
          <w:p w14:paraId="3C73706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1小时平均</w:t>
            </w:r>
          </w:p>
        </w:tc>
        <w:tc>
          <w:tcPr>
            <w:tcW w:w="992" w:type="dxa"/>
            <w:vAlign w:val="center"/>
          </w:tcPr>
          <w:p w14:paraId="084E555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0.20</w:t>
            </w:r>
          </w:p>
        </w:tc>
        <w:tc>
          <w:tcPr>
            <w:tcW w:w="851" w:type="dxa"/>
            <w:vMerge w:val="continue"/>
            <w:vAlign w:val="center"/>
          </w:tcPr>
          <w:p w14:paraId="3AC2F15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406F226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bl>
    <w:p w14:paraId="4BBC20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）地下水执行《地下水质量标准》（GB/T14848-2017）中的Ⅲ类标准，标准值见表2.5-</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p>
    <w:p w14:paraId="1EA75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表2.5-3地下水质量指标及标准限值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2391"/>
        <w:gridCol w:w="2424"/>
        <w:gridCol w:w="2408"/>
      </w:tblGrid>
      <w:tr w14:paraId="3AC0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14:paraId="74C5332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2473" w:type="dxa"/>
            <w:vAlign w:val="center"/>
          </w:tcPr>
          <w:p w14:paraId="46B360C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w:t>
            </w:r>
          </w:p>
        </w:tc>
        <w:tc>
          <w:tcPr>
            <w:tcW w:w="2474" w:type="dxa"/>
            <w:vAlign w:val="center"/>
          </w:tcPr>
          <w:p w14:paraId="7F3A671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单位</w:t>
            </w:r>
          </w:p>
        </w:tc>
        <w:tc>
          <w:tcPr>
            <w:tcW w:w="2474" w:type="dxa"/>
            <w:vAlign w:val="center"/>
          </w:tcPr>
          <w:p w14:paraId="57A33AE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标准限值</w:t>
            </w:r>
          </w:p>
        </w:tc>
      </w:tr>
      <w:tr w14:paraId="1A4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65A37BA">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1</w:t>
            </w:r>
          </w:p>
        </w:tc>
        <w:tc>
          <w:tcPr>
            <w:tcW w:w="2473" w:type="dxa"/>
          </w:tcPr>
          <w:p w14:paraId="5FEA47CA">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pH</w:t>
            </w:r>
          </w:p>
        </w:tc>
        <w:tc>
          <w:tcPr>
            <w:tcW w:w="2474" w:type="dxa"/>
          </w:tcPr>
          <w:p w14:paraId="5C9733FF">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w:t>
            </w:r>
          </w:p>
        </w:tc>
        <w:tc>
          <w:tcPr>
            <w:tcW w:w="2474" w:type="dxa"/>
          </w:tcPr>
          <w:p w14:paraId="3CA14CAE">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6.5</w:t>
            </w:r>
            <w:r>
              <w:rPr>
                <w:rFonts w:hint="eastAsia" w:ascii="Times New Roman" w:hAnsi="Times New Roman" w:eastAsia="宋体"/>
                <w:strike w:val="0"/>
                <w:dstrike w:val="0"/>
                <w:color w:val="auto"/>
                <w:sz w:val="21"/>
                <w:szCs w:val="21"/>
                <w:highlight w:val="none"/>
              </w:rPr>
              <w:t>~</w:t>
            </w:r>
            <w:r>
              <w:rPr>
                <w:rFonts w:ascii="Times New Roman" w:hAnsi="Times New Roman" w:eastAsia="宋体"/>
                <w:strike w:val="0"/>
                <w:dstrike w:val="0"/>
                <w:color w:val="auto"/>
                <w:sz w:val="21"/>
                <w:szCs w:val="21"/>
                <w:highlight w:val="none"/>
              </w:rPr>
              <w:t>8.5</w:t>
            </w:r>
          </w:p>
        </w:tc>
      </w:tr>
      <w:tr w14:paraId="5B1E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6C8BBE1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2</w:t>
            </w:r>
          </w:p>
        </w:tc>
        <w:tc>
          <w:tcPr>
            <w:tcW w:w="2473" w:type="dxa"/>
          </w:tcPr>
          <w:p w14:paraId="69AEFE3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阴离子表面活性剂</w:t>
            </w:r>
          </w:p>
        </w:tc>
        <w:tc>
          <w:tcPr>
            <w:tcW w:w="2474" w:type="dxa"/>
          </w:tcPr>
          <w:p w14:paraId="5A3668C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65354AD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eastAsia="zh-CN"/>
              </w:rPr>
            </w:pPr>
            <w:r>
              <w:rPr>
                <w:rFonts w:hint="eastAsia" w:ascii="Times New Roman" w:hAnsi="Times New Roman" w:eastAsia="宋体" w:cs="Times New Roman"/>
                <w:strike w:val="0"/>
                <w:dstrike w:val="0"/>
                <w:color w:val="auto"/>
                <w:sz w:val="21"/>
                <w:szCs w:val="21"/>
                <w:highlight w:val="none"/>
              </w:rPr>
              <w:t>≤0.</w:t>
            </w:r>
            <w:r>
              <w:rPr>
                <w:rFonts w:hint="eastAsia" w:ascii="Times New Roman" w:hAnsi="Times New Roman" w:eastAsia="宋体" w:cs="Times New Roman"/>
                <w:strike w:val="0"/>
                <w:dstrike w:val="0"/>
                <w:color w:val="auto"/>
                <w:sz w:val="21"/>
                <w:szCs w:val="21"/>
                <w:highlight w:val="none"/>
                <w:lang w:val="en-US" w:eastAsia="zh-CN"/>
              </w:rPr>
              <w:t>3</w:t>
            </w:r>
          </w:p>
        </w:tc>
      </w:tr>
      <w:tr w14:paraId="5B14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E1E636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w:t>
            </w:r>
          </w:p>
        </w:tc>
        <w:tc>
          <w:tcPr>
            <w:tcW w:w="2473" w:type="dxa"/>
          </w:tcPr>
          <w:p w14:paraId="5B793FD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挥发酚</w:t>
            </w:r>
          </w:p>
        </w:tc>
        <w:tc>
          <w:tcPr>
            <w:tcW w:w="2474" w:type="dxa"/>
          </w:tcPr>
          <w:p w14:paraId="3ADE9A0F">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355ED90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≤0.002</w:t>
            </w:r>
          </w:p>
        </w:tc>
      </w:tr>
      <w:tr w14:paraId="06AC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0C2661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4</w:t>
            </w:r>
          </w:p>
        </w:tc>
        <w:tc>
          <w:tcPr>
            <w:tcW w:w="2473" w:type="dxa"/>
          </w:tcPr>
          <w:p w14:paraId="72575D1B">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六价铬</w:t>
            </w:r>
          </w:p>
        </w:tc>
        <w:tc>
          <w:tcPr>
            <w:tcW w:w="2474" w:type="dxa"/>
          </w:tcPr>
          <w:p w14:paraId="3B02917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个/L</w:t>
            </w:r>
          </w:p>
        </w:tc>
        <w:tc>
          <w:tcPr>
            <w:tcW w:w="2474" w:type="dxa"/>
          </w:tcPr>
          <w:p w14:paraId="6315195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≤0.05</w:t>
            </w:r>
          </w:p>
        </w:tc>
      </w:tr>
      <w:tr w14:paraId="290C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83E648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5</w:t>
            </w:r>
          </w:p>
        </w:tc>
        <w:tc>
          <w:tcPr>
            <w:tcW w:w="2473" w:type="dxa"/>
          </w:tcPr>
          <w:p w14:paraId="742DCC4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硫化物</w:t>
            </w:r>
          </w:p>
        </w:tc>
        <w:tc>
          <w:tcPr>
            <w:tcW w:w="2474" w:type="dxa"/>
          </w:tcPr>
          <w:p w14:paraId="04DF822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06F0BEA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≤0.02</w:t>
            </w:r>
          </w:p>
        </w:tc>
      </w:tr>
      <w:tr w14:paraId="569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1144EC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6</w:t>
            </w:r>
          </w:p>
        </w:tc>
        <w:tc>
          <w:tcPr>
            <w:tcW w:w="2473" w:type="dxa"/>
          </w:tcPr>
          <w:p w14:paraId="27772799">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菌落总数</w:t>
            </w:r>
          </w:p>
        </w:tc>
        <w:tc>
          <w:tcPr>
            <w:tcW w:w="2474" w:type="dxa"/>
          </w:tcPr>
          <w:p w14:paraId="2A98E705">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CFU/mL</w:t>
            </w:r>
          </w:p>
        </w:tc>
        <w:tc>
          <w:tcPr>
            <w:tcW w:w="2474" w:type="dxa"/>
          </w:tcPr>
          <w:p w14:paraId="534225F4">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rPr>
              <w:t>≤</w:t>
            </w:r>
            <w:r>
              <w:rPr>
                <w:rFonts w:hint="eastAsia" w:ascii="Times New Roman" w:hAnsi="Times New Roman" w:eastAsia="宋体" w:cs="Times New Roman"/>
                <w:strike w:val="0"/>
                <w:dstrike w:val="0"/>
                <w:color w:val="auto"/>
                <w:sz w:val="21"/>
                <w:szCs w:val="21"/>
                <w:highlight w:val="none"/>
                <w:lang w:val="en-US" w:eastAsia="zh-CN"/>
              </w:rPr>
              <w:t>100</w:t>
            </w:r>
          </w:p>
        </w:tc>
      </w:tr>
      <w:tr w14:paraId="297D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D2DC497">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7</w:t>
            </w:r>
          </w:p>
        </w:tc>
        <w:tc>
          <w:tcPr>
            <w:tcW w:w="2473" w:type="dxa"/>
            <w:vAlign w:val="top"/>
          </w:tcPr>
          <w:p w14:paraId="55052A5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溶解性总固体</w:t>
            </w:r>
          </w:p>
        </w:tc>
        <w:tc>
          <w:tcPr>
            <w:tcW w:w="2474" w:type="dxa"/>
            <w:vAlign w:val="top"/>
          </w:tcPr>
          <w:p w14:paraId="6D68F48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B6AAC8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≤1000</w:t>
            </w:r>
          </w:p>
        </w:tc>
      </w:tr>
      <w:tr w14:paraId="2383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3CD566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8</w:t>
            </w:r>
          </w:p>
        </w:tc>
        <w:tc>
          <w:tcPr>
            <w:tcW w:w="2473" w:type="dxa"/>
            <w:vAlign w:val="top"/>
          </w:tcPr>
          <w:p w14:paraId="54747BF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氯化物</w:t>
            </w:r>
          </w:p>
        </w:tc>
        <w:tc>
          <w:tcPr>
            <w:tcW w:w="2474" w:type="dxa"/>
            <w:vAlign w:val="top"/>
          </w:tcPr>
          <w:p w14:paraId="6865E43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5304CF5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≤250</w:t>
            </w:r>
          </w:p>
        </w:tc>
      </w:tr>
      <w:tr w14:paraId="3606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5D8288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9</w:t>
            </w:r>
          </w:p>
        </w:tc>
        <w:tc>
          <w:tcPr>
            <w:tcW w:w="2473" w:type="dxa"/>
            <w:vAlign w:val="top"/>
          </w:tcPr>
          <w:p w14:paraId="0EBC8D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砷</w:t>
            </w:r>
          </w:p>
        </w:tc>
        <w:tc>
          <w:tcPr>
            <w:tcW w:w="2474" w:type="dxa"/>
            <w:vAlign w:val="top"/>
          </w:tcPr>
          <w:p w14:paraId="6A7B3D69">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80BB93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≤0.01</w:t>
            </w:r>
          </w:p>
        </w:tc>
      </w:tr>
      <w:tr w14:paraId="3AF2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D9E76C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10</w:t>
            </w:r>
          </w:p>
        </w:tc>
        <w:tc>
          <w:tcPr>
            <w:tcW w:w="2473" w:type="dxa"/>
            <w:vAlign w:val="top"/>
          </w:tcPr>
          <w:p w14:paraId="08FC7C9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汞</w:t>
            </w:r>
          </w:p>
        </w:tc>
        <w:tc>
          <w:tcPr>
            <w:tcW w:w="2474" w:type="dxa"/>
            <w:vAlign w:val="top"/>
          </w:tcPr>
          <w:p w14:paraId="3AA4BB7A">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946CE9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≤0.001</w:t>
            </w:r>
          </w:p>
        </w:tc>
      </w:tr>
      <w:tr w14:paraId="1CE0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1A671DB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11</w:t>
            </w:r>
          </w:p>
        </w:tc>
        <w:tc>
          <w:tcPr>
            <w:tcW w:w="2473" w:type="dxa"/>
            <w:vAlign w:val="top"/>
          </w:tcPr>
          <w:p w14:paraId="0FE32CF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铅</w:t>
            </w:r>
          </w:p>
        </w:tc>
        <w:tc>
          <w:tcPr>
            <w:tcW w:w="2474" w:type="dxa"/>
            <w:vAlign w:val="top"/>
          </w:tcPr>
          <w:p w14:paraId="3D2EE6A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327E24E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≤0.01</w:t>
            </w:r>
          </w:p>
        </w:tc>
      </w:tr>
      <w:tr w14:paraId="6576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C51FB1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12</w:t>
            </w:r>
          </w:p>
        </w:tc>
        <w:tc>
          <w:tcPr>
            <w:tcW w:w="2473" w:type="dxa"/>
            <w:vAlign w:val="top"/>
          </w:tcPr>
          <w:p w14:paraId="43629B89">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镉</w:t>
            </w:r>
          </w:p>
        </w:tc>
        <w:tc>
          <w:tcPr>
            <w:tcW w:w="2474" w:type="dxa"/>
            <w:vAlign w:val="top"/>
          </w:tcPr>
          <w:p w14:paraId="71192E9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0D846B5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≤0.005</w:t>
            </w:r>
          </w:p>
        </w:tc>
      </w:tr>
      <w:tr w14:paraId="52BB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408387F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13</w:t>
            </w:r>
          </w:p>
        </w:tc>
        <w:tc>
          <w:tcPr>
            <w:tcW w:w="2473" w:type="dxa"/>
            <w:vAlign w:val="top"/>
          </w:tcPr>
          <w:p w14:paraId="71C64E2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耗氧量</w:t>
            </w:r>
          </w:p>
        </w:tc>
        <w:tc>
          <w:tcPr>
            <w:tcW w:w="2474" w:type="dxa"/>
            <w:vAlign w:val="top"/>
          </w:tcPr>
          <w:p w14:paraId="4353E42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16ECD02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≤3.0</w:t>
            </w:r>
          </w:p>
        </w:tc>
      </w:tr>
      <w:tr w14:paraId="26ED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92BE6C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14</w:t>
            </w:r>
          </w:p>
        </w:tc>
        <w:tc>
          <w:tcPr>
            <w:tcW w:w="2473" w:type="dxa"/>
            <w:vAlign w:val="top"/>
          </w:tcPr>
          <w:p w14:paraId="6857C3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总大肠菌群</w:t>
            </w:r>
          </w:p>
        </w:tc>
        <w:tc>
          <w:tcPr>
            <w:tcW w:w="2474" w:type="dxa"/>
            <w:vAlign w:val="top"/>
          </w:tcPr>
          <w:p w14:paraId="61F344FA">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MPN/100ml</w:t>
            </w:r>
          </w:p>
        </w:tc>
        <w:tc>
          <w:tcPr>
            <w:tcW w:w="2474" w:type="dxa"/>
            <w:vAlign w:val="top"/>
          </w:tcPr>
          <w:p w14:paraId="0AC1CC2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≤3.0</w:t>
            </w:r>
          </w:p>
        </w:tc>
      </w:tr>
    </w:tbl>
    <w:p w14:paraId="18928EB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）声环境质量标准</w:t>
      </w:r>
    </w:p>
    <w:p w14:paraId="399EC4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根据声环境功能区划分，项目所在地为2类声环境功能区，执行《声环境质量标准》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GB3096-2008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的2类标准标准限值见表2.5-</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p w14:paraId="105E3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表2.5-4声环境质量标准限值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6"/>
        <w:gridCol w:w="2770"/>
        <w:gridCol w:w="2770"/>
      </w:tblGrid>
      <w:tr w14:paraId="3313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14:paraId="540F57A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声环境功能区类别</w:t>
            </w:r>
          </w:p>
        </w:tc>
        <w:tc>
          <w:tcPr>
            <w:tcW w:w="5682" w:type="dxa"/>
            <w:gridSpan w:val="2"/>
            <w:vAlign w:val="center"/>
          </w:tcPr>
          <w:p w14:paraId="25F1852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时段</w:t>
            </w:r>
          </w:p>
        </w:tc>
      </w:tr>
      <w:tr w14:paraId="433C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14:paraId="11C798BB">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841" w:type="dxa"/>
            <w:vAlign w:val="center"/>
          </w:tcPr>
          <w:p w14:paraId="6258AE7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昼间、dB（A）</w:t>
            </w:r>
          </w:p>
        </w:tc>
        <w:tc>
          <w:tcPr>
            <w:tcW w:w="2841" w:type="dxa"/>
            <w:vAlign w:val="center"/>
          </w:tcPr>
          <w:p w14:paraId="76EC980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夜间、dB（A）</w:t>
            </w:r>
          </w:p>
        </w:tc>
      </w:tr>
      <w:tr w14:paraId="5A7F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0" w:type="dxa"/>
            <w:vAlign w:val="center"/>
          </w:tcPr>
          <w:p w14:paraId="03BD67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hint="eastAsia" w:ascii="Times New Roman" w:hAnsi="Times New Roman" w:eastAsia="宋体"/>
                <w:strike w:val="0"/>
                <w:dstrike w:val="0"/>
                <w:color w:val="auto"/>
                <w:sz w:val="21"/>
                <w:szCs w:val="21"/>
                <w:highlight w:val="none"/>
              </w:rPr>
              <w:t>类</w:t>
            </w:r>
          </w:p>
        </w:tc>
        <w:tc>
          <w:tcPr>
            <w:tcW w:w="2841" w:type="dxa"/>
            <w:vAlign w:val="center"/>
          </w:tcPr>
          <w:p w14:paraId="22BF6782">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60</w:t>
            </w:r>
          </w:p>
        </w:tc>
        <w:tc>
          <w:tcPr>
            <w:tcW w:w="2841" w:type="dxa"/>
            <w:vAlign w:val="center"/>
          </w:tcPr>
          <w:p w14:paraId="35D95DE7">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50</w:t>
            </w:r>
          </w:p>
        </w:tc>
      </w:tr>
    </w:tbl>
    <w:p w14:paraId="6CFA71D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）土壤环境质量标准</w:t>
      </w:r>
    </w:p>
    <w:p w14:paraId="2CB929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本项目土壤环境执行</w:t>
      </w:r>
      <w:r>
        <w:rPr>
          <w:rFonts w:ascii="Times New Roman" w:hAnsi="Times New Roman" w:eastAsia="宋体" w:cs="宋体"/>
          <w:strike w:val="0"/>
          <w:dstrike w:val="0"/>
          <w:color w:val="auto"/>
          <w:spacing w:val="0"/>
          <w:sz w:val="24"/>
          <w:szCs w:val="24"/>
          <w:highlight w:val="none"/>
        </w:rPr>
        <w:t>《土壤环境质量农用地土壤污染风险管控标准</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试行</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GB15618-2018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中其他</w:t>
      </w:r>
      <w:r>
        <w:rPr>
          <w:rFonts w:hint="eastAsia" w:ascii="Times New Roman" w:hAnsi="Times New Roman" w:eastAsia="宋体" w:cs="宋体"/>
          <w:strike w:val="0"/>
          <w:dstrike w:val="0"/>
          <w:color w:val="auto"/>
          <w:spacing w:val="0"/>
          <w:sz w:val="24"/>
          <w:szCs w:val="24"/>
          <w:highlight w:val="none"/>
          <w:lang w:val="en-US" w:eastAsia="zh-CN"/>
        </w:rPr>
        <w:t>农</w:t>
      </w:r>
      <w:r>
        <w:rPr>
          <w:rFonts w:ascii="Times New Roman" w:hAnsi="Times New Roman" w:eastAsia="宋体" w:cs="宋体"/>
          <w:strike w:val="0"/>
          <w:dstrike w:val="0"/>
          <w:color w:val="auto"/>
          <w:spacing w:val="0"/>
          <w:sz w:val="24"/>
          <w:szCs w:val="24"/>
          <w:highlight w:val="none"/>
        </w:rPr>
        <w:t>用地风险筛选值</w:t>
      </w:r>
      <w:r>
        <w:rPr>
          <w:rFonts w:hint="eastAsia" w:ascii="Times New Roman" w:hAnsi="Times New Roman" w:eastAsia="宋体"/>
          <w:strike w:val="0"/>
          <w:dstrike w:val="0"/>
          <w:color w:val="auto"/>
          <w:highlight w:val="none"/>
        </w:rPr>
        <w:t>，其标准值见表2.5-</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p>
    <w:p w14:paraId="57B509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表2.5-5 GB15618-2018农用地土壤污染风险筛选值</w:t>
      </w:r>
    </w:p>
    <w:tbl>
      <w:tblPr>
        <w:tblStyle w:val="183"/>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3"/>
        <w:gridCol w:w="1724"/>
        <w:gridCol w:w="1047"/>
        <w:gridCol w:w="1816"/>
        <w:gridCol w:w="1816"/>
        <w:gridCol w:w="1208"/>
      </w:tblGrid>
      <w:tr w14:paraId="757D1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418" w:type="pct"/>
            <w:vMerge w:val="restart"/>
            <w:vAlign w:val="center"/>
          </w:tcPr>
          <w:p w14:paraId="03F5A67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1038" w:type="pct"/>
            <w:vMerge w:val="restart"/>
            <w:vAlign w:val="center"/>
          </w:tcPr>
          <w:p w14:paraId="59A6AE6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污染物项目</w:t>
            </w:r>
          </w:p>
        </w:tc>
        <w:tc>
          <w:tcPr>
            <w:tcW w:w="3543" w:type="pct"/>
            <w:gridSpan w:val="4"/>
            <w:vAlign w:val="center"/>
          </w:tcPr>
          <w:p w14:paraId="2EEFB82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筛选值</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mg/kg</w:t>
            </w:r>
            <w:r>
              <w:rPr>
                <w:rFonts w:hint="eastAsia" w:ascii="Times New Roman" w:hAnsi="Times New Roman" w:eastAsia="宋体" w:cs="宋体"/>
                <w:strike w:val="0"/>
                <w:dstrike w:val="0"/>
                <w:color w:val="auto"/>
                <w:spacing w:val="0"/>
                <w:sz w:val="21"/>
                <w:szCs w:val="21"/>
                <w:highlight w:val="none"/>
                <w:lang w:eastAsia="zh-CN"/>
              </w:rPr>
              <w:t>）</w:t>
            </w:r>
          </w:p>
        </w:tc>
      </w:tr>
      <w:tr w14:paraId="54A16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418" w:type="pct"/>
            <w:vMerge w:val="continue"/>
            <w:vAlign w:val="center"/>
          </w:tcPr>
          <w:p w14:paraId="76ED6EB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038" w:type="pct"/>
            <w:vMerge w:val="continue"/>
            <w:vAlign w:val="center"/>
          </w:tcPr>
          <w:p w14:paraId="48FB64C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30" w:type="pct"/>
            <w:vAlign w:val="center"/>
          </w:tcPr>
          <w:p w14:paraId="607C033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5.5</w:t>
            </w:r>
          </w:p>
        </w:tc>
        <w:tc>
          <w:tcPr>
            <w:tcW w:w="1093" w:type="pct"/>
            <w:vAlign w:val="center"/>
          </w:tcPr>
          <w:p w14:paraId="74E8F32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5.5</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6.5</w:t>
            </w:r>
          </w:p>
        </w:tc>
        <w:tc>
          <w:tcPr>
            <w:tcW w:w="1093" w:type="pct"/>
            <w:vAlign w:val="center"/>
          </w:tcPr>
          <w:p w14:paraId="36C439C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6.5</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7.5</w:t>
            </w:r>
          </w:p>
        </w:tc>
        <w:tc>
          <w:tcPr>
            <w:tcW w:w="725" w:type="pct"/>
            <w:vAlign w:val="center"/>
          </w:tcPr>
          <w:p w14:paraId="5B15AC1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7.5</w:t>
            </w:r>
          </w:p>
        </w:tc>
      </w:tr>
      <w:tr w14:paraId="49E33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2C7D037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1038" w:type="pct"/>
            <w:vAlign w:val="center"/>
          </w:tcPr>
          <w:p w14:paraId="4CD4183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镉</w:t>
            </w:r>
          </w:p>
        </w:tc>
        <w:tc>
          <w:tcPr>
            <w:tcW w:w="630" w:type="pct"/>
            <w:vAlign w:val="center"/>
          </w:tcPr>
          <w:p w14:paraId="73058D2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1093" w:type="pct"/>
            <w:vAlign w:val="center"/>
          </w:tcPr>
          <w:p w14:paraId="01A779A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1093" w:type="pct"/>
            <w:vAlign w:val="center"/>
          </w:tcPr>
          <w:p w14:paraId="54A1172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725" w:type="pct"/>
            <w:vAlign w:val="center"/>
          </w:tcPr>
          <w:p w14:paraId="293AD6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0.6</w:t>
            </w:r>
          </w:p>
        </w:tc>
      </w:tr>
      <w:tr w14:paraId="7FC7E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71053C2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1038" w:type="pct"/>
            <w:vAlign w:val="center"/>
          </w:tcPr>
          <w:p w14:paraId="1B401B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汞</w:t>
            </w:r>
          </w:p>
        </w:tc>
        <w:tc>
          <w:tcPr>
            <w:tcW w:w="630" w:type="pct"/>
            <w:vAlign w:val="center"/>
          </w:tcPr>
          <w:p w14:paraId="124DB1F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1.3</w:t>
            </w:r>
          </w:p>
        </w:tc>
        <w:tc>
          <w:tcPr>
            <w:tcW w:w="1093" w:type="pct"/>
            <w:vAlign w:val="center"/>
          </w:tcPr>
          <w:p w14:paraId="7E1735D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1.8</w:t>
            </w:r>
          </w:p>
        </w:tc>
        <w:tc>
          <w:tcPr>
            <w:tcW w:w="1093" w:type="pct"/>
            <w:vAlign w:val="center"/>
          </w:tcPr>
          <w:p w14:paraId="2AA2E18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2.4</w:t>
            </w:r>
          </w:p>
        </w:tc>
        <w:tc>
          <w:tcPr>
            <w:tcW w:w="725" w:type="pct"/>
            <w:vAlign w:val="center"/>
          </w:tcPr>
          <w:p w14:paraId="11BB8C0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3.4</w:t>
            </w:r>
          </w:p>
        </w:tc>
      </w:tr>
      <w:tr w14:paraId="56A11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7E8F6B4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w:t>
            </w:r>
          </w:p>
        </w:tc>
        <w:tc>
          <w:tcPr>
            <w:tcW w:w="1038" w:type="pct"/>
            <w:vAlign w:val="center"/>
          </w:tcPr>
          <w:p w14:paraId="2A726F5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砷</w:t>
            </w:r>
          </w:p>
        </w:tc>
        <w:tc>
          <w:tcPr>
            <w:tcW w:w="630" w:type="pct"/>
            <w:vAlign w:val="center"/>
          </w:tcPr>
          <w:p w14:paraId="7D0BD16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40</w:t>
            </w:r>
          </w:p>
        </w:tc>
        <w:tc>
          <w:tcPr>
            <w:tcW w:w="1093" w:type="pct"/>
            <w:vAlign w:val="center"/>
          </w:tcPr>
          <w:p w14:paraId="0A4CEF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40</w:t>
            </w:r>
          </w:p>
        </w:tc>
        <w:tc>
          <w:tcPr>
            <w:tcW w:w="1093" w:type="pct"/>
            <w:vAlign w:val="center"/>
          </w:tcPr>
          <w:p w14:paraId="5E262B8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30</w:t>
            </w:r>
          </w:p>
        </w:tc>
        <w:tc>
          <w:tcPr>
            <w:tcW w:w="725" w:type="pct"/>
            <w:vAlign w:val="center"/>
          </w:tcPr>
          <w:p w14:paraId="3FBA1A3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w:t>
            </w:r>
          </w:p>
        </w:tc>
      </w:tr>
      <w:tr w14:paraId="0BF9B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61F7AC2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w:t>
            </w:r>
          </w:p>
        </w:tc>
        <w:tc>
          <w:tcPr>
            <w:tcW w:w="1038" w:type="pct"/>
            <w:vAlign w:val="center"/>
          </w:tcPr>
          <w:p w14:paraId="32A0AA1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铅</w:t>
            </w:r>
          </w:p>
        </w:tc>
        <w:tc>
          <w:tcPr>
            <w:tcW w:w="630" w:type="pct"/>
            <w:vAlign w:val="center"/>
          </w:tcPr>
          <w:p w14:paraId="722DDE5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70</w:t>
            </w:r>
          </w:p>
        </w:tc>
        <w:tc>
          <w:tcPr>
            <w:tcW w:w="1093" w:type="pct"/>
            <w:vAlign w:val="center"/>
          </w:tcPr>
          <w:p w14:paraId="5BFB357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90</w:t>
            </w:r>
          </w:p>
        </w:tc>
        <w:tc>
          <w:tcPr>
            <w:tcW w:w="1093" w:type="pct"/>
            <w:vAlign w:val="center"/>
          </w:tcPr>
          <w:p w14:paraId="4252D21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120</w:t>
            </w:r>
          </w:p>
        </w:tc>
        <w:tc>
          <w:tcPr>
            <w:tcW w:w="725" w:type="pct"/>
            <w:vAlign w:val="center"/>
          </w:tcPr>
          <w:p w14:paraId="603839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170</w:t>
            </w:r>
          </w:p>
        </w:tc>
      </w:tr>
      <w:tr w14:paraId="40E95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6E75D4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w:t>
            </w:r>
          </w:p>
        </w:tc>
        <w:tc>
          <w:tcPr>
            <w:tcW w:w="1038" w:type="pct"/>
            <w:vAlign w:val="center"/>
          </w:tcPr>
          <w:p w14:paraId="0E77104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铬</w:t>
            </w:r>
          </w:p>
        </w:tc>
        <w:tc>
          <w:tcPr>
            <w:tcW w:w="630" w:type="pct"/>
            <w:vAlign w:val="center"/>
          </w:tcPr>
          <w:p w14:paraId="3890611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150</w:t>
            </w:r>
          </w:p>
        </w:tc>
        <w:tc>
          <w:tcPr>
            <w:tcW w:w="1093" w:type="pct"/>
            <w:vAlign w:val="center"/>
          </w:tcPr>
          <w:p w14:paraId="6AE4F00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150</w:t>
            </w:r>
          </w:p>
        </w:tc>
        <w:tc>
          <w:tcPr>
            <w:tcW w:w="1093" w:type="pct"/>
            <w:vAlign w:val="center"/>
          </w:tcPr>
          <w:p w14:paraId="33FCDC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725" w:type="pct"/>
            <w:vAlign w:val="center"/>
          </w:tcPr>
          <w:p w14:paraId="2212340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250</w:t>
            </w:r>
          </w:p>
        </w:tc>
      </w:tr>
      <w:tr w14:paraId="72D0E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43E2CE5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w:t>
            </w:r>
          </w:p>
        </w:tc>
        <w:tc>
          <w:tcPr>
            <w:tcW w:w="1038" w:type="pct"/>
            <w:vAlign w:val="center"/>
          </w:tcPr>
          <w:p w14:paraId="42CA70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铜</w:t>
            </w:r>
          </w:p>
        </w:tc>
        <w:tc>
          <w:tcPr>
            <w:tcW w:w="630" w:type="pct"/>
            <w:vAlign w:val="center"/>
          </w:tcPr>
          <w:p w14:paraId="2AE5A8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w:t>
            </w:r>
          </w:p>
        </w:tc>
        <w:tc>
          <w:tcPr>
            <w:tcW w:w="1093" w:type="pct"/>
            <w:vAlign w:val="center"/>
          </w:tcPr>
          <w:p w14:paraId="05BAC91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w:t>
            </w:r>
          </w:p>
        </w:tc>
        <w:tc>
          <w:tcPr>
            <w:tcW w:w="1093" w:type="pct"/>
            <w:vAlign w:val="center"/>
          </w:tcPr>
          <w:p w14:paraId="392A936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c>
          <w:tcPr>
            <w:tcW w:w="725" w:type="pct"/>
            <w:vAlign w:val="center"/>
          </w:tcPr>
          <w:p w14:paraId="6044C74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r>
      <w:tr w14:paraId="1C2FF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7827F8E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w:t>
            </w:r>
          </w:p>
        </w:tc>
        <w:tc>
          <w:tcPr>
            <w:tcW w:w="1038" w:type="pct"/>
            <w:vAlign w:val="center"/>
          </w:tcPr>
          <w:p w14:paraId="7C601D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镍</w:t>
            </w:r>
          </w:p>
        </w:tc>
        <w:tc>
          <w:tcPr>
            <w:tcW w:w="630" w:type="pct"/>
            <w:vAlign w:val="center"/>
          </w:tcPr>
          <w:p w14:paraId="78D786C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60</w:t>
            </w:r>
          </w:p>
        </w:tc>
        <w:tc>
          <w:tcPr>
            <w:tcW w:w="1093" w:type="pct"/>
            <w:vAlign w:val="center"/>
          </w:tcPr>
          <w:p w14:paraId="14CF101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70</w:t>
            </w:r>
          </w:p>
        </w:tc>
        <w:tc>
          <w:tcPr>
            <w:tcW w:w="1093" w:type="pct"/>
            <w:vAlign w:val="center"/>
          </w:tcPr>
          <w:p w14:paraId="6263CC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c>
          <w:tcPr>
            <w:tcW w:w="725" w:type="pct"/>
            <w:vAlign w:val="center"/>
          </w:tcPr>
          <w:p w14:paraId="3A2E819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190</w:t>
            </w:r>
          </w:p>
        </w:tc>
      </w:tr>
      <w:tr w14:paraId="3FC74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10AC13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8</w:t>
            </w:r>
          </w:p>
        </w:tc>
        <w:tc>
          <w:tcPr>
            <w:tcW w:w="1038" w:type="pct"/>
            <w:vAlign w:val="center"/>
          </w:tcPr>
          <w:p w14:paraId="2E5038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锌</w:t>
            </w:r>
          </w:p>
        </w:tc>
        <w:tc>
          <w:tcPr>
            <w:tcW w:w="630" w:type="pct"/>
            <w:vAlign w:val="center"/>
          </w:tcPr>
          <w:p w14:paraId="59D1F03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1093" w:type="pct"/>
            <w:vAlign w:val="center"/>
          </w:tcPr>
          <w:p w14:paraId="333FBD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1093" w:type="pct"/>
            <w:vAlign w:val="center"/>
          </w:tcPr>
          <w:p w14:paraId="79E41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250</w:t>
            </w:r>
          </w:p>
        </w:tc>
        <w:tc>
          <w:tcPr>
            <w:tcW w:w="725" w:type="pct"/>
            <w:vAlign w:val="center"/>
          </w:tcPr>
          <w:p w14:paraId="08977EA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300</w:t>
            </w:r>
          </w:p>
        </w:tc>
      </w:tr>
    </w:tbl>
    <w:p w14:paraId="21A2052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2.5.2.2污染物排放标准</w:t>
      </w:r>
    </w:p>
    <w:p w14:paraId="35115C9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（1）废气</w:t>
      </w:r>
    </w:p>
    <w:p w14:paraId="1138F6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①</w:t>
      </w:r>
      <w:r>
        <w:rPr>
          <w:rFonts w:hint="eastAsia" w:ascii="Times New Roman" w:hAnsi="Times New Roman" w:eastAsia="宋体"/>
          <w:strike w:val="0"/>
          <w:dstrike w:val="0"/>
          <w:color w:val="auto"/>
          <w:highlight w:val="none"/>
        </w:rPr>
        <w:t>施工期</w:t>
      </w:r>
    </w:p>
    <w:p w14:paraId="4E3A62A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项目施工期施工场地扬尘排放执行《大气污染物综合排放标准》（GB16297-1996）表2中无组织排放监控浓度限值（周界外浓度最高点≤1.0mg/m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18D3BE3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②</w:t>
      </w:r>
      <w:r>
        <w:rPr>
          <w:rFonts w:hint="eastAsia" w:ascii="Times New Roman" w:hAnsi="Times New Roman" w:eastAsia="宋体"/>
          <w:strike w:val="0"/>
          <w:dstrike w:val="0"/>
          <w:color w:val="auto"/>
          <w:highlight w:val="none"/>
        </w:rPr>
        <w:t>运营期</w:t>
      </w:r>
    </w:p>
    <w:p w14:paraId="317C374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养殖场</w:t>
      </w:r>
      <w:r>
        <w:rPr>
          <w:rFonts w:hint="eastAsia" w:ascii="Times New Roman" w:hAnsi="Times New Roman" w:eastAsia="宋体"/>
          <w:strike w:val="0"/>
          <w:dstrike w:val="0"/>
          <w:color w:val="auto"/>
          <w:highlight w:val="none"/>
        </w:rPr>
        <w:t>界恶臭污染物排放标准执行《恶臭污染物排放标准》（GB14554-1993）表1恶臭污染物厂界标准二级标准；臭气浓度无组织排放执行《畜禽养殖业污染物排放标准》（GB18596-2001）中集约化畜禽养殖业恶臭污染物排放标准；</w:t>
      </w:r>
    </w:p>
    <w:p w14:paraId="05D98B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大气污染物排放限值见表2.5-</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p>
    <w:p w14:paraId="68A08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表2.5-6大气污染物排放限值</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8"/>
        <w:gridCol w:w="3724"/>
        <w:gridCol w:w="2674"/>
      </w:tblGrid>
      <w:tr w14:paraId="1D8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Merge w:val="restart"/>
            <w:vAlign w:val="center"/>
          </w:tcPr>
          <w:p w14:paraId="25237BB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污染物种类</w:t>
            </w:r>
          </w:p>
        </w:tc>
        <w:tc>
          <w:tcPr>
            <w:tcW w:w="3855" w:type="pct"/>
            <w:gridSpan w:val="2"/>
            <w:vAlign w:val="center"/>
          </w:tcPr>
          <w:p w14:paraId="0CC30F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国家或地方污染物排放标准</w:t>
            </w:r>
          </w:p>
        </w:tc>
      </w:tr>
      <w:tr w14:paraId="0C9F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vMerge w:val="continue"/>
            <w:vAlign w:val="center"/>
          </w:tcPr>
          <w:p w14:paraId="1C3F074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44" w:type="pct"/>
            <w:vAlign w:val="center"/>
          </w:tcPr>
          <w:p w14:paraId="71EC82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名称</w:t>
            </w:r>
          </w:p>
        </w:tc>
        <w:tc>
          <w:tcPr>
            <w:tcW w:w="1610" w:type="pct"/>
            <w:vAlign w:val="center"/>
          </w:tcPr>
          <w:p w14:paraId="19ACF8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浓度限值（mg/m</w:t>
            </w:r>
            <w:r>
              <w:rPr>
                <w:rFonts w:hint="eastAsia" w:ascii="Times New Roman" w:hAnsi="Times New Roman" w:eastAsia="宋体"/>
                <w:strike w:val="0"/>
                <w:dstrike w:val="0"/>
                <w:color w:val="auto"/>
                <w:sz w:val="21"/>
                <w:szCs w:val="21"/>
                <w:highlight w:val="none"/>
                <w:vertAlign w:val="superscript"/>
              </w:rPr>
              <w:t>3</w:t>
            </w:r>
            <w:r>
              <w:rPr>
                <w:rFonts w:hint="eastAsia" w:ascii="Times New Roman" w:hAnsi="Times New Roman" w:eastAsia="宋体"/>
                <w:strike w:val="0"/>
                <w:dstrike w:val="0"/>
                <w:color w:val="auto"/>
                <w:sz w:val="21"/>
                <w:szCs w:val="21"/>
                <w:highlight w:val="none"/>
              </w:rPr>
              <w:t>）</w:t>
            </w:r>
          </w:p>
        </w:tc>
      </w:tr>
      <w:tr w14:paraId="5253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4B68484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臭气浓度</w:t>
            </w:r>
          </w:p>
        </w:tc>
        <w:tc>
          <w:tcPr>
            <w:tcW w:w="2244" w:type="pct"/>
            <w:vAlign w:val="center"/>
          </w:tcPr>
          <w:p w14:paraId="450E3F9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《畜禽养殖业污染物排放标准》（GB18596-2001）表7中的标准</w:t>
            </w:r>
          </w:p>
        </w:tc>
        <w:tc>
          <w:tcPr>
            <w:tcW w:w="1610" w:type="pct"/>
            <w:vAlign w:val="center"/>
          </w:tcPr>
          <w:p w14:paraId="4BE6D11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70（无量纲）</w:t>
            </w:r>
          </w:p>
        </w:tc>
      </w:tr>
      <w:tr w14:paraId="3C15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79D820DE">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H</w:t>
            </w:r>
            <w:r>
              <w:rPr>
                <w:rFonts w:ascii="Times New Roman" w:hAnsi="Times New Roman" w:eastAsia="宋体"/>
                <w:strike w:val="0"/>
                <w:dstrike w:val="0"/>
                <w:color w:val="auto"/>
                <w:sz w:val="21"/>
                <w:szCs w:val="21"/>
                <w:highlight w:val="none"/>
                <w:vertAlign w:val="subscript"/>
              </w:rPr>
              <w:t>2</w:t>
            </w:r>
            <w:r>
              <w:rPr>
                <w:rFonts w:ascii="Times New Roman" w:hAnsi="Times New Roman" w:eastAsia="宋体"/>
                <w:strike w:val="0"/>
                <w:dstrike w:val="0"/>
                <w:color w:val="auto"/>
                <w:sz w:val="21"/>
                <w:szCs w:val="21"/>
                <w:highlight w:val="none"/>
              </w:rPr>
              <w:t>S</w:t>
            </w:r>
            <w:r>
              <w:rPr>
                <w:rFonts w:hint="eastAsia" w:ascii="Times New Roman" w:hAnsi="Times New Roman" w:eastAsia="宋体"/>
                <w:strike w:val="0"/>
                <w:dstrike w:val="0"/>
                <w:color w:val="auto"/>
                <w:sz w:val="21"/>
                <w:szCs w:val="21"/>
                <w:highlight w:val="none"/>
              </w:rPr>
              <w:t>（厂界）</w:t>
            </w:r>
          </w:p>
        </w:tc>
        <w:tc>
          <w:tcPr>
            <w:tcW w:w="2244" w:type="pct"/>
            <w:vMerge w:val="restart"/>
            <w:vAlign w:val="center"/>
          </w:tcPr>
          <w:p w14:paraId="20FBA4CD">
            <w:pPr>
              <w:spacing w:line="240" w:lineRule="auto"/>
              <w:ind w:firstLine="42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《恶臭污染物排放标准》（GB14554-1993）表1中二级新改扩建标准</w:t>
            </w:r>
          </w:p>
        </w:tc>
        <w:tc>
          <w:tcPr>
            <w:tcW w:w="1610" w:type="pct"/>
            <w:vAlign w:val="center"/>
          </w:tcPr>
          <w:p w14:paraId="49DD2D7F">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0.06</w:t>
            </w:r>
          </w:p>
        </w:tc>
      </w:tr>
      <w:tr w14:paraId="6F66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21BAB7AF">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NH</w:t>
            </w:r>
            <w:r>
              <w:rPr>
                <w:rFonts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（厂界）</w:t>
            </w:r>
          </w:p>
        </w:tc>
        <w:tc>
          <w:tcPr>
            <w:tcW w:w="2244" w:type="pct"/>
            <w:vMerge w:val="continue"/>
            <w:vAlign w:val="center"/>
          </w:tcPr>
          <w:p w14:paraId="67E979E7">
            <w:pPr>
              <w:spacing w:line="240" w:lineRule="auto"/>
              <w:ind w:firstLine="420"/>
              <w:jc w:val="center"/>
              <w:rPr>
                <w:rFonts w:ascii="Times New Roman" w:hAnsi="Times New Roman" w:eastAsia="宋体"/>
                <w:strike w:val="0"/>
                <w:dstrike w:val="0"/>
                <w:color w:val="auto"/>
                <w:sz w:val="21"/>
                <w:szCs w:val="21"/>
                <w:highlight w:val="none"/>
              </w:rPr>
            </w:pPr>
          </w:p>
        </w:tc>
        <w:tc>
          <w:tcPr>
            <w:tcW w:w="1610" w:type="pct"/>
            <w:vAlign w:val="center"/>
          </w:tcPr>
          <w:p w14:paraId="520ED85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1.5</w:t>
            </w:r>
          </w:p>
        </w:tc>
      </w:tr>
    </w:tbl>
    <w:p w14:paraId="2AFC8CD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（2）废水污染物排放标准</w:t>
      </w:r>
    </w:p>
    <w:p w14:paraId="655C80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w:t>
      </w:r>
    </w:p>
    <w:p w14:paraId="1EC8C3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（3）噪声排放标准</w:t>
      </w:r>
    </w:p>
    <w:p w14:paraId="387791F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本项目运营期厂界噪声排放执行《工业企业厂界环境噪声排放标准》（GB12348-2008）</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类标准；建设期施工噪声排放执行《建筑施工厂界环境噪声排放标准》（GB12523-20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标准限值见表2.5-</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093D47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表2.5-7噪声排放标准单位：dB（A）</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1341"/>
        <w:gridCol w:w="3366"/>
        <w:gridCol w:w="1198"/>
        <w:gridCol w:w="1199"/>
      </w:tblGrid>
      <w:tr w14:paraId="7460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8" w:type="pct"/>
            <w:vMerge w:val="restart"/>
            <w:vAlign w:val="center"/>
          </w:tcPr>
          <w:p w14:paraId="22327D3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排放口/源名称</w:t>
            </w:r>
          </w:p>
        </w:tc>
        <w:tc>
          <w:tcPr>
            <w:tcW w:w="808" w:type="pct"/>
            <w:vMerge w:val="restart"/>
            <w:vAlign w:val="center"/>
          </w:tcPr>
          <w:p w14:paraId="5ABA01B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污染物种类</w:t>
            </w:r>
          </w:p>
        </w:tc>
        <w:tc>
          <w:tcPr>
            <w:tcW w:w="3472" w:type="pct"/>
            <w:gridSpan w:val="3"/>
            <w:vAlign w:val="center"/>
          </w:tcPr>
          <w:p w14:paraId="663277E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国家或地方污染物排放标准</w:t>
            </w:r>
          </w:p>
        </w:tc>
      </w:tr>
      <w:tr w14:paraId="4A74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8" w:type="pct"/>
            <w:vMerge w:val="continue"/>
            <w:vAlign w:val="center"/>
          </w:tcPr>
          <w:p w14:paraId="46663E8C">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Merge w:val="continue"/>
            <w:vAlign w:val="center"/>
          </w:tcPr>
          <w:p w14:paraId="28EB83B3">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028" w:type="pct"/>
            <w:vMerge w:val="restart"/>
            <w:vAlign w:val="center"/>
          </w:tcPr>
          <w:p w14:paraId="1E939D2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名称</w:t>
            </w:r>
          </w:p>
        </w:tc>
        <w:tc>
          <w:tcPr>
            <w:tcW w:w="1444" w:type="pct"/>
            <w:gridSpan w:val="2"/>
            <w:vAlign w:val="center"/>
          </w:tcPr>
          <w:p w14:paraId="4572A2D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标准限值</w:t>
            </w:r>
          </w:p>
        </w:tc>
      </w:tr>
      <w:tr w14:paraId="2069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8" w:type="pct"/>
            <w:vMerge w:val="continue"/>
            <w:vAlign w:val="center"/>
          </w:tcPr>
          <w:p w14:paraId="7E5D4A20">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Merge w:val="continue"/>
            <w:vAlign w:val="center"/>
          </w:tcPr>
          <w:p w14:paraId="44BD7118">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028" w:type="pct"/>
            <w:vMerge w:val="continue"/>
            <w:vAlign w:val="center"/>
          </w:tcPr>
          <w:p w14:paraId="366BD6C2">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722" w:type="pct"/>
            <w:vAlign w:val="center"/>
          </w:tcPr>
          <w:p w14:paraId="7DE28AD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昼间</w:t>
            </w:r>
          </w:p>
        </w:tc>
        <w:tc>
          <w:tcPr>
            <w:tcW w:w="722" w:type="pct"/>
            <w:vAlign w:val="center"/>
          </w:tcPr>
          <w:p w14:paraId="581E7AA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夜间</w:t>
            </w:r>
          </w:p>
        </w:tc>
      </w:tr>
      <w:tr w14:paraId="7184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18" w:type="pct"/>
            <w:vMerge w:val="restart"/>
            <w:tcBorders>
              <w:bottom w:val="single" w:color="auto" w:sz="4" w:space="0"/>
            </w:tcBorders>
            <w:vAlign w:val="center"/>
          </w:tcPr>
          <w:p w14:paraId="4356B8C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厂界噪声</w:t>
            </w:r>
          </w:p>
        </w:tc>
        <w:tc>
          <w:tcPr>
            <w:tcW w:w="808" w:type="pct"/>
            <w:vAlign w:val="center"/>
          </w:tcPr>
          <w:p w14:paraId="4327FE9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2028" w:type="pct"/>
            <w:tcBorders>
              <w:bottom w:val="single" w:color="auto" w:sz="4" w:space="0"/>
            </w:tcBorders>
            <w:vAlign w:val="center"/>
          </w:tcPr>
          <w:p w14:paraId="2D528F3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《建筑施工场界环境噪声排放标准》（GB12523-20</w:t>
            </w:r>
            <w:r>
              <w:rPr>
                <w:rFonts w:hint="eastAsia" w:ascii="Times New Roman" w:hAnsi="Times New Roman" w:eastAsia="宋体"/>
                <w:strike w:val="0"/>
                <w:dstrike w:val="0"/>
                <w:color w:val="auto"/>
                <w:sz w:val="21"/>
                <w:szCs w:val="21"/>
                <w:highlight w:val="none"/>
                <w:lang w:val="en-US" w:eastAsia="zh-CN"/>
              </w:rPr>
              <w:t>25</w:t>
            </w:r>
            <w:r>
              <w:rPr>
                <w:rFonts w:hint="eastAsia" w:ascii="Times New Roman" w:hAnsi="Times New Roman" w:eastAsia="宋体"/>
                <w:strike w:val="0"/>
                <w:dstrike w:val="0"/>
                <w:color w:val="auto"/>
                <w:sz w:val="21"/>
                <w:szCs w:val="21"/>
                <w:highlight w:val="none"/>
              </w:rPr>
              <w:t>）</w:t>
            </w:r>
          </w:p>
        </w:tc>
        <w:tc>
          <w:tcPr>
            <w:tcW w:w="722" w:type="pct"/>
            <w:tcBorders>
              <w:bottom w:val="single" w:color="auto" w:sz="4" w:space="0"/>
            </w:tcBorders>
            <w:vAlign w:val="center"/>
          </w:tcPr>
          <w:p w14:paraId="369A68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722" w:type="pct"/>
            <w:tcBorders>
              <w:bottom w:val="single" w:color="auto" w:sz="4" w:space="0"/>
            </w:tcBorders>
            <w:vAlign w:val="center"/>
          </w:tcPr>
          <w:p w14:paraId="71553E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55</w:t>
            </w:r>
          </w:p>
        </w:tc>
      </w:tr>
      <w:tr w14:paraId="1DAB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pct"/>
            <w:vMerge w:val="continue"/>
            <w:vAlign w:val="center"/>
          </w:tcPr>
          <w:p w14:paraId="4DF73BFA">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Align w:val="center"/>
          </w:tcPr>
          <w:p w14:paraId="31CE4A2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2028" w:type="pct"/>
            <w:vAlign w:val="center"/>
          </w:tcPr>
          <w:p w14:paraId="2E5C9DF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《工业企业厂界环境噪声排放标准》（GB12348-2008）中</w:t>
            </w:r>
            <w:r>
              <w:rPr>
                <w:rFonts w:hint="eastAsia" w:ascii="Times New Roman" w:hAnsi="Times New Roman" w:eastAsia="宋体"/>
                <w:strike w:val="0"/>
                <w:dstrike w:val="0"/>
                <w:color w:val="auto"/>
                <w:sz w:val="21"/>
                <w:szCs w:val="21"/>
                <w:highlight w:val="none"/>
                <w:lang w:val="en-US" w:eastAsia="zh-CN"/>
              </w:rPr>
              <w:t>2</w:t>
            </w:r>
            <w:r>
              <w:rPr>
                <w:rFonts w:hint="eastAsia" w:ascii="Times New Roman" w:hAnsi="Times New Roman" w:eastAsia="宋体"/>
                <w:strike w:val="0"/>
                <w:dstrike w:val="0"/>
                <w:color w:val="auto"/>
                <w:sz w:val="21"/>
                <w:szCs w:val="21"/>
                <w:highlight w:val="none"/>
              </w:rPr>
              <w:t>类标准</w:t>
            </w:r>
          </w:p>
        </w:tc>
        <w:tc>
          <w:tcPr>
            <w:tcW w:w="722" w:type="pct"/>
            <w:vAlign w:val="center"/>
          </w:tcPr>
          <w:p w14:paraId="5963ABA0">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60</w:t>
            </w:r>
          </w:p>
        </w:tc>
        <w:tc>
          <w:tcPr>
            <w:tcW w:w="722" w:type="pct"/>
            <w:vAlign w:val="center"/>
          </w:tcPr>
          <w:p w14:paraId="3EA3FFA1">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50</w:t>
            </w:r>
          </w:p>
        </w:tc>
      </w:tr>
    </w:tbl>
    <w:p w14:paraId="2EC3D9E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（4）固体废物</w:t>
      </w:r>
    </w:p>
    <w:p w14:paraId="3AEF5B4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一般工业固体废物执行《一般工业固体废物贮存和填埋污染控制标准》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GB18599-2020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中有关规定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医疗</w:t>
      </w:r>
      <w:r>
        <w:rPr>
          <w:rFonts w:ascii="Times New Roman" w:hAnsi="Times New Roman" w:eastAsia="宋体"/>
          <w:strike w:val="0"/>
          <w:dstrike w:val="0"/>
          <w:color w:val="auto"/>
          <w:highlight w:val="none"/>
        </w:rPr>
        <w:t>废物执行《</w:t>
      </w:r>
      <w:r>
        <w:rPr>
          <w:rFonts w:hint="eastAsia" w:ascii="Times New Roman" w:hAnsi="Times New Roman" w:eastAsia="宋体"/>
          <w:strike w:val="0"/>
          <w:dstrike w:val="0"/>
          <w:color w:val="auto"/>
          <w:highlight w:val="none"/>
        </w:rPr>
        <w:t>医疗废物处理处置污染控制标准</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（GB 39707—2020）</w:t>
      </w:r>
      <w:r>
        <w:rPr>
          <w:rFonts w:ascii="Times New Roman" w:hAnsi="Times New Roman" w:eastAsia="宋体"/>
          <w:strike w:val="0"/>
          <w:dstrike w:val="0"/>
          <w:color w:val="auto"/>
          <w:highlight w:val="none"/>
        </w:rPr>
        <w:t>中要求</w:t>
      </w:r>
      <w:r>
        <w:rPr>
          <w:rFonts w:hint="eastAsia" w:ascii="Times New Roman" w:hAnsi="Times New Roman" w:eastAsia="宋体"/>
          <w:strike w:val="0"/>
          <w:dstrike w:val="0"/>
          <w:color w:val="auto"/>
          <w:highlight w:val="none"/>
          <w:lang w:eastAsia="zh-CN"/>
        </w:rPr>
        <w:t>。</w:t>
      </w:r>
    </w:p>
    <w:p w14:paraId="1AA22DE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病死</w:t>
      </w:r>
      <w:r>
        <w:rPr>
          <w:rFonts w:hint="eastAsia" w:ascii="Times New Roman" w:hAnsi="Times New Roman" w:eastAsia="宋体"/>
          <w:strike w:val="0"/>
          <w:dstrike w:val="0"/>
          <w:color w:val="auto"/>
          <w:highlight w:val="none"/>
          <w:lang w:eastAsia="zh-CN"/>
        </w:rPr>
        <w:t>骆驼、分娩废弃物（胎衣、死胎、胎盘附属物）</w:t>
      </w:r>
      <w:r>
        <w:rPr>
          <w:rFonts w:ascii="Times New Roman" w:hAnsi="Times New Roman" w:eastAsia="宋体"/>
          <w:strike w:val="0"/>
          <w:dstrike w:val="0"/>
          <w:color w:val="auto"/>
          <w:highlight w:val="none"/>
        </w:rPr>
        <w:t>参照执行《畜禽养殖业污染防治技术规范》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和《病死及病害动物无害化处理技术规范》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农医发〔2017〕25号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中相关规定</w:t>
      </w:r>
      <w:r>
        <w:rPr>
          <w:rFonts w:hint="eastAsia" w:ascii="Times New Roman" w:hAnsi="Times New Roman" w:eastAsia="宋体"/>
          <w:strike w:val="0"/>
          <w:dstrike w:val="0"/>
          <w:color w:val="auto"/>
          <w:highlight w:val="none"/>
          <w:lang w:eastAsia="zh-CN"/>
        </w:rPr>
        <w:t>。</w:t>
      </w:r>
    </w:p>
    <w:p w14:paraId="2C7B369A">
      <w:pPr>
        <w:pStyle w:val="3"/>
        <w:rPr>
          <w:rFonts w:ascii="Times New Roman" w:hAnsi="Times New Roman" w:eastAsia="宋体"/>
          <w:strike w:val="0"/>
          <w:dstrike w:val="0"/>
          <w:color w:val="auto"/>
          <w:highlight w:val="none"/>
        </w:rPr>
      </w:pPr>
      <w:bookmarkStart w:id="71" w:name="_Toc9231"/>
      <w:bookmarkStart w:id="72" w:name="_Toc89619329"/>
      <w:r>
        <w:rPr>
          <w:rFonts w:hint="eastAsia" w:ascii="Times New Roman" w:hAnsi="Times New Roman" w:eastAsia="宋体"/>
          <w:strike w:val="0"/>
          <w:dstrike w:val="0"/>
          <w:color w:val="auto"/>
          <w:highlight w:val="none"/>
        </w:rPr>
        <w:t>2.6评价等级及评价范围</w:t>
      </w:r>
      <w:bookmarkEnd w:id="71"/>
      <w:bookmarkEnd w:id="72"/>
    </w:p>
    <w:p w14:paraId="32544E73">
      <w:pPr>
        <w:pStyle w:val="4"/>
        <w:rPr>
          <w:rFonts w:ascii="Times New Roman" w:hAnsi="Times New Roman" w:eastAsia="宋体"/>
          <w:strike w:val="0"/>
          <w:dstrike w:val="0"/>
          <w:color w:val="auto"/>
          <w:highlight w:val="none"/>
        </w:rPr>
      </w:pPr>
      <w:bookmarkStart w:id="73" w:name="_Toc576"/>
      <w:bookmarkStart w:id="74" w:name="_Toc106663442"/>
      <w:r>
        <w:rPr>
          <w:rFonts w:hint="eastAsia" w:ascii="Times New Roman" w:hAnsi="Times New Roman" w:eastAsia="宋体"/>
          <w:strike w:val="0"/>
          <w:dstrike w:val="0"/>
          <w:color w:val="auto"/>
          <w:highlight w:val="none"/>
        </w:rPr>
        <w:t>2.6.1评价等级</w:t>
      </w:r>
      <w:bookmarkEnd w:id="73"/>
      <w:bookmarkEnd w:id="74"/>
    </w:p>
    <w:p w14:paraId="441C72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2.6.1.1大气环境影响评价等级</w:t>
      </w:r>
    </w:p>
    <w:p w14:paraId="38F01DF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（1）判定依据</w:t>
      </w:r>
    </w:p>
    <w:p w14:paraId="01BFB0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根据《环境影响评价技术导则大气环境》（HJ2.2-2018）中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5.3评价</w:t>
      </w:r>
      <w:r>
        <w:rPr>
          <w:rFonts w:hint="eastAsia" w:ascii="Times New Roman" w:hAnsi="Times New Roman" w:eastAsia="宋体"/>
          <w:strike w:val="0"/>
          <w:dstrike w:val="0"/>
          <w:color w:val="auto"/>
          <w:highlight w:val="none"/>
          <w:lang w:val="en-US" w:eastAsia="zh-CN"/>
        </w:rPr>
        <w:t>等级判定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的规定，选择项目污染源正常排放的主要污染物及排放参数，采用附录A推荐模型中估算模型分别计算项目污染源的最大环境影响，然后按评价工作分级判据进行分级</w:t>
      </w:r>
      <w:r>
        <w:rPr>
          <w:rFonts w:hint="eastAsia" w:ascii="Times New Roman" w:hAnsi="Times New Roman" w:eastAsia="宋体"/>
          <w:strike w:val="0"/>
          <w:dstrike w:val="0"/>
          <w:color w:val="auto"/>
          <w:highlight w:val="none"/>
          <w:lang w:eastAsia="zh-CN"/>
        </w:rPr>
        <w:t>。</w:t>
      </w:r>
    </w:p>
    <w:p w14:paraId="0EA925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根据项目污染源初步调查结果，计算项目排放主要污染物的最大地面空气质量浓度占标率P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lang w:eastAsia="zh-CN"/>
        </w:rPr>
        <w:t>。</w:t>
      </w:r>
    </w:p>
    <w:p w14:paraId="1AD6E19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27"/>
          <w:highlight w:val="none"/>
        </w:rPr>
        <w:object>
          <v:shape id="_x0000_i1025" o:spt="75" type="#_x0000_t75" style="height:34.1pt;width:88.25pt;" o:ole="t" filled="f" o:preferrelative="t" stroked="f" coordsize="21600,21600">
            <v:path/>
            <v:fill on="f" focussize="0,0"/>
            <v:stroke on="f" joinstyle="miter"/>
            <v:imagedata r:id="rId29" o:title=""/>
            <o:lock v:ext="edit" aspectratio="t"/>
            <w10:wrap type="none"/>
            <w10:anchorlock/>
          </v:shape>
          <o:OLEObject Type="Embed" ProgID="Equation.AxMath" ShapeID="_x0000_i1025" DrawAspect="Content" ObjectID="_1468075725" r:id="rId28">
            <o:LockedField>false</o:LockedField>
          </o:OLEObject>
        </w:object>
      </w:r>
    </w:p>
    <w:p w14:paraId="78DC825C">
      <w:pPr>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——第i个污染物的最大地面空气质量浓度占标率，%；</w:t>
      </w:r>
    </w:p>
    <w:p w14:paraId="714FEE07">
      <w:pPr>
        <w:ind w:firstLine="708" w:firstLineChars="295"/>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——采用估算模型计算出的第i个污染物的最大1h地面空气质量浓度，</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1D64B231">
      <w:pPr>
        <w:ind w:firstLine="708" w:firstLineChars="295"/>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——第i个污染物的环境空气质量浓度标准，μg/m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般选用GB3095中1h平均质量浓度的二级浓度限值，如项目位于一类环境空气功能区，应选择相应的一级浓度限值；对该标准中未包含的污染物，使用《环境影响评价技术导则大气环境》（HJ2.2-2018）中5.2确定的各评价因子1h平均质量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对仅有8h平均质量浓度限值、日平均质量浓度限值或年平均质量浓度限值的，可分别按2倍、3倍、6倍折算为1h平均质量浓度限值</w:t>
      </w:r>
      <w:r>
        <w:rPr>
          <w:rFonts w:hint="eastAsia" w:ascii="Times New Roman" w:hAnsi="Times New Roman" w:eastAsia="宋体"/>
          <w:strike w:val="0"/>
          <w:dstrike w:val="0"/>
          <w:color w:val="auto"/>
          <w:highlight w:val="none"/>
          <w:lang w:eastAsia="zh-CN"/>
        </w:rPr>
        <w:t>。</w:t>
      </w:r>
    </w:p>
    <w:p w14:paraId="422BF1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评价等级按表2.6-1的分级判据进行划分，如污染物数i大于1，取P值中最大者P</w:t>
      </w:r>
      <w:r>
        <w:rPr>
          <w:rFonts w:hint="eastAsia" w:ascii="Times New Roman" w:hAnsi="Times New Roman" w:eastAsia="宋体"/>
          <w:strike w:val="0"/>
          <w:dstrike w:val="0"/>
          <w:color w:val="auto"/>
          <w:highlight w:val="none"/>
          <w:vertAlign w:val="subscript"/>
        </w:rPr>
        <w:t>max</w:t>
      </w:r>
      <w:r>
        <w:rPr>
          <w:rFonts w:hint="eastAsia" w:ascii="Times New Roman" w:hAnsi="Times New Roman" w:eastAsia="宋体"/>
          <w:strike w:val="0"/>
          <w:dstrike w:val="0"/>
          <w:color w:val="auto"/>
          <w:highlight w:val="none"/>
          <w:lang w:eastAsia="zh-CN"/>
        </w:rPr>
        <w:t>。</w:t>
      </w:r>
    </w:p>
    <w:p w14:paraId="731B2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表2.6-1评价等级判别表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7"/>
        <w:gridCol w:w="5159"/>
      </w:tblGrid>
      <w:tr w14:paraId="5E82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4C10D0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评价工作等级</w:t>
            </w:r>
          </w:p>
        </w:tc>
        <w:tc>
          <w:tcPr>
            <w:tcW w:w="5295" w:type="dxa"/>
            <w:vAlign w:val="center"/>
          </w:tcPr>
          <w:p w14:paraId="0A8FFD3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评价工作分级判据</w:t>
            </w:r>
          </w:p>
        </w:tc>
      </w:tr>
      <w:tr w14:paraId="0A56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5751D79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一级评价</w:t>
            </w:r>
          </w:p>
        </w:tc>
        <w:tc>
          <w:tcPr>
            <w:tcW w:w="5295" w:type="dxa"/>
            <w:vAlign w:val="center"/>
          </w:tcPr>
          <w:p w14:paraId="522F783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≥10%</w:t>
            </w:r>
          </w:p>
        </w:tc>
      </w:tr>
      <w:tr w14:paraId="3E96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5ADD8F3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二级评价</w:t>
            </w:r>
          </w:p>
        </w:tc>
        <w:tc>
          <w:tcPr>
            <w:tcW w:w="5295" w:type="dxa"/>
            <w:vAlign w:val="center"/>
          </w:tcPr>
          <w:p w14:paraId="6773C26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&lt;10%</w:t>
            </w:r>
          </w:p>
        </w:tc>
      </w:tr>
      <w:tr w14:paraId="490E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1D0F239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三级评价</w:t>
            </w:r>
          </w:p>
        </w:tc>
        <w:tc>
          <w:tcPr>
            <w:tcW w:w="5295" w:type="dxa"/>
            <w:vAlign w:val="center"/>
          </w:tcPr>
          <w:p w14:paraId="17D8488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﹤1%</w:t>
            </w:r>
          </w:p>
        </w:tc>
      </w:tr>
    </w:tbl>
    <w:p w14:paraId="3615249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评价等级的确定还应符合以下规定：</w:t>
      </w:r>
    </w:p>
    <w:p w14:paraId="279CF65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同一项目有多个污染源（两个及以上）时，则按各污染源分别确定评价等级，并取评价等级最高者作为项目的评价等级</w:t>
      </w:r>
      <w:r>
        <w:rPr>
          <w:rFonts w:hint="eastAsia" w:ascii="Times New Roman" w:hAnsi="Times New Roman" w:eastAsia="宋体"/>
          <w:strike w:val="0"/>
          <w:dstrike w:val="0"/>
          <w:color w:val="auto"/>
          <w:highlight w:val="none"/>
          <w:lang w:eastAsia="zh-CN"/>
        </w:rPr>
        <w:t>。</w:t>
      </w:r>
    </w:p>
    <w:p w14:paraId="33E470F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（2）判别估算过程</w:t>
      </w:r>
    </w:p>
    <w:p w14:paraId="24137CE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本次评价预测采用《环境影响评价技术导则大气环境》（HJ2.2-2018）推荐的ARESCREEN估算模式，估算污染物的最大落地浓度和距离，估算模型参数见表2.6-2</w:t>
      </w:r>
      <w:r>
        <w:rPr>
          <w:rFonts w:hint="eastAsia" w:ascii="Times New Roman" w:hAnsi="Times New Roman" w:eastAsia="宋体"/>
          <w:strike w:val="0"/>
          <w:dstrike w:val="0"/>
          <w:color w:val="auto"/>
          <w:highlight w:val="none"/>
          <w:lang w:eastAsia="zh-CN"/>
        </w:rPr>
        <w:t>。</w:t>
      </w:r>
    </w:p>
    <w:p w14:paraId="7D7D1D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表2.6-2估算模型参数表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76"/>
        <w:gridCol w:w="3346"/>
        <w:gridCol w:w="2278"/>
      </w:tblGrid>
      <w:tr w14:paraId="07B32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4C9AD19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参数</w:t>
            </w:r>
          </w:p>
        </w:tc>
        <w:tc>
          <w:tcPr>
            <w:tcW w:w="1372" w:type="pct"/>
            <w:vAlign w:val="center"/>
          </w:tcPr>
          <w:p w14:paraId="24437BE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取值</w:t>
            </w:r>
          </w:p>
        </w:tc>
      </w:tr>
      <w:tr w14:paraId="6F6E0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6777D2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农村选项</w:t>
            </w:r>
          </w:p>
        </w:tc>
        <w:tc>
          <w:tcPr>
            <w:tcW w:w="2015" w:type="pct"/>
            <w:vAlign w:val="center"/>
          </w:tcPr>
          <w:p w14:paraId="1689F45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w:t>
            </w:r>
          </w:p>
        </w:tc>
        <w:tc>
          <w:tcPr>
            <w:tcW w:w="1372" w:type="pct"/>
            <w:vAlign w:val="center"/>
          </w:tcPr>
          <w:p w14:paraId="5126B01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农村</w:t>
            </w:r>
          </w:p>
        </w:tc>
      </w:tr>
      <w:tr w14:paraId="2D89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4138FB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48D7694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人口数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城市选项时</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372" w:type="pct"/>
            <w:vAlign w:val="center"/>
          </w:tcPr>
          <w:p w14:paraId="1CC468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B569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A3825C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最高环境温度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5034D8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36.5</w:t>
            </w:r>
          </w:p>
        </w:tc>
      </w:tr>
      <w:tr w14:paraId="6C495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B475AE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最低环境温度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21D1D49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val="en-US" w:eastAsia="zh-CN"/>
              </w:rPr>
              <w:t>31</w:t>
            </w:r>
          </w:p>
        </w:tc>
      </w:tr>
      <w:tr w14:paraId="2A9A7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488F4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1372" w:type="pct"/>
            <w:vAlign w:val="center"/>
          </w:tcPr>
          <w:p w14:paraId="1C058F4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农作地</w:t>
            </w:r>
          </w:p>
        </w:tc>
      </w:tr>
      <w:tr w14:paraId="2DBE3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1D581B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区域湿度条件</w:t>
            </w:r>
          </w:p>
        </w:tc>
        <w:tc>
          <w:tcPr>
            <w:tcW w:w="1372" w:type="pct"/>
            <w:vAlign w:val="center"/>
          </w:tcPr>
          <w:p w14:paraId="6507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干燥</w:t>
            </w:r>
          </w:p>
        </w:tc>
      </w:tr>
      <w:tr w14:paraId="77141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334EBE3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是否考虑地形</w:t>
            </w:r>
          </w:p>
        </w:tc>
        <w:tc>
          <w:tcPr>
            <w:tcW w:w="2015" w:type="pct"/>
            <w:vAlign w:val="center"/>
          </w:tcPr>
          <w:p w14:paraId="27028D5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考虑地形</w:t>
            </w:r>
          </w:p>
        </w:tc>
        <w:tc>
          <w:tcPr>
            <w:tcW w:w="1372" w:type="pct"/>
            <w:vAlign w:val="center"/>
          </w:tcPr>
          <w:p w14:paraId="6450FD6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drawing>
                <wp:inline distT="0" distB="0" distL="0" distR="0">
                  <wp:extent cx="114300" cy="133350"/>
                  <wp:effectExtent l="0" t="0" r="0" b="0"/>
                  <wp:docPr id="35" name="IM 32"/>
                  <wp:cNvGraphicFramePr/>
                  <a:graphic xmlns:a="http://schemas.openxmlformats.org/drawingml/2006/main">
                    <a:graphicData uri="http://schemas.openxmlformats.org/drawingml/2006/picture">
                      <pic:pic xmlns:pic="http://schemas.openxmlformats.org/drawingml/2006/picture">
                        <pic:nvPicPr>
                          <pic:cNvPr id="35" name="IM 32"/>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是□否</w:t>
            </w:r>
          </w:p>
        </w:tc>
      </w:tr>
      <w:tr w14:paraId="02118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0C407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0FF9DED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地形数据分辨率</w:t>
            </w:r>
            <w:r>
              <w:rPr>
                <w:rFonts w:ascii="Times New Roman" w:hAnsi="Times New Roman" w:eastAsia="宋体" w:cs="Times New Roman"/>
                <w:strike w:val="0"/>
                <w:dstrike w:val="0"/>
                <w:color w:val="auto"/>
                <w:spacing w:val="0"/>
                <w:position w:val="0"/>
                <w:sz w:val="21"/>
                <w:szCs w:val="21"/>
                <w:highlight w:val="none"/>
              </w:rPr>
              <w:t>/m</w:t>
            </w:r>
          </w:p>
        </w:tc>
        <w:tc>
          <w:tcPr>
            <w:tcW w:w="1372" w:type="pct"/>
            <w:vAlign w:val="center"/>
          </w:tcPr>
          <w:p w14:paraId="4239229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w:t>
            </w:r>
          </w:p>
        </w:tc>
      </w:tr>
      <w:tr w14:paraId="36FBA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32B49AF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是否考虑岸线熏烟</w:t>
            </w:r>
          </w:p>
        </w:tc>
        <w:tc>
          <w:tcPr>
            <w:tcW w:w="2015" w:type="pct"/>
            <w:vAlign w:val="center"/>
          </w:tcPr>
          <w:p w14:paraId="0AEEE56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考虑岸线熏烟</w:t>
            </w:r>
          </w:p>
        </w:tc>
        <w:tc>
          <w:tcPr>
            <w:tcW w:w="1372" w:type="pct"/>
            <w:vAlign w:val="center"/>
          </w:tcPr>
          <w:p w14:paraId="2C1733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w:t>
            </w:r>
            <w:r>
              <w:rPr>
                <w:rFonts w:ascii="Times New Roman" w:hAnsi="Times New Roman" w:eastAsia="宋体"/>
                <w:strike w:val="0"/>
                <w:dstrike w:val="0"/>
                <w:color w:val="auto"/>
                <w:spacing w:val="0"/>
                <w:position w:val="0"/>
                <w:sz w:val="21"/>
                <w:szCs w:val="21"/>
                <w:highlight w:val="none"/>
              </w:rPr>
              <w:drawing>
                <wp:inline distT="0" distB="0" distL="0" distR="0">
                  <wp:extent cx="114300" cy="133350"/>
                  <wp:effectExtent l="0" t="0" r="0" b="0"/>
                  <wp:docPr id="37" name="IM 33"/>
                  <wp:cNvGraphicFramePr/>
                  <a:graphic xmlns:a="http://schemas.openxmlformats.org/drawingml/2006/main">
                    <a:graphicData uri="http://schemas.openxmlformats.org/drawingml/2006/picture">
                      <pic:pic xmlns:pic="http://schemas.openxmlformats.org/drawingml/2006/picture">
                        <pic:nvPicPr>
                          <pic:cNvPr id="37" name="IM 33"/>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否</w:t>
            </w:r>
          </w:p>
        </w:tc>
      </w:tr>
      <w:tr w14:paraId="545C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59BE7E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67501DB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岸线距离</w:t>
            </w:r>
            <w:r>
              <w:rPr>
                <w:rFonts w:ascii="Times New Roman" w:hAnsi="Times New Roman" w:eastAsia="宋体" w:cs="Times New Roman"/>
                <w:strike w:val="0"/>
                <w:dstrike w:val="0"/>
                <w:color w:val="auto"/>
                <w:spacing w:val="0"/>
                <w:position w:val="0"/>
                <w:sz w:val="21"/>
                <w:szCs w:val="21"/>
                <w:highlight w:val="none"/>
              </w:rPr>
              <w:t>/km</w:t>
            </w:r>
          </w:p>
        </w:tc>
        <w:tc>
          <w:tcPr>
            <w:tcW w:w="1372" w:type="pct"/>
            <w:vAlign w:val="center"/>
          </w:tcPr>
          <w:p w14:paraId="3456A57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bl>
    <w:p w14:paraId="28A5462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本项目无组织废气污染源一览表见表2.6-</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p>
    <w:p w14:paraId="2A84A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表2.6-3无组织废气污染源一览表（面源）</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1027"/>
        <w:gridCol w:w="1392"/>
        <w:gridCol w:w="1392"/>
        <w:gridCol w:w="1598"/>
        <w:gridCol w:w="1080"/>
        <w:gridCol w:w="1185"/>
      </w:tblGrid>
      <w:tr w14:paraId="3919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restart"/>
            <w:vAlign w:val="center"/>
          </w:tcPr>
          <w:p w14:paraId="4AFF36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编号</w:t>
            </w:r>
          </w:p>
        </w:tc>
        <w:tc>
          <w:tcPr>
            <w:tcW w:w="619" w:type="pct"/>
            <w:vMerge w:val="restart"/>
            <w:vAlign w:val="center"/>
          </w:tcPr>
          <w:p w14:paraId="44053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名称</w:t>
            </w:r>
          </w:p>
        </w:tc>
        <w:tc>
          <w:tcPr>
            <w:tcW w:w="839" w:type="pct"/>
            <w:vMerge w:val="restart"/>
            <w:vAlign w:val="center"/>
          </w:tcPr>
          <w:p w14:paraId="40E7E5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面源长（m）</w:t>
            </w:r>
          </w:p>
        </w:tc>
        <w:tc>
          <w:tcPr>
            <w:tcW w:w="839" w:type="pct"/>
            <w:vMerge w:val="restart"/>
            <w:vAlign w:val="center"/>
          </w:tcPr>
          <w:p w14:paraId="4E9B87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面源宽（m）</w:t>
            </w:r>
          </w:p>
        </w:tc>
        <w:tc>
          <w:tcPr>
            <w:tcW w:w="963" w:type="pct"/>
            <w:vMerge w:val="restart"/>
            <w:vAlign w:val="center"/>
          </w:tcPr>
          <w:p w14:paraId="53EC1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排放高度（m）</w:t>
            </w:r>
          </w:p>
        </w:tc>
        <w:tc>
          <w:tcPr>
            <w:tcW w:w="1365" w:type="pct"/>
            <w:gridSpan w:val="2"/>
            <w:vAlign w:val="center"/>
          </w:tcPr>
          <w:p w14:paraId="34633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评价因子源强（kg/h）</w:t>
            </w:r>
          </w:p>
        </w:tc>
      </w:tr>
      <w:tr w14:paraId="77AB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continue"/>
            <w:vAlign w:val="center"/>
          </w:tcPr>
          <w:p w14:paraId="63340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19" w:type="pct"/>
            <w:vMerge w:val="continue"/>
            <w:vAlign w:val="center"/>
          </w:tcPr>
          <w:p w14:paraId="0A8F86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56345C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32B42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63" w:type="pct"/>
            <w:vMerge w:val="continue"/>
            <w:vAlign w:val="center"/>
          </w:tcPr>
          <w:p w14:paraId="18A104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51" w:type="pct"/>
            <w:vAlign w:val="center"/>
          </w:tcPr>
          <w:p w14:paraId="75483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氨</w:t>
            </w:r>
          </w:p>
        </w:tc>
        <w:tc>
          <w:tcPr>
            <w:tcW w:w="713" w:type="pct"/>
            <w:vAlign w:val="center"/>
          </w:tcPr>
          <w:p w14:paraId="0E2D45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硫化氢</w:t>
            </w:r>
          </w:p>
        </w:tc>
      </w:tr>
      <w:tr w14:paraId="2C40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78A38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w:t>
            </w:r>
          </w:p>
        </w:tc>
        <w:tc>
          <w:tcPr>
            <w:tcW w:w="619" w:type="pct"/>
            <w:vAlign w:val="center"/>
          </w:tcPr>
          <w:p w14:paraId="7108C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w:t>
            </w:r>
          </w:p>
        </w:tc>
        <w:tc>
          <w:tcPr>
            <w:tcW w:w="1430" w:type="dxa"/>
            <w:vAlign w:val="center"/>
          </w:tcPr>
          <w:p w14:paraId="642ECBC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120</w:t>
            </w:r>
          </w:p>
        </w:tc>
        <w:tc>
          <w:tcPr>
            <w:tcW w:w="1430" w:type="dxa"/>
            <w:vAlign w:val="center"/>
          </w:tcPr>
          <w:p w14:paraId="0B35C9A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170</w:t>
            </w:r>
          </w:p>
        </w:tc>
        <w:tc>
          <w:tcPr>
            <w:tcW w:w="1641" w:type="dxa"/>
            <w:vAlign w:val="center"/>
          </w:tcPr>
          <w:p w14:paraId="5DAD46D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4.5</w:t>
            </w:r>
          </w:p>
        </w:tc>
        <w:tc>
          <w:tcPr>
            <w:tcW w:w="651" w:type="pct"/>
            <w:vAlign w:val="center"/>
          </w:tcPr>
          <w:p w14:paraId="077DB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c>
          <w:tcPr>
            <w:tcW w:w="713" w:type="pct"/>
            <w:vAlign w:val="center"/>
          </w:tcPr>
          <w:p w14:paraId="2F54F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r w14:paraId="6ABD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4B2DC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w:t>
            </w:r>
          </w:p>
        </w:tc>
        <w:tc>
          <w:tcPr>
            <w:tcW w:w="619" w:type="pct"/>
            <w:vAlign w:val="center"/>
          </w:tcPr>
          <w:p w14:paraId="76211B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w:t>
            </w:r>
          </w:p>
        </w:tc>
        <w:tc>
          <w:tcPr>
            <w:tcW w:w="1430" w:type="dxa"/>
            <w:vAlign w:val="center"/>
          </w:tcPr>
          <w:p w14:paraId="533A5E4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65</w:t>
            </w:r>
          </w:p>
        </w:tc>
        <w:tc>
          <w:tcPr>
            <w:tcW w:w="1430" w:type="dxa"/>
            <w:vAlign w:val="center"/>
          </w:tcPr>
          <w:p w14:paraId="7043F32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40</w:t>
            </w:r>
          </w:p>
        </w:tc>
        <w:tc>
          <w:tcPr>
            <w:tcW w:w="1641" w:type="dxa"/>
            <w:vAlign w:val="center"/>
          </w:tcPr>
          <w:p w14:paraId="09E0BD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651" w:type="pct"/>
            <w:vAlign w:val="center"/>
          </w:tcPr>
          <w:p w14:paraId="741076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olor w:val="auto"/>
                <w:kern w:val="0"/>
                <w:sz w:val="21"/>
                <w:szCs w:val="21"/>
                <w:lang w:val="en-US" w:eastAsia="zh-CN" w:bidi="ar"/>
              </w:rPr>
              <w:t>1.04</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-3</w:t>
            </w:r>
          </w:p>
        </w:tc>
        <w:tc>
          <w:tcPr>
            <w:tcW w:w="713" w:type="pct"/>
            <w:vAlign w:val="center"/>
          </w:tcPr>
          <w:p w14:paraId="42C2A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olor w:val="auto"/>
                <w:kern w:val="0"/>
                <w:sz w:val="21"/>
                <w:szCs w:val="21"/>
                <w:lang w:val="en-US" w:eastAsia="zh-CN" w:bidi="ar"/>
              </w:rPr>
              <w:t>2.50</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r w14:paraId="2A03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341BF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3</w:t>
            </w:r>
          </w:p>
        </w:tc>
        <w:tc>
          <w:tcPr>
            <w:tcW w:w="619" w:type="pct"/>
            <w:vAlign w:val="center"/>
          </w:tcPr>
          <w:p w14:paraId="5E0DFF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黑膜池</w:t>
            </w:r>
          </w:p>
        </w:tc>
        <w:tc>
          <w:tcPr>
            <w:tcW w:w="1430" w:type="dxa"/>
            <w:vAlign w:val="center"/>
          </w:tcPr>
          <w:p w14:paraId="3342E8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20</w:t>
            </w:r>
          </w:p>
        </w:tc>
        <w:tc>
          <w:tcPr>
            <w:tcW w:w="1430" w:type="dxa"/>
            <w:vAlign w:val="center"/>
          </w:tcPr>
          <w:p w14:paraId="3DC8AE2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1641" w:type="dxa"/>
            <w:vAlign w:val="center"/>
          </w:tcPr>
          <w:p w14:paraId="75F81C6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0.5</w:t>
            </w:r>
          </w:p>
        </w:tc>
        <w:tc>
          <w:tcPr>
            <w:tcW w:w="651" w:type="pct"/>
            <w:vAlign w:val="center"/>
          </w:tcPr>
          <w:p w14:paraId="4E164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c>
          <w:tcPr>
            <w:tcW w:w="713" w:type="pct"/>
            <w:vAlign w:val="center"/>
          </w:tcPr>
          <w:p w14:paraId="42D8D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180F8F2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本项目选取主要的面源废气污染物作为等级判定的依据，其最大地面浓度占标率P</w:t>
      </w:r>
      <w:r>
        <w:rPr>
          <w:rFonts w:hint="eastAsia" w:ascii="Times New Roman" w:hAnsi="Times New Roman" w:eastAsia="宋体"/>
          <w:strike w:val="0"/>
          <w:dstrike w:val="0"/>
          <w:color w:val="auto"/>
          <w:highlight w:val="none"/>
          <w:vertAlign w:val="subscript"/>
        </w:rPr>
        <w:t>max</w:t>
      </w:r>
      <w:r>
        <w:rPr>
          <w:rFonts w:hint="eastAsia" w:ascii="Times New Roman" w:hAnsi="Times New Roman" w:eastAsia="宋体"/>
          <w:strike w:val="0"/>
          <w:dstrike w:val="0"/>
          <w:color w:val="auto"/>
          <w:highlight w:val="none"/>
        </w:rPr>
        <w:t>计算结果见表2.6-</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p w14:paraId="6E45A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表2.6-4各污染物Pi计算结果</w:t>
      </w:r>
    </w:p>
    <w:tbl>
      <w:tblPr>
        <w:tblStyle w:val="183"/>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42"/>
        <w:gridCol w:w="1989"/>
        <w:gridCol w:w="1701"/>
        <w:gridCol w:w="1417"/>
        <w:gridCol w:w="1364"/>
      </w:tblGrid>
      <w:tr w14:paraId="254A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2304" w:type="pct"/>
            <w:gridSpan w:val="2"/>
            <w:vAlign w:val="center"/>
          </w:tcPr>
          <w:p w14:paraId="29804A7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参数名称</w:t>
            </w:r>
          </w:p>
        </w:tc>
        <w:tc>
          <w:tcPr>
            <w:tcW w:w="1023" w:type="pct"/>
            <w:vAlign w:val="center"/>
          </w:tcPr>
          <w:p w14:paraId="44AC1EA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最大落地浓度</w:t>
            </w:r>
          </w:p>
        </w:tc>
        <w:tc>
          <w:tcPr>
            <w:tcW w:w="852" w:type="pct"/>
            <w:vAlign w:val="center"/>
          </w:tcPr>
          <w:p w14:paraId="2EB8F78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w:t>
            </w:r>
            <w:r>
              <w:rPr>
                <w:rFonts w:ascii="Times New Roman" w:hAnsi="Times New Roman" w:eastAsia="宋体" w:cs="Times New Roman"/>
                <w:strike w:val="0"/>
                <w:dstrike w:val="0"/>
                <w:color w:val="auto"/>
                <w:spacing w:val="0"/>
                <w:sz w:val="21"/>
                <w:szCs w:val="21"/>
                <w:highlight w:val="none"/>
                <w:vertAlign w:val="subscript"/>
              </w:rPr>
              <w:t>max</w:t>
            </w:r>
          </w:p>
        </w:tc>
        <w:tc>
          <w:tcPr>
            <w:tcW w:w="820" w:type="pct"/>
            <w:vAlign w:val="center"/>
          </w:tcPr>
          <w:p w14:paraId="7EE304C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最大落地点</w:t>
            </w:r>
          </w:p>
        </w:tc>
      </w:tr>
      <w:tr w14:paraId="20F1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108" w:type="pct"/>
            <w:vAlign w:val="center"/>
          </w:tcPr>
          <w:p w14:paraId="07E39A6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1196" w:type="pct"/>
            <w:vAlign w:val="center"/>
          </w:tcPr>
          <w:p w14:paraId="31DBED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污染物</w:t>
            </w:r>
          </w:p>
        </w:tc>
        <w:tc>
          <w:tcPr>
            <w:tcW w:w="1023" w:type="pct"/>
            <w:vAlign w:val="center"/>
          </w:tcPr>
          <w:p w14:paraId="5D9E572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14"/>
                <w:highlight w:val="none"/>
                <w:vertAlign w:val="superscript"/>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u</w:t>
            </w:r>
            <w:r>
              <w:rPr>
                <w:rFonts w:ascii="Times New Roman" w:hAnsi="Times New Roman" w:eastAsia="宋体" w:cs="Times New Roman"/>
                <w:strike w:val="0"/>
                <w:dstrike w:val="0"/>
                <w:color w:val="auto"/>
                <w:spacing w:val="0"/>
                <w:sz w:val="21"/>
                <w:szCs w:val="21"/>
                <w:highlight w:val="none"/>
              </w:rPr>
              <w:t>g/m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p>
        </w:tc>
        <w:tc>
          <w:tcPr>
            <w:tcW w:w="852" w:type="pct"/>
            <w:vAlign w:val="center"/>
          </w:tcPr>
          <w:p w14:paraId="418A0F1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c>
          <w:tcPr>
            <w:tcW w:w="820" w:type="pct"/>
            <w:vAlign w:val="center"/>
          </w:tcPr>
          <w:p w14:paraId="404E101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m</w:t>
            </w:r>
          </w:p>
        </w:tc>
      </w:tr>
      <w:tr w14:paraId="61E5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108" w:type="pct"/>
            <w:vMerge w:val="restart"/>
            <w:vAlign w:val="center"/>
          </w:tcPr>
          <w:p w14:paraId="118880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骆驼圈舍无组织</w:t>
            </w:r>
          </w:p>
        </w:tc>
        <w:tc>
          <w:tcPr>
            <w:tcW w:w="1196" w:type="pct"/>
            <w:vAlign w:val="center"/>
          </w:tcPr>
          <w:p w14:paraId="3C1D81B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371002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420" w:type="dxa"/>
            <w:vAlign w:val="center"/>
          </w:tcPr>
          <w:p w14:paraId="578481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820" w:type="pct"/>
            <w:vAlign w:val="center"/>
          </w:tcPr>
          <w:p w14:paraId="134EFF6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249</w:t>
            </w:r>
          </w:p>
        </w:tc>
      </w:tr>
      <w:tr w14:paraId="231C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27790B8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196" w:type="pct"/>
            <w:vAlign w:val="center"/>
          </w:tcPr>
          <w:p w14:paraId="2EAEC2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735DA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420" w:type="dxa"/>
            <w:vAlign w:val="center"/>
          </w:tcPr>
          <w:p w14:paraId="0D7969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c>
          <w:tcPr>
            <w:tcW w:w="820" w:type="pct"/>
            <w:vAlign w:val="center"/>
          </w:tcPr>
          <w:p w14:paraId="64EF7BF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249</w:t>
            </w:r>
          </w:p>
        </w:tc>
      </w:tr>
      <w:tr w14:paraId="3072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restart"/>
            <w:vAlign w:val="center"/>
          </w:tcPr>
          <w:p w14:paraId="606820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pacing w:val="0"/>
                <w:sz w:val="21"/>
                <w:highlight w:val="none"/>
                <w:lang w:val="en-US"/>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堆肥场无组织</w:t>
            </w:r>
          </w:p>
        </w:tc>
        <w:tc>
          <w:tcPr>
            <w:tcW w:w="1196" w:type="pct"/>
            <w:vAlign w:val="center"/>
          </w:tcPr>
          <w:p w14:paraId="4269E26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028D6A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420" w:type="dxa"/>
            <w:vAlign w:val="center"/>
          </w:tcPr>
          <w:p w14:paraId="71C789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w:t>
            </w:r>
          </w:p>
        </w:tc>
        <w:tc>
          <w:tcPr>
            <w:tcW w:w="1367" w:type="dxa"/>
            <w:vAlign w:val="center"/>
          </w:tcPr>
          <w:p w14:paraId="4428158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72</w:t>
            </w:r>
          </w:p>
        </w:tc>
      </w:tr>
      <w:tr w14:paraId="3287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03EF0AB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196" w:type="pct"/>
            <w:vAlign w:val="center"/>
          </w:tcPr>
          <w:p w14:paraId="52DD577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133FEF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420" w:type="dxa"/>
            <w:vAlign w:val="center"/>
          </w:tcPr>
          <w:p w14:paraId="7C3851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w:t>
            </w:r>
          </w:p>
        </w:tc>
        <w:tc>
          <w:tcPr>
            <w:tcW w:w="1367" w:type="dxa"/>
            <w:vAlign w:val="center"/>
          </w:tcPr>
          <w:p w14:paraId="40E89C5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72</w:t>
            </w:r>
          </w:p>
        </w:tc>
      </w:tr>
      <w:tr w14:paraId="0E76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restart"/>
            <w:vAlign w:val="center"/>
          </w:tcPr>
          <w:p w14:paraId="6444D1E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黑膜池无组织</w:t>
            </w:r>
          </w:p>
        </w:tc>
        <w:tc>
          <w:tcPr>
            <w:tcW w:w="1994" w:type="dxa"/>
            <w:vAlign w:val="center"/>
          </w:tcPr>
          <w:p w14:paraId="530F756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0C2D7C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1420" w:type="dxa"/>
            <w:vAlign w:val="center"/>
          </w:tcPr>
          <w:p w14:paraId="7127A0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820" w:type="pct"/>
            <w:vAlign w:val="center"/>
          </w:tcPr>
          <w:p w14:paraId="3D3E94C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50</w:t>
            </w:r>
          </w:p>
        </w:tc>
      </w:tr>
      <w:tr w14:paraId="360E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2E21F5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994" w:type="dxa"/>
            <w:vAlign w:val="center"/>
          </w:tcPr>
          <w:p w14:paraId="412B34B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12C694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1420" w:type="dxa"/>
            <w:vAlign w:val="center"/>
          </w:tcPr>
          <w:p w14:paraId="7A4B70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c>
          <w:tcPr>
            <w:tcW w:w="820" w:type="pct"/>
            <w:vAlign w:val="center"/>
          </w:tcPr>
          <w:p w14:paraId="54D44E4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50</w:t>
            </w:r>
          </w:p>
        </w:tc>
      </w:tr>
    </w:tbl>
    <w:p w14:paraId="7D5F14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（3）确定评价等级</w:t>
      </w:r>
    </w:p>
    <w:p w14:paraId="2642ECC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根据估算结果表明，NH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最大地面空气质量浓度占标率为</w:t>
      </w:r>
      <w:r>
        <w:rPr>
          <w:rFonts w:hint="eastAsia" w:ascii="Times New Roman" w:hAnsi="Times New Roman" w:eastAsia="宋体"/>
          <w:strike w:val="0"/>
          <w:dstrike w:val="0"/>
          <w:color w:val="auto"/>
          <w:highlight w:val="none"/>
          <w:lang w:val="en-US" w:eastAsia="zh-CN"/>
        </w:rPr>
        <w:t>3.8965</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S最大地面空气质量浓度占标率为</w:t>
      </w:r>
      <w:r>
        <w:rPr>
          <w:rFonts w:hint="eastAsia" w:ascii="Times New Roman" w:hAnsi="Times New Roman" w:eastAsia="宋体"/>
          <w:strike w:val="0"/>
          <w:dstrike w:val="0"/>
          <w:color w:val="auto"/>
          <w:highlight w:val="none"/>
          <w:lang w:val="en-US" w:eastAsia="zh-CN"/>
        </w:rPr>
        <w:t>7.6569</w:t>
      </w:r>
      <w:r>
        <w:rPr>
          <w:rFonts w:ascii="Times New Roman" w:hAnsi="Times New Roman" w:eastAsia="宋体"/>
          <w:strike w:val="0"/>
          <w:dstrike w:val="0"/>
          <w:color w:val="auto"/>
          <w:highlight w:val="none"/>
        </w:rPr>
        <w:t>%，根据表</w:t>
      </w:r>
      <w:r>
        <w:rPr>
          <w:rFonts w:hint="eastAsia" w:ascii="Times New Roman" w:hAnsi="Times New Roman" w:eastAsia="宋体"/>
          <w:strike w:val="0"/>
          <w:dstrike w:val="0"/>
          <w:color w:val="auto"/>
          <w:highlight w:val="none"/>
          <w:lang w:val="en-US" w:eastAsia="zh-CN"/>
        </w:rPr>
        <w:t>2.6-1</w:t>
      </w:r>
      <w:r>
        <w:rPr>
          <w:rFonts w:ascii="Times New Roman" w:hAnsi="Times New Roman" w:eastAsia="宋体"/>
          <w:strike w:val="0"/>
          <w:dstrike w:val="0"/>
          <w:color w:val="auto"/>
          <w:highlight w:val="none"/>
        </w:rPr>
        <w:t>评价等级判别表，确定本项目大气环境评价等级为</w:t>
      </w:r>
      <w:r>
        <w:rPr>
          <w:rFonts w:hint="eastAsia" w:ascii="Times New Roman" w:hAnsi="Times New Roman" w:eastAsia="宋体"/>
          <w:strike w:val="0"/>
          <w:dstrike w:val="0"/>
          <w:color w:val="auto"/>
          <w:highlight w:val="none"/>
          <w:lang w:val="en-US" w:eastAsia="zh-CN"/>
        </w:rPr>
        <w:t>二</w:t>
      </w:r>
      <w:r>
        <w:rPr>
          <w:rFonts w:ascii="Times New Roman" w:hAnsi="Times New Roman" w:eastAsia="宋体"/>
          <w:strike w:val="0"/>
          <w:dstrike w:val="0"/>
          <w:color w:val="auto"/>
          <w:highlight w:val="none"/>
        </w:rPr>
        <w:t>级</w:t>
      </w:r>
      <w:r>
        <w:rPr>
          <w:rFonts w:hint="eastAsia" w:ascii="Times New Roman" w:hAnsi="Times New Roman" w:eastAsia="宋体"/>
          <w:strike w:val="0"/>
          <w:dstrike w:val="0"/>
          <w:color w:val="auto"/>
          <w:highlight w:val="none"/>
          <w:lang w:eastAsia="zh-CN"/>
        </w:rPr>
        <w:t>。</w:t>
      </w:r>
    </w:p>
    <w:p w14:paraId="45BA619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2.6.1.2水环境评价等级</w:t>
      </w:r>
    </w:p>
    <w:p w14:paraId="741A8C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（1）地表水</w:t>
      </w:r>
    </w:p>
    <w:p w14:paraId="15E20A6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根据《环境影响评价技术导则地表水环境》（HJ2.3-2018），地表水评价等级分级表见表2.6-</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p>
    <w:p w14:paraId="2DAE1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表2.6-5地表水评价等级分级表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2208"/>
        <w:gridCol w:w="4328"/>
      </w:tblGrid>
      <w:tr w14:paraId="45C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Merge w:val="restart"/>
            <w:vAlign w:val="center"/>
          </w:tcPr>
          <w:p w14:paraId="44BAD1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评价等级</w:t>
            </w:r>
          </w:p>
        </w:tc>
        <w:tc>
          <w:tcPr>
            <w:tcW w:w="3939" w:type="pct"/>
            <w:gridSpan w:val="2"/>
            <w:vAlign w:val="center"/>
          </w:tcPr>
          <w:p w14:paraId="794A27D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判定依据</w:t>
            </w:r>
          </w:p>
        </w:tc>
      </w:tr>
      <w:tr w14:paraId="174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Merge w:val="continue"/>
            <w:vAlign w:val="center"/>
          </w:tcPr>
          <w:p w14:paraId="7B322AD9">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1331" w:type="pct"/>
            <w:vAlign w:val="center"/>
          </w:tcPr>
          <w:p w14:paraId="2840256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排放方式</w:t>
            </w:r>
          </w:p>
        </w:tc>
        <w:tc>
          <w:tcPr>
            <w:tcW w:w="2608" w:type="pct"/>
            <w:vAlign w:val="center"/>
          </w:tcPr>
          <w:p w14:paraId="69EC01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废水排放量Q/（m</w:t>
            </w:r>
            <w:r>
              <w:rPr>
                <w:rFonts w:hint="eastAsia" w:ascii="Times New Roman" w:hAnsi="Times New Roman" w:eastAsia="宋体"/>
                <w:strike w:val="0"/>
                <w:dstrike w:val="0"/>
                <w:color w:val="auto"/>
                <w:sz w:val="21"/>
                <w:szCs w:val="21"/>
                <w:highlight w:val="none"/>
                <w:vertAlign w:val="superscript"/>
              </w:rPr>
              <w:t>3/</w:t>
            </w:r>
            <w:r>
              <w:rPr>
                <w:rFonts w:hint="eastAsia" w:ascii="Times New Roman" w:hAnsi="Times New Roman" w:eastAsia="宋体"/>
                <w:strike w:val="0"/>
                <w:dstrike w:val="0"/>
                <w:color w:val="auto"/>
                <w:sz w:val="21"/>
                <w:szCs w:val="21"/>
                <w:highlight w:val="none"/>
              </w:rPr>
              <w:t>d）；</w:t>
            </w:r>
          </w:p>
          <w:p w14:paraId="19D309F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水污染物当量数W/（量纲一）</w:t>
            </w:r>
          </w:p>
        </w:tc>
      </w:tr>
      <w:tr w14:paraId="7EBC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1DCC424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1331" w:type="pct"/>
            <w:vAlign w:val="center"/>
          </w:tcPr>
          <w:p w14:paraId="1002E6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5E13F8F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Q≥20000或W≥600000</w:t>
            </w:r>
          </w:p>
        </w:tc>
      </w:tr>
      <w:tr w14:paraId="29F4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656AF3A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1331" w:type="pct"/>
            <w:vAlign w:val="center"/>
          </w:tcPr>
          <w:p w14:paraId="01BA3E4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32F6B68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其他</w:t>
            </w:r>
          </w:p>
        </w:tc>
      </w:tr>
      <w:tr w14:paraId="31AC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42562E2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三级A</w:t>
            </w:r>
          </w:p>
        </w:tc>
        <w:tc>
          <w:tcPr>
            <w:tcW w:w="1331" w:type="pct"/>
            <w:vAlign w:val="center"/>
          </w:tcPr>
          <w:p w14:paraId="0FD4767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3215DC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Q＜200且W＜6000</w:t>
            </w:r>
          </w:p>
        </w:tc>
      </w:tr>
      <w:tr w14:paraId="6F65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2B7E999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三级B</w:t>
            </w:r>
          </w:p>
        </w:tc>
        <w:tc>
          <w:tcPr>
            <w:tcW w:w="1331" w:type="pct"/>
            <w:vAlign w:val="center"/>
          </w:tcPr>
          <w:p w14:paraId="5DA3888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间接排放</w:t>
            </w:r>
          </w:p>
        </w:tc>
        <w:tc>
          <w:tcPr>
            <w:tcW w:w="2608" w:type="pct"/>
            <w:vAlign w:val="center"/>
          </w:tcPr>
          <w:p w14:paraId="2104C66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B85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14:paraId="3B06FD34">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注：建设项目生产工艺中有废水产生，但作为回水利用，不排放到外环境的，按三级B评价</w:t>
            </w:r>
          </w:p>
        </w:tc>
      </w:tr>
    </w:tbl>
    <w:p w14:paraId="6CEE5A2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本项目生活污水和生产废水经黑膜池发酵处理后用于项目区周边林带施肥</w:t>
      </w:r>
      <w:r>
        <w:rPr>
          <w:rFonts w:ascii="Times New Roman" w:hAnsi="Times New Roman" w:eastAsia="宋体"/>
          <w:strike w:val="0"/>
          <w:dstrike w:val="0"/>
          <w:color w:val="auto"/>
          <w:highlight w:val="none"/>
        </w:rPr>
        <w:t>；与地表水体不发生水力联系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因此判定本项目地面水环境影响评价工作等级为三级B</w:t>
      </w:r>
      <w:r>
        <w:rPr>
          <w:rFonts w:hint="eastAsia" w:ascii="Times New Roman" w:hAnsi="Times New Roman" w:eastAsia="宋体"/>
          <w:strike w:val="0"/>
          <w:dstrike w:val="0"/>
          <w:color w:val="auto"/>
          <w:highlight w:val="none"/>
          <w:lang w:eastAsia="zh-CN"/>
        </w:rPr>
        <w:t>。</w:t>
      </w:r>
    </w:p>
    <w:p w14:paraId="246339C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参照《环境影响评价技术导则地表水环境》（HJ2.3-2018）中地表水环境影响评价范围要求，根据评价等级、工程特点、影响方式及程度、地表水环境质量管理要求等确定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项目运营期间生活污水、生产废水不外排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w:t>
      </w:r>
      <w:r>
        <w:rPr>
          <w:rFonts w:hint="eastAsia" w:ascii="Times New Roman" w:hAnsi="Times New Roman" w:eastAsia="宋体"/>
          <w:strike w:val="0"/>
          <w:dstrike w:val="0"/>
          <w:color w:val="auto"/>
          <w:highlight w:val="none"/>
          <w:lang w:val="en-US" w:eastAsia="zh-CN"/>
        </w:rPr>
        <w:t>根据</w:t>
      </w:r>
      <w:r>
        <w:rPr>
          <w:rFonts w:hint="eastAsia" w:ascii="Times New Roman" w:hAnsi="Times New Roman" w:eastAsia="宋体"/>
          <w:strike w:val="0"/>
          <w:dstrike w:val="0"/>
          <w:color w:val="auto"/>
          <w:highlight w:val="none"/>
        </w:rPr>
        <w:t>，本项目地表水评价不设评价范围，重点分析项目生产废水、生活污水的处理及去向等的可行性</w:t>
      </w:r>
      <w:r>
        <w:rPr>
          <w:rFonts w:hint="eastAsia" w:ascii="Times New Roman" w:hAnsi="Times New Roman" w:eastAsia="宋体"/>
          <w:strike w:val="0"/>
          <w:dstrike w:val="0"/>
          <w:color w:val="auto"/>
          <w:highlight w:val="none"/>
          <w:lang w:eastAsia="zh-CN"/>
        </w:rPr>
        <w:t>。</w:t>
      </w:r>
    </w:p>
    <w:p w14:paraId="6EEC6B1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（2）地下水</w:t>
      </w:r>
    </w:p>
    <w:p w14:paraId="010C2D1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根据《环境影响技术评价技术导则地下水环境》（HJ610-2016）附录A地下水环境影响评价行业分类表，本项目属于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B、农、林、牧、渔、海洋——14、畜禽养殖场、养殖小区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的养殖项目，表中“年出栏生猪5000头（其他畜禽种类折合猪的养殖规模）及以上”</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因此</w:t>
      </w:r>
      <w:r>
        <w:rPr>
          <w:rFonts w:hint="eastAsia" w:ascii="Times New Roman" w:hAnsi="Times New Roman" w:eastAsia="宋体"/>
          <w:strike w:val="0"/>
          <w:dstrike w:val="0"/>
          <w:color w:val="auto"/>
          <w:highlight w:val="none"/>
        </w:rPr>
        <w:t>本项目属于Ⅲ类项目</w:t>
      </w:r>
      <w:r>
        <w:rPr>
          <w:rFonts w:hint="eastAsia" w:ascii="Times New Roman" w:hAnsi="Times New Roman" w:eastAsia="宋体"/>
          <w:strike w:val="0"/>
          <w:dstrike w:val="0"/>
          <w:color w:val="auto"/>
          <w:highlight w:val="none"/>
          <w:lang w:eastAsia="zh-CN"/>
        </w:rPr>
        <w:t>。</w:t>
      </w:r>
    </w:p>
    <w:p w14:paraId="1B5333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根据《环境影响技术评价技术导则地下水环境》（HJ610-2016）中6.2表1地下水环境敏感程度分级表，地下水环境敏感程度分级表见表2.6-</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p>
    <w:p w14:paraId="2211F0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表2.6-6地下水环境敏感程度分级表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079"/>
      </w:tblGrid>
      <w:tr w14:paraId="1414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58FADF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敏感程度</w:t>
            </w:r>
          </w:p>
        </w:tc>
        <w:tc>
          <w:tcPr>
            <w:tcW w:w="7280" w:type="dxa"/>
            <w:vAlign w:val="center"/>
          </w:tcPr>
          <w:p w14:paraId="29B1730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地下水环境敏感特征</w:t>
            </w:r>
          </w:p>
        </w:tc>
      </w:tr>
      <w:tr w14:paraId="6CF4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97A7A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7280" w:type="dxa"/>
            <w:vAlign w:val="center"/>
          </w:tcPr>
          <w:p w14:paraId="6793940C">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r>
              <w:rPr>
                <w:rFonts w:hint="eastAsia" w:ascii="Times New Roman" w:hAnsi="Times New Roman" w:eastAsia="宋体"/>
                <w:strike w:val="0"/>
                <w:dstrike w:val="0"/>
                <w:color w:val="auto"/>
                <w:sz w:val="21"/>
                <w:szCs w:val="21"/>
                <w:highlight w:val="none"/>
                <w:lang w:eastAsia="zh-CN"/>
              </w:rPr>
              <w:t>。</w:t>
            </w:r>
          </w:p>
        </w:tc>
      </w:tr>
      <w:tr w14:paraId="790E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1376A7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7280" w:type="dxa"/>
            <w:vAlign w:val="center"/>
          </w:tcPr>
          <w:p w14:paraId="3D341806">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集中式饮用水水源（包括已建成的在用、备用、应急水源，在建和规划的饮用水水源）准保护区以外的补给径流区；未划定准保护区的集中水式饮用水水源，其保护区以外的补给径流区；分散式饮用水水源地；特殊地下水资源（如矿泉水、温泉等）保护区以外的分布区等其他未列入上述敏感分级的环境敏感区</w:t>
            </w:r>
            <w:r>
              <w:rPr>
                <w:rFonts w:hint="eastAsia" w:ascii="Times New Roman" w:hAnsi="Times New Roman" w:eastAsia="宋体"/>
                <w:strike w:val="0"/>
                <w:dstrike w:val="0"/>
                <w:color w:val="auto"/>
                <w:sz w:val="21"/>
                <w:szCs w:val="21"/>
                <w:highlight w:val="none"/>
                <w:lang w:eastAsia="zh-CN"/>
              </w:rPr>
              <w:t>。</w:t>
            </w:r>
          </w:p>
        </w:tc>
      </w:tr>
      <w:tr w14:paraId="4300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Align w:val="center"/>
          </w:tcPr>
          <w:p w14:paraId="1E723B2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7280" w:type="dxa"/>
            <w:vAlign w:val="center"/>
          </w:tcPr>
          <w:p w14:paraId="08469A2A">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上述地区之外的其它地区</w:t>
            </w:r>
            <w:r>
              <w:rPr>
                <w:rFonts w:hint="eastAsia" w:ascii="Times New Roman" w:hAnsi="Times New Roman" w:eastAsia="宋体"/>
                <w:strike w:val="0"/>
                <w:dstrike w:val="0"/>
                <w:color w:val="auto"/>
                <w:sz w:val="21"/>
                <w:szCs w:val="21"/>
                <w:highlight w:val="none"/>
                <w:lang w:eastAsia="zh-CN"/>
              </w:rPr>
              <w:t>。</w:t>
            </w:r>
          </w:p>
        </w:tc>
      </w:tr>
      <w:tr w14:paraId="3AC5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vAlign w:val="center"/>
          </w:tcPr>
          <w:p w14:paraId="2F0B7D69">
            <w:pPr>
              <w:spacing w:line="240" w:lineRule="auto"/>
              <w:ind w:firstLine="0" w:firstLineChars="0"/>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注：a</w:t>
            </w:r>
            <w:r>
              <w:rPr>
                <w:rFonts w:hint="eastAsia" w:ascii="Times New Roman" w:hAnsi="Times New Roman" w:eastAsia="宋体"/>
                <w:strike w:val="0"/>
                <w:dstrike w:val="0"/>
                <w:color w:val="auto"/>
                <w:sz w:val="21"/>
                <w:szCs w:val="21"/>
                <w:highlight w:val="none"/>
                <w:lang w:eastAsia="zh-CN"/>
              </w:rPr>
              <w:t>. “</w:t>
            </w:r>
            <w:r>
              <w:rPr>
                <w:rFonts w:hint="eastAsia" w:ascii="Times New Roman" w:hAnsi="Times New Roman" w:eastAsia="宋体"/>
                <w:strike w:val="0"/>
                <w:dstrike w:val="0"/>
                <w:color w:val="auto"/>
                <w:sz w:val="21"/>
                <w:szCs w:val="21"/>
                <w:highlight w:val="none"/>
              </w:rPr>
              <w:t>环境敏感区</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是指《建设项目环境影响评价分类管理名录》中所界定的涉及地下水的环境敏感区</w:t>
            </w:r>
            <w:r>
              <w:rPr>
                <w:rFonts w:hint="eastAsia" w:ascii="Times New Roman" w:hAnsi="Times New Roman" w:eastAsia="宋体"/>
                <w:strike w:val="0"/>
                <w:dstrike w:val="0"/>
                <w:color w:val="auto"/>
                <w:sz w:val="21"/>
                <w:szCs w:val="21"/>
                <w:highlight w:val="none"/>
                <w:lang w:eastAsia="zh-CN"/>
              </w:rPr>
              <w:t>。</w:t>
            </w:r>
          </w:p>
        </w:tc>
      </w:tr>
    </w:tbl>
    <w:p w14:paraId="11EB40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地下水评价工作等级分级表见表2.6-</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55ED9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表2.6-7评价工作等级分级表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2941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l2br w:val="single" w:color="auto" w:sz="4" w:space="0"/>
            </w:tcBorders>
            <w:vAlign w:val="center"/>
          </w:tcPr>
          <w:p w14:paraId="2E27F1BD">
            <w:pPr>
              <w:spacing w:line="240" w:lineRule="auto"/>
              <w:ind w:firstLine="0" w:firstLineChars="0"/>
              <w:jc w:val="right"/>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项目类别</w:t>
            </w:r>
          </w:p>
          <w:p w14:paraId="209A25D5">
            <w:pPr>
              <w:spacing w:line="240" w:lineRule="auto"/>
              <w:ind w:firstLine="0" w:firstLineChars="0"/>
              <w:jc w:val="left"/>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环境敏感程度</w:t>
            </w:r>
          </w:p>
        </w:tc>
        <w:tc>
          <w:tcPr>
            <w:tcW w:w="2130" w:type="dxa"/>
            <w:vAlign w:val="center"/>
          </w:tcPr>
          <w:p w14:paraId="6EAD781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Ⅰ类项目</w:t>
            </w:r>
          </w:p>
        </w:tc>
        <w:tc>
          <w:tcPr>
            <w:tcW w:w="2131" w:type="dxa"/>
            <w:vAlign w:val="center"/>
          </w:tcPr>
          <w:p w14:paraId="789DC1B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Ⅱ类项目</w:t>
            </w:r>
          </w:p>
        </w:tc>
        <w:tc>
          <w:tcPr>
            <w:tcW w:w="2131" w:type="dxa"/>
            <w:vAlign w:val="center"/>
          </w:tcPr>
          <w:p w14:paraId="5690EAE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Ⅲ类项目</w:t>
            </w:r>
          </w:p>
        </w:tc>
      </w:tr>
      <w:tr w14:paraId="010F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17162E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2130" w:type="dxa"/>
            <w:vAlign w:val="center"/>
          </w:tcPr>
          <w:p w14:paraId="2EB077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21E7F0C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7C13278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r>
      <w:tr w14:paraId="5B58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5708B0C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2130" w:type="dxa"/>
            <w:vAlign w:val="center"/>
          </w:tcPr>
          <w:p w14:paraId="43D4BAE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4079D78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c>
          <w:tcPr>
            <w:tcW w:w="2131" w:type="dxa"/>
            <w:vAlign w:val="center"/>
          </w:tcPr>
          <w:p w14:paraId="2D7DBA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r>
      <w:tr w14:paraId="737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9E7CC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2130" w:type="dxa"/>
            <w:vAlign w:val="center"/>
          </w:tcPr>
          <w:p w14:paraId="02FBC2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c>
          <w:tcPr>
            <w:tcW w:w="2131" w:type="dxa"/>
            <w:vAlign w:val="center"/>
          </w:tcPr>
          <w:p w14:paraId="36B138E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c>
          <w:tcPr>
            <w:tcW w:w="2131" w:type="dxa"/>
            <w:vAlign w:val="center"/>
          </w:tcPr>
          <w:p w14:paraId="1CCC911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r>
    </w:tbl>
    <w:p w14:paraId="2BB185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w:t>
      </w:r>
      <w:r>
        <w:rPr>
          <w:rFonts w:hint="eastAsia" w:ascii="Times New Roman" w:hAnsi="Times New Roman" w:eastAsia="宋体"/>
          <w:strike w:val="0"/>
          <w:dstrike w:val="0"/>
          <w:color w:val="auto"/>
          <w:highlight w:val="none"/>
          <w:lang w:val="en-US" w:eastAsia="zh-CN"/>
        </w:rPr>
        <w:t>项目</w:t>
      </w:r>
      <w:r>
        <w:rPr>
          <w:rFonts w:hint="eastAsia" w:ascii="Times New Roman" w:hAnsi="Times New Roman" w:eastAsia="宋体"/>
          <w:strike w:val="0"/>
          <w:dstrike w:val="0"/>
          <w:color w:val="auto"/>
          <w:highlight w:val="none"/>
        </w:rPr>
        <w:t>不在集中式饮用水水源（包括已建成的在用、备用、应急水源，在建和规划的饮用水水源）准保护区；除集中式饮用水水源以外的国家或地方政府设定的与地下水环境相关的其它保护区，如热水、矿泉水、温泉等特殊地下水资源保护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不在未划定准保护区的集中水式饮用水水源，其保护区以外的补给径流区；分散式饮用水水源地；特殊地下水资源（如矿泉水、温泉等）保护区以外的分布区等其他未列入上述敏感分级的环境敏感区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本项目地下水环境为不敏感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根据《环境影响技术评价技术导则地下水环境》（HJ610-2016）确定本项目评价工作等级为三级</w:t>
      </w:r>
      <w:r>
        <w:rPr>
          <w:rFonts w:hint="eastAsia" w:ascii="Times New Roman" w:hAnsi="Times New Roman" w:eastAsia="宋体"/>
          <w:strike w:val="0"/>
          <w:dstrike w:val="0"/>
          <w:color w:val="auto"/>
          <w:highlight w:val="none"/>
          <w:lang w:eastAsia="zh-CN"/>
        </w:rPr>
        <w:t>。</w:t>
      </w:r>
    </w:p>
    <w:p w14:paraId="6DA4525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2.6.1.3声环境评价等级</w:t>
      </w:r>
    </w:p>
    <w:p w14:paraId="48C322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规定，声环境影响评价工作等级一般分为三级，一级为详细评价，二级为一般性评价，三级为简要评价</w:t>
      </w:r>
      <w:r>
        <w:rPr>
          <w:rFonts w:hint="eastAsia" w:ascii="Times New Roman" w:hAnsi="Times New Roman" w:eastAsia="宋体"/>
          <w:strike w:val="0"/>
          <w:dstrike w:val="0"/>
          <w:color w:val="auto"/>
          <w:highlight w:val="none"/>
          <w:lang w:eastAsia="zh-CN"/>
        </w:rPr>
        <w:t>。</w:t>
      </w:r>
    </w:p>
    <w:p w14:paraId="094DA1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建设项目所处的声环境功能区为GB3096规定的1类、2类地区，或建设项目建设前后评价范围内敏感目标噪声级增高量达3~5dB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[含5dB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]，或受影响人口数量增加较多时，按二级评价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评价范围内有适用于GB3096规定的0类声环境功能区域，或建设项目建设前后评价范围内声环境保护目标噪声级增量达5dB（A）以上（不含5dB（A）），或受影响人口数量显著增加时，按一级评价</w:t>
      </w:r>
      <w:r>
        <w:rPr>
          <w:rFonts w:hint="eastAsia" w:ascii="Times New Roman" w:hAnsi="Times New Roman" w:eastAsia="宋体"/>
          <w:strike w:val="0"/>
          <w:dstrike w:val="0"/>
          <w:color w:val="auto"/>
          <w:highlight w:val="none"/>
          <w:lang w:eastAsia="zh-CN"/>
        </w:rPr>
        <w:t>。</w:t>
      </w:r>
    </w:p>
    <w:p w14:paraId="013AB7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w:t>
      </w:r>
      <w:r>
        <w:rPr>
          <w:rFonts w:ascii="Times New Roman" w:hAnsi="Times New Roman" w:eastAsia="宋体"/>
          <w:strike w:val="0"/>
          <w:dstrike w:val="0"/>
          <w:color w:val="auto"/>
          <w:highlight w:val="none"/>
        </w:rPr>
        <w:t>GB3096</w:t>
      </w:r>
      <w:r>
        <w:rPr>
          <w:rFonts w:hint="eastAsia" w:ascii="Times New Roman" w:hAnsi="Times New Roman" w:eastAsia="宋体"/>
          <w:strike w:val="0"/>
          <w:dstrike w:val="0"/>
          <w:color w:val="auto"/>
          <w:highlight w:val="none"/>
        </w:rPr>
        <w:t>规定的</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类、</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rPr>
        <w:t>类地区，或建设项目建设前后评价范围内声环境保护目标噪声级增量达</w:t>
      </w:r>
      <w:r>
        <w:rPr>
          <w:rFonts w:ascii="Times New Roman" w:hAnsi="Times New Roman" w:eastAsia="宋体"/>
          <w:strike w:val="0"/>
          <w:dstrike w:val="0"/>
          <w:color w:val="auto"/>
          <w:highlight w:val="none"/>
        </w:rPr>
        <w:t>3dB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w:t>
      </w:r>
      <w:r>
        <w:rPr>
          <w:rFonts w:hint="eastAsia" w:ascii="Times New Roman" w:hAnsi="Times New Roman" w:eastAsia="宋体" w:cs="微软雅黑"/>
          <w:strike w:val="0"/>
          <w:dstrike w:val="0"/>
          <w:color w:val="auto"/>
          <w:highlight w:val="none"/>
        </w:rPr>
        <w:t>〜</w:t>
      </w:r>
      <w:r>
        <w:rPr>
          <w:rFonts w:ascii="Times New Roman" w:hAnsi="Times New Roman" w:eastAsia="宋体"/>
          <w:strike w:val="0"/>
          <w:dstrike w:val="0"/>
          <w:color w:val="auto"/>
          <w:highlight w:val="none"/>
        </w:rPr>
        <w:t>5dB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），或受噪声影响人口数量增加较多时，按二级评价</w:t>
      </w:r>
      <w:r>
        <w:rPr>
          <w:rFonts w:hint="eastAsia" w:ascii="Times New Roman" w:hAnsi="Times New Roman" w:eastAsia="宋体"/>
          <w:strike w:val="0"/>
          <w:dstrike w:val="0"/>
          <w:color w:val="auto"/>
          <w:highlight w:val="none"/>
          <w:lang w:eastAsia="zh-CN"/>
        </w:rPr>
        <w:t>。</w:t>
      </w:r>
    </w:p>
    <w:p w14:paraId="77D9F9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建设项目所处的声环境功能区为GB3096规定的3类、4类地区，或建设项目建设前后评价范围内声环境保护目标噪声级增量在3dB（A）以下（不含3dB（A）），且受影响人口数量变化不大时，按三级评价</w:t>
      </w:r>
      <w:r>
        <w:rPr>
          <w:rFonts w:hint="eastAsia" w:ascii="Times New Roman" w:hAnsi="Times New Roman" w:eastAsia="宋体"/>
          <w:strike w:val="0"/>
          <w:dstrike w:val="0"/>
          <w:color w:val="auto"/>
          <w:highlight w:val="none"/>
          <w:lang w:eastAsia="zh-CN"/>
        </w:rPr>
        <w:t>。</w:t>
      </w:r>
    </w:p>
    <w:p w14:paraId="06439B5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在确定评价等级时，如果建设项目符合两个等级的划分原则，按较高等级评价</w:t>
      </w:r>
      <w:r>
        <w:rPr>
          <w:rFonts w:hint="eastAsia" w:ascii="Times New Roman" w:hAnsi="Times New Roman" w:eastAsia="宋体"/>
          <w:strike w:val="0"/>
          <w:dstrike w:val="0"/>
          <w:color w:val="auto"/>
          <w:highlight w:val="none"/>
          <w:lang w:eastAsia="zh-CN"/>
        </w:rPr>
        <w:t>。</w:t>
      </w:r>
    </w:p>
    <w:p w14:paraId="1FB6A82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机场建设项目航空器噪声影响评价等级为一级</w:t>
      </w:r>
      <w:r>
        <w:rPr>
          <w:rFonts w:hint="eastAsia" w:ascii="Times New Roman" w:hAnsi="Times New Roman" w:eastAsia="宋体"/>
          <w:strike w:val="0"/>
          <w:dstrike w:val="0"/>
          <w:color w:val="auto"/>
          <w:highlight w:val="none"/>
          <w:lang w:eastAsia="zh-CN"/>
        </w:rPr>
        <w:t>。</w:t>
      </w:r>
    </w:p>
    <w:p w14:paraId="41B22C1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根据《声环境质量标准》（GB3096-2008）声环境功能区分类，本项目所在地为声环境功能区</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类地区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规定，确定声环境评价工作等级为二级评价</w:t>
      </w:r>
      <w:r>
        <w:rPr>
          <w:rFonts w:hint="eastAsia" w:ascii="Times New Roman" w:hAnsi="Times New Roman" w:eastAsia="宋体"/>
          <w:strike w:val="0"/>
          <w:dstrike w:val="0"/>
          <w:color w:val="auto"/>
          <w:highlight w:val="none"/>
          <w:lang w:eastAsia="zh-CN"/>
        </w:rPr>
        <w:t>。</w:t>
      </w:r>
    </w:p>
    <w:p w14:paraId="797082E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2.6.1.4土壤环境评价等级</w:t>
      </w:r>
    </w:p>
    <w:p w14:paraId="5308D2D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根据《环境影响评价技术导则土壤环境（试行）》（HJ964-2018）评价工作分级规定，项目属于污染影响型，根据污染影响型建设项目类别判定评价等级</w:t>
      </w:r>
      <w:r>
        <w:rPr>
          <w:rFonts w:hint="eastAsia" w:ascii="Times New Roman" w:hAnsi="Times New Roman" w:eastAsia="宋体"/>
          <w:strike w:val="0"/>
          <w:dstrike w:val="0"/>
          <w:color w:val="auto"/>
          <w:highlight w:val="none"/>
          <w:lang w:eastAsia="zh-CN"/>
        </w:rPr>
        <w:t>。</w:t>
      </w:r>
    </w:p>
    <w:p w14:paraId="63F78AF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项目占地面积约</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，约为</w:t>
      </w:r>
      <w:r>
        <w:rPr>
          <w:rFonts w:hint="eastAsia" w:ascii="Times New Roman" w:hAnsi="Times New Roman" w:eastAsia="宋体"/>
          <w:strike w:val="0"/>
          <w:dstrike w:val="0"/>
          <w:color w:val="auto"/>
          <w:highlight w:val="none"/>
          <w:lang w:val="en-US" w:eastAsia="zh-CN"/>
        </w:rPr>
        <w:t>13.48</w:t>
      </w:r>
      <w:r>
        <w:rPr>
          <w:rFonts w:hint="eastAsia" w:ascii="Times New Roman" w:hAnsi="Times New Roman" w:eastAsia="宋体"/>
          <w:strike w:val="0"/>
          <w:dstrike w:val="0"/>
          <w:color w:val="auto"/>
          <w:highlight w:val="none"/>
        </w:rPr>
        <w:t>hm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，占地规模为</w:t>
      </w:r>
      <w:r>
        <w:rPr>
          <w:rFonts w:hint="eastAsia" w:ascii="Times New Roman" w:hAnsi="Times New Roman" w:eastAsia="宋体"/>
          <w:strike w:val="0"/>
          <w:dstrike w:val="0"/>
          <w:color w:val="auto"/>
          <w:highlight w:val="none"/>
          <w:lang w:val="en-US" w:eastAsia="zh-CN"/>
        </w:rPr>
        <w:t>中</w:t>
      </w:r>
      <w:r>
        <w:rPr>
          <w:rFonts w:hint="eastAsia" w:ascii="Times New Roman" w:hAnsi="Times New Roman" w:eastAsia="宋体"/>
          <w:strike w:val="0"/>
          <w:dstrike w:val="0"/>
          <w:color w:val="auto"/>
          <w:highlight w:val="none"/>
        </w:rPr>
        <w:t>型（5</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hm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根据《环境影响评价技术导则土壤环境（试行）》（HJ964-2018）附录A土壤环境影响评价项目类别，本项目属于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农林牧渔业——年出栏生猪5000头（其他畜禽种类折合猪的养殖规模）及以上</w:t>
      </w:r>
      <w:r>
        <w:rPr>
          <w:rFonts w:hint="eastAsia" w:ascii="Times New Roman" w:hAnsi="Times New Roman" w:eastAsia="宋体"/>
          <w:strike w:val="0"/>
          <w:dstrike w:val="0"/>
          <w:color w:val="auto"/>
          <w:highlight w:val="none"/>
          <w:lang w:val="en-US" w:eastAsia="zh-CN"/>
        </w:rPr>
        <w:t>的畜禽养殖场或养殖小区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，项目类别为</w:t>
      </w:r>
      <w:r>
        <w:rPr>
          <w:rFonts w:hint="eastAsia" w:ascii="Times New Roman" w:hAnsi="Times New Roman" w:eastAsia="宋体"/>
          <w:strike w:val="0"/>
          <w:dstrike w:val="0"/>
          <w:color w:val="auto"/>
          <w:highlight w:val="none"/>
          <w:lang w:val="en-US" w:eastAsia="zh-CN"/>
        </w:rPr>
        <w:t>Ⅲ</w:t>
      </w:r>
      <w:r>
        <w:rPr>
          <w:rFonts w:hint="eastAsia" w:ascii="Times New Roman" w:hAnsi="Times New Roman" w:eastAsia="宋体"/>
          <w:strike w:val="0"/>
          <w:dstrike w:val="0"/>
          <w:color w:val="auto"/>
          <w:highlight w:val="none"/>
        </w:rPr>
        <w:t>类</w:t>
      </w:r>
      <w:r>
        <w:rPr>
          <w:rFonts w:hint="eastAsia" w:ascii="Times New Roman" w:hAnsi="Times New Roman" w:eastAsia="宋体"/>
          <w:strike w:val="0"/>
          <w:dstrike w:val="0"/>
          <w:color w:val="auto"/>
          <w:highlight w:val="none"/>
          <w:lang w:eastAsia="zh-CN"/>
        </w:rPr>
        <w:t>。</w:t>
      </w:r>
    </w:p>
    <w:p w14:paraId="650ECEF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建设项目所在地周边的土壤环境敏感程度分为敏感、较敏感、不敏感，判别依据见表</w:t>
      </w:r>
      <w:r>
        <w:rPr>
          <w:rFonts w:ascii="Times New Roman" w:hAnsi="Times New Roman" w:eastAsia="宋体"/>
          <w:strike w:val="0"/>
          <w:dstrike w:val="0"/>
          <w:color w:val="auto"/>
          <w:highlight w:val="none"/>
        </w:rPr>
        <w:t>2.6</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所示</w:t>
      </w:r>
      <w:r>
        <w:rPr>
          <w:rFonts w:hint="eastAsia" w:ascii="Times New Roman" w:hAnsi="Times New Roman" w:eastAsia="宋体"/>
          <w:strike w:val="0"/>
          <w:dstrike w:val="0"/>
          <w:color w:val="auto"/>
          <w:highlight w:val="none"/>
          <w:lang w:eastAsia="zh-CN"/>
        </w:rPr>
        <w:t>。</w:t>
      </w:r>
    </w:p>
    <w:p w14:paraId="07BFC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表2.6-8污染影响性敏感程度分级表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079"/>
      </w:tblGrid>
      <w:tr w14:paraId="6A4A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Align w:val="center"/>
          </w:tcPr>
          <w:p w14:paraId="2FC370D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敏感程度</w:t>
            </w:r>
          </w:p>
        </w:tc>
        <w:tc>
          <w:tcPr>
            <w:tcW w:w="7280" w:type="dxa"/>
            <w:vAlign w:val="center"/>
          </w:tcPr>
          <w:p w14:paraId="6B31913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判别依据</w:t>
            </w:r>
          </w:p>
        </w:tc>
      </w:tr>
      <w:tr w14:paraId="4F72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AFA065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7280" w:type="dxa"/>
            <w:vAlign w:val="center"/>
          </w:tcPr>
          <w:p w14:paraId="33E90B17">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建设项目周边存在耕地、园地、牧草地、饮用水源地或居民区、学校、医院、疗养院、养老院等土壤环境敏感目标的</w:t>
            </w:r>
          </w:p>
        </w:tc>
      </w:tr>
      <w:tr w14:paraId="4797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A98194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7280" w:type="dxa"/>
            <w:vAlign w:val="center"/>
          </w:tcPr>
          <w:p w14:paraId="0B0007D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建设项目周边存在其他土壤环境敏感目标的</w:t>
            </w:r>
          </w:p>
        </w:tc>
      </w:tr>
      <w:tr w14:paraId="4133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4BD942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7280" w:type="dxa"/>
            <w:vAlign w:val="center"/>
          </w:tcPr>
          <w:p w14:paraId="13B63F8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其他情况</w:t>
            </w:r>
          </w:p>
        </w:tc>
      </w:tr>
    </w:tbl>
    <w:p w14:paraId="2C9DC6B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周边无土壤环境保护目标，敏感程度为不</w:t>
      </w:r>
      <w:r>
        <w:rPr>
          <w:rFonts w:hint="eastAsia" w:ascii="Times New Roman" w:hAnsi="Times New Roman" w:eastAsia="宋体"/>
          <w:strike w:val="0"/>
          <w:dstrike w:val="0"/>
          <w:color w:val="auto"/>
          <w:highlight w:val="none"/>
        </w:rPr>
        <w:t>敏感</w:t>
      </w:r>
      <w:r>
        <w:rPr>
          <w:rFonts w:hint="eastAsia" w:ascii="Times New Roman" w:hAnsi="Times New Roman" w:eastAsia="宋体"/>
          <w:strike w:val="0"/>
          <w:dstrike w:val="0"/>
          <w:color w:val="auto"/>
          <w:highlight w:val="none"/>
          <w:lang w:eastAsia="zh-CN"/>
        </w:rPr>
        <w:t>。</w:t>
      </w:r>
    </w:p>
    <w:p w14:paraId="2AB8122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根据《环境影响评价技术导则土壤环境（试行）》（HJ964-2018），污染影响型评价工作等级划分表见表2.6-</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lang w:eastAsia="zh-CN"/>
        </w:rPr>
        <w:t>。</w:t>
      </w:r>
    </w:p>
    <w:p w14:paraId="5FCD6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表2.6-9污染影响型评价工作等级划分表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783"/>
        <w:gridCol w:w="788"/>
        <w:gridCol w:w="790"/>
        <w:gridCol w:w="788"/>
        <w:gridCol w:w="786"/>
        <w:gridCol w:w="790"/>
        <w:gridCol w:w="786"/>
        <w:gridCol w:w="788"/>
        <w:gridCol w:w="787"/>
      </w:tblGrid>
      <w:tr w14:paraId="1A42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pct"/>
            <w:vMerge w:val="restart"/>
            <w:vAlign w:val="center"/>
          </w:tcPr>
          <w:p w14:paraId="2BA781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占地规模</w:t>
            </w:r>
          </w:p>
        </w:tc>
        <w:tc>
          <w:tcPr>
            <w:tcW w:w="1423" w:type="pct"/>
            <w:gridSpan w:val="3"/>
            <w:vAlign w:val="center"/>
          </w:tcPr>
          <w:p w14:paraId="6944C5D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I类</w:t>
            </w:r>
          </w:p>
        </w:tc>
        <w:tc>
          <w:tcPr>
            <w:tcW w:w="1425" w:type="pct"/>
            <w:gridSpan w:val="3"/>
            <w:vAlign w:val="center"/>
          </w:tcPr>
          <w:p w14:paraId="4047ED2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II类</w:t>
            </w:r>
          </w:p>
        </w:tc>
        <w:tc>
          <w:tcPr>
            <w:tcW w:w="1423" w:type="pct"/>
            <w:gridSpan w:val="3"/>
            <w:vAlign w:val="center"/>
          </w:tcPr>
          <w:p w14:paraId="4145C27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III类</w:t>
            </w:r>
          </w:p>
        </w:tc>
      </w:tr>
      <w:tr w14:paraId="4CB4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Merge w:val="continue"/>
            <w:vAlign w:val="center"/>
          </w:tcPr>
          <w:p w14:paraId="077C234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472" w:type="pct"/>
            <w:vAlign w:val="center"/>
          </w:tcPr>
          <w:p w14:paraId="0D19CF8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5" w:type="pct"/>
            <w:vAlign w:val="center"/>
          </w:tcPr>
          <w:p w14:paraId="64A09D3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6" w:type="pct"/>
            <w:vAlign w:val="center"/>
          </w:tcPr>
          <w:p w14:paraId="4358FA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c>
          <w:tcPr>
            <w:tcW w:w="475" w:type="pct"/>
            <w:vAlign w:val="center"/>
          </w:tcPr>
          <w:p w14:paraId="1AE9D6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4" w:type="pct"/>
            <w:vAlign w:val="center"/>
          </w:tcPr>
          <w:p w14:paraId="3A8393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6" w:type="pct"/>
            <w:vAlign w:val="center"/>
          </w:tcPr>
          <w:p w14:paraId="5D701CD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c>
          <w:tcPr>
            <w:tcW w:w="474" w:type="pct"/>
            <w:vAlign w:val="center"/>
          </w:tcPr>
          <w:p w14:paraId="691D46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5" w:type="pct"/>
            <w:vAlign w:val="center"/>
          </w:tcPr>
          <w:p w14:paraId="6970958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4" w:type="pct"/>
            <w:vAlign w:val="center"/>
          </w:tcPr>
          <w:p w14:paraId="231546C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r>
      <w:tr w14:paraId="1348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6F836CB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472" w:type="pct"/>
            <w:vAlign w:val="center"/>
          </w:tcPr>
          <w:p w14:paraId="5142DE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6C755C9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6" w:type="pct"/>
            <w:vAlign w:val="center"/>
          </w:tcPr>
          <w:p w14:paraId="5B64209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0403F3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7510AF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00321E6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6D1CFE4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2B3B7D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0BCC503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02AF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38A3B4E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472" w:type="pct"/>
            <w:vAlign w:val="center"/>
          </w:tcPr>
          <w:p w14:paraId="50A360C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2890E0A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6" w:type="pct"/>
            <w:vAlign w:val="center"/>
          </w:tcPr>
          <w:p w14:paraId="455F14A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5" w:type="pct"/>
            <w:vAlign w:val="center"/>
          </w:tcPr>
          <w:p w14:paraId="41161E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6CC5439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281A00F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1648515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661153A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2A90B74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54ED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22C6D15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472" w:type="pct"/>
            <w:vAlign w:val="center"/>
          </w:tcPr>
          <w:p w14:paraId="69B6E85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70013BB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53BD7AC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5" w:type="pct"/>
            <w:vAlign w:val="center"/>
          </w:tcPr>
          <w:p w14:paraId="31301B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12D966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6" w:type="pct"/>
            <w:vAlign w:val="center"/>
          </w:tcPr>
          <w:p w14:paraId="09C0B87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4DB691E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13F17E1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474" w:type="pct"/>
            <w:vAlign w:val="center"/>
          </w:tcPr>
          <w:p w14:paraId="4D1E054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7F1B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00FDC738">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注：</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表示可不开展土壤环境影响评价工作</w:t>
            </w:r>
          </w:p>
        </w:tc>
      </w:tr>
    </w:tbl>
    <w:p w14:paraId="5D029724">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综上所述，根据《环境影响评价技术导则土壤环境（试行）》（HJ964-2018），</w:t>
      </w:r>
      <w:r>
        <w:rPr>
          <w:rFonts w:hint="eastAsia" w:ascii="Times New Roman" w:hAnsi="Times New Roman" w:eastAsia="宋体"/>
          <w:strike w:val="0"/>
          <w:dstrike w:val="0"/>
          <w:color w:val="auto"/>
          <w:highlight w:val="none"/>
          <w:lang w:val="en-US" w:eastAsia="zh-CN"/>
        </w:rPr>
        <w:t>本项目可不开展土壤环境影响评价工作，为摸清项目区土壤环境质量，主动提高评价工作深度，参照三级土壤环境影响评价技术开展土壤评价工作。</w:t>
      </w:r>
    </w:p>
    <w:p w14:paraId="6381CC56">
      <w:pPr>
        <w:pStyle w:val="5"/>
        <w:ind w:firstLine="482"/>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2.6.1.5生态</w:t>
      </w:r>
      <w:r>
        <w:rPr>
          <w:rFonts w:hint="eastAsia" w:ascii="Times New Roman" w:hAnsi="Times New Roman" w:eastAsia="宋体"/>
          <w:strike w:val="0"/>
          <w:dstrike w:val="0"/>
          <w:color w:val="auto"/>
          <w:highlight w:val="none"/>
          <w:lang w:val="en-US" w:eastAsia="zh-CN"/>
        </w:rPr>
        <w:t>环境评价等级</w:t>
      </w:r>
    </w:p>
    <w:p w14:paraId="2A7F70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根据《环境影响评价技术导则生态影响》（HJ1.9-2022），确定生态环境评价工作等级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根据生态影响评价工作等级划分内容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生态影响评价工作等级划分如下原则确定：</w:t>
      </w:r>
    </w:p>
    <w:p w14:paraId="244516B7">
      <w:pPr>
        <w:ind w:firstLine="480"/>
        <w:rPr>
          <w:rFonts w:ascii="Times New Roman" w:hAnsi="Times New Roman" w:eastAsia="宋体"/>
          <w:strike w:val="0"/>
          <w:dstrike w:val="0"/>
          <w:color w:val="auto"/>
          <w:highlight w:val="none"/>
        </w:rPr>
      </w:pPr>
      <w:bookmarkStart w:id="75" w:name="_Hlk106660903"/>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涉及国家公园、自然保护区、世界自然遗产、重要生境时，评价等级为一级；</w:t>
      </w:r>
    </w:p>
    <w:p w14:paraId="0F37348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b）涉及自然公园时，评价等级为二级；</w:t>
      </w:r>
    </w:p>
    <w:p w14:paraId="47C1980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c）涉及生态保护红线时，评价等级不低于二级</w:t>
      </w:r>
      <w:r>
        <w:rPr>
          <w:rFonts w:hint="eastAsia" w:ascii="Times New Roman" w:hAnsi="Times New Roman" w:eastAsia="宋体"/>
          <w:strike w:val="0"/>
          <w:dstrike w:val="0"/>
          <w:color w:val="auto"/>
          <w:highlight w:val="none"/>
          <w:lang w:eastAsia="zh-CN"/>
        </w:rPr>
        <w:t>；</w:t>
      </w:r>
    </w:p>
    <w:bookmarkEnd w:id="75"/>
    <w:p w14:paraId="7E4B81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d）根据HJ2.3判断属于水文要素影响型且地表水评价等级不低于二级的建设项目，生态影响评价等级不低于二级；</w:t>
      </w:r>
    </w:p>
    <w:p w14:paraId="362A42E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根据HJ610、HJ964判断地下水水位或土壤影响范围内分布有天然林、公益林、湿地等生态保护目标的建设项目，生态影响评价等级不低于二级；</w:t>
      </w:r>
    </w:p>
    <w:p w14:paraId="2C95FE0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f）</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当工程占地规模大于20km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时（包括永久和临时占用陆域和水域），评价等级不低于二级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改扩建项目的占地范围以新增占地（包括陆域和水域）确定；</w:t>
      </w:r>
    </w:p>
    <w:p w14:paraId="7FBFF2F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g）除本条a）、b）、c）、d）、e）、f）以外的情况，评价等级为三级；</w:t>
      </w:r>
    </w:p>
    <w:p w14:paraId="1C04CE0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h）当评价等级判定同时符合上述多种情况时，应采用其中最高的评价等级</w:t>
      </w:r>
      <w:r>
        <w:rPr>
          <w:rFonts w:hint="eastAsia" w:ascii="Times New Roman" w:hAnsi="Times New Roman" w:eastAsia="宋体"/>
          <w:strike w:val="0"/>
          <w:dstrike w:val="0"/>
          <w:color w:val="auto"/>
          <w:highlight w:val="none"/>
          <w:lang w:eastAsia="zh-CN"/>
        </w:rPr>
        <w:t>。</w:t>
      </w:r>
    </w:p>
    <w:p w14:paraId="700583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（2）工程占地范围及环境敏感情况</w:t>
      </w:r>
    </w:p>
    <w:p w14:paraId="2E7292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本项目总占地面积</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（折</w:t>
      </w:r>
      <w:r>
        <w:rPr>
          <w:rFonts w:hint="eastAsia" w:ascii="Times New Roman" w:hAnsi="Times New Roman" w:eastAsia="宋体"/>
          <w:strike w:val="0"/>
          <w:dstrike w:val="0"/>
          <w:color w:val="auto"/>
          <w:highlight w:val="none"/>
          <w:lang w:val="en-US" w:eastAsia="zh-CN"/>
        </w:rPr>
        <w:t>0.13487</w:t>
      </w:r>
      <w:r>
        <w:rPr>
          <w:rFonts w:hint="eastAsia" w:ascii="Times New Roman" w:hAnsi="Times New Roman" w:eastAsia="宋体"/>
          <w:strike w:val="0"/>
          <w:dstrike w:val="0"/>
          <w:color w:val="auto"/>
          <w:highlight w:val="none"/>
        </w:rPr>
        <w:t>km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），小于2</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km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本项目周边不涉及国家公园、自然保护区、世界自然遗产、重要生境时，不涉及自然公园，不涉及生态保护红线</w:t>
      </w:r>
      <w:r>
        <w:rPr>
          <w:rFonts w:hint="eastAsia" w:ascii="Times New Roman" w:hAnsi="Times New Roman" w:eastAsia="宋体"/>
          <w:strike w:val="0"/>
          <w:dstrike w:val="0"/>
          <w:color w:val="auto"/>
          <w:highlight w:val="none"/>
          <w:lang w:eastAsia="zh-CN"/>
        </w:rPr>
        <w:t>。</w:t>
      </w:r>
    </w:p>
    <w:p w14:paraId="6FA23A1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综上所述，本项目生态影响评价等级为三级</w:t>
      </w:r>
      <w:r>
        <w:rPr>
          <w:rFonts w:hint="eastAsia" w:ascii="Times New Roman" w:hAnsi="Times New Roman" w:eastAsia="宋体"/>
          <w:strike w:val="0"/>
          <w:dstrike w:val="0"/>
          <w:color w:val="auto"/>
          <w:highlight w:val="none"/>
          <w:lang w:eastAsia="zh-CN"/>
        </w:rPr>
        <w:t>。</w:t>
      </w:r>
    </w:p>
    <w:p w14:paraId="58511B5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2.6.1.6环境风险</w:t>
      </w:r>
    </w:p>
    <w:p w14:paraId="5B925DE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根据《建设项目环境风险评价技术导则》（HJ169-2018）、《关于切实加强风险防范严格环境影响评价管理的通知》（环发</w:t>
      </w:r>
      <w:r>
        <w:rPr>
          <w:rFonts w:hint="eastAsia" w:ascii="Times New Roman" w:hAnsi="Times New Roman" w:eastAsia="宋体"/>
          <w:strike w:val="0"/>
          <w:dstrike w:val="0"/>
          <w:color w:val="auto"/>
          <w:highlight w:val="none"/>
          <w:lang w:eastAsia="zh-CN"/>
        </w:rPr>
        <w:t>〔2012〕98号</w:t>
      </w:r>
      <w:r>
        <w:rPr>
          <w:rFonts w:hint="eastAsia" w:ascii="Times New Roman" w:hAnsi="Times New Roman" w:eastAsia="宋体"/>
          <w:strike w:val="0"/>
          <w:dstrike w:val="0"/>
          <w:color w:val="auto"/>
          <w:highlight w:val="none"/>
        </w:rPr>
        <w:t>）、《关于进一步加强环境影响评价管理防范环境风险的通知》（环发</w:t>
      </w:r>
      <w:r>
        <w:rPr>
          <w:rFonts w:hint="eastAsia" w:ascii="Times New Roman" w:hAnsi="Times New Roman" w:eastAsia="宋体"/>
          <w:strike w:val="0"/>
          <w:dstrike w:val="0"/>
          <w:color w:val="auto"/>
          <w:highlight w:val="none"/>
          <w:lang w:eastAsia="zh-CN"/>
        </w:rPr>
        <w:t>〔2012〕77号</w:t>
      </w:r>
      <w:r>
        <w:rPr>
          <w:rFonts w:hint="eastAsia" w:ascii="Times New Roman" w:hAnsi="Times New Roman" w:eastAsia="宋体"/>
          <w:strike w:val="0"/>
          <w:dstrike w:val="0"/>
          <w:color w:val="auto"/>
          <w:highlight w:val="none"/>
        </w:rPr>
        <w:t>）等要求，对本项目进行环境风险评价，通过对建设项目的环境风险进行分析、预测和评估，提出环境风险预防、控制、减缓措施，明确环境风险监控及应急建议要求，为建设项目环境风险防控提出科学依据</w:t>
      </w:r>
      <w:r>
        <w:rPr>
          <w:rFonts w:hint="eastAsia" w:ascii="Times New Roman" w:hAnsi="Times New Roman" w:eastAsia="宋体"/>
          <w:strike w:val="0"/>
          <w:dstrike w:val="0"/>
          <w:color w:val="auto"/>
          <w:highlight w:val="none"/>
          <w:lang w:eastAsia="zh-CN"/>
        </w:rPr>
        <w:t>。</w:t>
      </w:r>
    </w:p>
    <w:p w14:paraId="5857ED1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w:t>
      </w:r>
      <w:r>
        <w:rPr>
          <w:rFonts w:hint="eastAsia" w:ascii="Times New Roman" w:hAnsi="Times New Roman" w:eastAsia="宋体"/>
          <w:strike w:val="0"/>
          <w:dstrike w:val="0"/>
          <w:color w:val="auto"/>
          <w:highlight w:val="none"/>
          <w:lang w:eastAsia="zh-CN"/>
        </w:rPr>
        <w:t>，环境</w:t>
      </w:r>
      <w:r>
        <w:rPr>
          <w:rFonts w:hint="eastAsia" w:ascii="Times New Roman" w:hAnsi="Times New Roman" w:eastAsia="宋体"/>
          <w:strike w:val="0"/>
          <w:dstrike w:val="0"/>
          <w:color w:val="auto"/>
          <w:highlight w:val="none"/>
        </w:rPr>
        <w:t>风险评价工作等级划分为一级、二级、三级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根据建设项目涉及的物质及工艺系统危险性和所在地的环境敏感性确定环境风险潜势，确定评价工作等级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风险潜势为Ⅳ及以上，进行一级评价；风险潜势为Ⅲ，进行二级评价；风险潜势为Ⅱ，进行三级评价；风险潜势为Ⅰ，可开展简单分析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评价工作等级的划分依据具体见表2.6-1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lang w:eastAsia="zh-CN"/>
        </w:rPr>
        <w:t>。</w:t>
      </w:r>
    </w:p>
    <w:p w14:paraId="201C3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表2.6-10评价工作等级划分表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1659"/>
        <w:gridCol w:w="1659"/>
        <w:gridCol w:w="1660"/>
      </w:tblGrid>
      <w:tr w14:paraId="3F3A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0" w:type="pct"/>
            <w:shd w:val="clear" w:color="auto" w:fill="auto"/>
            <w:vAlign w:val="center"/>
          </w:tcPr>
          <w:p w14:paraId="51263102">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环境风险潜势</w:t>
            </w:r>
          </w:p>
        </w:tc>
        <w:tc>
          <w:tcPr>
            <w:tcW w:w="1000" w:type="pct"/>
            <w:shd w:val="clear" w:color="auto" w:fill="auto"/>
            <w:vAlign w:val="center"/>
          </w:tcPr>
          <w:p w14:paraId="5EFC4E99">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Ⅳ、Ⅳ</w:t>
            </w:r>
            <w:r>
              <w:rPr>
                <w:rFonts w:hint="eastAsia" w:ascii="Times New Roman" w:hAnsi="Times New Roman" w:eastAsia="宋体"/>
                <w:strike w:val="0"/>
                <w:dstrike w:val="0"/>
                <w:color w:val="auto"/>
                <w:sz w:val="21"/>
                <w:highlight w:val="none"/>
                <w:vertAlign w:val="superscript"/>
              </w:rPr>
              <w:t>+</w:t>
            </w:r>
          </w:p>
        </w:tc>
        <w:tc>
          <w:tcPr>
            <w:tcW w:w="1000" w:type="pct"/>
            <w:shd w:val="clear" w:color="auto" w:fill="auto"/>
            <w:vAlign w:val="center"/>
          </w:tcPr>
          <w:p w14:paraId="5E0FC55D">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Ⅲ</w:t>
            </w:r>
          </w:p>
        </w:tc>
        <w:tc>
          <w:tcPr>
            <w:tcW w:w="1000" w:type="pct"/>
            <w:shd w:val="clear" w:color="auto" w:fill="auto"/>
            <w:vAlign w:val="center"/>
          </w:tcPr>
          <w:p w14:paraId="405CE8D2">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Ⅱ</w:t>
            </w:r>
          </w:p>
        </w:tc>
        <w:tc>
          <w:tcPr>
            <w:tcW w:w="1001" w:type="pct"/>
            <w:shd w:val="clear" w:color="auto" w:fill="auto"/>
            <w:vAlign w:val="center"/>
          </w:tcPr>
          <w:p w14:paraId="3976DB38">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Ⅰ</w:t>
            </w:r>
          </w:p>
        </w:tc>
      </w:tr>
      <w:tr w14:paraId="4B0D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0" w:type="pct"/>
            <w:shd w:val="clear" w:color="auto" w:fill="auto"/>
            <w:vAlign w:val="center"/>
          </w:tcPr>
          <w:p w14:paraId="37C5207C">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评价工作等级</w:t>
            </w:r>
          </w:p>
        </w:tc>
        <w:tc>
          <w:tcPr>
            <w:tcW w:w="1000" w:type="pct"/>
            <w:shd w:val="clear" w:color="auto" w:fill="auto"/>
            <w:vAlign w:val="center"/>
          </w:tcPr>
          <w:p w14:paraId="0D5E43C0">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一</w:t>
            </w:r>
          </w:p>
        </w:tc>
        <w:tc>
          <w:tcPr>
            <w:tcW w:w="1000" w:type="pct"/>
            <w:shd w:val="clear" w:color="auto" w:fill="auto"/>
            <w:vAlign w:val="center"/>
          </w:tcPr>
          <w:p w14:paraId="29F67807">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二</w:t>
            </w:r>
          </w:p>
        </w:tc>
        <w:tc>
          <w:tcPr>
            <w:tcW w:w="1000" w:type="pct"/>
            <w:shd w:val="clear" w:color="auto" w:fill="auto"/>
            <w:vAlign w:val="center"/>
          </w:tcPr>
          <w:p w14:paraId="692F027D">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三</w:t>
            </w:r>
          </w:p>
        </w:tc>
        <w:tc>
          <w:tcPr>
            <w:tcW w:w="1001" w:type="pct"/>
            <w:shd w:val="clear" w:color="auto" w:fill="auto"/>
            <w:vAlign w:val="center"/>
          </w:tcPr>
          <w:p w14:paraId="02C87AC6">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简单分析</w:t>
            </w:r>
            <w:r>
              <w:rPr>
                <w:rFonts w:hint="eastAsia" w:ascii="Times New Roman" w:hAnsi="Times New Roman" w:eastAsia="宋体"/>
                <w:strike w:val="0"/>
                <w:dstrike w:val="0"/>
                <w:color w:val="auto"/>
                <w:sz w:val="21"/>
                <w:highlight w:val="none"/>
                <w:vertAlign w:val="superscript"/>
              </w:rPr>
              <w:t>a</w:t>
            </w:r>
          </w:p>
        </w:tc>
      </w:tr>
      <w:tr w14:paraId="03C8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000" w:type="pct"/>
            <w:gridSpan w:val="5"/>
            <w:shd w:val="clear" w:color="auto" w:fill="auto"/>
            <w:vAlign w:val="center"/>
          </w:tcPr>
          <w:p w14:paraId="3EC508E5">
            <w:pPr>
              <w:spacing w:line="240" w:lineRule="auto"/>
              <w:ind w:firstLine="0" w:firstLineChars="0"/>
              <w:rPr>
                <w:rFonts w:hint="eastAsia" w:ascii="Times New Roman" w:hAnsi="Times New Roman" w:eastAsia="宋体"/>
                <w:strike w:val="0"/>
                <w:dstrike w:val="0"/>
                <w:color w:val="auto"/>
                <w:sz w:val="21"/>
                <w:highlight w:val="none"/>
                <w:lang w:eastAsia="zh-CN"/>
              </w:rPr>
            </w:pPr>
            <w:r>
              <w:rPr>
                <w:rFonts w:hint="eastAsia" w:ascii="Times New Roman" w:hAnsi="Times New Roman" w:eastAsia="宋体"/>
                <w:strike w:val="0"/>
                <w:dstrike w:val="0"/>
                <w:color w:val="auto"/>
                <w:sz w:val="21"/>
                <w:highlight w:val="none"/>
              </w:rPr>
              <w:t>a是相对于详细评价工作内容而言，在描述危险物质、环境影响途径、环境危害后果、风险防范措施等方面给出定性的说明</w:t>
            </w:r>
            <w:r>
              <w:rPr>
                <w:rFonts w:hint="eastAsia" w:ascii="Times New Roman" w:hAnsi="Times New Roman" w:eastAsia="宋体"/>
                <w:strike w:val="0"/>
                <w:dstrike w:val="0"/>
                <w:color w:val="auto"/>
                <w:sz w:val="21"/>
                <w:highlight w:val="none"/>
                <w:lang w:eastAsia="zh-CN"/>
              </w:rPr>
              <w:t>。</w:t>
            </w:r>
          </w:p>
        </w:tc>
      </w:tr>
    </w:tbl>
    <w:p w14:paraId="026558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本项目不涉及附录B中的危险化学品，则存储量和临界量比值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＜1，该项目环境风险潜势为I，环境风险评价工作级别确定为简单分析</w:t>
      </w:r>
      <w:r>
        <w:rPr>
          <w:rFonts w:hint="eastAsia" w:ascii="Times New Roman" w:hAnsi="Times New Roman" w:eastAsia="宋体"/>
          <w:strike w:val="0"/>
          <w:dstrike w:val="0"/>
          <w:color w:val="auto"/>
          <w:highlight w:val="none"/>
          <w:lang w:eastAsia="zh-CN"/>
        </w:rPr>
        <w:t>。</w:t>
      </w:r>
    </w:p>
    <w:p w14:paraId="25B8A6C7">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2.6.1.7小结</w:t>
      </w:r>
    </w:p>
    <w:p w14:paraId="64EC4C2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本项目环境影响评级等级见表2.6-1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09487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表2.6-11环境影响评价等级表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3597"/>
        <w:gridCol w:w="2468"/>
        <w:gridCol w:w="1155"/>
      </w:tblGrid>
      <w:tr w14:paraId="0D89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5E152F9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专题</w:t>
            </w:r>
          </w:p>
        </w:tc>
        <w:tc>
          <w:tcPr>
            <w:tcW w:w="6065" w:type="dxa"/>
            <w:gridSpan w:val="2"/>
            <w:vAlign w:val="center"/>
          </w:tcPr>
          <w:p w14:paraId="0EA3EF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等级判别依据</w:t>
            </w:r>
          </w:p>
        </w:tc>
        <w:tc>
          <w:tcPr>
            <w:tcW w:w="1155" w:type="dxa"/>
            <w:vAlign w:val="center"/>
          </w:tcPr>
          <w:p w14:paraId="5B06A67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评价等级</w:t>
            </w:r>
          </w:p>
        </w:tc>
      </w:tr>
      <w:tr w14:paraId="6A46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0820EEA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w:t>
            </w:r>
          </w:p>
        </w:tc>
        <w:tc>
          <w:tcPr>
            <w:tcW w:w="3597" w:type="dxa"/>
            <w:vAlign w:val="center"/>
          </w:tcPr>
          <w:p w14:paraId="22BD7E4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污染物最大地面质量浓度占标率</w:t>
            </w:r>
          </w:p>
        </w:tc>
        <w:tc>
          <w:tcPr>
            <w:tcW w:w="2468" w:type="dxa"/>
            <w:vAlign w:val="center"/>
          </w:tcPr>
          <w:p w14:paraId="5E16929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7.6569</w:t>
            </w:r>
            <w:r>
              <w:rPr>
                <w:rFonts w:hint="eastAsia" w:ascii="Times New Roman" w:hAnsi="Times New Roman" w:eastAsia="宋体"/>
                <w:strike w:val="0"/>
                <w:dstrike w:val="0"/>
                <w:color w:val="auto"/>
                <w:sz w:val="21"/>
                <w:szCs w:val="21"/>
                <w:highlight w:val="none"/>
              </w:rPr>
              <w:t>%</w:t>
            </w:r>
          </w:p>
        </w:tc>
        <w:tc>
          <w:tcPr>
            <w:tcW w:w="1155" w:type="dxa"/>
            <w:vMerge w:val="restart"/>
            <w:vAlign w:val="center"/>
          </w:tcPr>
          <w:p w14:paraId="1610F68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二</w:t>
            </w:r>
            <w:r>
              <w:rPr>
                <w:rFonts w:hint="eastAsia" w:ascii="Times New Roman" w:hAnsi="Times New Roman" w:eastAsia="宋体"/>
                <w:strike w:val="0"/>
                <w:dstrike w:val="0"/>
                <w:color w:val="auto"/>
                <w:sz w:val="21"/>
                <w:szCs w:val="21"/>
                <w:highlight w:val="none"/>
              </w:rPr>
              <w:t>级</w:t>
            </w:r>
          </w:p>
        </w:tc>
      </w:tr>
      <w:tr w14:paraId="2581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71DDAC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61D32B8B">
            <w:pPr>
              <w:spacing w:line="240" w:lineRule="auto"/>
              <w:ind w:firstLine="0" w:firstLineChars="0"/>
              <w:jc w:val="center"/>
              <w:rPr>
                <w:rFonts w:hint="eastAsia"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主要评价因子的环境质量现状</w:t>
            </w:r>
          </w:p>
        </w:tc>
        <w:tc>
          <w:tcPr>
            <w:tcW w:w="2468" w:type="dxa"/>
            <w:vAlign w:val="center"/>
          </w:tcPr>
          <w:p w14:paraId="31AFC6B7">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不达标</w:t>
            </w:r>
          </w:p>
        </w:tc>
        <w:tc>
          <w:tcPr>
            <w:tcW w:w="1155" w:type="dxa"/>
            <w:vMerge w:val="continue"/>
            <w:vAlign w:val="center"/>
          </w:tcPr>
          <w:p w14:paraId="1823EFF2">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99E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7343CA1">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248839A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当地环境空气质量功能类别</w:t>
            </w:r>
          </w:p>
        </w:tc>
        <w:tc>
          <w:tcPr>
            <w:tcW w:w="2468" w:type="dxa"/>
            <w:vAlign w:val="center"/>
          </w:tcPr>
          <w:p w14:paraId="319E4AB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二类</w:t>
            </w:r>
          </w:p>
        </w:tc>
        <w:tc>
          <w:tcPr>
            <w:tcW w:w="1155" w:type="dxa"/>
            <w:vMerge w:val="continue"/>
            <w:vAlign w:val="center"/>
          </w:tcPr>
          <w:p w14:paraId="05B19B89">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18D0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A4B647A">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7F0BF57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区域空气环境敏感程度</w:t>
            </w:r>
          </w:p>
        </w:tc>
        <w:tc>
          <w:tcPr>
            <w:tcW w:w="2468" w:type="dxa"/>
            <w:vAlign w:val="center"/>
          </w:tcPr>
          <w:p w14:paraId="6CE254F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w:t>
            </w:r>
          </w:p>
        </w:tc>
        <w:tc>
          <w:tcPr>
            <w:tcW w:w="1155" w:type="dxa"/>
            <w:vMerge w:val="continue"/>
            <w:vAlign w:val="center"/>
          </w:tcPr>
          <w:p w14:paraId="70D778C8">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7E7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12FBF95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地表水</w:t>
            </w:r>
          </w:p>
        </w:tc>
        <w:tc>
          <w:tcPr>
            <w:tcW w:w="3597" w:type="dxa"/>
            <w:vAlign w:val="center"/>
          </w:tcPr>
          <w:p w14:paraId="6F32FC4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排放方式</w:t>
            </w:r>
          </w:p>
        </w:tc>
        <w:tc>
          <w:tcPr>
            <w:tcW w:w="2468" w:type="dxa"/>
            <w:vAlign w:val="center"/>
          </w:tcPr>
          <w:p w14:paraId="4CF478C9">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lang w:val="en-US" w:eastAsia="zh-CN"/>
              </w:rPr>
              <w:t>/</w:t>
            </w:r>
          </w:p>
        </w:tc>
        <w:tc>
          <w:tcPr>
            <w:tcW w:w="1155" w:type="dxa"/>
            <w:vMerge w:val="restart"/>
            <w:vAlign w:val="center"/>
          </w:tcPr>
          <w:p w14:paraId="2E9B69A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三级B</w:t>
            </w:r>
          </w:p>
        </w:tc>
      </w:tr>
      <w:tr w14:paraId="3AE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C93D548">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43C50A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生产废水</w:t>
            </w:r>
          </w:p>
        </w:tc>
        <w:tc>
          <w:tcPr>
            <w:tcW w:w="2468" w:type="dxa"/>
            <w:vAlign w:val="center"/>
          </w:tcPr>
          <w:p w14:paraId="41DFA52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不外排</w:t>
            </w:r>
          </w:p>
        </w:tc>
        <w:tc>
          <w:tcPr>
            <w:tcW w:w="1155" w:type="dxa"/>
            <w:vMerge w:val="continue"/>
            <w:vAlign w:val="center"/>
          </w:tcPr>
          <w:p w14:paraId="4BFD798A">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29A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31E060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w:t>
            </w:r>
          </w:p>
        </w:tc>
        <w:tc>
          <w:tcPr>
            <w:tcW w:w="3597" w:type="dxa"/>
            <w:vAlign w:val="center"/>
          </w:tcPr>
          <w:p w14:paraId="017AD19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建设项目行业分类</w:t>
            </w:r>
          </w:p>
        </w:tc>
        <w:tc>
          <w:tcPr>
            <w:tcW w:w="2468" w:type="dxa"/>
            <w:vAlign w:val="center"/>
          </w:tcPr>
          <w:p w14:paraId="679805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Ⅲ类行业</w:t>
            </w:r>
          </w:p>
        </w:tc>
        <w:tc>
          <w:tcPr>
            <w:tcW w:w="1155" w:type="dxa"/>
            <w:vMerge w:val="restart"/>
            <w:vAlign w:val="center"/>
          </w:tcPr>
          <w:p w14:paraId="2049529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1B9C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C1B2BE5">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1DE9936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区域地下水敏感程度分级</w:t>
            </w:r>
          </w:p>
        </w:tc>
        <w:tc>
          <w:tcPr>
            <w:tcW w:w="2468" w:type="dxa"/>
            <w:vAlign w:val="center"/>
          </w:tcPr>
          <w:p w14:paraId="071E5F7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1155" w:type="dxa"/>
            <w:vMerge w:val="continue"/>
            <w:vAlign w:val="center"/>
          </w:tcPr>
          <w:p w14:paraId="755E5785">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51D7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A7BEA4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w:t>
            </w:r>
          </w:p>
        </w:tc>
        <w:tc>
          <w:tcPr>
            <w:tcW w:w="3597" w:type="dxa"/>
            <w:vAlign w:val="center"/>
          </w:tcPr>
          <w:p w14:paraId="6BBBB43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项目所在地声环境功能区类别</w:t>
            </w:r>
          </w:p>
        </w:tc>
        <w:tc>
          <w:tcPr>
            <w:tcW w:w="2468" w:type="dxa"/>
            <w:vAlign w:val="center"/>
          </w:tcPr>
          <w:p w14:paraId="3D34C5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2类</w:t>
            </w:r>
          </w:p>
        </w:tc>
        <w:tc>
          <w:tcPr>
            <w:tcW w:w="1155" w:type="dxa"/>
            <w:vMerge w:val="restart"/>
            <w:vAlign w:val="center"/>
          </w:tcPr>
          <w:p w14:paraId="42802E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r>
      <w:tr w14:paraId="32FC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4E045F1F">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2910DA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区域声环境敏感程度</w:t>
            </w:r>
          </w:p>
        </w:tc>
        <w:tc>
          <w:tcPr>
            <w:tcW w:w="2468" w:type="dxa"/>
            <w:vAlign w:val="center"/>
          </w:tcPr>
          <w:p w14:paraId="692C93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一般区域</w:t>
            </w:r>
          </w:p>
        </w:tc>
        <w:tc>
          <w:tcPr>
            <w:tcW w:w="1155" w:type="dxa"/>
            <w:vMerge w:val="continue"/>
            <w:vAlign w:val="center"/>
          </w:tcPr>
          <w:p w14:paraId="2643A2AB">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71B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9D4B8B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12B854A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项目建设前后敏感目标噪声级的变化程度</w:t>
            </w:r>
          </w:p>
        </w:tc>
        <w:tc>
          <w:tcPr>
            <w:tcW w:w="2468" w:type="dxa"/>
            <w:vAlign w:val="center"/>
          </w:tcPr>
          <w:p w14:paraId="6962AF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噪声级增高量3~5dB（A）</w:t>
            </w:r>
          </w:p>
        </w:tc>
        <w:tc>
          <w:tcPr>
            <w:tcW w:w="1155" w:type="dxa"/>
            <w:vMerge w:val="continue"/>
            <w:vAlign w:val="center"/>
          </w:tcPr>
          <w:p w14:paraId="23D9544A">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354D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2700E7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w:t>
            </w:r>
          </w:p>
        </w:tc>
        <w:tc>
          <w:tcPr>
            <w:tcW w:w="3597" w:type="dxa"/>
            <w:vAlign w:val="center"/>
          </w:tcPr>
          <w:p w14:paraId="0B8DD8B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建设项目行业分类</w:t>
            </w:r>
          </w:p>
        </w:tc>
        <w:tc>
          <w:tcPr>
            <w:tcW w:w="2468" w:type="dxa"/>
            <w:vAlign w:val="center"/>
          </w:tcPr>
          <w:p w14:paraId="0D7A7A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Ⅲ</w:t>
            </w:r>
            <w:r>
              <w:rPr>
                <w:rFonts w:hint="eastAsia" w:ascii="Times New Roman" w:hAnsi="Times New Roman" w:eastAsia="宋体"/>
                <w:strike w:val="0"/>
                <w:dstrike w:val="0"/>
                <w:color w:val="auto"/>
                <w:sz w:val="21"/>
                <w:szCs w:val="21"/>
                <w:highlight w:val="none"/>
              </w:rPr>
              <w:t>类行业</w:t>
            </w:r>
          </w:p>
        </w:tc>
        <w:tc>
          <w:tcPr>
            <w:tcW w:w="1155" w:type="dxa"/>
            <w:vMerge w:val="restart"/>
            <w:vAlign w:val="center"/>
          </w:tcPr>
          <w:p w14:paraId="78C3D84D">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三级</w:t>
            </w:r>
          </w:p>
        </w:tc>
      </w:tr>
      <w:tr w14:paraId="4C74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26906DF">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11A3F1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建设项目占地规模</w:t>
            </w:r>
          </w:p>
        </w:tc>
        <w:tc>
          <w:tcPr>
            <w:tcW w:w="2468" w:type="dxa"/>
            <w:vAlign w:val="center"/>
          </w:tcPr>
          <w:p w14:paraId="512446E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中</w:t>
            </w:r>
            <w:r>
              <w:rPr>
                <w:rFonts w:hint="eastAsia" w:ascii="Times New Roman" w:hAnsi="Times New Roman" w:eastAsia="宋体"/>
                <w:strike w:val="0"/>
                <w:dstrike w:val="0"/>
                <w:color w:val="auto"/>
                <w:sz w:val="21"/>
                <w:szCs w:val="21"/>
                <w:highlight w:val="none"/>
              </w:rPr>
              <w:t>型</w:t>
            </w:r>
          </w:p>
        </w:tc>
        <w:tc>
          <w:tcPr>
            <w:tcW w:w="1155" w:type="dxa"/>
            <w:vMerge w:val="continue"/>
            <w:vAlign w:val="center"/>
          </w:tcPr>
          <w:p w14:paraId="0BEC82A4">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7384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94A88DE">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555639E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区域土壤敏感程度</w:t>
            </w:r>
          </w:p>
        </w:tc>
        <w:tc>
          <w:tcPr>
            <w:tcW w:w="2468" w:type="dxa"/>
            <w:vAlign w:val="center"/>
          </w:tcPr>
          <w:p w14:paraId="691DDD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不</w:t>
            </w:r>
            <w:r>
              <w:rPr>
                <w:rFonts w:hint="eastAsia" w:ascii="Times New Roman" w:hAnsi="Times New Roman" w:eastAsia="宋体"/>
                <w:strike w:val="0"/>
                <w:dstrike w:val="0"/>
                <w:color w:val="auto"/>
                <w:sz w:val="21"/>
                <w:szCs w:val="21"/>
                <w:highlight w:val="none"/>
              </w:rPr>
              <w:t>敏感</w:t>
            </w:r>
          </w:p>
        </w:tc>
        <w:tc>
          <w:tcPr>
            <w:tcW w:w="1155" w:type="dxa"/>
            <w:vMerge w:val="continue"/>
            <w:vAlign w:val="center"/>
          </w:tcPr>
          <w:p w14:paraId="4A5193DF">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0576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12947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生态环境</w:t>
            </w:r>
          </w:p>
        </w:tc>
        <w:tc>
          <w:tcPr>
            <w:tcW w:w="3597" w:type="dxa"/>
            <w:vAlign w:val="center"/>
          </w:tcPr>
          <w:p w14:paraId="0069FD2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区域生态环境敏感程度</w:t>
            </w:r>
          </w:p>
        </w:tc>
        <w:tc>
          <w:tcPr>
            <w:tcW w:w="2468" w:type="dxa"/>
            <w:vAlign w:val="center"/>
          </w:tcPr>
          <w:p w14:paraId="39E9A7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一般区域</w:t>
            </w:r>
          </w:p>
        </w:tc>
        <w:tc>
          <w:tcPr>
            <w:tcW w:w="1155" w:type="dxa"/>
            <w:vMerge w:val="restart"/>
            <w:vAlign w:val="center"/>
          </w:tcPr>
          <w:p w14:paraId="3A0EA05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4E0B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7FBABE2">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3EBAD15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工程占地范围</w:t>
            </w:r>
          </w:p>
        </w:tc>
        <w:tc>
          <w:tcPr>
            <w:tcW w:w="2468" w:type="dxa"/>
            <w:vAlign w:val="center"/>
          </w:tcPr>
          <w:p w14:paraId="772F01D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厂区占地面积约</w:t>
            </w:r>
            <w:r>
              <w:rPr>
                <w:rFonts w:hint="eastAsia" w:ascii="Times New Roman" w:hAnsi="Times New Roman" w:eastAsia="宋体"/>
                <w:strike w:val="0"/>
                <w:dstrike w:val="0"/>
                <w:color w:val="auto"/>
                <w:sz w:val="21"/>
                <w:szCs w:val="21"/>
                <w:highlight w:val="none"/>
                <w:lang w:val="en-US" w:eastAsia="zh-CN"/>
              </w:rPr>
              <w:t>134870</w:t>
            </w:r>
            <w:r>
              <w:rPr>
                <w:rFonts w:hint="eastAsia" w:ascii="Times New Roman" w:hAnsi="Times New Roman" w:eastAsia="宋体"/>
                <w:strike w:val="0"/>
                <w:dstrike w:val="0"/>
                <w:color w:val="auto"/>
                <w:sz w:val="21"/>
                <w:szCs w:val="21"/>
                <w:highlight w:val="none"/>
              </w:rPr>
              <w:t>m</w:t>
            </w:r>
            <w:r>
              <w:rPr>
                <w:rFonts w:hint="eastAsia" w:ascii="Times New Roman" w:hAnsi="Times New Roman" w:eastAsia="宋体"/>
                <w:strike w:val="0"/>
                <w:dstrike w:val="0"/>
                <w:color w:val="auto"/>
                <w:sz w:val="21"/>
                <w:szCs w:val="21"/>
                <w:highlight w:val="none"/>
                <w:vertAlign w:val="superscript"/>
              </w:rPr>
              <w:t>2</w:t>
            </w:r>
          </w:p>
        </w:tc>
        <w:tc>
          <w:tcPr>
            <w:tcW w:w="1155" w:type="dxa"/>
            <w:vMerge w:val="continue"/>
            <w:vAlign w:val="center"/>
          </w:tcPr>
          <w:p w14:paraId="5147ED76">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318E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6EDAD03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环境风险</w:t>
            </w:r>
          </w:p>
          <w:p w14:paraId="646A837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w:t>
            </w:r>
          </w:p>
        </w:tc>
        <w:tc>
          <w:tcPr>
            <w:tcW w:w="3597" w:type="dxa"/>
            <w:vAlign w:val="center"/>
          </w:tcPr>
          <w:p w14:paraId="551302E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危险物质数量与临界量比值</w:t>
            </w:r>
          </w:p>
        </w:tc>
        <w:tc>
          <w:tcPr>
            <w:tcW w:w="2468" w:type="dxa"/>
            <w:vAlign w:val="center"/>
          </w:tcPr>
          <w:p w14:paraId="1BDDC28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不</w:t>
            </w:r>
            <w:r>
              <w:rPr>
                <w:rFonts w:hint="eastAsia" w:ascii="Times New Roman" w:hAnsi="Times New Roman" w:eastAsia="宋体"/>
                <w:strike w:val="0"/>
                <w:dstrike w:val="0"/>
                <w:color w:val="auto"/>
                <w:sz w:val="21"/>
                <w:szCs w:val="21"/>
                <w:highlight w:val="none"/>
              </w:rPr>
              <w:t>涉及附录B中的</w:t>
            </w:r>
            <w:r>
              <w:rPr>
                <w:rFonts w:hint="eastAsia" w:ascii="Times New Roman" w:hAnsi="Times New Roman" w:eastAsia="宋体"/>
                <w:strike w:val="0"/>
                <w:dstrike w:val="0"/>
                <w:color w:val="auto"/>
                <w:sz w:val="21"/>
                <w:szCs w:val="21"/>
                <w:highlight w:val="none"/>
                <w:lang w:val="en-US" w:eastAsia="zh-CN"/>
              </w:rPr>
              <w:t>化学品</w:t>
            </w:r>
            <w:r>
              <w:rPr>
                <w:rFonts w:hint="eastAsia" w:ascii="Times New Roman" w:hAnsi="Times New Roman" w:eastAsia="宋体"/>
                <w:strike w:val="0"/>
                <w:dstrike w:val="0"/>
                <w:color w:val="auto"/>
                <w:sz w:val="21"/>
                <w:szCs w:val="21"/>
                <w:highlight w:val="none"/>
              </w:rPr>
              <w:t>，Q＜1</w:t>
            </w:r>
          </w:p>
        </w:tc>
        <w:tc>
          <w:tcPr>
            <w:tcW w:w="1155" w:type="dxa"/>
            <w:vAlign w:val="center"/>
          </w:tcPr>
          <w:p w14:paraId="5F5F2E8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简单分析</w:t>
            </w:r>
          </w:p>
        </w:tc>
      </w:tr>
    </w:tbl>
    <w:p w14:paraId="2194D6F8">
      <w:pPr>
        <w:pStyle w:val="4"/>
        <w:rPr>
          <w:rFonts w:ascii="Times New Roman" w:hAnsi="Times New Roman" w:eastAsia="宋体"/>
          <w:strike w:val="0"/>
          <w:dstrike w:val="0"/>
          <w:color w:val="auto"/>
          <w:highlight w:val="none"/>
        </w:rPr>
      </w:pPr>
      <w:bookmarkStart w:id="76" w:name="_Toc106663443"/>
      <w:bookmarkStart w:id="77" w:name="_Toc6526"/>
      <w:r>
        <w:rPr>
          <w:rFonts w:hint="eastAsia" w:ascii="Times New Roman" w:hAnsi="Times New Roman" w:eastAsia="宋体"/>
          <w:strike w:val="0"/>
          <w:dstrike w:val="0"/>
          <w:color w:val="auto"/>
          <w:highlight w:val="none"/>
        </w:rPr>
        <w:t>2.6.2评价范围</w:t>
      </w:r>
      <w:bookmarkEnd w:id="76"/>
      <w:bookmarkEnd w:id="77"/>
    </w:p>
    <w:p w14:paraId="7291177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根据评价工作等级及当地气象条件、自然环境状况确定各环境要素评价范围如下：</w:t>
      </w:r>
    </w:p>
    <w:p w14:paraId="6344ED8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2.6.2.1环境空气</w:t>
      </w:r>
    </w:p>
    <w:p w14:paraId="62507CC8">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根据《环境影响评价技术导则大气环境》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二</w:t>
      </w:r>
      <w:r>
        <w:rPr>
          <w:rFonts w:ascii="Times New Roman" w:hAnsi="Times New Roman" w:eastAsia="宋体"/>
          <w:strike w:val="0"/>
          <w:dstrike w:val="0"/>
          <w:color w:val="auto"/>
          <w:highlight w:val="none"/>
        </w:rPr>
        <w:t>级评价项目</w:t>
      </w:r>
      <w:r>
        <w:rPr>
          <w:rFonts w:hint="eastAsia" w:ascii="Times New Roman" w:hAnsi="Times New Roman" w:eastAsia="宋体"/>
          <w:strike w:val="0"/>
          <w:dstrike w:val="0"/>
          <w:color w:val="auto"/>
          <w:highlight w:val="none"/>
          <w:lang w:val="en-US" w:eastAsia="zh-CN"/>
        </w:rPr>
        <w:t>大气环境影响评价范围边长取5km</w:t>
      </w:r>
      <w:r>
        <w:rPr>
          <w:rFonts w:hint="eastAsia" w:ascii="Times New Roman" w:hAnsi="Times New Roman" w:eastAsia="宋体"/>
          <w:strike w:val="0"/>
          <w:dstrike w:val="0"/>
          <w:color w:val="auto"/>
          <w:highlight w:val="none"/>
          <w:lang w:eastAsia="zh-CN"/>
        </w:rPr>
        <w:t>。</w:t>
      </w:r>
    </w:p>
    <w:p w14:paraId="7E9C97BD">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2.6.2.2地下水环境</w:t>
      </w:r>
    </w:p>
    <w:p w14:paraId="7B98840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Times New Roman"/>
          <w:strike w:val="0"/>
          <w:dstrike w:val="0"/>
          <w:snapToGrid/>
          <w:color w:val="auto"/>
          <w:spacing w:val="0"/>
          <w:w w:val="100"/>
          <w:kern w:val="0"/>
          <w:position w:val="0"/>
          <w:szCs w:val="24"/>
          <w:lang w:val="en-US" w:eastAsia="zh-CN" w:bidi="ar"/>
        </w:rPr>
        <w:t>地下水评价范围重点考虑了污染源分布特征、地下水径流特征、地下水可能受到污染的区域；同时要能说明地下水环境基本状况，并满足对地下水环境影响进行预测和评价需要。根据项目所在区地形地貌及污染源所在场地，评价范围确定为以项目区为边界，确定为相对独立的水文地质单元</w:t>
      </w:r>
      <w:r>
        <w:rPr>
          <w:rFonts w:hint="eastAsia" w:ascii="Times New Roman" w:hAnsi="Times New Roman" w:eastAsia="宋体" w:cs="Times New Roman"/>
          <w:strike w:val="0"/>
          <w:dstrike w:val="0"/>
          <w:snapToGrid/>
          <w:color w:val="auto"/>
          <w:spacing w:val="0"/>
          <w:w w:val="100"/>
          <w:kern w:val="0"/>
          <w:position w:val="0"/>
          <w:szCs w:val="24"/>
          <w:lang w:eastAsia="zh-CN" w:bidi="ar"/>
        </w:rPr>
        <w:t>。</w:t>
      </w:r>
      <w:r>
        <w:rPr>
          <w:rFonts w:hint="eastAsia" w:ascii="Times New Roman" w:hAnsi="Times New Roman" w:eastAsia="宋体" w:cs="Times New Roman"/>
          <w:strike w:val="0"/>
          <w:dstrike w:val="0"/>
          <w:snapToGrid/>
          <w:color w:val="auto"/>
          <w:spacing w:val="0"/>
          <w:w w:val="100"/>
          <w:kern w:val="0"/>
          <w:position w:val="0"/>
          <w:szCs w:val="24"/>
          <w:lang w:bidi="ar"/>
        </w:rPr>
        <w:t>该项目地下水评价等级为</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三</w:t>
      </w:r>
      <w:r>
        <w:rPr>
          <w:rFonts w:hint="eastAsia" w:ascii="Times New Roman" w:hAnsi="Times New Roman" w:eastAsia="宋体" w:cs="Times New Roman"/>
          <w:strike w:val="0"/>
          <w:dstrike w:val="0"/>
          <w:snapToGrid/>
          <w:color w:val="auto"/>
          <w:spacing w:val="0"/>
          <w:w w:val="100"/>
          <w:kern w:val="0"/>
          <w:position w:val="0"/>
          <w:szCs w:val="24"/>
          <w:lang w:bidi="ar"/>
        </w:rPr>
        <w:t>级；根据查表法，本项目地下水环境评价范围最终确定为6km</w:t>
      </w:r>
      <w:r>
        <w:rPr>
          <w:rFonts w:hint="eastAsia" w:ascii="Times New Roman" w:hAnsi="Times New Roman" w:eastAsia="宋体" w:cs="Times New Roman"/>
          <w:strike w:val="0"/>
          <w:dstrike w:val="0"/>
          <w:snapToGrid/>
          <w:color w:val="auto"/>
          <w:spacing w:val="0"/>
          <w:w w:val="100"/>
          <w:kern w:val="0"/>
          <w:position w:val="0"/>
          <w:szCs w:val="24"/>
          <w:vertAlign w:val="superscript"/>
          <w:lang w:bidi="ar"/>
        </w:rPr>
        <w:t>2</w:t>
      </w:r>
      <w:r>
        <w:rPr>
          <w:rFonts w:hint="eastAsia" w:ascii="Times New Roman" w:hAnsi="Times New Roman" w:eastAsia="宋体" w:cs="Times New Roman"/>
          <w:strike w:val="0"/>
          <w:dstrike w:val="0"/>
          <w:snapToGrid/>
          <w:color w:val="auto"/>
          <w:spacing w:val="0"/>
          <w:w w:val="100"/>
          <w:kern w:val="0"/>
          <w:position w:val="0"/>
          <w:szCs w:val="24"/>
          <w:lang w:eastAsia="zh-CN" w:bidi="ar"/>
        </w:rPr>
        <w:t>。</w:t>
      </w:r>
    </w:p>
    <w:p w14:paraId="4AEA1660">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2.6.2.3声环境</w:t>
      </w:r>
    </w:p>
    <w:p w14:paraId="7E96A4F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项目噪声评价范围为厂区周围200m区域</w:t>
      </w:r>
      <w:r>
        <w:rPr>
          <w:rFonts w:hint="eastAsia" w:ascii="Times New Roman" w:hAnsi="Times New Roman" w:eastAsia="宋体"/>
          <w:strike w:val="0"/>
          <w:dstrike w:val="0"/>
          <w:color w:val="auto"/>
          <w:highlight w:val="none"/>
          <w:lang w:eastAsia="zh-CN"/>
        </w:rPr>
        <w:t>。</w:t>
      </w:r>
    </w:p>
    <w:p w14:paraId="1CC6BF7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2.6.2.4土壤环境</w:t>
      </w:r>
    </w:p>
    <w:p w14:paraId="25430AF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项目土壤评价范围为项目区范围和占地范围外50m范围内</w:t>
      </w:r>
      <w:r>
        <w:rPr>
          <w:rFonts w:hint="eastAsia" w:ascii="Times New Roman" w:hAnsi="Times New Roman" w:eastAsia="宋体"/>
          <w:strike w:val="0"/>
          <w:dstrike w:val="0"/>
          <w:color w:val="auto"/>
          <w:highlight w:val="none"/>
          <w:lang w:eastAsia="zh-CN"/>
        </w:rPr>
        <w:t>。</w:t>
      </w:r>
    </w:p>
    <w:p w14:paraId="22A6F26C">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2.6.2.5生态影响</w:t>
      </w:r>
    </w:p>
    <w:p w14:paraId="771AA4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本项目评价范围为本项目活动直接影响区域和间接影响区域，根据本项目的特点，本项目的生态影响范围为本项目的厂界外1km范围内区域</w:t>
      </w:r>
      <w:r>
        <w:rPr>
          <w:rFonts w:hint="eastAsia" w:ascii="Times New Roman" w:hAnsi="Times New Roman" w:eastAsia="宋体"/>
          <w:strike w:val="0"/>
          <w:dstrike w:val="0"/>
          <w:color w:val="auto"/>
          <w:highlight w:val="none"/>
          <w:lang w:eastAsia="zh-CN"/>
        </w:rPr>
        <w:t>。</w:t>
      </w:r>
    </w:p>
    <w:p w14:paraId="741F18B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2.6.2.6环境风险</w:t>
      </w:r>
    </w:p>
    <w:p w14:paraId="29C7A9F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项目风险评价等级为简单分析，从风险源、环境影响途径、环境危害后果、风险防范措施等方面给出定性的说明</w:t>
      </w:r>
      <w:r>
        <w:rPr>
          <w:rFonts w:hint="eastAsia" w:ascii="Times New Roman" w:hAnsi="Times New Roman" w:eastAsia="宋体"/>
          <w:strike w:val="0"/>
          <w:dstrike w:val="0"/>
          <w:color w:val="auto"/>
          <w:highlight w:val="none"/>
          <w:lang w:eastAsia="zh-CN"/>
        </w:rPr>
        <w:t>。</w:t>
      </w:r>
    </w:p>
    <w:p w14:paraId="577689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本项目环境影响评价范围一览表见表2.6-1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，项目评价范围图见附图2.6-1</w:t>
      </w:r>
      <w:r>
        <w:rPr>
          <w:rFonts w:hint="eastAsia" w:ascii="Times New Roman" w:hAnsi="Times New Roman" w:eastAsia="宋体"/>
          <w:strike w:val="0"/>
          <w:dstrike w:val="0"/>
          <w:color w:val="auto"/>
          <w:highlight w:val="none"/>
          <w:lang w:eastAsia="zh-CN"/>
        </w:rPr>
        <w:t>。</w:t>
      </w:r>
    </w:p>
    <w:p w14:paraId="43B3C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表2.6-12环境影响评价范围一览表</w:t>
      </w:r>
    </w:p>
    <w:tbl>
      <w:tblPr>
        <w:tblStyle w:val="18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5"/>
        <w:gridCol w:w="1274"/>
        <w:gridCol w:w="1307"/>
        <w:gridCol w:w="5007"/>
      </w:tblGrid>
      <w:tr w14:paraId="413D7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5" w:type="pct"/>
            <w:tcBorders>
              <w:top w:val="single" w:color="000000" w:sz="2" w:space="0"/>
              <w:bottom w:val="single" w:color="000000" w:sz="2" w:space="0"/>
            </w:tcBorders>
            <w:vAlign w:val="center"/>
          </w:tcPr>
          <w:p w14:paraId="617E43A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768" w:type="pct"/>
            <w:tcBorders>
              <w:top w:val="single" w:color="000000" w:sz="2" w:space="0"/>
              <w:bottom w:val="single" w:color="000000" w:sz="2" w:space="0"/>
            </w:tcBorders>
            <w:vAlign w:val="center"/>
          </w:tcPr>
          <w:p w14:paraId="36528E7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类别</w:t>
            </w:r>
          </w:p>
        </w:tc>
        <w:tc>
          <w:tcPr>
            <w:tcW w:w="788" w:type="pct"/>
            <w:tcBorders>
              <w:top w:val="single" w:color="000000" w:sz="2" w:space="0"/>
              <w:bottom w:val="single" w:color="000000" w:sz="2" w:space="0"/>
            </w:tcBorders>
            <w:vAlign w:val="center"/>
          </w:tcPr>
          <w:p w14:paraId="4E3EA3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评价等级</w:t>
            </w:r>
          </w:p>
        </w:tc>
        <w:tc>
          <w:tcPr>
            <w:tcW w:w="3017" w:type="pct"/>
            <w:tcBorders>
              <w:top w:val="single" w:color="000000" w:sz="2" w:space="0"/>
              <w:bottom w:val="single" w:color="000000" w:sz="2" w:space="0"/>
            </w:tcBorders>
            <w:vAlign w:val="center"/>
          </w:tcPr>
          <w:p w14:paraId="5CF6013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评价范围</w:t>
            </w:r>
          </w:p>
        </w:tc>
      </w:tr>
      <w:tr w14:paraId="0FC70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425" w:type="pct"/>
            <w:tcBorders>
              <w:top w:val="single" w:color="000000" w:sz="2" w:space="0"/>
              <w:bottom w:val="single" w:color="000000" w:sz="2" w:space="0"/>
            </w:tcBorders>
            <w:vAlign w:val="center"/>
          </w:tcPr>
          <w:p w14:paraId="37B535B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768" w:type="pct"/>
            <w:tcBorders>
              <w:top w:val="single" w:color="000000" w:sz="2" w:space="0"/>
              <w:bottom w:val="single" w:color="000000" w:sz="2" w:space="0"/>
            </w:tcBorders>
            <w:vAlign w:val="center"/>
          </w:tcPr>
          <w:p w14:paraId="398E26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环境空气</w:t>
            </w:r>
          </w:p>
        </w:tc>
        <w:tc>
          <w:tcPr>
            <w:tcW w:w="788" w:type="pct"/>
            <w:tcBorders>
              <w:top w:val="single" w:color="000000" w:sz="2" w:space="0"/>
              <w:bottom w:val="single" w:color="000000" w:sz="2" w:space="0"/>
            </w:tcBorders>
            <w:vAlign w:val="center"/>
          </w:tcPr>
          <w:p w14:paraId="7D10644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二级</w:t>
            </w:r>
          </w:p>
        </w:tc>
        <w:tc>
          <w:tcPr>
            <w:tcW w:w="3017" w:type="pct"/>
            <w:tcBorders>
              <w:top w:val="single" w:color="000000" w:sz="2" w:space="0"/>
              <w:bottom w:val="single" w:color="000000" w:sz="2" w:space="0"/>
            </w:tcBorders>
            <w:vAlign w:val="center"/>
          </w:tcPr>
          <w:p w14:paraId="558C2BF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以项目厂区为中心，边长为</w:t>
            </w:r>
            <w:r>
              <w:rPr>
                <w:rFonts w:ascii="Times New Roman" w:hAnsi="Times New Roman" w:eastAsia="宋体" w:cs="Times New Roman"/>
                <w:strike w:val="0"/>
                <w:dstrike w:val="0"/>
                <w:color w:val="auto"/>
                <w:spacing w:val="0"/>
                <w:sz w:val="21"/>
                <w:szCs w:val="21"/>
                <w:highlight w:val="none"/>
              </w:rPr>
              <w:t>5km×5km</w:t>
            </w:r>
            <w:r>
              <w:rPr>
                <w:rFonts w:ascii="Times New Roman" w:hAnsi="Times New Roman" w:eastAsia="宋体" w:cs="宋体"/>
                <w:strike w:val="0"/>
                <w:dstrike w:val="0"/>
                <w:color w:val="auto"/>
                <w:spacing w:val="0"/>
                <w:sz w:val="21"/>
                <w:szCs w:val="21"/>
                <w:highlight w:val="none"/>
              </w:rPr>
              <w:t>的正方形</w:t>
            </w:r>
            <w:r>
              <w:rPr>
                <w:rFonts w:hint="eastAsia" w:ascii="Times New Roman" w:hAnsi="Times New Roman" w:eastAsia="宋体" w:cs="宋体"/>
                <w:strike w:val="0"/>
                <w:dstrike w:val="0"/>
                <w:color w:val="auto"/>
                <w:spacing w:val="0"/>
                <w:sz w:val="21"/>
                <w:szCs w:val="21"/>
                <w:highlight w:val="none"/>
                <w:lang w:eastAsia="zh-CN"/>
              </w:rPr>
              <w:t>。</w:t>
            </w:r>
          </w:p>
        </w:tc>
      </w:tr>
      <w:tr w14:paraId="122D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425" w:type="pct"/>
            <w:tcBorders>
              <w:top w:val="single" w:color="000000" w:sz="2" w:space="0"/>
              <w:bottom w:val="single" w:color="000000" w:sz="2" w:space="0"/>
            </w:tcBorders>
            <w:vAlign w:val="center"/>
          </w:tcPr>
          <w:p w14:paraId="6EE2318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768" w:type="pct"/>
            <w:tcBorders>
              <w:top w:val="single" w:color="000000" w:sz="2" w:space="0"/>
              <w:bottom w:val="single" w:color="000000" w:sz="2" w:space="0"/>
            </w:tcBorders>
            <w:vAlign w:val="center"/>
          </w:tcPr>
          <w:p w14:paraId="779982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声环境</w:t>
            </w:r>
          </w:p>
        </w:tc>
        <w:tc>
          <w:tcPr>
            <w:tcW w:w="788" w:type="pct"/>
            <w:tcBorders>
              <w:top w:val="single" w:color="000000" w:sz="2" w:space="0"/>
              <w:bottom w:val="single" w:color="000000" w:sz="2" w:space="0"/>
            </w:tcBorders>
            <w:vAlign w:val="center"/>
          </w:tcPr>
          <w:p w14:paraId="463EE6F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二级</w:t>
            </w:r>
          </w:p>
        </w:tc>
        <w:tc>
          <w:tcPr>
            <w:tcW w:w="3017" w:type="pct"/>
            <w:tcBorders>
              <w:top w:val="single" w:color="000000" w:sz="2" w:space="0"/>
              <w:bottom w:val="single" w:color="000000" w:sz="2" w:space="0"/>
            </w:tcBorders>
            <w:vAlign w:val="center"/>
          </w:tcPr>
          <w:p w14:paraId="01DE7AE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项目厂界外</w:t>
            </w:r>
            <w:r>
              <w:rPr>
                <w:rFonts w:ascii="Times New Roman" w:hAnsi="Times New Roman" w:eastAsia="宋体" w:cs="Times New Roman"/>
                <w:strike w:val="0"/>
                <w:dstrike w:val="0"/>
                <w:color w:val="auto"/>
                <w:spacing w:val="0"/>
                <w:sz w:val="21"/>
                <w:szCs w:val="21"/>
                <w:highlight w:val="none"/>
              </w:rPr>
              <w:t>200m</w:t>
            </w:r>
            <w:r>
              <w:rPr>
                <w:rFonts w:ascii="Times New Roman" w:hAnsi="Times New Roman" w:eastAsia="宋体" w:cs="宋体"/>
                <w:strike w:val="0"/>
                <w:dstrike w:val="0"/>
                <w:color w:val="auto"/>
                <w:spacing w:val="0"/>
                <w:sz w:val="21"/>
                <w:szCs w:val="21"/>
                <w:highlight w:val="none"/>
              </w:rPr>
              <w:t>范围内</w:t>
            </w:r>
            <w:r>
              <w:rPr>
                <w:rFonts w:hint="eastAsia" w:ascii="Times New Roman" w:hAnsi="Times New Roman" w:eastAsia="宋体" w:cs="宋体"/>
                <w:strike w:val="0"/>
                <w:dstrike w:val="0"/>
                <w:color w:val="auto"/>
                <w:spacing w:val="0"/>
                <w:sz w:val="21"/>
                <w:szCs w:val="21"/>
                <w:highlight w:val="none"/>
                <w:lang w:eastAsia="zh-CN"/>
              </w:rPr>
              <w:t>。</w:t>
            </w:r>
          </w:p>
        </w:tc>
      </w:tr>
      <w:tr w14:paraId="07A86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425" w:type="pct"/>
            <w:tcBorders>
              <w:top w:val="single" w:color="000000" w:sz="2" w:space="0"/>
              <w:bottom w:val="single" w:color="000000" w:sz="2" w:space="0"/>
            </w:tcBorders>
            <w:vAlign w:val="center"/>
          </w:tcPr>
          <w:p w14:paraId="0602718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w:t>
            </w:r>
          </w:p>
        </w:tc>
        <w:tc>
          <w:tcPr>
            <w:tcW w:w="768" w:type="pct"/>
            <w:tcBorders>
              <w:top w:val="single" w:color="000000" w:sz="2" w:space="0"/>
              <w:bottom w:val="single" w:color="000000" w:sz="2" w:space="0"/>
            </w:tcBorders>
            <w:vAlign w:val="center"/>
          </w:tcPr>
          <w:p w14:paraId="3CC0449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地下水环境</w:t>
            </w:r>
          </w:p>
        </w:tc>
        <w:tc>
          <w:tcPr>
            <w:tcW w:w="788" w:type="pct"/>
            <w:tcBorders>
              <w:top w:val="single" w:color="000000" w:sz="2" w:space="0"/>
              <w:bottom w:val="single" w:color="000000" w:sz="2" w:space="0"/>
            </w:tcBorders>
            <w:vAlign w:val="center"/>
          </w:tcPr>
          <w:p w14:paraId="62A1D75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三</w:t>
            </w:r>
            <w:r>
              <w:rPr>
                <w:rFonts w:ascii="Times New Roman" w:hAnsi="Times New Roman" w:eastAsia="宋体" w:cs="宋体"/>
                <w:strike w:val="0"/>
                <w:dstrike w:val="0"/>
                <w:color w:val="auto"/>
                <w:spacing w:val="0"/>
                <w:sz w:val="21"/>
                <w:szCs w:val="21"/>
                <w:highlight w:val="none"/>
              </w:rPr>
              <w:t>级</w:t>
            </w:r>
          </w:p>
        </w:tc>
        <w:tc>
          <w:tcPr>
            <w:tcW w:w="3017" w:type="pct"/>
            <w:tcBorders>
              <w:top w:val="single" w:color="000000" w:sz="2" w:space="0"/>
              <w:bottom w:val="single" w:color="000000" w:sz="2" w:space="0"/>
            </w:tcBorders>
            <w:vAlign w:val="center"/>
          </w:tcPr>
          <w:p w14:paraId="478ECCDC">
            <w:pPr>
              <w:keepNext w:val="0"/>
              <w:keepLines w:val="0"/>
              <w:pageBreakBefore w:val="0"/>
              <w:widowControl w:val="0"/>
              <w:kinsoku/>
              <w:wordWrap/>
              <w:overflowPunct/>
              <w:topLinePunct w:val="0"/>
              <w:autoSpaceDE/>
              <w:autoSpaceDN/>
              <w:bidi w:val="0"/>
              <w:adjustRightInd/>
              <w:snapToGrid/>
              <w:spacing w:line="360" w:lineRule="exact"/>
              <w:ind w:left="0" w:right="174"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围以厂址为中心，面积</w:t>
            </w:r>
            <w:r>
              <w:rPr>
                <w:rFonts w:ascii="Times New Roman" w:hAnsi="Times New Roman" w:eastAsia="宋体" w:cs="Times New Roman"/>
                <w:strike w:val="0"/>
                <w:dstrike w:val="0"/>
                <w:color w:val="auto"/>
                <w:spacing w:val="0"/>
                <w:sz w:val="21"/>
                <w:szCs w:val="21"/>
                <w:highlight w:val="none"/>
              </w:rPr>
              <w:t>6km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2</w:t>
            </w:r>
            <w:r>
              <w:rPr>
                <w:rFonts w:ascii="Times New Roman" w:hAnsi="Times New Roman" w:eastAsia="宋体" w:cs="宋体"/>
                <w:strike w:val="0"/>
                <w:dstrike w:val="0"/>
                <w:color w:val="auto"/>
                <w:spacing w:val="0"/>
                <w:sz w:val="21"/>
                <w:szCs w:val="21"/>
                <w:highlight w:val="none"/>
              </w:rPr>
              <w:t>的矩形区域</w:t>
            </w:r>
            <w:r>
              <w:rPr>
                <w:rFonts w:hint="eastAsia" w:ascii="Times New Roman" w:hAnsi="Times New Roman" w:eastAsia="宋体" w:cs="宋体"/>
                <w:strike w:val="0"/>
                <w:dstrike w:val="0"/>
                <w:color w:val="auto"/>
                <w:spacing w:val="0"/>
                <w:sz w:val="21"/>
                <w:szCs w:val="21"/>
                <w:highlight w:val="none"/>
                <w:lang w:eastAsia="zh-CN"/>
              </w:rPr>
              <w:t>。</w:t>
            </w:r>
          </w:p>
        </w:tc>
      </w:tr>
      <w:tr w14:paraId="549C3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425" w:type="pct"/>
            <w:tcBorders>
              <w:top w:val="single" w:color="000000" w:sz="2" w:space="0"/>
              <w:bottom w:val="single" w:color="000000" w:sz="2" w:space="0"/>
            </w:tcBorders>
            <w:vAlign w:val="center"/>
          </w:tcPr>
          <w:p w14:paraId="3E6B2E9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w:t>
            </w:r>
          </w:p>
        </w:tc>
        <w:tc>
          <w:tcPr>
            <w:tcW w:w="768" w:type="pct"/>
            <w:tcBorders>
              <w:top w:val="single" w:color="000000" w:sz="2" w:space="0"/>
              <w:bottom w:val="single" w:color="000000" w:sz="2" w:space="0"/>
            </w:tcBorders>
            <w:vAlign w:val="center"/>
          </w:tcPr>
          <w:p w14:paraId="216DFA5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土壤环境</w:t>
            </w:r>
          </w:p>
        </w:tc>
        <w:tc>
          <w:tcPr>
            <w:tcW w:w="788" w:type="pct"/>
            <w:tcBorders>
              <w:top w:val="single" w:color="000000" w:sz="2" w:space="0"/>
              <w:bottom w:val="single" w:color="000000" w:sz="2" w:space="0"/>
            </w:tcBorders>
            <w:vAlign w:val="center"/>
          </w:tcPr>
          <w:p w14:paraId="655AFC7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三级</w:t>
            </w:r>
          </w:p>
        </w:tc>
        <w:tc>
          <w:tcPr>
            <w:tcW w:w="3017" w:type="pct"/>
            <w:tcBorders>
              <w:top w:val="single" w:color="000000" w:sz="2" w:space="0"/>
              <w:bottom w:val="single" w:color="000000" w:sz="2" w:space="0"/>
            </w:tcBorders>
            <w:vAlign w:val="center"/>
          </w:tcPr>
          <w:p w14:paraId="4BDE58F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项目区范围和占地范围外</w:t>
            </w:r>
            <w:r>
              <w:rPr>
                <w:rFonts w:ascii="Times New Roman" w:hAnsi="Times New Roman" w:eastAsia="宋体" w:cs="Times New Roman"/>
                <w:strike w:val="0"/>
                <w:dstrike w:val="0"/>
                <w:color w:val="auto"/>
                <w:spacing w:val="0"/>
                <w:sz w:val="21"/>
                <w:szCs w:val="21"/>
                <w:highlight w:val="none"/>
              </w:rPr>
              <w:t>50m</w:t>
            </w:r>
            <w:r>
              <w:rPr>
                <w:rFonts w:ascii="Times New Roman" w:hAnsi="Times New Roman" w:eastAsia="宋体" w:cs="宋体"/>
                <w:strike w:val="0"/>
                <w:dstrike w:val="0"/>
                <w:color w:val="auto"/>
                <w:spacing w:val="0"/>
                <w:sz w:val="21"/>
                <w:szCs w:val="21"/>
                <w:highlight w:val="none"/>
              </w:rPr>
              <w:t>范围内</w:t>
            </w:r>
          </w:p>
        </w:tc>
      </w:tr>
      <w:tr w14:paraId="0FCD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5" w:type="pct"/>
            <w:tcBorders>
              <w:top w:val="single" w:color="000000" w:sz="2" w:space="0"/>
              <w:bottom w:val="single" w:color="000000" w:sz="2" w:space="0"/>
            </w:tcBorders>
            <w:vAlign w:val="center"/>
          </w:tcPr>
          <w:p w14:paraId="2B02E0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w:t>
            </w:r>
          </w:p>
        </w:tc>
        <w:tc>
          <w:tcPr>
            <w:tcW w:w="768" w:type="pct"/>
            <w:tcBorders>
              <w:top w:val="single" w:color="000000" w:sz="2" w:space="0"/>
              <w:bottom w:val="single" w:color="000000" w:sz="2" w:space="0"/>
            </w:tcBorders>
            <w:vAlign w:val="center"/>
          </w:tcPr>
          <w:p w14:paraId="0EF091F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生态环境</w:t>
            </w:r>
          </w:p>
        </w:tc>
        <w:tc>
          <w:tcPr>
            <w:tcW w:w="788" w:type="pct"/>
            <w:tcBorders>
              <w:top w:val="single" w:color="000000" w:sz="2" w:space="0"/>
              <w:bottom w:val="single" w:color="000000" w:sz="2" w:space="0"/>
            </w:tcBorders>
            <w:vAlign w:val="center"/>
          </w:tcPr>
          <w:p w14:paraId="20DF0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三级</w:t>
            </w:r>
          </w:p>
        </w:tc>
        <w:tc>
          <w:tcPr>
            <w:tcW w:w="3017" w:type="pct"/>
            <w:tcBorders>
              <w:top w:val="single" w:color="000000" w:sz="2" w:space="0"/>
              <w:bottom w:val="single" w:color="000000" w:sz="2" w:space="0"/>
            </w:tcBorders>
            <w:vAlign w:val="center"/>
          </w:tcPr>
          <w:p w14:paraId="7F5447D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厂界外</w:t>
            </w:r>
            <w:r>
              <w:rPr>
                <w:rFonts w:ascii="Times New Roman" w:hAnsi="Times New Roman" w:eastAsia="宋体" w:cs="Times New Roman"/>
                <w:strike w:val="0"/>
                <w:dstrike w:val="0"/>
                <w:color w:val="auto"/>
                <w:spacing w:val="0"/>
                <w:sz w:val="21"/>
                <w:szCs w:val="21"/>
                <w:highlight w:val="none"/>
              </w:rPr>
              <w:t>1km</w:t>
            </w:r>
            <w:r>
              <w:rPr>
                <w:rFonts w:ascii="Times New Roman" w:hAnsi="Times New Roman" w:eastAsia="宋体" w:cs="宋体"/>
                <w:strike w:val="0"/>
                <w:dstrike w:val="0"/>
                <w:color w:val="auto"/>
                <w:spacing w:val="0"/>
                <w:sz w:val="21"/>
                <w:szCs w:val="21"/>
                <w:highlight w:val="none"/>
              </w:rPr>
              <w:t>范围内区域</w:t>
            </w:r>
          </w:p>
        </w:tc>
      </w:tr>
      <w:tr w14:paraId="73FC2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5" w:type="pct"/>
            <w:tcBorders>
              <w:top w:val="single" w:color="000000" w:sz="2" w:space="0"/>
              <w:bottom w:val="single" w:color="000000" w:sz="2" w:space="0"/>
            </w:tcBorders>
            <w:vAlign w:val="center"/>
          </w:tcPr>
          <w:p w14:paraId="1840D9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bookmarkStart w:id="78" w:name="_Toc89619330"/>
            <w:r>
              <w:rPr>
                <w:rFonts w:hint="eastAsia" w:ascii="Times New Roman" w:hAnsi="Times New Roman" w:eastAsia="宋体" w:cs="Times New Roman"/>
                <w:strike w:val="0"/>
                <w:dstrike w:val="0"/>
                <w:color w:val="auto"/>
                <w:spacing w:val="0"/>
                <w:sz w:val="21"/>
                <w:szCs w:val="21"/>
                <w:highlight w:val="none"/>
                <w:lang w:val="en-US" w:eastAsia="zh-CN"/>
              </w:rPr>
              <w:t>6</w:t>
            </w:r>
          </w:p>
        </w:tc>
        <w:tc>
          <w:tcPr>
            <w:tcW w:w="768" w:type="pct"/>
            <w:tcBorders>
              <w:top w:val="single" w:color="000000" w:sz="2" w:space="0"/>
              <w:bottom w:val="single" w:color="000000" w:sz="2" w:space="0"/>
            </w:tcBorders>
            <w:vAlign w:val="center"/>
          </w:tcPr>
          <w:p w14:paraId="1C61586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环境风险</w:t>
            </w:r>
          </w:p>
        </w:tc>
        <w:tc>
          <w:tcPr>
            <w:tcW w:w="788" w:type="pct"/>
            <w:tcBorders>
              <w:top w:val="single" w:color="000000" w:sz="2" w:space="0"/>
              <w:bottom w:val="single" w:color="000000" w:sz="2" w:space="0"/>
            </w:tcBorders>
            <w:vAlign w:val="center"/>
          </w:tcPr>
          <w:p w14:paraId="4DCC63F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简单分析</w:t>
            </w:r>
          </w:p>
        </w:tc>
        <w:tc>
          <w:tcPr>
            <w:tcW w:w="3017" w:type="pct"/>
            <w:tcBorders>
              <w:top w:val="single" w:color="000000" w:sz="2" w:space="0"/>
              <w:bottom w:val="single" w:color="000000" w:sz="2" w:space="0"/>
            </w:tcBorders>
            <w:vAlign w:val="center"/>
          </w:tcPr>
          <w:p w14:paraId="4BF36BC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r>
    </w:tbl>
    <w:p w14:paraId="1CEC5584">
      <w:pPr>
        <w:pStyle w:val="3"/>
        <w:rPr>
          <w:rFonts w:ascii="Times New Roman" w:hAnsi="Times New Roman" w:eastAsia="宋体"/>
          <w:strike w:val="0"/>
          <w:dstrike w:val="0"/>
          <w:color w:val="auto"/>
          <w:highlight w:val="none"/>
        </w:rPr>
      </w:pPr>
      <w:bookmarkStart w:id="79" w:name="_Toc30339"/>
      <w:r>
        <w:rPr>
          <w:rFonts w:hint="eastAsia" w:ascii="Times New Roman" w:hAnsi="Times New Roman" w:eastAsia="宋体"/>
          <w:strike w:val="0"/>
          <w:dstrike w:val="0"/>
          <w:color w:val="auto"/>
          <w:highlight w:val="none"/>
        </w:rPr>
        <w:t>2.7环境保护目标及敏感点</w:t>
      </w:r>
      <w:bookmarkEnd w:id="78"/>
      <w:bookmarkEnd w:id="79"/>
    </w:p>
    <w:p w14:paraId="38817991">
      <w:pPr>
        <w:ind w:firstLine="480"/>
        <w:rPr>
          <w:rFonts w:hint="eastAsia" w:ascii="Times New Roman" w:hAnsi="Times New Roman" w:eastAsia="宋体"/>
          <w:strike w:val="0"/>
          <w:dstrike w:val="0"/>
          <w:color w:val="auto"/>
          <w:highlight w:val="none"/>
        </w:rPr>
      </w:pPr>
      <w:bookmarkStart w:id="80" w:name="_Toc106663451"/>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环境空气</w:t>
      </w:r>
    </w:p>
    <w:p w14:paraId="3E0375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控制本项目大气污染物达标排放</w:t>
      </w:r>
      <w:r>
        <w:rPr>
          <w:rFonts w:hint="eastAsia" w:ascii="Times New Roman" w:hAnsi="Times New Roman" w:eastAsia="宋体"/>
          <w:strike w:val="0"/>
          <w:dstrike w:val="0"/>
          <w:color w:val="auto"/>
          <w:highlight w:val="none"/>
          <w:lang w:eastAsia="zh-CN"/>
        </w:rPr>
        <w:t>。</w:t>
      </w:r>
    </w:p>
    <w:p w14:paraId="2E3882F5">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地下水环境</w:t>
      </w:r>
    </w:p>
    <w:p w14:paraId="3F2C1E2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做好厂区地面硬化，医疗废物暂存间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黑膜池、堆肥场做好重点防渗，</w:t>
      </w:r>
      <w:r>
        <w:rPr>
          <w:rFonts w:hint="eastAsia" w:ascii="Times New Roman" w:hAnsi="Times New Roman" w:eastAsia="宋体"/>
          <w:strike w:val="0"/>
          <w:dstrike w:val="0"/>
          <w:color w:val="auto"/>
          <w:highlight w:val="none"/>
          <w:lang w:eastAsia="zh-CN"/>
        </w:rPr>
        <w:t>骆驼圈舍</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挤奶大厅</w:t>
      </w:r>
      <w:r>
        <w:rPr>
          <w:rFonts w:hint="eastAsia" w:ascii="Times New Roman" w:hAnsi="Times New Roman" w:eastAsia="宋体"/>
          <w:strike w:val="0"/>
          <w:dstrike w:val="0"/>
          <w:color w:val="auto"/>
          <w:highlight w:val="none"/>
        </w:rPr>
        <w:t>做好</w:t>
      </w:r>
      <w:r>
        <w:rPr>
          <w:rFonts w:hint="eastAsia" w:ascii="Times New Roman" w:hAnsi="Times New Roman" w:eastAsia="宋体"/>
          <w:strike w:val="0"/>
          <w:dstrike w:val="0"/>
          <w:color w:val="auto"/>
          <w:highlight w:val="none"/>
          <w:lang w:val="en-US" w:eastAsia="zh-CN"/>
        </w:rPr>
        <w:t>一般</w:t>
      </w:r>
      <w:r>
        <w:rPr>
          <w:rFonts w:hint="eastAsia" w:ascii="Times New Roman" w:hAnsi="Times New Roman" w:eastAsia="宋体"/>
          <w:strike w:val="0"/>
          <w:dstrike w:val="0"/>
          <w:color w:val="auto"/>
          <w:highlight w:val="none"/>
        </w:rPr>
        <w:t>防渗，确保项目所在区域地下水满足《地下水质量标准》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w:t>
      </w:r>
      <w:r>
        <w:rPr>
          <w:rFonts w:hint="eastAsia" w:ascii="Times New Roman" w:hAnsi="Times New Roman" w:eastAsia="宋体"/>
          <w:strike w:val="0"/>
          <w:dstrike w:val="0"/>
          <w:color w:val="auto"/>
          <w:highlight w:val="none"/>
          <w:lang w:eastAsia="zh-CN"/>
        </w:rPr>
        <w:t>T 14848</w:t>
      </w:r>
      <w:r>
        <w:rPr>
          <w:rFonts w:hint="eastAsia" w:ascii="Times New Roman" w:hAnsi="Times New Roman" w:eastAsia="宋体"/>
          <w:strike w:val="0"/>
          <w:dstrike w:val="0"/>
          <w:color w:val="auto"/>
          <w:highlight w:val="none"/>
        </w:rPr>
        <w:t>-2017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中的Ⅲ类标准要求</w:t>
      </w:r>
      <w:r>
        <w:rPr>
          <w:rFonts w:hint="eastAsia" w:ascii="Times New Roman" w:hAnsi="Times New Roman" w:eastAsia="宋体"/>
          <w:strike w:val="0"/>
          <w:dstrike w:val="0"/>
          <w:color w:val="auto"/>
          <w:highlight w:val="none"/>
          <w:lang w:eastAsia="zh-CN"/>
        </w:rPr>
        <w:t>。</w:t>
      </w:r>
    </w:p>
    <w:p w14:paraId="5A6136F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声环境</w:t>
      </w:r>
    </w:p>
    <w:p w14:paraId="47590CB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确保区域声环境满足《声环境质量标准》</w:t>
      </w:r>
      <w:r>
        <w:rPr>
          <w:rFonts w:hint="eastAsia" w:ascii="Times New Roman" w:hAnsi="Times New Roman" w:eastAsia="宋体"/>
          <w:strike w:val="0"/>
          <w:dstrike w:val="0"/>
          <w:color w:val="auto"/>
          <w:highlight w:val="none"/>
          <w:lang w:eastAsia="zh-CN"/>
        </w:rPr>
        <w:t>（GB 3096</w:t>
      </w:r>
      <w:r>
        <w:rPr>
          <w:rFonts w:hint="eastAsia" w:ascii="Times New Roman" w:hAnsi="Times New Roman" w:eastAsia="宋体"/>
          <w:strike w:val="0"/>
          <w:dstrike w:val="0"/>
          <w:color w:val="auto"/>
          <w:highlight w:val="none"/>
        </w:rPr>
        <w:t>-2008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中2类标准要求</w:t>
      </w:r>
      <w:r>
        <w:rPr>
          <w:rFonts w:hint="eastAsia" w:ascii="Times New Roman" w:hAnsi="Times New Roman" w:eastAsia="宋体"/>
          <w:strike w:val="0"/>
          <w:dstrike w:val="0"/>
          <w:color w:val="auto"/>
          <w:highlight w:val="none"/>
          <w:lang w:eastAsia="zh-CN"/>
        </w:rPr>
        <w:t>。</w:t>
      </w:r>
    </w:p>
    <w:p w14:paraId="17782960">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生态环境</w:t>
      </w:r>
    </w:p>
    <w:p w14:paraId="4A516B3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固体废物污染防治目标：确保项目所产生的固体废弃物均得到妥善处置，最大限度地减小固体废物对周围环境的影响，避免二次污染</w:t>
      </w:r>
      <w:r>
        <w:rPr>
          <w:rFonts w:hint="eastAsia" w:ascii="Times New Roman" w:hAnsi="Times New Roman" w:eastAsia="宋体"/>
          <w:strike w:val="0"/>
          <w:dstrike w:val="0"/>
          <w:color w:val="auto"/>
          <w:highlight w:val="none"/>
          <w:lang w:eastAsia="zh-CN"/>
        </w:rPr>
        <w:t>。</w:t>
      </w:r>
    </w:p>
    <w:p w14:paraId="5121D3B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本项目环境保护目标见表</w:t>
      </w:r>
      <w:r>
        <w:rPr>
          <w:rFonts w:hint="eastAsia" w:ascii="Times New Roman" w:hAnsi="Times New Roman" w:eastAsia="宋体"/>
          <w:strike w:val="0"/>
          <w:dstrike w:val="0"/>
          <w:color w:val="auto"/>
          <w:highlight w:val="none"/>
          <w:lang w:val="en-US" w:eastAsia="zh-CN"/>
        </w:rPr>
        <w:t>2.7-1</w:t>
      </w:r>
      <w:r>
        <w:rPr>
          <w:rFonts w:hint="eastAsia" w:ascii="Times New Roman" w:hAnsi="Times New Roman" w:eastAsia="宋体"/>
          <w:strike w:val="0"/>
          <w:dstrike w:val="0"/>
          <w:color w:val="auto"/>
          <w:highlight w:val="none"/>
          <w:lang w:eastAsia="zh-CN"/>
        </w:rPr>
        <w:t>。</w:t>
      </w:r>
    </w:p>
    <w:p w14:paraId="23F45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表2.7-1主要环境保护目标一览表</w:t>
      </w:r>
    </w:p>
    <w:tbl>
      <w:tblPr>
        <w:tblStyle w:val="183"/>
        <w:tblW w:w="501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8"/>
        <w:gridCol w:w="1780"/>
        <w:gridCol w:w="1847"/>
        <w:gridCol w:w="550"/>
        <w:gridCol w:w="548"/>
        <w:gridCol w:w="780"/>
        <w:gridCol w:w="1009"/>
        <w:gridCol w:w="1270"/>
      </w:tblGrid>
      <w:tr w14:paraId="446C6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329" w:type="pct"/>
            <w:vAlign w:val="center"/>
          </w:tcPr>
          <w:p w14:paraId="7B3AE6D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环境要素</w:t>
            </w:r>
          </w:p>
        </w:tc>
        <w:tc>
          <w:tcPr>
            <w:tcW w:w="2176" w:type="pct"/>
            <w:gridSpan w:val="2"/>
            <w:vAlign w:val="center"/>
          </w:tcPr>
          <w:p w14:paraId="25C4DE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坐标</w:t>
            </w:r>
            <w:r>
              <w:rPr>
                <w:rFonts w:ascii="Times New Roman" w:hAnsi="Times New Roman" w:eastAsia="宋体" w:cs="Times New Roman"/>
                <w:strike w:val="0"/>
                <w:dstrike w:val="0"/>
                <w:color w:val="auto"/>
                <w:spacing w:val="0"/>
                <w:position w:val="0"/>
                <w:sz w:val="21"/>
                <w:szCs w:val="21"/>
                <w:highlight w:val="none"/>
              </w:rPr>
              <w:t>/m</w:t>
            </w:r>
          </w:p>
        </w:tc>
        <w:tc>
          <w:tcPr>
            <w:tcW w:w="329" w:type="pct"/>
            <w:vMerge w:val="restart"/>
            <w:tcBorders>
              <w:bottom w:val="nil"/>
            </w:tcBorders>
            <w:vAlign w:val="center"/>
          </w:tcPr>
          <w:p w14:paraId="541D188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保护对象</w:t>
            </w:r>
          </w:p>
        </w:tc>
        <w:tc>
          <w:tcPr>
            <w:tcW w:w="329" w:type="pct"/>
            <w:vMerge w:val="restart"/>
            <w:tcBorders>
              <w:bottom w:val="nil"/>
            </w:tcBorders>
            <w:vAlign w:val="center"/>
          </w:tcPr>
          <w:p w14:paraId="4EE1A6B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保护内容</w:t>
            </w:r>
          </w:p>
        </w:tc>
        <w:tc>
          <w:tcPr>
            <w:tcW w:w="468" w:type="pct"/>
            <w:vMerge w:val="restart"/>
            <w:tcBorders>
              <w:bottom w:val="nil"/>
            </w:tcBorders>
            <w:vAlign w:val="center"/>
          </w:tcPr>
          <w:p w14:paraId="5EFB0C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环境功能区</w:t>
            </w:r>
          </w:p>
        </w:tc>
        <w:tc>
          <w:tcPr>
            <w:tcW w:w="605" w:type="pct"/>
            <w:vMerge w:val="restart"/>
            <w:tcBorders>
              <w:bottom w:val="nil"/>
            </w:tcBorders>
            <w:vAlign w:val="center"/>
          </w:tcPr>
          <w:p w14:paraId="2F99695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相对厂址方位</w:t>
            </w:r>
          </w:p>
        </w:tc>
        <w:tc>
          <w:tcPr>
            <w:tcW w:w="760" w:type="pct"/>
            <w:vMerge w:val="restart"/>
            <w:tcBorders>
              <w:bottom w:val="nil"/>
            </w:tcBorders>
            <w:vAlign w:val="center"/>
          </w:tcPr>
          <w:p w14:paraId="795C8CC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相对厂界距离</w:t>
            </w:r>
            <w:r>
              <w:rPr>
                <w:rFonts w:ascii="Times New Roman" w:hAnsi="Times New Roman" w:eastAsia="宋体" w:cs="Times New Roman"/>
                <w:strike w:val="0"/>
                <w:dstrike w:val="0"/>
                <w:color w:val="auto"/>
                <w:spacing w:val="0"/>
                <w:position w:val="0"/>
                <w:sz w:val="21"/>
                <w:szCs w:val="21"/>
                <w:highlight w:val="none"/>
              </w:rPr>
              <w:t>/m</w:t>
            </w:r>
          </w:p>
        </w:tc>
      </w:tr>
      <w:tr w14:paraId="68CDB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restart"/>
            <w:vAlign w:val="center"/>
          </w:tcPr>
          <w:p w14:paraId="1CF9873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环境空气</w:t>
            </w:r>
          </w:p>
        </w:tc>
        <w:tc>
          <w:tcPr>
            <w:tcW w:w="1068" w:type="pct"/>
            <w:vAlign w:val="center"/>
          </w:tcPr>
          <w:p w14:paraId="57191D6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东经</w:t>
            </w:r>
          </w:p>
        </w:tc>
        <w:tc>
          <w:tcPr>
            <w:tcW w:w="1108" w:type="pct"/>
            <w:vAlign w:val="center"/>
          </w:tcPr>
          <w:p w14:paraId="414A120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北纬</w:t>
            </w:r>
          </w:p>
        </w:tc>
        <w:tc>
          <w:tcPr>
            <w:tcW w:w="329" w:type="pct"/>
            <w:vMerge w:val="continue"/>
            <w:tcBorders>
              <w:top w:val="nil"/>
            </w:tcBorders>
            <w:vAlign w:val="center"/>
          </w:tcPr>
          <w:p w14:paraId="42F1126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29" w:type="pct"/>
            <w:vMerge w:val="continue"/>
            <w:tcBorders>
              <w:top w:val="nil"/>
            </w:tcBorders>
            <w:vAlign w:val="center"/>
          </w:tcPr>
          <w:p w14:paraId="0E8541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468" w:type="pct"/>
            <w:vMerge w:val="continue"/>
            <w:tcBorders>
              <w:top w:val="nil"/>
            </w:tcBorders>
            <w:vAlign w:val="center"/>
          </w:tcPr>
          <w:p w14:paraId="605E188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05" w:type="pct"/>
            <w:vMerge w:val="continue"/>
            <w:tcBorders>
              <w:top w:val="nil"/>
            </w:tcBorders>
            <w:vAlign w:val="center"/>
          </w:tcPr>
          <w:p w14:paraId="4C3293D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0" w:type="pct"/>
            <w:vMerge w:val="continue"/>
            <w:tcBorders>
              <w:top w:val="nil"/>
            </w:tcBorders>
            <w:vAlign w:val="center"/>
          </w:tcPr>
          <w:p w14:paraId="5D23C4A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1DF7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722B5E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66D0D8B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90°36′6.80</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23F74F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43°43′37.15</w:t>
            </w:r>
            <w:r>
              <w:rPr>
                <w:rFonts w:hint="eastAsia" w:ascii="Times New Roman" w:hAnsi="Times New Roman" w:eastAsia="宋体" w:cs="Times New Roman"/>
                <w:strike w:val="0"/>
                <w:dstrike w:val="0"/>
                <w:color w:val="auto"/>
                <w:spacing w:val="0"/>
                <w:position w:val="0"/>
                <w:sz w:val="21"/>
                <w:szCs w:val="21"/>
                <w:highlight w:val="none"/>
                <w:lang w:val="en-US" w:eastAsia="zh-CN"/>
              </w:rPr>
              <w:t>1</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3132C7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red"/>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阿克卓勒</w:t>
            </w:r>
            <w:r>
              <w:rPr>
                <w:rFonts w:hint="eastAsia" w:ascii="Times New Roman" w:hAnsi="Times New Roman" w:eastAsia="宋体" w:cs="宋体"/>
                <w:strike w:val="0"/>
                <w:dstrike w:val="0"/>
                <w:color w:val="auto"/>
                <w:spacing w:val="0"/>
                <w:sz w:val="21"/>
                <w:szCs w:val="21"/>
                <w:highlight w:val="none"/>
                <w:lang w:eastAsia="zh-CN"/>
              </w:rPr>
              <w:t>村</w:t>
            </w:r>
          </w:p>
        </w:tc>
        <w:tc>
          <w:tcPr>
            <w:tcW w:w="329" w:type="pct"/>
            <w:vMerge w:val="restart"/>
            <w:vAlign w:val="center"/>
          </w:tcPr>
          <w:p w14:paraId="5E060A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人群健康</w:t>
            </w:r>
          </w:p>
        </w:tc>
        <w:tc>
          <w:tcPr>
            <w:tcW w:w="468" w:type="pct"/>
            <w:vMerge w:val="restart"/>
            <w:vAlign w:val="center"/>
          </w:tcPr>
          <w:p w14:paraId="6787BF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605" w:type="pct"/>
            <w:vAlign w:val="center"/>
          </w:tcPr>
          <w:p w14:paraId="75F917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南</w:t>
            </w:r>
          </w:p>
        </w:tc>
        <w:tc>
          <w:tcPr>
            <w:tcW w:w="760" w:type="pct"/>
            <w:vAlign w:val="center"/>
          </w:tcPr>
          <w:p w14:paraId="346CF62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1450</w:t>
            </w:r>
          </w:p>
        </w:tc>
      </w:tr>
      <w:tr w14:paraId="0A773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5401E1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7367BE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90°36′59.29</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74D20D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43°45′50.91</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633352E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依尔哈巴克村</w:t>
            </w:r>
          </w:p>
        </w:tc>
        <w:tc>
          <w:tcPr>
            <w:tcW w:w="329" w:type="pct"/>
            <w:vMerge w:val="continue"/>
            <w:vAlign w:val="center"/>
          </w:tcPr>
          <w:p w14:paraId="52EE47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468" w:type="pct"/>
            <w:vMerge w:val="continue"/>
            <w:vAlign w:val="center"/>
          </w:tcPr>
          <w:p w14:paraId="546DF6C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605" w:type="pct"/>
            <w:vAlign w:val="center"/>
          </w:tcPr>
          <w:p w14:paraId="563E8C0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东北</w:t>
            </w:r>
          </w:p>
        </w:tc>
        <w:tc>
          <w:tcPr>
            <w:tcW w:w="760" w:type="pct"/>
            <w:vAlign w:val="center"/>
          </w:tcPr>
          <w:p w14:paraId="2F4571E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1800</w:t>
            </w:r>
          </w:p>
        </w:tc>
      </w:tr>
      <w:tr w14:paraId="5F5E7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29" w:type="pct"/>
            <w:vAlign w:val="center"/>
          </w:tcPr>
          <w:p w14:paraId="01AE994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2506" w:type="pct"/>
            <w:gridSpan w:val="3"/>
            <w:vAlign w:val="center"/>
          </w:tcPr>
          <w:p w14:paraId="0D9B0B1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厂址区域及周围声环境</w:t>
            </w:r>
          </w:p>
        </w:tc>
        <w:tc>
          <w:tcPr>
            <w:tcW w:w="329" w:type="pct"/>
            <w:vAlign w:val="center"/>
          </w:tcPr>
          <w:p w14:paraId="3046EF8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468" w:type="pct"/>
            <w:vAlign w:val="center"/>
          </w:tcPr>
          <w:p w14:paraId="57065E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1365" w:type="pct"/>
            <w:gridSpan w:val="2"/>
            <w:vAlign w:val="center"/>
          </w:tcPr>
          <w:p w14:paraId="703DB7C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64CF1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329" w:type="pct"/>
            <w:vAlign w:val="center"/>
          </w:tcPr>
          <w:p w14:paraId="1F86C3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w:t>
            </w:r>
          </w:p>
        </w:tc>
        <w:tc>
          <w:tcPr>
            <w:tcW w:w="2506" w:type="pct"/>
            <w:gridSpan w:val="3"/>
            <w:vAlign w:val="center"/>
          </w:tcPr>
          <w:p w14:paraId="0760483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厂址区域及附近地下水</w:t>
            </w:r>
            <w:r>
              <w:rPr>
                <w:rFonts w:hint="eastAsia" w:ascii="Times New Roman" w:hAnsi="Times New Roman" w:eastAsia="宋体" w:cs="宋体"/>
                <w:strike w:val="0"/>
                <w:dstrike w:val="0"/>
                <w:color w:val="auto"/>
                <w:spacing w:val="0"/>
                <w:position w:val="0"/>
                <w:sz w:val="21"/>
                <w:szCs w:val="21"/>
                <w:highlight w:val="none"/>
                <w:lang w:val="en-US" w:eastAsia="zh-CN"/>
              </w:rPr>
              <w:t>潜水含水层</w:t>
            </w:r>
          </w:p>
        </w:tc>
        <w:tc>
          <w:tcPr>
            <w:tcW w:w="2163" w:type="pct"/>
            <w:gridSpan w:val="4"/>
            <w:vAlign w:val="center"/>
          </w:tcPr>
          <w:p w14:paraId="4CC169C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地下水质</w:t>
            </w:r>
          </w:p>
        </w:tc>
      </w:tr>
      <w:tr w14:paraId="41216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3EB5AE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土壤环境</w:t>
            </w:r>
          </w:p>
        </w:tc>
        <w:tc>
          <w:tcPr>
            <w:tcW w:w="2506" w:type="pct"/>
            <w:gridSpan w:val="3"/>
            <w:vAlign w:val="center"/>
          </w:tcPr>
          <w:p w14:paraId="155416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厂区及周边50m范围</w:t>
            </w:r>
          </w:p>
        </w:tc>
        <w:tc>
          <w:tcPr>
            <w:tcW w:w="2163" w:type="pct"/>
            <w:gridSpan w:val="4"/>
            <w:vAlign w:val="center"/>
          </w:tcPr>
          <w:p w14:paraId="3DF98F1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w:t>
            </w:r>
          </w:p>
        </w:tc>
      </w:tr>
      <w:tr w14:paraId="09316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458821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w:t>
            </w:r>
          </w:p>
          <w:p w14:paraId="69FBB82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w:t>
            </w:r>
          </w:p>
        </w:tc>
        <w:tc>
          <w:tcPr>
            <w:tcW w:w="2506" w:type="pct"/>
            <w:gridSpan w:val="3"/>
            <w:vAlign w:val="center"/>
          </w:tcPr>
          <w:p w14:paraId="7FD9D93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w:t>
            </w:r>
          </w:p>
        </w:tc>
        <w:tc>
          <w:tcPr>
            <w:tcW w:w="2163" w:type="pct"/>
            <w:gridSpan w:val="4"/>
            <w:vAlign w:val="center"/>
          </w:tcPr>
          <w:p w14:paraId="7E4603F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保护区域生态环境</w:t>
            </w:r>
          </w:p>
        </w:tc>
      </w:tr>
      <w:bookmarkEnd w:id="80"/>
    </w:tbl>
    <w:p w14:paraId="00D934BA">
      <w:pPr>
        <w:pStyle w:val="3"/>
        <w:rPr>
          <w:rFonts w:ascii="Times New Roman" w:hAnsi="Times New Roman" w:eastAsia="宋体"/>
          <w:strike w:val="0"/>
          <w:dstrike w:val="0"/>
          <w:color w:val="auto"/>
          <w:highlight w:val="none"/>
        </w:rPr>
      </w:pPr>
      <w:bookmarkStart w:id="81" w:name="_Toc89619331"/>
      <w:bookmarkStart w:id="82" w:name="_Toc3751"/>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选址合理性分析</w:t>
      </w:r>
      <w:bookmarkEnd w:id="81"/>
      <w:bookmarkEnd w:id="82"/>
    </w:p>
    <w:p w14:paraId="31703777">
      <w:pPr>
        <w:pStyle w:val="4"/>
        <w:rPr>
          <w:rFonts w:ascii="Times New Roman" w:hAnsi="Times New Roman" w:eastAsia="宋体"/>
          <w:strike w:val="0"/>
          <w:dstrike w:val="0"/>
          <w:color w:val="auto"/>
          <w:highlight w:val="none"/>
        </w:rPr>
      </w:pPr>
      <w:bookmarkStart w:id="83" w:name="_Toc12883"/>
      <w:bookmarkStart w:id="84" w:name="_Toc106663453"/>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.1选址合理性</w:t>
      </w:r>
      <w:bookmarkEnd w:id="83"/>
      <w:bookmarkEnd w:id="84"/>
    </w:p>
    <w:p w14:paraId="39C52FC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本项目位于昌吉木垒县博斯坦乡阿克卓勒村，项目北侧和南侧为空地、西侧为农田，东侧为</w:t>
      </w:r>
      <w:r>
        <w:rPr>
          <w:rFonts w:hint="eastAsia" w:ascii="Times New Roman" w:hAnsi="Times New Roman" w:eastAsia="宋体"/>
          <w:strike w:val="0"/>
          <w:dstrike w:val="0"/>
          <w:color w:val="auto"/>
          <w:highlight w:val="none"/>
          <w:lang w:val="en-US" w:eastAsia="zh-CN"/>
        </w:rPr>
        <w:t>乡村</w:t>
      </w:r>
      <w:r>
        <w:rPr>
          <w:rFonts w:hint="eastAsia" w:ascii="Times New Roman" w:hAnsi="Times New Roman" w:eastAsia="宋体"/>
          <w:strike w:val="0"/>
          <w:dstrike w:val="0"/>
          <w:color w:val="auto"/>
          <w:highlight w:val="none"/>
        </w:rPr>
        <w:t>道路，用地类型为设施农用地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经分析，项目选址符合《畜禽养殖业污染防治技术规范》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、《动物防疫条件审查办法》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农业部令2010年第7号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、《畜禽养殖业污染治理工程技术规范》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等规范文件对畜禽养殖场的选址要求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因此，本项目选址合理可行</w:t>
      </w:r>
      <w:r>
        <w:rPr>
          <w:rFonts w:hint="eastAsia" w:ascii="Times New Roman" w:hAnsi="Times New Roman" w:eastAsia="宋体"/>
          <w:strike w:val="0"/>
          <w:dstrike w:val="0"/>
          <w:color w:val="auto"/>
          <w:highlight w:val="none"/>
          <w:lang w:eastAsia="zh-CN"/>
        </w:rPr>
        <w:t>。</w:t>
      </w:r>
    </w:p>
    <w:p w14:paraId="508A68C0">
      <w:pPr>
        <w:pStyle w:val="4"/>
        <w:rPr>
          <w:rFonts w:ascii="Times New Roman" w:hAnsi="Times New Roman" w:eastAsia="宋体"/>
          <w:strike w:val="0"/>
          <w:dstrike w:val="0"/>
          <w:color w:val="auto"/>
          <w:highlight w:val="none"/>
        </w:rPr>
      </w:pPr>
      <w:bookmarkStart w:id="85" w:name="_Toc22006"/>
      <w:bookmarkStart w:id="86" w:name="_Toc106663454"/>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.2环境容量</w:t>
      </w:r>
      <w:bookmarkEnd w:id="85"/>
      <w:bookmarkEnd w:id="86"/>
    </w:p>
    <w:p w14:paraId="14008A7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w:t>
      </w:r>
      <w:r>
        <w:rPr>
          <w:rFonts w:hint="eastAsia" w:ascii="Times New Roman" w:hAnsi="Times New Roman" w:eastAsia="宋体"/>
          <w:strike w:val="0"/>
          <w:dstrike w:val="0"/>
          <w:color w:val="auto"/>
          <w:highlight w:val="none"/>
        </w:rPr>
        <w:t>，NH</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和H</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S满足《环境影响评价技术导则大气环境》（HJ2.2-2018）附录D中的参考限值；区域内地下水体均满足水环境功能区划要求，评价指标均符合评价标准中的Ⅲ类标准，尚有一定环境容量；评价区声环境质量现状满足《声环境质量标准》（GB3096-2008）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类标准，且厂区周围无声环境敏感目标</w:t>
      </w:r>
      <w:r>
        <w:rPr>
          <w:rFonts w:hint="eastAsia" w:ascii="Times New Roman" w:hAnsi="Times New Roman" w:eastAsia="宋体"/>
          <w:strike w:val="0"/>
          <w:dstrike w:val="0"/>
          <w:color w:val="auto"/>
          <w:highlight w:val="none"/>
          <w:lang w:eastAsia="zh-CN"/>
        </w:rPr>
        <w:t>。</w:t>
      </w:r>
    </w:p>
    <w:p w14:paraId="30A9BB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本项目区域水、气、声环境质量现状良好，尚有一定的环境容量，运营后污染物达标排放，对区域环境影响不大，区域环境仍可保持现有功能水平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因此，项目选址从环境容量角度分析是可行的</w:t>
      </w:r>
      <w:r>
        <w:rPr>
          <w:rFonts w:hint="eastAsia" w:ascii="Times New Roman" w:hAnsi="Times New Roman" w:eastAsia="宋体"/>
          <w:strike w:val="0"/>
          <w:dstrike w:val="0"/>
          <w:color w:val="auto"/>
          <w:highlight w:val="none"/>
          <w:lang w:eastAsia="zh-CN"/>
        </w:rPr>
        <w:t>。</w:t>
      </w:r>
    </w:p>
    <w:p w14:paraId="70019FA9">
      <w:pPr>
        <w:pStyle w:val="4"/>
        <w:rPr>
          <w:rFonts w:ascii="Times New Roman" w:hAnsi="Times New Roman" w:eastAsia="宋体"/>
          <w:strike w:val="0"/>
          <w:dstrike w:val="0"/>
          <w:color w:val="auto"/>
          <w:highlight w:val="none"/>
        </w:rPr>
      </w:pPr>
      <w:bookmarkStart w:id="87" w:name="_Toc1607"/>
      <w:bookmarkStart w:id="88" w:name="_Toc106663455"/>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.3区域主导风向及防护距离</w:t>
      </w:r>
      <w:bookmarkEnd w:id="87"/>
      <w:bookmarkEnd w:id="88"/>
    </w:p>
    <w:p w14:paraId="5ECD07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主导风向为</w:t>
      </w:r>
      <w:r>
        <w:rPr>
          <w:rFonts w:hint="eastAsia" w:ascii="Times New Roman" w:hAnsi="Times New Roman" w:eastAsia="宋体"/>
          <w:strike w:val="0"/>
          <w:dstrike w:val="0"/>
          <w:color w:val="auto"/>
          <w:highlight w:val="none"/>
          <w:lang w:val="en-US" w:eastAsia="zh-CN"/>
        </w:rPr>
        <w:t>西</w:t>
      </w:r>
      <w:r>
        <w:rPr>
          <w:rFonts w:hint="eastAsia" w:ascii="Times New Roman" w:hAnsi="Times New Roman" w:eastAsia="宋体"/>
          <w:strike w:val="0"/>
          <w:dstrike w:val="0"/>
          <w:color w:val="auto"/>
          <w:highlight w:val="none"/>
        </w:rPr>
        <w:t>风，</w:t>
      </w:r>
      <w:r>
        <w:rPr>
          <w:rFonts w:hint="eastAsia" w:ascii="Times New Roman" w:hAnsi="Times New Roman" w:eastAsia="宋体"/>
          <w:b w:val="0"/>
          <w:bCs w:val="0"/>
          <w:strike w:val="0"/>
          <w:dstrike w:val="0"/>
          <w:color w:val="auto"/>
          <w:highlight w:val="none"/>
          <w:lang w:val="en-US" w:eastAsia="zh-CN"/>
        </w:rPr>
        <w:t>项目北侧、西侧、南侧均为空地，东侧为乡道，项目周边关系卫星图见附图3.1-2，堆肥场和黑膜池位于厂区西南侧，远离东侧道路，骆驼互动体验区位于主出入口附近，交通便捷，对外展示、接待、办公，位于堆肥场东北方向，本项目区域常年主导风向为西风，运营期间产生恶臭对骆驼互动体验区较小</w:t>
      </w:r>
      <w:r>
        <w:rPr>
          <w:rFonts w:hint="eastAsia" w:ascii="Times New Roman" w:hAnsi="Times New Roman" w:eastAsia="宋体"/>
          <w:strike w:val="0"/>
          <w:dstrike w:val="0"/>
          <w:color w:val="auto"/>
          <w:highlight w:val="none"/>
          <w:lang w:eastAsia="zh-CN"/>
        </w:rPr>
        <w:t>。</w:t>
      </w:r>
    </w:p>
    <w:p w14:paraId="1445CD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根据估算结果可知厂界外大气污染物短期贡献浓度不超过环境质量浓度限值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项目区内均无居民区、学校、医院等环境敏感区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为了降低项目区大气污染物排放对周围敏感目标的影响，环评要求在项目区周围设置500m限制区，并做出如下要求：严格控制人口导入，不再批准建设新的居住项目，限制区内已规划但尚未动工的项目应停止建设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不再批准建设新的集中居住区、医院、学校等敏感目标</w:t>
      </w:r>
      <w:r>
        <w:rPr>
          <w:rFonts w:hint="eastAsia" w:ascii="Times New Roman" w:hAnsi="Times New Roman" w:eastAsia="宋体"/>
          <w:strike w:val="0"/>
          <w:dstrike w:val="0"/>
          <w:color w:val="auto"/>
          <w:highlight w:val="none"/>
          <w:lang w:eastAsia="zh-CN"/>
        </w:rPr>
        <w:t>。</w:t>
      </w:r>
    </w:p>
    <w:p w14:paraId="156BA5BC">
      <w:pPr>
        <w:pStyle w:val="4"/>
        <w:rPr>
          <w:rFonts w:ascii="Times New Roman" w:hAnsi="Times New Roman" w:eastAsia="宋体"/>
          <w:strike w:val="0"/>
          <w:dstrike w:val="0"/>
          <w:color w:val="auto"/>
          <w:highlight w:val="none"/>
        </w:rPr>
      </w:pPr>
      <w:bookmarkStart w:id="89" w:name="_Toc3612"/>
      <w:bookmarkStart w:id="90" w:name="_Toc106663456"/>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.4环境敏感性分析</w:t>
      </w:r>
      <w:bookmarkEnd w:id="89"/>
      <w:bookmarkEnd w:id="90"/>
    </w:p>
    <w:p w14:paraId="5CCD137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从环境敏感性看，评价区无国家及</w:t>
      </w:r>
      <w:r>
        <w:rPr>
          <w:rFonts w:hint="eastAsia" w:ascii="Times New Roman" w:hAnsi="Times New Roman" w:eastAsia="宋体"/>
          <w:strike w:val="0"/>
          <w:dstrike w:val="0"/>
          <w:color w:val="auto"/>
          <w:highlight w:val="none"/>
          <w:lang w:val="en-US" w:eastAsia="zh-CN"/>
        </w:rPr>
        <w:t>自治区</w:t>
      </w:r>
      <w:r>
        <w:rPr>
          <w:rFonts w:hint="eastAsia" w:ascii="Times New Roman" w:hAnsi="Times New Roman" w:eastAsia="宋体"/>
          <w:strike w:val="0"/>
          <w:dstrike w:val="0"/>
          <w:color w:val="auto"/>
          <w:highlight w:val="none"/>
        </w:rPr>
        <w:t>确定的风景名胜、历史遗迹等保护区；无饮用水水源保护区；厂区内无特殊自然观赏价值较高的景观，也不属于土地荒漠化地区；项目区周围无居民区，学校等敏感点</w:t>
      </w:r>
      <w:r>
        <w:rPr>
          <w:rFonts w:hint="eastAsia" w:ascii="Times New Roman" w:hAnsi="Times New Roman" w:eastAsia="宋体"/>
          <w:strike w:val="0"/>
          <w:dstrike w:val="0"/>
          <w:color w:val="auto"/>
          <w:highlight w:val="none"/>
          <w:lang w:eastAsia="zh-CN"/>
        </w:rPr>
        <w:t>。</w:t>
      </w:r>
    </w:p>
    <w:p w14:paraId="3326765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按照《建设项目环境影响评价分类管理名录》（2021年版）中关于环境敏感因素的界定原则，经调查本项目选址地区不属于特殊保护地区、社会关注区和特殊地貌景观区，也无重点保护生态品种及濒危生物物种，文物古迹等，区域环境敏感因素较少</w:t>
      </w:r>
      <w:r>
        <w:rPr>
          <w:rFonts w:hint="eastAsia" w:ascii="Times New Roman" w:hAnsi="Times New Roman" w:eastAsia="宋体"/>
          <w:strike w:val="0"/>
          <w:dstrike w:val="0"/>
          <w:color w:val="auto"/>
          <w:highlight w:val="none"/>
          <w:lang w:eastAsia="zh-CN"/>
        </w:rPr>
        <w:t>。</w:t>
      </w:r>
    </w:p>
    <w:p w14:paraId="7E540712">
      <w:pPr>
        <w:pStyle w:val="4"/>
        <w:rPr>
          <w:rFonts w:ascii="Times New Roman" w:hAnsi="Times New Roman" w:eastAsia="宋体"/>
          <w:strike w:val="0"/>
          <w:dstrike w:val="0"/>
          <w:color w:val="auto"/>
          <w:highlight w:val="none"/>
        </w:rPr>
      </w:pPr>
      <w:bookmarkStart w:id="91" w:name="_Toc106663457"/>
      <w:bookmarkStart w:id="92" w:name="_Toc11506"/>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.5小结</w:t>
      </w:r>
      <w:bookmarkEnd w:id="91"/>
      <w:bookmarkEnd w:id="92"/>
    </w:p>
    <w:p w14:paraId="2316B8C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项目厂址位于</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，用地性质为设施农业用地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项目厂址未选择在环境敏感区域，厂址附近无国家公园、自然保护区、风景名胜区和自然保护区等需要特殊保护的区域</w:t>
      </w:r>
      <w:r>
        <w:rPr>
          <w:rFonts w:hint="eastAsia" w:ascii="Times New Roman" w:hAnsi="Times New Roman" w:eastAsia="宋体"/>
          <w:strike w:val="0"/>
          <w:dstrike w:val="0"/>
          <w:color w:val="auto"/>
          <w:highlight w:val="none"/>
          <w:lang w:eastAsia="zh-CN"/>
        </w:rPr>
        <w:t>。</w:t>
      </w:r>
    </w:p>
    <w:p w14:paraId="2C7D0FA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符合国家及地方的产业政策和发展规划，建设区域环境质量现状良好，区域环境敏感程度较低，有一定的区域环境容量，项目正常运行对环境的影响不大，环境风险水平可接受，卫生防护距离满足要求，结合环境影响预测评价结果综合分析，厂址选择是合理可行的</w:t>
      </w:r>
      <w:r>
        <w:rPr>
          <w:rFonts w:hint="eastAsia" w:ascii="Times New Roman" w:hAnsi="Times New Roman" w:eastAsia="宋体"/>
          <w:strike w:val="0"/>
          <w:dstrike w:val="0"/>
          <w:color w:val="auto"/>
          <w:highlight w:val="none"/>
          <w:lang w:eastAsia="zh-CN"/>
        </w:rPr>
        <w:t>。</w:t>
      </w:r>
    </w:p>
    <w:p w14:paraId="60D56E39">
      <w:pPr>
        <w:ind w:firstLine="480"/>
        <w:rPr>
          <w:rFonts w:ascii="Times New Roman" w:hAnsi="Times New Roman" w:eastAsia="宋体"/>
          <w:strike w:val="0"/>
          <w:dstrike w:val="0"/>
          <w:color w:val="auto"/>
          <w:highlight w:val="none"/>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34D78874">
      <w:pPr>
        <w:pStyle w:val="2"/>
        <w:rPr>
          <w:rFonts w:ascii="Times New Roman" w:hAnsi="Times New Roman" w:eastAsia="宋体"/>
          <w:strike w:val="0"/>
          <w:dstrike w:val="0"/>
          <w:color w:val="auto"/>
          <w:highlight w:val="none"/>
        </w:rPr>
      </w:pPr>
      <w:bookmarkStart w:id="93" w:name="_Toc27486"/>
      <w:bookmarkStart w:id="94" w:name="_Toc89619332"/>
      <w:r>
        <w:rPr>
          <w:rFonts w:hint="eastAsia" w:ascii="Times New Roman" w:hAnsi="Times New Roman" w:eastAsia="宋体"/>
          <w:strike w:val="0"/>
          <w:dstrike w:val="0"/>
          <w:color w:val="auto"/>
          <w:highlight w:val="none"/>
        </w:rPr>
        <w:t>3、工程分析</w:t>
      </w:r>
      <w:bookmarkEnd w:id="93"/>
      <w:bookmarkEnd w:id="94"/>
    </w:p>
    <w:p w14:paraId="10F28926">
      <w:pPr>
        <w:pStyle w:val="3"/>
        <w:rPr>
          <w:rFonts w:ascii="Times New Roman" w:hAnsi="Times New Roman" w:eastAsia="宋体"/>
          <w:strike w:val="0"/>
          <w:dstrike w:val="0"/>
          <w:color w:val="auto"/>
          <w:highlight w:val="none"/>
        </w:rPr>
      </w:pPr>
      <w:bookmarkStart w:id="95" w:name="_Toc25991"/>
      <w:bookmarkStart w:id="96" w:name="_Toc89619333"/>
      <w:r>
        <w:rPr>
          <w:rFonts w:hint="eastAsia" w:ascii="Times New Roman" w:hAnsi="Times New Roman" w:eastAsia="宋体"/>
          <w:strike w:val="0"/>
          <w:dstrike w:val="0"/>
          <w:color w:val="auto"/>
          <w:highlight w:val="none"/>
        </w:rPr>
        <w:t>3.1工程概况</w:t>
      </w:r>
      <w:bookmarkEnd w:id="95"/>
      <w:bookmarkEnd w:id="96"/>
    </w:p>
    <w:p w14:paraId="5FD93EBA">
      <w:pPr>
        <w:pStyle w:val="4"/>
        <w:rPr>
          <w:rFonts w:ascii="Times New Roman" w:hAnsi="Times New Roman" w:eastAsia="宋体"/>
          <w:strike w:val="0"/>
          <w:dstrike w:val="0"/>
          <w:color w:val="auto"/>
          <w:highlight w:val="none"/>
        </w:rPr>
      </w:pPr>
      <w:bookmarkStart w:id="97" w:name="_Toc106663460"/>
      <w:bookmarkStart w:id="98" w:name="_Toc1078"/>
      <w:r>
        <w:rPr>
          <w:rFonts w:hint="eastAsia" w:ascii="Times New Roman" w:hAnsi="Times New Roman" w:eastAsia="宋体"/>
          <w:strike w:val="0"/>
          <w:dstrike w:val="0"/>
          <w:color w:val="auto"/>
          <w:highlight w:val="none"/>
        </w:rPr>
        <w:t>3.1.1项目基本情况</w:t>
      </w:r>
      <w:bookmarkEnd w:id="97"/>
      <w:bookmarkEnd w:id="98"/>
    </w:p>
    <w:p w14:paraId="4D983F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（1）项目名称：</w:t>
      </w:r>
      <w:r>
        <w:rPr>
          <w:rFonts w:hint="eastAsia" w:ascii="Times New Roman" w:hAnsi="Times New Roman" w:eastAsia="宋体"/>
          <w:strike w:val="0"/>
          <w:dstrike w:val="0"/>
          <w:color w:val="auto"/>
          <w:highlight w:val="none"/>
          <w:lang w:eastAsia="zh-CN"/>
        </w:rPr>
        <w:t>木垒县2026年长眉驼良种繁育基地建设项目</w:t>
      </w:r>
    </w:p>
    <w:p w14:paraId="5B1D744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w:t>
      </w:r>
      <w:r>
        <w:rPr>
          <w:rFonts w:hint="eastAsia" w:ascii="Times New Roman" w:hAnsi="Times New Roman" w:eastAsia="宋体"/>
          <w:strike w:val="0"/>
          <w:dstrike w:val="0"/>
          <w:color w:val="auto"/>
          <w:highlight w:val="none"/>
          <w:lang w:eastAsia="zh-CN"/>
        </w:rPr>
        <w:t>木垒县博斯坦乡人民政府</w:t>
      </w:r>
    </w:p>
    <w:p w14:paraId="7DD32ED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（3）项目性质：新建</w:t>
      </w:r>
    </w:p>
    <w:p w14:paraId="785A637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（4）建设地点：</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，项目</w:t>
      </w:r>
      <w:r>
        <w:rPr>
          <w:rFonts w:hint="eastAsia" w:ascii="Times New Roman" w:hAnsi="Times New Roman" w:eastAsia="宋体"/>
          <w:strike w:val="0"/>
          <w:dstrike w:val="0"/>
          <w:color w:val="auto"/>
          <w:highlight w:val="none"/>
          <w:lang w:val="en-US" w:eastAsia="zh-CN"/>
        </w:rPr>
        <w:t>北侧和南侧为空地、西侧为农田</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东侧为乡村道路，</w:t>
      </w:r>
      <w:r>
        <w:rPr>
          <w:rFonts w:hint="eastAsia" w:ascii="Times New Roman" w:hAnsi="Times New Roman" w:eastAsia="宋体"/>
          <w:strike w:val="0"/>
          <w:dstrike w:val="0"/>
          <w:color w:val="auto"/>
          <w:highlight w:val="none"/>
        </w:rPr>
        <w:t>用地类型为设施农用地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中心地理坐标：90°36′6.39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项目区地理位置示意图见附图3.1-1，项目周边关系卫星图见附图3.1-2</w:t>
      </w:r>
      <w:r>
        <w:rPr>
          <w:rFonts w:hint="eastAsia" w:ascii="Times New Roman" w:hAnsi="Times New Roman" w:eastAsia="宋体"/>
          <w:strike w:val="0"/>
          <w:dstrike w:val="0"/>
          <w:color w:val="auto"/>
          <w:highlight w:val="none"/>
          <w:lang w:eastAsia="zh-CN"/>
        </w:rPr>
        <w:t>。</w:t>
      </w:r>
    </w:p>
    <w:p w14:paraId="7204D7EC">
      <w:pPr>
        <w:ind w:firstLine="480"/>
        <w:rPr>
          <w:rFonts w:hint="default" w:ascii="Times New Roman" w:hAnsi="Times New Roman" w:eastAsia="宋体"/>
          <w:strike w:val="0"/>
          <w:dstrike w:val="0"/>
          <w:color w:val="auto"/>
          <w:highlight w:val="none"/>
          <w:lang w:val="en-US"/>
        </w:rPr>
      </w:pPr>
      <w:r>
        <w:rPr>
          <w:rFonts w:hint="eastAsia" w:ascii="Times New Roman" w:hAnsi="Times New Roman" w:eastAsia="宋体"/>
          <w:strike w:val="0"/>
          <w:dstrike w:val="0"/>
          <w:color w:val="auto"/>
          <w:highlight w:val="none"/>
        </w:rPr>
        <w:t>（5）项目投资：项目总投资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w:t>
      </w:r>
      <w:r>
        <w:rPr>
          <w:rFonts w:hint="eastAsia" w:ascii="Times New Roman" w:hAnsi="Times New Roman" w:eastAsia="宋体"/>
          <w:strike w:val="0"/>
          <w:dstrike w:val="0"/>
          <w:color w:val="auto"/>
          <w:highlight w:val="none"/>
          <w:lang w:val="en-US" w:eastAsia="zh-CN"/>
        </w:rPr>
        <w:t>资金来源为中央财政衔接资金。</w:t>
      </w:r>
    </w:p>
    <w:p w14:paraId="096363E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（6）占地面积：总占地面积为</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0DCE2036">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（7）生产规模：总建筑面积9000平方米。其中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泌乳母驼舍建筑面积4560平方米、后备驼舍建筑面积725平方米、公驼舍建筑面积725平方米、隔离舍建筑面积190平方米、挤奶厅建筑面积2800平方米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供水管网及配套附属设施等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项目建成后，新进骆驼1015峰，其中母驼1000峰，种公驼15峰。通过人工授精技术和精细化饲养管理等手段，平均每年可产驼奶540吨、出栏骆驼400峰，出栏公幼驼200峰。</w:t>
      </w:r>
    </w:p>
    <w:p w14:paraId="42058A7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（8）劳动定员：本项目工作人员共</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人，年工作时间为365天，采用两班制，每班工作12h</w:t>
      </w:r>
      <w:r>
        <w:rPr>
          <w:rFonts w:hint="eastAsia" w:ascii="Times New Roman" w:hAnsi="Times New Roman" w:eastAsia="宋体"/>
          <w:strike w:val="0"/>
          <w:dstrike w:val="0"/>
          <w:color w:val="auto"/>
          <w:highlight w:val="none"/>
          <w:lang w:eastAsia="zh-CN"/>
        </w:rPr>
        <w:t>。</w:t>
      </w:r>
    </w:p>
    <w:p w14:paraId="4C31B51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（9）项目实施规划：计划202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月开工，2</w:t>
      </w:r>
      <w:r>
        <w:rPr>
          <w:rFonts w:ascii="Times New Roman" w:hAnsi="Times New Roman" w:eastAsia="宋体"/>
          <w:strike w:val="0"/>
          <w:dstrike w:val="0"/>
          <w:color w:val="auto"/>
          <w:highlight w:val="none"/>
        </w:rPr>
        <w:t>02</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月建成投产</w:t>
      </w:r>
      <w:r>
        <w:rPr>
          <w:rFonts w:hint="eastAsia" w:ascii="Times New Roman" w:hAnsi="Times New Roman" w:eastAsia="宋体"/>
          <w:strike w:val="0"/>
          <w:dstrike w:val="0"/>
          <w:color w:val="auto"/>
          <w:highlight w:val="none"/>
          <w:lang w:eastAsia="zh-CN"/>
        </w:rPr>
        <w:t>。</w:t>
      </w:r>
    </w:p>
    <w:p w14:paraId="7A72DCEC">
      <w:pPr>
        <w:pStyle w:val="4"/>
        <w:rPr>
          <w:rFonts w:ascii="Times New Roman" w:hAnsi="Times New Roman" w:eastAsia="宋体"/>
          <w:strike w:val="0"/>
          <w:dstrike w:val="0"/>
          <w:color w:val="auto"/>
          <w:highlight w:val="none"/>
        </w:rPr>
      </w:pPr>
      <w:bookmarkStart w:id="99" w:name="_Toc14426"/>
      <w:bookmarkStart w:id="100" w:name="_Toc106663461"/>
      <w:r>
        <w:rPr>
          <w:rFonts w:hint="eastAsia" w:ascii="Times New Roman" w:hAnsi="Times New Roman" w:eastAsia="宋体"/>
          <w:strike w:val="0"/>
          <w:dstrike w:val="0"/>
          <w:color w:val="auto"/>
          <w:highlight w:val="none"/>
        </w:rPr>
        <w:t>3.1.2主要建设内容</w:t>
      </w:r>
      <w:bookmarkEnd w:id="99"/>
      <w:bookmarkEnd w:id="100"/>
    </w:p>
    <w:p w14:paraId="2AC2279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本项目建设内容主要包括</w:t>
      </w:r>
      <w:r>
        <w:rPr>
          <w:rFonts w:hint="eastAsia" w:ascii="Times New Roman" w:hAnsi="Times New Roman" w:eastAsia="宋体"/>
          <w:strike w:val="0"/>
          <w:dstrike w:val="0"/>
          <w:color w:val="auto"/>
          <w:highlight w:val="none"/>
        </w:rPr>
        <w:t>泌乳母驼舍建筑面积4560平方米、后备驼舍建筑面积725平方米、公驼舍建筑面积725平方米、隔离舍建筑面积190平方米、挤奶厅建筑面积2800平方米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供水管网及配套附属设施等</w:t>
      </w:r>
      <w:r>
        <w:rPr>
          <w:rFonts w:hint="eastAsia" w:ascii="Times New Roman" w:hAnsi="Times New Roman" w:eastAsia="宋体"/>
          <w:strike w:val="0"/>
          <w:dstrike w:val="0"/>
          <w:color w:val="auto"/>
          <w:highlight w:val="none"/>
          <w:lang w:eastAsia="zh-CN"/>
        </w:rPr>
        <w:t>。</w:t>
      </w:r>
    </w:p>
    <w:p w14:paraId="18E18A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表3.1-1项目工程组成一览表</w:t>
      </w:r>
    </w:p>
    <w:tbl>
      <w:tblPr>
        <w:tblStyle w:val="183"/>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2"/>
        <w:gridCol w:w="953"/>
        <w:gridCol w:w="6637"/>
        <w:gridCol w:w="252"/>
      </w:tblGrid>
      <w:tr w14:paraId="1F623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tcBorders>
              <w:tl2br w:val="nil"/>
              <w:tr2bl w:val="nil"/>
            </w:tcBorders>
            <w:vAlign w:val="center"/>
          </w:tcPr>
          <w:p w14:paraId="7277E7A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工程分类</w:t>
            </w:r>
          </w:p>
        </w:tc>
        <w:tc>
          <w:tcPr>
            <w:tcW w:w="573" w:type="pct"/>
            <w:tcBorders>
              <w:tl2br w:val="nil"/>
              <w:tr2bl w:val="nil"/>
            </w:tcBorders>
            <w:vAlign w:val="center"/>
          </w:tcPr>
          <w:p w14:paraId="52F710F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项目名称</w:t>
            </w:r>
          </w:p>
        </w:tc>
        <w:tc>
          <w:tcPr>
            <w:tcW w:w="3990" w:type="pct"/>
            <w:tcBorders>
              <w:tl2br w:val="nil"/>
              <w:tr2bl w:val="nil"/>
            </w:tcBorders>
            <w:vAlign w:val="center"/>
          </w:tcPr>
          <w:p w14:paraId="3BAB7D9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建设规模</w:t>
            </w:r>
          </w:p>
        </w:tc>
        <w:tc>
          <w:tcPr>
            <w:tcW w:w="151" w:type="pct"/>
            <w:tcBorders>
              <w:tl2br w:val="nil"/>
              <w:tr2bl w:val="nil"/>
            </w:tcBorders>
            <w:vAlign w:val="center"/>
          </w:tcPr>
          <w:p w14:paraId="54C0BF5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0A704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tcBorders>
              <w:tl2br w:val="nil"/>
              <w:tr2bl w:val="nil"/>
            </w:tcBorders>
            <w:vAlign w:val="center"/>
          </w:tcPr>
          <w:p w14:paraId="45A3E2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主体工程</w:t>
            </w:r>
          </w:p>
        </w:tc>
        <w:tc>
          <w:tcPr>
            <w:tcW w:w="573" w:type="pct"/>
            <w:tcBorders>
              <w:tl2br w:val="nil"/>
              <w:tr2bl w:val="nil"/>
            </w:tcBorders>
            <w:vAlign w:val="center"/>
          </w:tcPr>
          <w:p w14:paraId="58CCCC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3990" w:type="pct"/>
            <w:tcBorders>
              <w:tl2br w:val="nil"/>
              <w:tr2bl w:val="nil"/>
            </w:tcBorders>
            <w:vAlign w:val="center"/>
          </w:tcPr>
          <w:p w14:paraId="1DD9FD4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宋体"/>
                <w:strike w:val="0"/>
                <w:dstrike w:val="0"/>
                <w:color w:val="auto"/>
                <w:spacing w:val="0"/>
                <w:position w:val="0"/>
                <w:sz w:val="21"/>
                <w:szCs w:val="21"/>
                <w:highlight w:val="none"/>
              </w:rPr>
              <w:t>泌乳母驼舍建筑面积4560平方米、后备驼舍建筑面积725平方米、公驼舍建筑面积725平方米、隔离舍建筑面积190平方米、挤奶厅建筑面积2800平方米</w:t>
            </w:r>
          </w:p>
        </w:tc>
        <w:tc>
          <w:tcPr>
            <w:tcW w:w="151" w:type="pct"/>
            <w:tcBorders>
              <w:tl2br w:val="nil"/>
              <w:tr2bl w:val="nil"/>
            </w:tcBorders>
            <w:vAlign w:val="center"/>
          </w:tcPr>
          <w:p w14:paraId="3577655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2978B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62A502B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配套工程</w:t>
            </w:r>
          </w:p>
        </w:tc>
        <w:tc>
          <w:tcPr>
            <w:tcW w:w="573" w:type="pct"/>
            <w:tcBorders>
              <w:tl2br w:val="nil"/>
              <w:tr2bl w:val="nil"/>
            </w:tcBorders>
            <w:vAlign w:val="center"/>
          </w:tcPr>
          <w:p w14:paraId="1431F0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c>
          <w:tcPr>
            <w:tcW w:w="3990" w:type="pct"/>
            <w:tcBorders>
              <w:tl2br w:val="nil"/>
              <w:tr2bl w:val="nil"/>
            </w:tcBorders>
            <w:vAlign w:val="center"/>
          </w:tcPr>
          <w:p w14:paraId="3E25F56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占地面积1450m</w:t>
            </w:r>
            <w:r>
              <w:rPr>
                <w:rFonts w:hint="eastAsia" w:ascii="Times New Roman" w:hAnsi="Times New Roman" w:eastAsia="宋体" w:cs="Times New Roman"/>
                <w:strike w:val="0"/>
                <w:dstrike w:val="0"/>
                <w:color w:val="auto"/>
                <w:spacing w:val="0"/>
                <w:position w:val="0"/>
                <w:sz w:val="21"/>
                <w:szCs w:val="14"/>
                <w:highlight w:val="none"/>
                <w:vertAlign w:val="superscript"/>
                <w:lang w:val="en-US" w:eastAsia="zh-CN"/>
              </w:rPr>
              <w:t>2</w:t>
            </w:r>
            <w:r>
              <w:rPr>
                <w:rFonts w:hint="eastAsia" w:ascii="Times New Roman" w:hAnsi="Times New Roman" w:eastAsia="宋体" w:cs="Times New Roman"/>
                <w:strike w:val="0"/>
                <w:dstrike w:val="0"/>
                <w:color w:val="auto"/>
                <w:spacing w:val="0"/>
                <w:position w:val="0"/>
                <w:sz w:val="21"/>
                <w:szCs w:val="14"/>
                <w:highlight w:val="none"/>
                <w:vertAlign w:val="baseline"/>
                <w:lang w:val="en-US" w:eastAsia="zh-CN"/>
              </w:rPr>
              <w:t>。</w:t>
            </w:r>
          </w:p>
        </w:tc>
        <w:tc>
          <w:tcPr>
            <w:tcW w:w="151" w:type="pct"/>
            <w:tcBorders>
              <w:tl2br w:val="nil"/>
              <w:tr2bl w:val="nil"/>
            </w:tcBorders>
            <w:vAlign w:val="center"/>
          </w:tcPr>
          <w:p w14:paraId="05C2F09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5CF73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12CF4EF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573" w:type="pct"/>
            <w:tcBorders>
              <w:tl2br w:val="nil"/>
              <w:tr2bl w:val="nil"/>
            </w:tcBorders>
            <w:vAlign w:val="center"/>
          </w:tcPr>
          <w:p w14:paraId="0886D14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3990" w:type="pct"/>
            <w:tcBorders>
              <w:tl2br w:val="nil"/>
              <w:tr2bl w:val="nil"/>
            </w:tcBorders>
            <w:vAlign w:val="center"/>
          </w:tcPr>
          <w:p w14:paraId="21652E0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占地面积2000m</w:t>
            </w:r>
            <w:r>
              <w:rPr>
                <w:rFonts w:hint="eastAsia" w:ascii="Times New Roman" w:hAnsi="Times New Roman" w:eastAsia="宋体" w:cs="Times New Roman"/>
                <w:strike w:val="0"/>
                <w:dstrike w:val="0"/>
                <w:color w:val="auto"/>
                <w:spacing w:val="0"/>
                <w:position w:val="0"/>
                <w:sz w:val="21"/>
                <w:szCs w:val="14"/>
                <w:highlight w:val="none"/>
                <w:vertAlign w:val="superscript"/>
                <w:lang w:val="en-US" w:eastAsia="zh-CN"/>
              </w:rPr>
              <w:t>2</w:t>
            </w:r>
            <w:r>
              <w:rPr>
                <w:rFonts w:hint="eastAsia" w:ascii="Times New Roman" w:hAnsi="Times New Roman" w:eastAsia="宋体" w:cs="Times New Roman"/>
                <w:strike w:val="0"/>
                <w:dstrike w:val="0"/>
                <w:color w:val="auto"/>
                <w:spacing w:val="0"/>
                <w:position w:val="0"/>
                <w:sz w:val="21"/>
                <w:szCs w:val="14"/>
                <w:highlight w:val="none"/>
                <w:vertAlign w:val="baseline"/>
                <w:lang w:val="en-US" w:eastAsia="zh-CN"/>
              </w:rPr>
              <w:t>。</w:t>
            </w:r>
          </w:p>
        </w:tc>
        <w:tc>
          <w:tcPr>
            <w:tcW w:w="151" w:type="pct"/>
            <w:tcBorders>
              <w:tl2br w:val="nil"/>
              <w:tr2bl w:val="nil"/>
            </w:tcBorders>
            <w:vAlign w:val="center"/>
          </w:tcPr>
          <w:p w14:paraId="2BEE47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943F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5BE737C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573" w:type="pct"/>
            <w:tcBorders>
              <w:tl2br w:val="nil"/>
              <w:tr2bl w:val="nil"/>
            </w:tcBorders>
            <w:vAlign w:val="center"/>
          </w:tcPr>
          <w:p w14:paraId="0089D45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3990" w:type="pct"/>
            <w:tcBorders>
              <w:tl2br w:val="nil"/>
              <w:tr2bl w:val="nil"/>
            </w:tcBorders>
            <w:vAlign w:val="center"/>
          </w:tcPr>
          <w:p w14:paraId="57D48D7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14"/>
                <w:highlight w:val="none"/>
                <w:lang w:val="en-US" w:eastAsia="zh-CN"/>
              </w:rPr>
            </w:pPr>
            <w:r>
              <w:rPr>
                <w:rFonts w:hint="eastAsia" w:ascii="Times New Roman" w:hAnsi="Times New Roman" w:eastAsia="宋体" w:cs="宋体"/>
                <w:color w:val="auto"/>
                <w:kern w:val="0"/>
                <w:sz w:val="21"/>
                <w:szCs w:val="21"/>
                <w:lang w:bidi="ar"/>
              </w:rPr>
              <w:t>建设1座黑膜池，容积为</w:t>
            </w:r>
            <w:r>
              <w:rPr>
                <w:rFonts w:hint="eastAsia" w:ascii="Times New Roman" w:hAnsi="Times New Roman" w:eastAsia="宋体" w:cs="宋体"/>
                <w:color w:val="auto"/>
                <w:kern w:val="0"/>
                <w:sz w:val="21"/>
                <w:szCs w:val="21"/>
                <w:lang w:val="en-US" w:eastAsia="zh-CN" w:bidi="ar"/>
              </w:rPr>
              <w:t>1500</w:t>
            </w:r>
            <w:r>
              <w:rPr>
                <w:rFonts w:hint="eastAsia" w:ascii="Times New Roman" w:hAnsi="Times New Roman" w:eastAsia="宋体" w:cs="宋体"/>
                <w:color w:val="auto"/>
                <w:kern w:val="0"/>
                <w:sz w:val="21"/>
                <w:szCs w:val="21"/>
                <w:lang w:bidi="ar"/>
              </w:rPr>
              <w:t>m</w:t>
            </w:r>
            <w:r>
              <w:rPr>
                <w:rFonts w:ascii="Times New Roman" w:hAnsi="Times New Roman" w:eastAsia="宋体" w:cs="宋体"/>
                <w:color w:val="auto"/>
                <w:kern w:val="0"/>
                <w:sz w:val="21"/>
                <w:szCs w:val="21"/>
                <w:vertAlign w:val="superscript"/>
                <w:lang w:bidi="ar"/>
              </w:rPr>
              <w:t>3</w:t>
            </w:r>
            <w:r>
              <w:rPr>
                <w:rFonts w:hint="eastAsia" w:ascii="Times New Roman" w:hAnsi="Times New Roman" w:eastAsia="宋体" w:cs="宋体"/>
                <w:color w:val="auto"/>
                <w:kern w:val="0"/>
                <w:sz w:val="21"/>
                <w:szCs w:val="21"/>
                <w:lang w:bidi="ar"/>
              </w:rPr>
              <w:t>，用于处理生产废水以及生活污水，冬季用于储存生产废水以及生活污水</w:t>
            </w:r>
            <w:r>
              <w:rPr>
                <w:rFonts w:hint="eastAsia" w:ascii="Times New Roman" w:hAnsi="Times New Roman" w:eastAsia="宋体" w:cs="宋体"/>
                <w:color w:val="auto"/>
                <w:kern w:val="0"/>
                <w:sz w:val="21"/>
                <w:szCs w:val="21"/>
                <w:lang w:eastAsia="zh-CN" w:bidi="ar"/>
              </w:rPr>
              <w:t>。</w:t>
            </w:r>
          </w:p>
        </w:tc>
        <w:tc>
          <w:tcPr>
            <w:tcW w:w="151" w:type="pct"/>
            <w:tcBorders>
              <w:tl2br w:val="nil"/>
              <w:tr2bl w:val="nil"/>
            </w:tcBorders>
            <w:vAlign w:val="center"/>
          </w:tcPr>
          <w:p w14:paraId="6BC28CA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r>
      <w:tr w14:paraId="036DB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3190C20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公用工程</w:t>
            </w:r>
          </w:p>
        </w:tc>
        <w:tc>
          <w:tcPr>
            <w:tcW w:w="573" w:type="pct"/>
            <w:tcBorders>
              <w:tl2br w:val="nil"/>
              <w:tr2bl w:val="nil"/>
            </w:tcBorders>
            <w:vAlign w:val="center"/>
          </w:tcPr>
          <w:p w14:paraId="282BB25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供水</w:t>
            </w:r>
          </w:p>
        </w:tc>
        <w:tc>
          <w:tcPr>
            <w:tcW w:w="3990" w:type="pct"/>
            <w:tcBorders>
              <w:tl2br w:val="nil"/>
              <w:tr2bl w:val="nil"/>
            </w:tcBorders>
            <w:vAlign w:val="center"/>
          </w:tcPr>
          <w:p w14:paraId="5BC5E97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生产、生活用水</w:t>
            </w:r>
            <w:r>
              <w:rPr>
                <w:rFonts w:hint="eastAsia" w:ascii="Times New Roman" w:hAnsi="Times New Roman" w:eastAsia="宋体" w:cs="宋体"/>
                <w:strike w:val="0"/>
                <w:dstrike w:val="0"/>
                <w:color w:val="auto"/>
                <w:spacing w:val="0"/>
                <w:position w:val="0"/>
                <w:sz w:val="21"/>
                <w:szCs w:val="21"/>
                <w:highlight w:val="none"/>
                <w:lang w:val="en-US" w:eastAsia="zh-CN"/>
              </w:rPr>
              <w:t>由村庄供水管网供给。</w:t>
            </w:r>
          </w:p>
        </w:tc>
        <w:tc>
          <w:tcPr>
            <w:tcW w:w="151" w:type="pct"/>
            <w:tcBorders>
              <w:tl2br w:val="nil"/>
              <w:tr2bl w:val="nil"/>
            </w:tcBorders>
            <w:vAlign w:val="center"/>
          </w:tcPr>
          <w:p w14:paraId="009811E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79CF8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1D7784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265A17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排水</w:t>
            </w:r>
          </w:p>
        </w:tc>
        <w:tc>
          <w:tcPr>
            <w:tcW w:w="3990" w:type="pct"/>
            <w:tcBorders>
              <w:tl2br w:val="nil"/>
              <w:tr2bl w:val="nil"/>
            </w:tcBorders>
            <w:vAlign w:val="center"/>
          </w:tcPr>
          <w:p w14:paraId="021B1B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本项目无废水产生，</w:t>
            </w:r>
            <w:r>
              <w:rPr>
                <w:rFonts w:hint="eastAsia" w:ascii="Times New Roman" w:hAnsi="Times New Roman" w:eastAsia="宋体" w:cs="宋体"/>
                <w:strike w:val="0"/>
                <w:dstrike w:val="0"/>
                <w:color w:val="auto"/>
                <w:spacing w:val="0"/>
                <w:position w:val="0"/>
                <w:sz w:val="21"/>
                <w:szCs w:val="21"/>
                <w:highlight w:val="none"/>
              </w:rPr>
              <w:t>生活污水</w:t>
            </w:r>
            <w:r>
              <w:rPr>
                <w:rFonts w:hint="eastAsia" w:ascii="Times New Roman" w:hAnsi="Times New Roman" w:eastAsia="宋体" w:cs="宋体"/>
                <w:strike w:val="0"/>
                <w:dstrike w:val="0"/>
                <w:color w:val="auto"/>
                <w:spacing w:val="0"/>
                <w:position w:val="0"/>
                <w:sz w:val="21"/>
                <w:szCs w:val="21"/>
                <w:highlight w:val="none"/>
                <w:lang w:val="en-US" w:eastAsia="zh-CN"/>
              </w:rPr>
              <w:t>和生产废水经黑膜池发酵处理后用于项目区周边林带施肥。</w:t>
            </w:r>
          </w:p>
        </w:tc>
        <w:tc>
          <w:tcPr>
            <w:tcW w:w="151" w:type="pct"/>
            <w:tcBorders>
              <w:tl2br w:val="nil"/>
              <w:tr2bl w:val="nil"/>
            </w:tcBorders>
            <w:vAlign w:val="center"/>
          </w:tcPr>
          <w:p w14:paraId="4747BE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4A62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45D6679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D3CBD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供电</w:t>
            </w:r>
          </w:p>
        </w:tc>
        <w:tc>
          <w:tcPr>
            <w:tcW w:w="3990" w:type="pct"/>
            <w:tcBorders>
              <w:tl2br w:val="nil"/>
              <w:tr2bl w:val="nil"/>
            </w:tcBorders>
            <w:vAlign w:val="center"/>
          </w:tcPr>
          <w:p w14:paraId="05EB55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由项目区外电网接入</w:t>
            </w:r>
          </w:p>
        </w:tc>
        <w:tc>
          <w:tcPr>
            <w:tcW w:w="151" w:type="pct"/>
            <w:tcBorders>
              <w:tl2br w:val="nil"/>
              <w:tr2bl w:val="nil"/>
            </w:tcBorders>
            <w:vAlign w:val="center"/>
          </w:tcPr>
          <w:p w14:paraId="61EDEA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C0B0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743755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5581F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供暖</w:t>
            </w:r>
          </w:p>
        </w:tc>
        <w:tc>
          <w:tcPr>
            <w:tcW w:w="3990" w:type="pct"/>
            <w:tcBorders>
              <w:tl2br w:val="nil"/>
              <w:tr2bl w:val="nil"/>
            </w:tcBorders>
            <w:vAlign w:val="center"/>
          </w:tcPr>
          <w:p w14:paraId="1DB735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夏季办公区采用空调制冷，冬季通过</w:t>
            </w:r>
            <w:r>
              <w:rPr>
                <w:rFonts w:hint="eastAsia" w:ascii="Times New Roman" w:hAnsi="Times New Roman" w:eastAsia="宋体" w:cs="宋体"/>
                <w:strike w:val="0"/>
                <w:dstrike w:val="0"/>
                <w:color w:val="auto"/>
                <w:spacing w:val="0"/>
                <w:position w:val="0"/>
                <w:sz w:val="21"/>
                <w:szCs w:val="21"/>
                <w:highlight w:val="none"/>
                <w:lang w:val="en-US" w:eastAsia="zh-CN"/>
              </w:rPr>
              <w:t>电采暖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51" w:type="pct"/>
            <w:tcBorders>
              <w:tl2br w:val="nil"/>
              <w:tr2bl w:val="nil"/>
            </w:tcBorders>
            <w:vAlign w:val="center"/>
          </w:tcPr>
          <w:p w14:paraId="5B88416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4F3D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260065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环保工程</w:t>
            </w:r>
          </w:p>
        </w:tc>
        <w:tc>
          <w:tcPr>
            <w:tcW w:w="573" w:type="pct"/>
            <w:tcBorders>
              <w:tl2br w:val="nil"/>
              <w:tr2bl w:val="nil"/>
            </w:tcBorders>
            <w:vAlign w:val="center"/>
          </w:tcPr>
          <w:p w14:paraId="7BE06E6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固废处置</w:t>
            </w:r>
          </w:p>
        </w:tc>
        <w:tc>
          <w:tcPr>
            <w:tcW w:w="3990" w:type="pct"/>
            <w:tcBorders>
              <w:tl2br w:val="nil"/>
              <w:tr2bl w:val="nil"/>
            </w:tcBorders>
            <w:vAlign w:val="center"/>
          </w:tcPr>
          <w:p w14:paraId="55CBECA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骆驼粪便定期清运至堆肥场，经过处理后作为有机肥外售；病死骆驼、分娩废弃物（胎衣、死胎、胎盘附属物）委托具有合法资质的无害化处理单位进行无害化处理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医疗废物暂存于医疗废物暂存间（15m</w:t>
            </w:r>
            <w:r>
              <w:rPr>
                <w:rFonts w:hint="eastAsia" w:ascii="Times New Roman" w:hAnsi="Times New Roman" w:eastAsia="宋体" w:cs="宋体"/>
                <w:strike w:val="0"/>
                <w:dstrike w:val="0"/>
                <w:color w:val="auto"/>
                <w:spacing w:val="0"/>
                <w:position w:val="0"/>
                <w:sz w:val="21"/>
                <w:szCs w:val="21"/>
                <w:highlight w:val="none"/>
                <w:vertAlign w:val="superscript"/>
                <w:lang w:val="en-US" w:eastAsia="zh-CN"/>
              </w:rPr>
              <w:t>2</w:t>
            </w:r>
            <w:r>
              <w:rPr>
                <w:rFonts w:hint="eastAsia" w:ascii="Times New Roman" w:hAnsi="Times New Roman" w:eastAsia="宋体" w:cs="宋体"/>
                <w:strike w:val="0"/>
                <w:dstrike w:val="0"/>
                <w:color w:val="auto"/>
                <w:spacing w:val="0"/>
                <w:position w:val="0"/>
                <w:sz w:val="21"/>
                <w:szCs w:val="21"/>
                <w:highlight w:val="none"/>
                <w:lang w:val="en-US" w:eastAsia="zh-CN"/>
              </w:rPr>
              <w:t>），定期委托有资质单位进行处置。</w:t>
            </w:r>
          </w:p>
        </w:tc>
        <w:tc>
          <w:tcPr>
            <w:tcW w:w="151" w:type="pct"/>
            <w:tcBorders>
              <w:tl2br w:val="nil"/>
              <w:tr2bl w:val="nil"/>
            </w:tcBorders>
            <w:vAlign w:val="center"/>
          </w:tcPr>
          <w:p w14:paraId="63F7F3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10447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jc w:val="center"/>
        </w:trPr>
        <w:tc>
          <w:tcPr>
            <w:tcW w:w="284" w:type="pct"/>
            <w:vMerge w:val="continue"/>
            <w:tcBorders>
              <w:tl2br w:val="nil"/>
              <w:tr2bl w:val="nil"/>
            </w:tcBorders>
            <w:vAlign w:val="center"/>
          </w:tcPr>
          <w:p w14:paraId="476B262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6279F9B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废水治理</w:t>
            </w:r>
          </w:p>
        </w:tc>
        <w:tc>
          <w:tcPr>
            <w:tcW w:w="3990" w:type="pct"/>
            <w:tcBorders>
              <w:tl2br w:val="nil"/>
              <w:tr2bl w:val="nil"/>
            </w:tcBorders>
            <w:vAlign w:val="center"/>
          </w:tcPr>
          <w:p w14:paraId="1EAD5F8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厂区设置1座黑膜池，黑膜池采用厌氧发酵工艺，用于处理生产废水和生活污水。项目生产废水及生活污水经黑膜池发酵处理后用于项目区周边林带施肥。</w:t>
            </w:r>
          </w:p>
        </w:tc>
        <w:tc>
          <w:tcPr>
            <w:tcW w:w="151" w:type="pct"/>
            <w:tcBorders>
              <w:tl2br w:val="nil"/>
              <w:tr2bl w:val="nil"/>
            </w:tcBorders>
            <w:vAlign w:val="center"/>
          </w:tcPr>
          <w:p w14:paraId="418FB66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25CD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73BD5AA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2FCC8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噪声治理</w:t>
            </w:r>
          </w:p>
        </w:tc>
        <w:tc>
          <w:tcPr>
            <w:tcW w:w="3990" w:type="pct"/>
            <w:tcBorders>
              <w:tl2br w:val="nil"/>
              <w:tr2bl w:val="nil"/>
            </w:tcBorders>
            <w:vAlign w:val="center"/>
          </w:tcPr>
          <w:p w14:paraId="4CDCEBC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对产生噪声的设备采取消音、厂房屏蔽及隔声措施</w:t>
            </w:r>
          </w:p>
        </w:tc>
        <w:tc>
          <w:tcPr>
            <w:tcW w:w="151" w:type="pct"/>
            <w:tcBorders>
              <w:tl2br w:val="nil"/>
              <w:tr2bl w:val="nil"/>
            </w:tcBorders>
            <w:vAlign w:val="center"/>
          </w:tcPr>
          <w:p w14:paraId="6A6AF0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B6BE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284" w:type="pct"/>
            <w:vMerge w:val="continue"/>
            <w:tcBorders>
              <w:tl2br w:val="nil"/>
              <w:tr2bl w:val="nil"/>
            </w:tcBorders>
            <w:vAlign w:val="center"/>
          </w:tcPr>
          <w:p w14:paraId="65FE2A1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vMerge w:val="restart"/>
            <w:tcBorders>
              <w:tl2br w:val="nil"/>
              <w:tr2bl w:val="nil"/>
            </w:tcBorders>
            <w:vAlign w:val="center"/>
          </w:tcPr>
          <w:p w14:paraId="4E35DC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废气治理</w:t>
            </w:r>
          </w:p>
        </w:tc>
        <w:tc>
          <w:tcPr>
            <w:tcW w:w="3990" w:type="pct"/>
            <w:tcBorders>
              <w:tl2br w:val="nil"/>
              <w:tr2bl w:val="nil"/>
            </w:tcBorders>
            <w:vAlign w:val="center"/>
          </w:tcPr>
          <w:p w14:paraId="11ED33E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在饲料中添加沙皂素等除臭剂，并科学合理调控饲粮，同时加强骆驼养殖场的环境跟踪和管理动气清理粪便，对堆肥场定期喷洒除臭剂，加强厂区绿化，使用透气发酵膜全覆盖堆垛，周边压实，防雨、阻隔臭气，翻堆仅局部揭膜，同步喷淋除臭，完工马上盖膜</w:t>
            </w:r>
          </w:p>
        </w:tc>
        <w:tc>
          <w:tcPr>
            <w:tcW w:w="151" w:type="pct"/>
            <w:vMerge w:val="restart"/>
            <w:tcBorders>
              <w:tl2br w:val="nil"/>
              <w:tr2bl w:val="nil"/>
            </w:tcBorders>
            <w:vAlign w:val="center"/>
          </w:tcPr>
          <w:p w14:paraId="2278C2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8FD0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284" w:type="pct"/>
            <w:vMerge w:val="continue"/>
            <w:tcBorders>
              <w:tl2br w:val="nil"/>
              <w:tr2bl w:val="nil"/>
            </w:tcBorders>
            <w:vAlign w:val="center"/>
          </w:tcPr>
          <w:p w14:paraId="335B24D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olor w:val="auto"/>
              </w:rPr>
            </w:pPr>
          </w:p>
        </w:tc>
        <w:tc>
          <w:tcPr>
            <w:tcW w:w="573" w:type="pct"/>
            <w:vMerge w:val="continue"/>
            <w:tcBorders>
              <w:tl2br w:val="nil"/>
              <w:tr2bl w:val="nil"/>
            </w:tcBorders>
            <w:vAlign w:val="center"/>
          </w:tcPr>
          <w:p w14:paraId="0E110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olor w:val="auto"/>
              </w:rPr>
            </w:pPr>
          </w:p>
        </w:tc>
        <w:tc>
          <w:tcPr>
            <w:tcW w:w="3990" w:type="pct"/>
            <w:tcBorders>
              <w:tl2br w:val="nil"/>
              <w:tr2bl w:val="nil"/>
            </w:tcBorders>
            <w:vAlign w:val="center"/>
          </w:tcPr>
          <w:p w14:paraId="00E3AE8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黑膜池：池体覆膜密闭，定时喷洒生物除臭剂；加强绿化</w:t>
            </w:r>
          </w:p>
        </w:tc>
        <w:tc>
          <w:tcPr>
            <w:tcW w:w="151" w:type="pct"/>
            <w:vMerge w:val="continue"/>
            <w:tcBorders>
              <w:tl2br w:val="nil"/>
              <w:tr2bl w:val="nil"/>
            </w:tcBorders>
            <w:vAlign w:val="center"/>
          </w:tcPr>
          <w:p w14:paraId="63B1874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r>
    </w:tbl>
    <w:p w14:paraId="0A9105D0">
      <w:pPr>
        <w:pStyle w:val="4"/>
        <w:rPr>
          <w:rFonts w:ascii="Times New Roman" w:hAnsi="Times New Roman" w:eastAsia="宋体"/>
          <w:strike w:val="0"/>
          <w:dstrike w:val="0"/>
          <w:color w:val="auto"/>
          <w:highlight w:val="none"/>
        </w:rPr>
      </w:pPr>
      <w:bookmarkStart w:id="101" w:name="_Toc1096"/>
      <w:bookmarkStart w:id="102" w:name="_Toc106663462"/>
      <w:r>
        <w:rPr>
          <w:rFonts w:hint="eastAsia" w:ascii="Times New Roman" w:hAnsi="Times New Roman" w:eastAsia="宋体"/>
          <w:strike w:val="0"/>
          <w:dstrike w:val="0"/>
          <w:color w:val="auto"/>
          <w:highlight w:val="none"/>
        </w:rPr>
        <w:t>3.1.3主要原辅材料</w:t>
      </w:r>
      <w:bookmarkEnd w:id="101"/>
      <w:bookmarkEnd w:id="102"/>
    </w:p>
    <w:p w14:paraId="4BF0B4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本项目原辅材</w:t>
      </w:r>
      <w:r>
        <w:rPr>
          <w:rFonts w:hint="eastAsia" w:ascii="Times New Roman" w:hAnsi="Times New Roman" w:eastAsia="宋体"/>
          <w:strike w:val="0"/>
          <w:dstrike w:val="0"/>
          <w:color w:val="auto"/>
          <w:highlight w:val="none"/>
          <w:lang w:eastAsia="zh-CN"/>
        </w:rPr>
        <w:t>料消</w:t>
      </w:r>
      <w:r>
        <w:rPr>
          <w:rFonts w:hint="eastAsia" w:ascii="Times New Roman" w:hAnsi="Times New Roman" w:eastAsia="宋体"/>
          <w:strike w:val="0"/>
          <w:dstrike w:val="0"/>
          <w:color w:val="auto"/>
          <w:highlight w:val="none"/>
        </w:rPr>
        <w:t>耗情况见下表3.1-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666D3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表3.1-本项目原辅材料用量情况一览表</w:t>
      </w:r>
    </w:p>
    <w:tbl>
      <w:tblPr>
        <w:tblStyle w:val="183"/>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6"/>
        <w:gridCol w:w="1155"/>
        <w:gridCol w:w="1172"/>
        <w:gridCol w:w="2929"/>
        <w:gridCol w:w="2687"/>
      </w:tblGrid>
      <w:tr w14:paraId="06E1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5" w:type="pct"/>
            <w:gridSpan w:val="2"/>
            <w:vAlign w:val="center"/>
          </w:tcPr>
          <w:p w14:paraId="73A5AA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名称</w:t>
            </w:r>
          </w:p>
        </w:tc>
        <w:tc>
          <w:tcPr>
            <w:tcW w:w="705" w:type="pct"/>
            <w:vAlign w:val="center"/>
          </w:tcPr>
          <w:p w14:paraId="6133CFC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数量</w:t>
            </w:r>
          </w:p>
        </w:tc>
        <w:tc>
          <w:tcPr>
            <w:tcW w:w="1762" w:type="pct"/>
            <w:vAlign w:val="center"/>
          </w:tcPr>
          <w:p w14:paraId="69EC04A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来源</w:t>
            </w:r>
          </w:p>
        </w:tc>
        <w:tc>
          <w:tcPr>
            <w:tcW w:w="1616" w:type="pct"/>
            <w:vAlign w:val="center"/>
          </w:tcPr>
          <w:p w14:paraId="2AA9477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备注</w:t>
            </w:r>
          </w:p>
        </w:tc>
      </w:tr>
      <w:tr w14:paraId="3E3CE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vAlign w:val="center"/>
          </w:tcPr>
          <w:p w14:paraId="232C2E9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骆驼</w:t>
            </w:r>
            <w:r>
              <w:rPr>
                <w:rFonts w:ascii="Times New Roman" w:hAnsi="Times New Roman" w:eastAsia="宋体" w:cs="宋体"/>
                <w:strike w:val="0"/>
                <w:dstrike w:val="0"/>
                <w:color w:val="auto"/>
                <w:spacing w:val="0"/>
                <w:sz w:val="21"/>
                <w:szCs w:val="21"/>
                <w:highlight w:val="none"/>
              </w:rPr>
              <w:t>饲养</w:t>
            </w:r>
          </w:p>
        </w:tc>
        <w:tc>
          <w:tcPr>
            <w:tcW w:w="695" w:type="pct"/>
            <w:vAlign w:val="center"/>
          </w:tcPr>
          <w:p w14:paraId="7D00A41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骆驼</w:t>
            </w:r>
          </w:p>
        </w:tc>
        <w:tc>
          <w:tcPr>
            <w:tcW w:w="705" w:type="pct"/>
            <w:vAlign w:val="center"/>
          </w:tcPr>
          <w:p w14:paraId="7BB247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1015峰</w:t>
            </w:r>
          </w:p>
        </w:tc>
        <w:tc>
          <w:tcPr>
            <w:tcW w:w="1762" w:type="pct"/>
            <w:vAlign w:val="center"/>
          </w:tcPr>
          <w:p w14:paraId="1A64137D">
            <w:pPr>
              <w:keepNext w:val="0"/>
              <w:keepLines w:val="0"/>
              <w:pageBreakBefore w:val="0"/>
              <w:widowControl w:val="0"/>
              <w:kinsoku/>
              <w:wordWrap/>
              <w:overflowPunct/>
              <w:topLinePunct w:val="0"/>
              <w:autoSpaceDE/>
              <w:autoSpaceDN/>
              <w:bidi w:val="0"/>
              <w:adjustRightInd/>
              <w:snapToGrid/>
              <w:spacing w:line="360" w:lineRule="exact"/>
              <w:ind w:left="0" w:right="192"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2AAC33D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r>
      <w:tr w14:paraId="2DCE4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47C8D1E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5B0D92B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防疫药品</w:t>
            </w:r>
          </w:p>
        </w:tc>
        <w:tc>
          <w:tcPr>
            <w:tcW w:w="705" w:type="pct"/>
            <w:vAlign w:val="center"/>
          </w:tcPr>
          <w:p w14:paraId="7203C7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2.6t/a</w:t>
            </w:r>
          </w:p>
        </w:tc>
        <w:tc>
          <w:tcPr>
            <w:tcW w:w="1762" w:type="pct"/>
            <w:vAlign w:val="center"/>
          </w:tcPr>
          <w:p w14:paraId="2485A959">
            <w:pPr>
              <w:keepNext w:val="0"/>
              <w:keepLines w:val="0"/>
              <w:pageBreakBefore w:val="0"/>
              <w:widowControl w:val="0"/>
              <w:kinsoku/>
              <w:wordWrap/>
              <w:overflowPunct/>
              <w:topLinePunct w:val="0"/>
              <w:autoSpaceDE/>
              <w:autoSpaceDN/>
              <w:bidi w:val="0"/>
              <w:adjustRightInd/>
              <w:snapToGrid/>
              <w:spacing w:line="360" w:lineRule="exact"/>
              <w:ind w:left="0" w:right="139"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198EC9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222B0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02271F2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17F79D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消毒药品</w:t>
            </w:r>
          </w:p>
        </w:tc>
        <w:tc>
          <w:tcPr>
            <w:tcW w:w="705" w:type="pct"/>
            <w:vAlign w:val="center"/>
          </w:tcPr>
          <w:p w14:paraId="7826C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20</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7766F66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0B5B31B8">
            <w:pPr>
              <w:keepNext w:val="0"/>
              <w:keepLines w:val="0"/>
              <w:pageBreakBefore w:val="0"/>
              <w:widowControl w:val="0"/>
              <w:kinsoku/>
              <w:wordWrap/>
              <w:overflowPunct/>
              <w:topLinePunct w:val="0"/>
              <w:autoSpaceDE/>
              <w:autoSpaceDN/>
              <w:bidi w:val="0"/>
              <w:adjustRightInd/>
              <w:snapToGrid/>
              <w:spacing w:line="360" w:lineRule="exact"/>
              <w:ind w:left="0" w:right="137"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主要复合酚、来苏尔、氯制剂</w:t>
            </w:r>
          </w:p>
        </w:tc>
      </w:tr>
      <w:tr w14:paraId="66D4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1586BF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2BD65BA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精饲料</w:t>
            </w:r>
          </w:p>
        </w:tc>
        <w:tc>
          <w:tcPr>
            <w:tcW w:w="705" w:type="pct"/>
            <w:vAlign w:val="center"/>
          </w:tcPr>
          <w:p w14:paraId="159FE74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2.34×10</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4280135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0A71EB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64C00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41E091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345748A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苜蓿干草</w:t>
            </w:r>
          </w:p>
        </w:tc>
        <w:tc>
          <w:tcPr>
            <w:tcW w:w="705" w:type="pct"/>
            <w:vAlign w:val="center"/>
          </w:tcPr>
          <w:p w14:paraId="07B9878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438t/a</w:t>
            </w:r>
          </w:p>
        </w:tc>
        <w:tc>
          <w:tcPr>
            <w:tcW w:w="1762" w:type="pct"/>
            <w:vAlign w:val="center"/>
          </w:tcPr>
          <w:p w14:paraId="08945CF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67016B8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7D4E1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57D778E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024BA7D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燕麦干草</w:t>
            </w:r>
          </w:p>
        </w:tc>
        <w:tc>
          <w:tcPr>
            <w:tcW w:w="705" w:type="pct"/>
            <w:vAlign w:val="center"/>
          </w:tcPr>
          <w:p w14:paraId="13ADCD0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328.5t/a</w:t>
            </w:r>
          </w:p>
        </w:tc>
        <w:tc>
          <w:tcPr>
            <w:tcW w:w="1762" w:type="pct"/>
            <w:vAlign w:val="center"/>
          </w:tcPr>
          <w:p w14:paraId="490A507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17A75E9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7EA0F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7C94D13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253BBC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芦苇干草</w:t>
            </w:r>
          </w:p>
        </w:tc>
        <w:tc>
          <w:tcPr>
            <w:tcW w:w="705" w:type="pct"/>
            <w:vAlign w:val="center"/>
          </w:tcPr>
          <w:p w14:paraId="162CF41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569.4t/a</w:t>
            </w:r>
          </w:p>
        </w:tc>
        <w:tc>
          <w:tcPr>
            <w:tcW w:w="1762" w:type="pct"/>
            <w:vAlign w:val="center"/>
          </w:tcPr>
          <w:p w14:paraId="5C8896A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193049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2D1DD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tcBorders>
              <w:bottom w:val="nil"/>
            </w:tcBorders>
            <w:vAlign w:val="center"/>
          </w:tcPr>
          <w:p w14:paraId="3D90364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辅料</w:t>
            </w:r>
          </w:p>
        </w:tc>
        <w:tc>
          <w:tcPr>
            <w:tcW w:w="695" w:type="pct"/>
            <w:vAlign w:val="center"/>
          </w:tcPr>
          <w:p w14:paraId="7B0B37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除臭剂</w:t>
            </w:r>
          </w:p>
        </w:tc>
        <w:tc>
          <w:tcPr>
            <w:tcW w:w="705" w:type="pct"/>
            <w:vAlign w:val="center"/>
          </w:tcPr>
          <w:p w14:paraId="0A8F1FE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500kg</w:t>
            </w:r>
          </w:p>
        </w:tc>
        <w:tc>
          <w:tcPr>
            <w:tcW w:w="1762" w:type="pct"/>
            <w:vAlign w:val="center"/>
          </w:tcPr>
          <w:p w14:paraId="059BD35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2816BBAD">
            <w:pPr>
              <w:keepNext w:val="0"/>
              <w:keepLines w:val="0"/>
              <w:pageBreakBefore w:val="0"/>
              <w:widowControl w:val="0"/>
              <w:kinsoku/>
              <w:wordWrap/>
              <w:overflowPunct/>
              <w:topLinePunct w:val="0"/>
              <w:autoSpaceDE/>
              <w:autoSpaceDN/>
              <w:bidi w:val="0"/>
              <w:adjustRightInd/>
              <w:snapToGrid/>
              <w:spacing w:line="360" w:lineRule="exact"/>
              <w:ind w:left="0" w:right="168"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主要为戊二醛、聚维酮碘</w:t>
            </w:r>
          </w:p>
        </w:tc>
      </w:tr>
      <w:tr w14:paraId="48E24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cBorders>
              <w:top w:val="nil"/>
            </w:tcBorders>
            <w:textDirection w:val="tbRlV"/>
            <w:vAlign w:val="center"/>
          </w:tcPr>
          <w:p w14:paraId="2E6EA2F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5D8799B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熟石灰</w:t>
            </w:r>
          </w:p>
        </w:tc>
        <w:tc>
          <w:tcPr>
            <w:tcW w:w="705" w:type="pct"/>
            <w:vAlign w:val="center"/>
          </w:tcPr>
          <w:p w14:paraId="04C2D9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4</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0EE8DF0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7CC8420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27481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tcBorders>
              <w:bottom w:val="nil"/>
            </w:tcBorders>
            <w:vAlign w:val="center"/>
          </w:tcPr>
          <w:p w14:paraId="0610CF2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能源</w:t>
            </w:r>
          </w:p>
        </w:tc>
        <w:tc>
          <w:tcPr>
            <w:tcW w:w="695" w:type="pct"/>
            <w:vAlign w:val="center"/>
          </w:tcPr>
          <w:p w14:paraId="0BC1BFD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水</w:t>
            </w:r>
          </w:p>
        </w:tc>
        <w:tc>
          <w:tcPr>
            <w:tcW w:w="705" w:type="pct"/>
            <w:vAlign w:val="center"/>
          </w:tcPr>
          <w:p w14:paraId="63559DD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4421.975</w:t>
            </w:r>
            <w:r>
              <w:rPr>
                <w:rFonts w:ascii="Times New Roman" w:hAnsi="Times New Roman" w:eastAsia="宋体" w:cs="Times New Roman"/>
                <w:strike w:val="0"/>
                <w:dstrike w:val="0"/>
                <w:color w:val="auto"/>
                <w:spacing w:val="0"/>
                <w:sz w:val="21"/>
                <w:szCs w:val="21"/>
                <w:highlight w:val="none"/>
              </w:rPr>
              <w:t>m³/a</w:t>
            </w:r>
          </w:p>
        </w:tc>
        <w:tc>
          <w:tcPr>
            <w:tcW w:w="1762" w:type="pct"/>
            <w:vAlign w:val="center"/>
          </w:tcPr>
          <w:p w14:paraId="181E8C56">
            <w:pPr>
              <w:keepNext w:val="0"/>
              <w:keepLines w:val="0"/>
              <w:pageBreakBefore w:val="0"/>
              <w:widowControl w:val="0"/>
              <w:kinsoku/>
              <w:wordWrap/>
              <w:overflowPunct/>
              <w:topLinePunct w:val="0"/>
              <w:autoSpaceDE/>
              <w:autoSpaceDN/>
              <w:bidi w:val="0"/>
              <w:adjustRightInd/>
              <w:snapToGrid/>
              <w:spacing w:line="360" w:lineRule="exact"/>
              <w:ind w:left="0" w:right="139"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从</w:t>
            </w:r>
            <w:r>
              <w:rPr>
                <w:rFonts w:hint="eastAsia" w:ascii="Times New Roman" w:hAnsi="Times New Roman" w:eastAsia="宋体" w:cs="宋体"/>
                <w:strike w:val="0"/>
                <w:dstrike w:val="0"/>
                <w:color w:val="auto"/>
                <w:spacing w:val="0"/>
                <w:sz w:val="21"/>
                <w:szCs w:val="21"/>
                <w:highlight w:val="none"/>
                <w:lang w:val="en-US" w:eastAsia="zh-CN"/>
              </w:rPr>
              <w:t>村庄供水管网</w:t>
            </w:r>
            <w:r>
              <w:rPr>
                <w:rFonts w:ascii="Times New Roman" w:hAnsi="Times New Roman" w:eastAsia="宋体" w:cs="宋体"/>
                <w:strike w:val="0"/>
                <w:dstrike w:val="0"/>
                <w:color w:val="auto"/>
                <w:spacing w:val="0"/>
                <w:sz w:val="21"/>
                <w:szCs w:val="21"/>
                <w:highlight w:val="none"/>
              </w:rPr>
              <w:t>预留接口接入</w:t>
            </w:r>
          </w:p>
        </w:tc>
        <w:tc>
          <w:tcPr>
            <w:tcW w:w="1616" w:type="pct"/>
            <w:vAlign w:val="center"/>
          </w:tcPr>
          <w:p w14:paraId="48E7406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0FE6B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cBorders>
              <w:top w:val="nil"/>
            </w:tcBorders>
            <w:textDirection w:val="tbRlV"/>
            <w:vAlign w:val="center"/>
          </w:tcPr>
          <w:p w14:paraId="1349D7B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0B25C6CE">
            <w:pPr>
              <w:keepNext w:val="0"/>
              <w:keepLines w:val="0"/>
              <w:pageBreakBefore w:val="0"/>
              <w:widowControl w:val="0"/>
              <w:kinsoku/>
              <w:wordWrap/>
              <w:overflowPunct/>
              <w:topLinePunct w:val="0"/>
              <w:autoSpaceDE/>
              <w:autoSpaceDN/>
              <w:bidi w:val="0"/>
              <w:adjustRightInd/>
              <w:snapToGrid/>
              <w:spacing w:line="360" w:lineRule="exact"/>
              <w:ind w:left="0" w:right="122"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电</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KWh/a</w:t>
            </w:r>
            <w:r>
              <w:rPr>
                <w:rFonts w:hint="eastAsia" w:ascii="Times New Roman" w:hAnsi="Times New Roman" w:eastAsia="宋体" w:cs="宋体"/>
                <w:strike w:val="0"/>
                <w:dstrike w:val="0"/>
                <w:color w:val="auto"/>
                <w:spacing w:val="0"/>
                <w:sz w:val="21"/>
                <w:szCs w:val="21"/>
                <w:highlight w:val="none"/>
                <w:lang w:eastAsia="zh-CN"/>
              </w:rPr>
              <w:t>）</w:t>
            </w:r>
          </w:p>
        </w:tc>
        <w:tc>
          <w:tcPr>
            <w:tcW w:w="705" w:type="pct"/>
            <w:vAlign w:val="center"/>
          </w:tcPr>
          <w:p w14:paraId="456F336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16</w:t>
            </w:r>
            <w:r>
              <w:rPr>
                <w:rFonts w:ascii="Times New Roman" w:hAnsi="Times New Roman" w:eastAsia="宋体" w:cs="宋体"/>
                <w:strike w:val="0"/>
                <w:dstrike w:val="0"/>
                <w:color w:val="auto"/>
                <w:spacing w:val="0"/>
                <w:sz w:val="21"/>
                <w:szCs w:val="21"/>
                <w:highlight w:val="none"/>
              </w:rPr>
              <w:t>万</w:t>
            </w:r>
            <w:r>
              <w:rPr>
                <w:rFonts w:ascii="Times New Roman" w:hAnsi="Times New Roman" w:eastAsia="宋体" w:cs="Times New Roman"/>
                <w:strike w:val="0"/>
                <w:dstrike w:val="0"/>
                <w:color w:val="auto"/>
                <w:spacing w:val="0"/>
                <w:sz w:val="21"/>
                <w:szCs w:val="21"/>
                <w:highlight w:val="none"/>
              </w:rPr>
              <w:t>kWh/a</w:t>
            </w:r>
          </w:p>
        </w:tc>
        <w:tc>
          <w:tcPr>
            <w:tcW w:w="1762" w:type="pct"/>
            <w:vAlign w:val="center"/>
          </w:tcPr>
          <w:p w14:paraId="66B3D6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电网</w:t>
            </w:r>
          </w:p>
        </w:tc>
        <w:tc>
          <w:tcPr>
            <w:tcW w:w="1616" w:type="pct"/>
            <w:vAlign w:val="center"/>
          </w:tcPr>
          <w:p w14:paraId="1EA38F5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bl>
    <w:p w14:paraId="2E37559E">
      <w:pPr>
        <w:pStyle w:val="4"/>
        <w:rPr>
          <w:rFonts w:ascii="Times New Roman" w:hAnsi="Times New Roman" w:eastAsia="宋体"/>
          <w:strike w:val="0"/>
          <w:dstrike w:val="0"/>
          <w:color w:val="auto"/>
          <w:highlight w:val="none"/>
        </w:rPr>
      </w:pPr>
      <w:bookmarkStart w:id="103" w:name="_Toc106663464"/>
      <w:bookmarkStart w:id="104" w:name="_Toc23707"/>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平面布置</w:t>
      </w:r>
      <w:bookmarkEnd w:id="103"/>
      <w:bookmarkEnd w:id="104"/>
    </w:p>
    <w:p w14:paraId="40EE72A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总平面布置</w:t>
      </w:r>
    </w:p>
    <w:p w14:paraId="63F587F5">
      <w:pPr>
        <w:ind w:firstLine="480"/>
        <w:rPr>
          <w:rFonts w:hint="default" w:ascii="Times New Roman" w:hAnsi="Times New Roman" w:eastAsia="宋体"/>
          <w:b w:val="0"/>
          <w:bCs w:val="0"/>
          <w:strike w:val="0"/>
          <w:dstrike w:val="0"/>
          <w:color w:val="auto"/>
          <w:highlight w:val="none"/>
          <w:lang w:val="en-US" w:eastAsia="zh-CN"/>
        </w:rPr>
      </w:pPr>
      <w:r>
        <w:rPr>
          <w:rFonts w:hint="eastAsia" w:ascii="Times New Roman" w:hAnsi="Times New Roman" w:eastAsia="宋体"/>
          <w:b w:val="0"/>
          <w:bCs w:val="0"/>
          <w:strike w:val="0"/>
          <w:dstrike w:val="0"/>
          <w:color w:val="auto"/>
          <w:highlight w:val="none"/>
          <w:lang w:val="en-US" w:eastAsia="zh-CN"/>
        </w:rPr>
        <w:t>本项目北侧、西侧、南侧均为空地，东侧为乡道，项目周边关系卫星图见附图3.1-2，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w:t>
      </w:r>
      <w:r>
        <w:rPr>
          <w:rFonts w:hint="eastAsia" w:ascii="Times New Roman" w:hAnsi="Times New Roman" w:eastAsia="宋体"/>
          <w:strike w:val="0"/>
          <w:dstrike w:val="0"/>
          <w:color w:val="auto"/>
          <w:highlight w:val="none"/>
        </w:rPr>
        <w:t>含饲料加工间、草料房、青贮窖，</w:t>
      </w:r>
      <w:r>
        <w:rPr>
          <w:rFonts w:hint="eastAsia" w:ascii="Times New Roman" w:hAnsi="Times New Roman" w:eastAsia="宋体"/>
          <w:strike w:val="0"/>
          <w:dstrike w:val="0"/>
          <w:color w:val="auto"/>
          <w:highlight w:val="none"/>
          <w:lang w:val="en-US" w:eastAsia="zh-CN"/>
        </w:rPr>
        <w:t>位于养殖生产区北侧，</w:t>
      </w:r>
      <w:r>
        <w:rPr>
          <w:rFonts w:hint="eastAsia" w:ascii="Times New Roman" w:hAnsi="Times New Roman" w:eastAsia="宋体"/>
          <w:strike w:val="0"/>
          <w:dstrike w:val="0"/>
          <w:color w:val="auto"/>
          <w:highlight w:val="none"/>
        </w:rPr>
        <w:t>靠近场区</w:t>
      </w:r>
      <w:r>
        <w:rPr>
          <w:rFonts w:hint="eastAsia" w:ascii="Times New Roman" w:hAnsi="Times New Roman" w:eastAsia="宋体"/>
          <w:strike w:val="0"/>
          <w:dstrike w:val="0"/>
          <w:color w:val="auto"/>
          <w:highlight w:val="none"/>
          <w:lang w:val="en-US" w:eastAsia="zh-CN"/>
        </w:rPr>
        <w:t>次出入</w:t>
      </w:r>
      <w:r>
        <w:rPr>
          <w:rFonts w:hint="eastAsia" w:ascii="Times New Roman" w:hAnsi="Times New Roman" w:eastAsia="宋体"/>
          <w:strike w:val="0"/>
          <w:dstrike w:val="0"/>
          <w:color w:val="auto"/>
          <w:highlight w:val="none"/>
        </w:rPr>
        <w:t>口，减少场内运输交叉。</w:t>
      </w:r>
    </w:p>
    <w:p w14:paraId="141354C3">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母驼舍：</w:t>
      </w:r>
      <w:r>
        <w:rPr>
          <w:rFonts w:hint="eastAsia" w:ascii="Times New Roman" w:hAnsi="Times New Roman" w:eastAsia="宋体"/>
          <w:strike w:val="0"/>
          <w:dstrike w:val="0"/>
          <w:color w:val="auto"/>
          <w:highlight w:val="none"/>
        </w:rPr>
        <w:t>布置于场区采光、通风最佳位置，满足规模化饲养。</w:t>
      </w:r>
    </w:p>
    <w:p w14:paraId="364A5729">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公驼舍：</w:t>
      </w:r>
      <w:r>
        <w:rPr>
          <w:rFonts w:hint="eastAsia" w:ascii="Times New Roman" w:hAnsi="Times New Roman" w:eastAsia="宋体"/>
          <w:strike w:val="0"/>
          <w:dstrike w:val="0"/>
          <w:color w:val="auto"/>
          <w:highlight w:val="none"/>
        </w:rPr>
        <w:t>与母驼舍保持合理间距，实行分群饲养。</w:t>
      </w:r>
    </w:p>
    <w:p w14:paraId="1F6F7A92">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孕驼舍：</w:t>
      </w:r>
      <w:r>
        <w:rPr>
          <w:rFonts w:hint="eastAsia" w:ascii="Times New Roman" w:hAnsi="Times New Roman" w:eastAsia="宋体"/>
          <w:strike w:val="0"/>
          <w:dstrike w:val="0"/>
          <w:color w:val="auto"/>
          <w:highlight w:val="none"/>
        </w:rPr>
        <w:t>环境安静、独立设置，利于孕期母驼管护。</w:t>
      </w:r>
    </w:p>
    <w:p w14:paraId="062BDC3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各驼舍行列式排布，间距满足防疫、通风、采光及消防要求，舍外设活动场地与运动跑道。</w:t>
      </w:r>
    </w:p>
    <w:p w14:paraId="0D2BA7D8">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挤奶大厅：</w:t>
      </w:r>
      <w:r>
        <w:rPr>
          <w:rFonts w:hint="eastAsia" w:ascii="Times New Roman" w:hAnsi="Times New Roman" w:eastAsia="宋体"/>
          <w:strike w:val="0"/>
          <w:dstrike w:val="0"/>
          <w:color w:val="auto"/>
          <w:highlight w:val="none"/>
        </w:rPr>
        <w:t>靠近母驼舍，流线短捷，便于驼奶采集、暂存、转运。</w:t>
      </w:r>
    </w:p>
    <w:p w14:paraId="5030BB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平面布置与相关规范符合性分析</w:t>
      </w:r>
    </w:p>
    <w:p w14:paraId="552B4F7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（1）与《畜禽养殖业污染防治技术规范》（HJ/T81-2001）符合性</w:t>
      </w:r>
    </w:p>
    <w:p w14:paraId="077281B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根据《畜禽养殖业污染防治技术规范》（HJ/T81-2001）中场区布局有关要求，本项目场区平面布置与其符合性分析见表3.1-4</w:t>
      </w:r>
      <w:r>
        <w:rPr>
          <w:rFonts w:hint="eastAsia" w:ascii="Times New Roman" w:hAnsi="Times New Roman" w:eastAsia="宋体"/>
          <w:strike w:val="0"/>
          <w:dstrike w:val="0"/>
          <w:color w:val="auto"/>
          <w:highlight w:val="none"/>
          <w:lang w:eastAsia="zh-CN"/>
        </w:rPr>
        <w:t>。</w:t>
      </w:r>
    </w:p>
    <w:p w14:paraId="5D6B4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表3.1-4场区布局与《畜禽养殖业污染防治技术规范》（HJ/T81-2001）符合性</w:t>
      </w:r>
    </w:p>
    <w:tbl>
      <w:tblPr>
        <w:tblStyle w:val="183"/>
        <w:tblW w:w="8302"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6"/>
        <w:gridCol w:w="3832"/>
        <w:gridCol w:w="3367"/>
        <w:gridCol w:w="727"/>
      </w:tblGrid>
      <w:tr w14:paraId="251BF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376" w:type="dxa"/>
            <w:vAlign w:val="top"/>
          </w:tcPr>
          <w:p w14:paraId="1F852CE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3832" w:type="dxa"/>
            <w:vAlign w:val="top"/>
          </w:tcPr>
          <w:p w14:paraId="421136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《畜禽养殖业污染防治技术规范》</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HJ/T81-2001</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中要求</w:t>
            </w:r>
          </w:p>
        </w:tc>
        <w:tc>
          <w:tcPr>
            <w:tcW w:w="3367" w:type="dxa"/>
            <w:vAlign w:val="top"/>
          </w:tcPr>
          <w:p w14:paraId="075A20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本项目情况</w:t>
            </w:r>
          </w:p>
        </w:tc>
        <w:tc>
          <w:tcPr>
            <w:tcW w:w="727" w:type="dxa"/>
            <w:vAlign w:val="top"/>
          </w:tcPr>
          <w:p w14:paraId="10CD152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结论</w:t>
            </w:r>
          </w:p>
        </w:tc>
      </w:tr>
      <w:tr w14:paraId="605C2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8302" w:type="dxa"/>
            <w:gridSpan w:val="4"/>
            <w:vAlign w:val="top"/>
          </w:tcPr>
          <w:p w14:paraId="484FDA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根据该规范，畜禽养殖场厂区布局如下：</w:t>
            </w:r>
          </w:p>
        </w:tc>
      </w:tr>
      <w:tr w14:paraId="4449F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76" w:type="dxa"/>
            <w:vAlign w:val="top"/>
          </w:tcPr>
          <w:p w14:paraId="2A56546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3832" w:type="dxa"/>
            <w:vAlign w:val="top"/>
          </w:tcPr>
          <w:p w14:paraId="148D1E7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新建、改建、扩建的畜禽养殖场应实现生产区、生活管理区的隔离，粪便污水处理设施和畜禽尸体焚烧炉应设在养殖场的生产区、生活管理区的常年主导风向的下风向或侧风向处</w:t>
            </w:r>
            <w:r>
              <w:rPr>
                <w:rFonts w:hint="eastAsia" w:ascii="Times New Roman" w:hAnsi="Times New Roman" w:eastAsia="宋体" w:cs="宋体"/>
                <w:strike w:val="0"/>
                <w:dstrike w:val="0"/>
                <w:color w:val="auto"/>
                <w:spacing w:val="0"/>
                <w:sz w:val="21"/>
                <w:szCs w:val="21"/>
                <w:highlight w:val="none"/>
                <w:lang w:eastAsia="zh-CN"/>
              </w:rPr>
              <w:t>。</w:t>
            </w:r>
          </w:p>
        </w:tc>
        <w:tc>
          <w:tcPr>
            <w:tcW w:w="3367" w:type="dxa"/>
            <w:vAlign w:val="top"/>
          </w:tcPr>
          <w:p w14:paraId="6A7DC3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本项目北侧、西侧、南侧均为空地，东侧为乡道，养殖生产区（核心区）位于场区中心位置，骆驼互动体验区</w:t>
            </w:r>
            <w:r>
              <w:rPr>
                <w:rFonts w:hint="eastAsia" w:ascii="Times New Roman" w:hAnsi="Times New Roman" w:eastAsia="宋体" w:cs="宋体"/>
                <w:strike w:val="0"/>
                <w:dstrike w:val="0"/>
                <w:color w:val="auto"/>
                <w:spacing w:val="0"/>
                <w:sz w:val="21"/>
                <w:szCs w:val="21"/>
                <w:highlight w:val="none"/>
                <w:lang w:val="en-US" w:eastAsia="zh-CN"/>
              </w:rPr>
              <w:t>位于</w:t>
            </w:r>
            <w:r>
              <w:rPr>
                <w:rFonts w:hint="eastAsia" w:ascii="Times New Roman" w:hAnsi="Times New Roman" w:eastAsia="宋体" w:cs="宋体"/>
                <w:strike w:val="0"/>
                <w:dstrike w:val="0"/>
                <w:color w:val="auto"/>
                <w:spacing w:val="0"/>
                <w:sz w:val="21"/>
                <w:szCs w:val="21"/>
                <w:highlight w:val="none"/>
                <w:lang w:eastAsia="zh-CN"/>
              </w:rPr>
              <w:t>场区主入口附近，</w:t>
            </w:r>
            <w:r>
              <w:rPr>
                <w:rFonts w:hint="eastAsia" w:ascii="Times New Roman" w:hAnsi="Times New Roman" w:eastAsia="宋体" w:cs="宋体"/>
                <w:strike w:val="0"/>
                <w:dstrike w:val="0"/>
                <w:color w:val="auto"/>
                <w:spacing w:val="0"/>
                <w:sz w:val="21"/>
                <w:szCs w:val="21"/>
                <w:highlight w:val="none"/>
                <w:lang w:val="en-US" w:eastAsia="zh-CN"/>
              </w:rPr>
              <w:t>堆肥场和黑膜池</w:t>
            </w:r>
            <w:r>
              <w:rPr>
                <w:rFonts w:hint="eastAsia" w:ascii="Times New Roman" w:hAnsi="Times New Roman" w:eastAsia="宋体" w:cs="宋体"/>
                <w:strike w:val="0"/>
                <w:dstrike w:val="0"/>
                <w:color w:val="auto"/>
                <w:spacing w:val="0"/>
                <w:sz w:val="21"/>
                <w:szCs w:val="21"/>
                <w:highlight w:val="none"/>
                <w:lang w:eastAsia="zh-CN"/>
              </w:rPr>
              <w:t>集中布置，布置在场区</w:t>
            </w:r>
            <w:r>
              <w:rPr>
                <w:rFonts w:hint="eastAsia" w:ascii="Times New Roman" w:hAnsi="Times New Roman" w:eastAsia="宋体" w:cs="宋体"/>
                <w:strike w:val="0"/>
                <w:dstrike w:val="0"/>
                <w:color w:val="auto"/>
                <w:spacing w:val="0"/>
                <w:sz w:val="21"/>
                <w:szCs w:val="21"/>
                <w:highlight w:val="none"/>
                <w:lang w:val="en-US" w:eastAsia="zh-CN"/>
              </w:rPr>
              <w:t>西南侧</w:t>
            </w:r>
            <w:r>
              <w:rPr>
                <w:rFonts w:hint="eastAsia" w:ascii="Times New Roman" w:hAnsi="Times New Roman" w:eastAsia="宋体" w:cs="宋体"/>
                <w:strike w:val="0"/>
                <w:dstrike w:val="0"/>
                <w:color w:val="auto"/>
                <w:spacing w:val="0"/>
                <w:sz w:val="21"/>
                <w:szCs w:val="21"/>
                <w:highlight w:val="none"/>
                <w:lang w:eastAsia="zh-CN"/>
              </w:rPr>
              <w:t>、</w:t>
            </w:r>
            <w:r>
              <w:rPr>
                <w:rFonts w:hint="eastAsia" w:ascii="Times New Roman" w:hAnsi="Times New Roman" w:eastAsia="宋体" w:cs="宋体"/>
                <w:strike w:val="0"/>
                <w:dstrike w:val="0"/>
                <w:color w:val="auto"/>
                <w:spacing w:val="0"/>
                <w:sz w:val="21"/>
                <w:szCs w:val="21"/>
                <w:highlight w:val="none"/>
                <w:lang w:val="en-US" w:eastAsia="zh-CN"/>
              </w:rPr>
              <w:t>远离东侧道路，</w:t>
            </w:r>
            <w:r>
              <w:rPr>
                <w:rFonts w:hint="eastAsia" w:ascii="Times New Roman" w:hAnsi="Times New Roman" w:eastAsia="宋体" w:cs="宋体"/>
                <w:strike w:val="0"/>
                <w:dstrike w:val="0"/>
                <w:color w:val="auto"/>
                <w:spacing w:val="0"/>
                <w:sz w:val="21"/>
                <w:szCs w:val="21"/>
                <w:highlight w:val="none"/>
                <w:lang w:eastAsia="zh-CN"/>
              </w:rPr>
              <w:t>地势较低处，项目区域常年主导风向为西风，运营期间产生恶臭对骆驼互动体验区影响较小减少对生产、办公影响</w:t>
            </w:r>
          </w:p>
        </w:tc>
        <w:tc>
          <w:tcPr>
            <w:tcW w:w="727" w:type="dxa"/>
            <w:vMerge w:val="restart"/>
            <w:tcBorders>
              <w:bottom w:val="nil"/>
            </w:tcBorders>
            <w:vAlign w:val="top"/>
          </w:tcPr>
          <w:p w14:paraId="788D4327">
            <w:pPr>
              <w:keepNext w:val="0"/>
              <w:keepLines w:val="0"/>
              <w:pageBreakBefore w:val="0"/>
              <w:widowControl w:val="0"/>
              <w:kinsoku/>
              <w:wordWrap/>
              <w:overflowPunct/>
              <w:topLinePunct w:val="0"/>
              <w:autoSpaceDE/>
              <w:autoSpaceDN/>
              <w:bidi w:val="0"/>
              <w:adjustRightInd/>
              <w:snapToGrid/>
              <w:spacing w:line="360" w:lineRule="exact"/>
              <w:ind w:left="0" w:right="46" w:firstLine="0" w:firstLineChars="0"/>
              <w:jc w:val="center"/>
              <w:textAlignment w:val="auto"/>
              <w:rPr>
                <w:rFonts w:ascii="Times New Roman" w:hAnsi="Times New Roman" w:eastAsia="宋体" w:cs="宋体"/>
                <w:strike w:val="0"/>
                <w:dstrike w:val="0"/>
                <w:color w:val="auto"/>
                <w:spacing w:val="0"/>
                <w:sz w:val="21"/>
                <w:szCs w:val="21"/>
                <w:highlight w:val="red"/>
              </w:rPr>
            </w:pPr>
            <w:r>
              <w:rPr>
                <w:rFonts w:ascii="Times New Roman" w:hAnsi="Times New Roman" w:eastAsia="宋体" w:cs="宋体"/>
                <w:strike w:val="0"/>
                <w:dstrike w:val="0"/>
                <w:color w:val="auto"/>
                <w:spacing w:val="0"/>
                <w:sz w:val="21"/>
                <w:szCs w:val="21"/>
                <w:highlight w:val="none"/>
              </w:rPr>
              <w:t>布局可行</w:t>
            </w:r>
          </w:p>
        </w:tc>
      </w:tr>
      <w:tr w14:paraId="210A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376" w:type="dxa"/>
            <w:vAlign w:val="top"/>
          </w:tcPr>
          <w:p w14:paraId="731063D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3832" w:type="dxa"/>
            <w:vAlign w:val="top"/>
          </w:tcPr>
          <w:p w14:paraId="74966E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养殖场的排水系统应实现雨水和污水收集输送系统分离，在厂区内外设置的污水收集输送系统，不得采取明沟布设</w:t>
            </w:r>
            <w:r>
              <w:rPr>
                <w:rFonts w:hint="eastAsia" w:ascii="Times New Roman" w:hAnsi="Times New Roman" w:eastAsia="宋体" w:cs="宋体"/>
                <w:strike w:val="0"/>
                <w:dstrike w:val="0"/>
                <w:color w:val="auto"/>
                <w:spacing w:val="0"/>
                <w:sz w:val="21"/>
                <w:szCs w:val="21"/>
                <w:highlight w:val="none"/>
                <w:lang w:eastAsia="zh-CN"/>
              </w:rPr>
              <w:t>。</w:t>
            </w:r>
          </w:p>
        </w:tc>
        <w:tc>
          <w:tcPr>
            <w:tcW w:w="3367" w:type="dxa"/>
            <w:vAlign w:val="top"/>
          </w:tcPr>
          <w:p w14:paraId="1CD2A5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养殖场排水采用雨、污分流的形式，</w:t>
            </w:r>
            <w:r>
              <w:rPr>
                <w:rFonts w:hint="eastAsia" w:ascii="Times New Roman" w:hAnsi="Times New Roman" w:eastAsia="宋体" w:cs="宋体"/>
                <w:strike w:val="0"/>
                <w:dstrike w:val="0"/>
                <w:color w:val="auto"/>
                <w:spacing w:val="0"/>
                <w:position w:val="0"/>
                <w:sz w:val="21"/>
                <w:szCs w:val="21"/>
                <w:highlight w:val="none"/>
                <w:lang w:eastAsia="zh-CN"/>
              </w:rPr>
              <w:t>本项目生活污水和生产废水经黑膜池发酵处理后用于项目区周边林带施肥</w:t>
            </w:r>
            <w:r>
              <w:rPr>
                <w:rFonts w:hint="eastAsia" w:ascii="Times New Roman" w:hAnsi="Times New Roman" w:eastAsia="宋体" w:cs="宋体"/>
                <w:strike w:val="0"/>
                <w:dstrike w:val="0"/>
                <w:color w:val="auto"/>
                <w:spacing w:val="0"/>
                <w:sz w:val="21"/>
                <w:szCs w:val="21"/>
                <w:highlight w:val="none"/>
                <w:lang w:eastAsia="zh-CN"/>
              </w:rPr>
              <w:t>。</w:t>
            </w:r>
          </w:p>
        </w:tc>
        <w:tc>
          <w:tcPr>
            <w:tcW w:w="727" w:type="dxa"/>
            <w:vMerge w:val="continue"/>
            <w:tcBorders>
              <w:top w:val="nil"/>
            </w:tcBorders>
            <w:vAlign w:val="top"/>
          </w:tcPr>
          <w:p w14:paraId="667460B2">
            <w:pPr>
              <w:rPr>
                <w:rFonts w:ascii="Times New Roman" w:hAnsi="Times New Roman" w:eastAsia="宋体"/>
                <w:strike w:val="0"/>
                <w:dstrike w:val="0"/>
                <w:color w:val="auto"/>
                <w:sz w:val="21"/>
                <w:highlight w:val="red"/>
              </w:rPr>
            </w:pPr>
          </w:p>
        </w:tc>
      </w:tr>
    </w:tbl>
    <w:p w14:paraId="2CE6ABF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综上所述，整个厂区布置根据现代养殖技术要求，进行了合理规划布局，配备必要的设备设施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净道和污道分开，减少不必要的交叉，切断疫病的传播途径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周围、道路两边和</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之间栽种树木，种植花草，净化空气，绿化环境，减少对周围环境的影响</w:t>
      </w:r>
      <w:r>
        <w:rPr>
          <w:rFonts w:hint="eastAsia" w:ascii="Times New Roman" w:hAnsi="Times New Roman" w:eastAsia="宋体"/>
          <w:strike w:val="0"/>
          <w:dstrike w:val="0"/>
          <w:color w:val="auto"/>
          <w:highlight w:val="none"/>
          <w:lang w:eastAsia="zh-CN"/>
        </w:rPr>
        <w:t>。</w:t>
      </w:r>
    </w:p>
    <w:p w14:paraId="1AE9812B">
      <w:pPr>
        <w:ind w:firstLine="480"/>
        <w:rPr>
          <w:rFonts w:hint="eastAsia" w:ascii="Times New Roman" w:hAnsi="Times New Roman" w:eastAsia="宋体"/>
          <w:strike w:val="0"/>
          <w:dstrike w:val="0"/>
          <w:color w:val="auto"/>
          <w:highlight w:val="none"/>
          <w:lang w:val="en-US" w:eastAsia="zh-CN"/>
        </w:rPr>
      </w:pPr>
      <w:r>
        <w:rPr>
          <w:rFonts w:ascii="Times New Roman" w:hAnsi="Times New Roman" w:eastAsia="宋体"/>
          <w:strike w:val="0"/>
          <w:dstrike w:val="0"/>
          <w:color w:val="auto"/>
          <w:highlight w:val="none"/>
        </w:rPr>
        <w:t>综上，本项目总平面布置功能分区清晰，工艺流程顺畅，物流短捷，人流、物流互不交叉干扰，协调了生产和环保的关系，从环保角度分析其平面布局基本合理，项目布局符合《畜禽养殖业污染防治技术规范》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6A0FD897">
      <w:pPr>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2</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与《动物防疫条件审查办法》的符合性分析</w:t>
      </w:r>
    </w:p>
    <w:p w14:paraId="43A5445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根据《动物防疫条件审查办法》，动物饲养场、养殖小区选址应符合以下要求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距离生活饮用水源地、动物屠宰加工场所、动物和动物产品集贸市场500米以上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距离种畜禽场1000米以上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距离动物诊疗场所200米以上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动物饲养场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之间距离不少于500米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《农业农村部关于调整动物防疫条件审查有关规定的通知》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农牧发</w:t>
      </w:r>
      <w:r>
        <w:rPr>
          <w:rFonts w:hint="eastAsia" w:ascii="Times New Roman" w:hAnsi="Times New Roman" w:eastAsia="宋体"/>
          <w:strike w:val="0"/>
          <w:dstrike w:val="0"/>
          <w:color w:val="auto"/>
          <w:highlight w:val="none"/>
          <w:lang w:eastAsia="zh-CN"/>
        </w:rPr>
        <w:t>〔2019〕42号）</w:t>
      </w:r>
      <w:r>
        <w:rPr>
          <w:rFonts w:hint="eastAsia" w:ascii="Times New Roman" w:hAnsi="Times New Roman" w:eastAsia="宋体"/>
          <w:strike w:val="0"/>
          <w:dstrike w:val="0"/>
          <w:color w:val="auto"/>
          <w:highlight w:val="none"/>
        </w:rPr>
        <w:t>中规定“自2019年12月18日起，暂停执行关于兴办动物饲养场、养殖小区、动物隔离场所、动物屠宰加工场所以及动物和动物产品无害化处理场所的选址距离规定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CC19A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根据现场查看，项目周边500m以内无水源保护区、动物屠宰场所等，1000m以内无种畜禽场，项目周边500以内无其他动物养场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，选址符合《动物防疫条件审查办法》要求</w:t>
      </w:r>
      <w:r>
        <w:rPr>
          <w:rFonts w:hint="eastAsia" w:ascii="Times New Roman" w:hAnsi="Times New Roman" w:eastAsia="宋体"/>
          <w:strike w:val="0"/>
          <w:dstrike w:val="0"/>
          <w:color w:val="auto"/>
          <w:highlight w:val="none"/>
          <w:lang w:eastAsia="zh-CN"/>
        </w:rPr>
        <w:t>。</w:t>
      </w:r>
    </w:p>
    <w:p w14:paraId="6996DCB6">
      <w:pPr>
        <w:pStyle w:val="4"/>
        <w:rPr>
          <w:rFonts w:ascii="Times New Roman" w:hAnsi="Times New Roman" w:eastAsia="宋体"/>
          <w:strike w:val="0"/>
          <w:dstrike w:val="0"/>
          <w:color w:val="auto"/>
          <w:highlight w:val="none"/>
        </w:rPr>
      </w:pPr>
      <w:bookmarkStart w:id="105" w:name="_Toc32699"/>
      <w:bookmarkStart w:id="106" w:name="_Toc106663466"/>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公用工程</w:t>
      </w:r>
      <w:bookmarkEnd w:id="105"/>
      <w:bookmarkEnd w:id="106"/>
    </w:p>
    <w:p w14:paraId="4CF437AF">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.1给水系统</w:t>
      </w:r>
    </w:p>
    <w:p w14:paraId="6714D83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本项目生产、生活用水水源来自</w:t>
      </w:r>
      <w:r>
        <w:rPr>
          <w:rFonts w:hint="eastAsia" w:ascii="Times New Roman" w:hAnsi="Times New Roman" w:eastAsia="宋体"/>
          <w:strike w:val="0"/>
          <w:dstrike w:val="0"/>
          <w:color w:val="auto"/>
          <w:highlight w:val="none"/>
          <w:lang w:val="en-US" w:eastAsia="zh-CN"/>
        </w:rPr>
        <w:t>村庄</w:t>
      </w:r>
      <w:r>
        <w:rPr>
          <w:rFonts w:hint="eastAsia" w:ascii="Times New Roman" w:hAnsi="Times New Roman" w:eastAsia="宋体"/>
          <w:strike w:val="0"/>
          <w:dstrike w:val="0"/>
          <w:color w:val="auto"/>
          <w:highlight w:val="none"/>
          <w:lang w:eastAsia="zh-CN"/>
        </w:rPr>
        <w:t>管网</w:t>
      </w:r>
      <w:r>
        <w:rPr>
          <w:rFonts w:ascii="Times New Roman" w:hAnsi="Times New Roman" w:eastAsia="宋体"/>
          <w:strike w:val="0"/>
          <w:dstrike w:val="0"/>
          <w:color w:val="auto"/>
          <w:highlight w:val="none"/>
        </w:rPr>
        <w:t>接入，由厂区</w:t>
      </w:r>
      <w:r>
        <w:rPr>
          <w:rFonts w:hint="eastAsia" w:ascii="Times New Roman" w:hAnsi="Times New Roman" w:eastAsia="宋体"/>
          <w:strike w:val="0"/>
          <w:dstrike w:val="0"/>
          <w:color w:val="auto"/>
          <w:highlight w:val="none"/>
          <w:lang w:val="en-US" w:eastAsia="zh-CN"/>
        </w:rPr>
        <w:t>东</w:t>
      </w:r>
      <w:r>
        <w:rPr>
          <w:rFonts w:ascii="Times New Roman" w:hAnsi="Times New Roman" w:eastAsia="宋体"/>
          <w:strike w:val="0"/>
          <w:dstrike w:val="0"/>
          <w:color w:val="auto"/>
          <w:highlight w:val="none"/>
        </w:rPr>
        <w:t>侧接入</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本项目总用水量</w:t>
      </w:r>
      <w:r>
        <w:rPr>
          <w:rFonts w:hint="eastAsia" w:ascii="Times New Roman" w:hAnsi="Times New Roman" w:eastAsia="宋体"/>
          <w:strike w:val="0"/>
          <w:dstrike w:val="0"/>
          <w:color w:val="auto"/>
          <w:highlight w:val="none"/>
          <w:lang w:val="en-US" w:eastAsia="zh-CN"/>
        </w:rPr>
        <w:t>6121.05</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/a，主要用于员工生活用水、</w:t>
      </w:r>
      <w:r>
        <w:rPr>
          <w:rFonts w:hint="eastAsia" w:ascii="Times New Roman" w:hAnsi="Times New Roman" w:eastAsia="宋体"/>
          <w:strike w:val="0"/>
          <w:dstrike w:val="0"/>
          <w:color w:val="auto"/>
          <w:highlight w:val="none"/>
          <w:lang w:val="en-US" w:eastAsia="zh-CN"/>
        </w:rPr>
        <w:t>骆驼饮用水、</w:t>
      </w:r>
      <w:r>
        <w:rPr>
          <w:rFonts w:ascii="Times New Roman" w:hAnsi="Times New Roman" w:eastAsia="宋体"/>
          <w:strike w:val="0"/>
          <w:dstrike w:val="0"/>
          <w:color w:val="auto"/>
          <w:highlight w:val="none"/>
        </w:rPr>
        <w:t>消毒用水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挤奶厅（待挤区）清洗用水、设备清洗废水</w:t>
      </w:r>
      <w:r>
        <w:rPr>
          <w:rFonts w:hint="eastAsia" w:ascii="Times New Roman" w:hAnsi="Times New Roman" w:eastAsia="宋体"/>
          <w:strike w:val="0"/>
          <w:dstrike w:val="0"/>
          <w:color w:val="auto"/>
          <w:highlight w:val="none"/>
          <w:lang w:eastAsia="zh-CN"/>
        </w:rPr>
        <w:t>。</w:t>
      </w:r>
    </w:p>
    <w:p w14:paraId="3B96FE1B">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骆驼饮用水</w:t>
      </w:r>
    </w:p>
    <w:p w14:paraId="27E8547B">
      <w:pPr>
        <w:ind w:firstLine="480"/>
        <w:rPr>
          <w:rFonts w:hint="default" w:ascii="Times New Roman" w:hAnsi="Times New Roman" w:eastAsia="宋体"/>
          <w:strike w:val="0"/>
          <w:dstrike w:val="0"/>
          <w:color w:val="auto"/>
          <w:highlight w:val="none"/>
          <w:vertAlign w:val="baseline"/>
          <w:lang w:val="en-US" w:eastAsia="zh-CN"/>
        </w:rPr>
      </w:pPr>
      <w:r>
        <w:rPr>
          <w:rFonts w:hint="eastAsia" w:ascii="Times New Roman" w:hAnsi="Times New Roman" w:eastAsia="宋体"/>
          <w:strike w:val="0"/>
          <w:dstrike w:val="0"/>
          <w:color w:val="auto"/>
          <w:highlight w:val="none"/>
          <w:lang w:val="en-US" w:eastAsia="zh-CN"/>
        </w:rPr>
        <w:t>本项目生产用水主要为骆驼饮用水，根据骆驼养殖经验和骆驼生长习性，本项目不需要冲洗骆驼圈舍，故不涉及骆驼圈舍冲洗用水。根据建设方提供的数据，骆驼饮用水按8kg/（峰·d）计算，</w:t>
      </w:r>
      <w:r>
        <w:rPr>
          <w:rFonts w:hint="eastAsia" w:ascii="Times New Roman" w:hAnsi="Times New Roman" w:eastAsia="宋体"/>
          <w:strike w:val="0"/>
          <w:dstrike w:val="0"/>
          <w:color w:val="auto"/>
          <w:highlight w:val="none"/>
          <w:vertAlign w:val="baseline"/>
          <w:lang w:val="en-US" w:eastAsia="zh-CN"/>
        </w:rPr>
        <w:t>本项目共1015峰骆驼，</w:t>
      </w:r>
      <w:r>
        <w:rPr>
          <w:rFonts w:hint="eastAsia" w:ascii="Times New Roman" w:hAnsi="Times New Roman" w:eastAsia="宋体"/>
          <w:strike w:val="0"/>
          <w:dstrike w:val="0"/>
          <w:color w:val="auto"/>
          <w:highlight w:val="none"/>
          <w:lang w:val="en-US" w:eastAsia="zh-CN"/>
        </w:rPr>
        <w:t>则骆驼饮用水量为8.12m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/d，2963.8m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p>
    <w:p w14:paraId="537165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职工生活用水</w:t>
      </w:r>
    </w:p>
    <w:p w14:paraId="339063B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根据《新疆维吾尔自治区工业和生活用水定额》中相关数据，工作人员用水约80L/人·d，本项目劳动定员共</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0人，则工作人员的生活用水量为</w:t>
      </w:r>
      <w:r>
        <w:rPr>
          <w:rFonts w:hint="eastAsia" w:ascii="Times New Roman" w:hAnsi="Times New Roman" w:eastAsia="宋体"/>
          <w:strike w:val="0"/>
          <w:dstrike w:val="0"/>
          <w:color w:val="auto"/>
          <w:highlight w:val="none"/>
          <w:lang w:val="en-US" w:eastAsia="zh-CN"/>
        </w:rPr>
        <w:t>4m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w:t>
      </w:r>
      <w:r>
        <w:rPr>
          <w:rFonts w:hint="eastAsia" w:ascii="Times New Roman" w:hAnsi="Times New Roman" w:eastAsia="宋体"/>
          <w:strike w:val="0"/>
          <w:dstrike w:val="0"/>
          <w:color w:val="auto"/>
          <w:highlight w:val="none"/>
          <w:lang w:val="en-US" w:eastAsia="zh-CN"/>
        </w:rPr>
        <w:t>1460</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p>
    <w:p w14:paraId="30513B3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消毒用水</w:t>
      </w:r>
    </w:p>
    <w:p w14:paraId="44F9E830">
      <w:pPr>
        <w:ind w:firstLine="480"/>
        <w:rPr>
          <w:rFonts w:hint="eastAsia" w:ascii="Times New Roman" w:hAnsi="Times New Roman" w:eastAsia="宋体"/>
          <w:strike w:val="0"/>
          <w:dstrike w:val="0"/>
          <w:color w:val="auto"/>
          <w:highlight w:val="none"/>
          <w:vertAlign w:val="baseline"/>
          <w:lang w:val="en-US" w:eastAsia="zh-CN"/>
        </w:rPr>
      </w:pPr>
      <w:r>
        <w:rPr>
          <w:rFonts w:hint="eastAsia" w:ascii="Times New Roman" w:hAnsi="Times New Roman" w:eastAsia="宋体"/>
          <w:strike w:val="0"/>
          <w:dstrike w:val="0"/>
          <w:color w:val="auto"/>
          <w:highlight w:val="none"/>
          <w:lang w:val="en-US" w:eastAsia="zh-CN"/>
        </w:rPr>
        <w:t>根据业主提供资料，本项目消毒用水主要是为进入厂区内的拉驼车、饲料运输车、骆驼挤奶前清洗消毒，采用喷洒式消毒方式，合计0.05m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/d，18.25m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p>
    <w:p w14:paraId="0913374D">
      <w:pPr>
        <w:numPr>
          <w:ilvl w:val="0"/>
          <w:numId w:val="0"/>
        </w:numPr>
        <w:ind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（4）</w:t>
      </w:r>
      <w:r>
        <w:rPr>
          <w:rFonts w:hint="eastAsia" w:ascii="Times New Roman" w:hAnsi="Times New Roman" w:eastAsia="宋体"/>
          <w:strike w:val="0"/>
          <w:dstrike w:val="0"/>
          <w:color w:val="auto"/>
          <w:highlight w:val="none"/>
          <w:lang w:val="en-US" w:eastAsia="zh-CN"/>
        </w:rPr>
        <w:t>挤奶厅（待挤区）清洗用水：挤奶厅建筑面积 2800</w:t>
      </w:r>
      <w:r>
        <w:rPr>
          <w:rFonts w:hint="default" w:ascii="Times New Roman" w:hAnsi="Times New Roman" w:eastAsia="宋体" w:cs="Times New Roman"/>
          <w:strike w:val="0"/>
          <w:dstrike w:val="0"/>
          <w:color w:val="auto"/>
          <w:highlight w:val="none"/>
          <w:lang w:val="en-US" w:eastAsia="zh-CN"/>
        </w:rPr>
        <w:t xml:space="preserve"> </w:t>
      </w:r>
      <w:r>
        <w:rPr>
          <w:rFonts w:hint="eastAsia" w:ascii="Times New Roman" w:hAnsi="Times New Roman" w:eastAsia="宋体"/>
          <w:strike w:val="0"/>
          <w:dstrike w:val="0"/>
          <w:color w:val="auto"/>
          <w:highlight w:val="none"/>
          <w:vertAlign w:val="baseline"/>
          <w:lang w:val="en-US" w:eastAsia="zh-CN"/>
        </w:rPr>
        <w:t>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，本项目挤奶厅（待挤区）地面清洗用水量按照1.5L/m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·d 计，面积为2800m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，则用水量为4.2m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/d，1533m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/a。</w:t>
      </w:r>
    </w:p>
    <w:p w14:paraId="2CC65781">
      <w:pPr>
        <w:pStyle w:val="17"/>
        <w:numPr>
          <w:ilvl w:val="0"/>
          <w:numId w:val="0"/>
        </w:numPr>
        <w:ind w:left="-113" w:leftChars="0" w:right="-510" w:rightChars="0" w:firstLine="480" w:firstLineChars="200"/>
        <w:rPr>
          <w:rFonts w:hint="default" w:ascii="Times New Roman" w:hAnsi="Times New Roman" w:eastAsia="宋体" w:cs="Times New Roman"/>
          <w:strike w:val="0"/>
          <w:dstrike w:val="0"/>
          <w:color w:val="auto"/>
          <w:sz w:val="24"/>
          <w:szCs w:val="20"/>
          <w:highlight w:val="none"/>
          <w:lang w:val="en-US" w:eastAsia="zh-CN" w:bidi="ar-SA"/>
        </w:rPr>
      </w:pPr>
      <w:r>
        <w:rPr>
          <w:rFonts w:hint="default" w:ascii="Times New Roman" w:hAnsi="Times New Roman" w:eastAsia="宋体" w:cs="Times New Roman"/>
          <w:strike w:val="0"/>
          <w:dstrike w:val="0"/>
          <w:color w:val="auto"/>
          <w:sz w:val="24"/>
          <w:szCs w:val="20"/>
          <w:lang w:val="en-US" w:eastAsia="zh-CN" w:bidi="ar-SA"/>
        </w:rPr>
        <w:t>（5）</w:t>
      </w:r>
      <w:r>
        <w:rPr>
          <w:rFonts w:hint="eastAsia" w:ascii="Times New Roman" w:hAnsi="Times New Roman" w:eastAsia="宋体" w:cs="Times New Roman"/>
          <w:strike w:val="0"/>
          <w:dstrike w:val="0"/>
          <w:color w:val="auto"/>
          <w:sz w:val="24"/>
          <w:szCs w:val="20"/>
          <w:lang w:val="en-US" w:eastAsia="zh-CN" w:bidi="ar-SA"/>
        </w:rPr>
        <w:t>挤奶</w:t>
      </w:r>
      <w:r>
        <w:rPr>
          <w:rFonts w:hint="eastAsia" w:ascii="Times New Roman" w:hAnsi="Times New Roman" w:eastAsia="宋体"/>
          <w:color w:val="auto"/>
          <w:lang w:val="en-US" w:eastAsia="zh-CN"/>
        </w:rPr>
        <w:t>设备清洗用水：根据业主提供资料</w:t>
      </w:r>
      <w:r>
        <w:rPr>
          <w:rFonts w:ascii="Times New Roman" w:hAnsi="Times New Roman" w:eastAsia="宋体" w:cs="宋体"/>
          <w:color w:val="auto"/>
          <w:sz w:val="24"/>
          <w:szCs w:val="24"/>
        </w:rPr>
        <w:t>挤奶设备需每天</w:t>
      </w:r>
      <w:r>
        <w:rPr>
          <w:rFonts w:hint="eastAsia" w:ascii="Times New Roman" w:hAnsi="Times New Roman" w:eastAsia="宋体" w:cs="Times New Roman"/>
          <w:strike w:val="0"/>
          <w:dstrike w:val="0"/>
          <w:color w:val="auto"/>
          <w:sz w:val="24"/>
          <w:szCs w:val="20"/>
          <w:highlight w:val="none"/>
          <w:lang w:val="en-US" w:eastAsia="zh-CN" w:bidi="ar-SA"/>
        </w:rPr>
        <w:t>清洗2次，</w:t>
      </w:r>
      <w:r>
        <w:rPr>
          <w:rFonts w:ascii="Times New Roman" w:hAnsi="Times New Roman" w:eastAsia="宋体" w:cs="宋体"/>
          <w:color w:val="auto"/>
          <w:sz w:val="24"/>
          <w:szCs w:val="24"/>
        </w:rPr>
        <w:t>项目冲洗设备用水量为</w:t>
      </w:r>
      <w:r>
        <w:rPr>
          <w:rFonts w:hint="eastAsia" w:ascii="Times New Roman" w:hAnsi="Times New Roman" w:eastAsia="宋体" w:cs="Times New Roman"/>
          <w:strike w:val="0"/>
          <w:dstrike w:val="0"/>
          <w:color w:val="auto"/>
          <w:sz w:val="24"/>
          <w:szCs w:val="20"/>
          <w:highlight w:val="none"/>
          <w:lang w:val="en-US" w:eastAsia="zh-CN" w:bidi="ar-SA"/>
        </w:rPr>
        <w:t>0.4m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/d，146m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/a。</w:t>
      </w:r>
    </w:p>
    <w:p w14:paraId="5923E46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项目用水量估算表见表3.1-6</w:t>
      </w:r>
      <w:r>
        <w:rPr>
          <w:rFonts w:hint="eastAsia" w:ascii="Times New Roman" w:hAnsi="Times New Roman" w:eastAsia="宋体"/>
          <w:strike w:val="0"/>
          <w:dstrike w:val="0"/>
          <w:color w:val="auto"/>
          <w:highlight w:val="none"/>
          <w:lang w:eastAsia="zh-CN"/>
        </w:rPr>
        <w:t>。</w:t>
      </w:r>
    </w:p>
    <w:p w14:paraId="250E88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表3.1-6项目用水量估算表</w:t>
      </w:r>
    </w:p>
    <w:tbl>
      <w:tblPr>
        <w:tblStyle w:val="183"/>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33"/>
        <w:gridCol w:w="4982"/>
      </w:tblGrid>
      <w:tr w14:paraId="4AAF4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0BC9B6B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w:t>
            </w:r>
          </w:p>
        </w:tc>
        <w:tc>
          <w:tcPr>
            <w:tcW w:w="2995" w:type="pct"/>
            <w:vAlign w:val="center"/>
          </w:tcPr>
          <w:p w14:paraId="0BD68CE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用水量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Times New Roman"/>
                <w:strike w:val="0"/>
                <w:dstrike w:val="0"/>
                <w:color w:val="auto"/>
                <w:spacing w:val="0"/>
                <w:position w:val="0"/>
                <w:sz w:val="21"/>
                <w:szCs w:val="14"/>
                <w:highlight w:val="none"/>
                <w:vertAlign w:val="superscript"/>
              </w:rPr>
              <w:t>3</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E4ED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449078B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骆驼</w:t>
            </w:r>
            <w:r>
              <w:rPr>
                <w:rFonts w:ascii="Times New Roman" w:hAnsi="Times New Roman" w:eastAsia="宋体" w:cs="宋体"/>
                <w:strike w:val="0"/>
                <w:dstrike w:val="0"/>
                <w:color w:val="auto"/>
                <w:spacing w:val="0"/>
                <w:position w:val="0"/>
                <w:sz w:val="21"/>
                <w:szCs w:val="21"/>
                <w:highlight w:val="none"/>
              </w:rPr>
              <w:t>饮用水</w:t>
            </w:r>
          </w:p>
        </w:tc>
        <w:tc>
          <w:tcPr>
            <w:tcW w:w="2995" w:type="pct"/>
            <w:vAlign w:val="center"/>
          </w:tcPr>
          <w:p w14:paraId="27F4D9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rPr>
            </w:pPr>
            <w:r>
              <w:rPr>
                <w:rFonts w:hint="eastAsia" w:ascii="Times New Roman" w:hAnsi="Times New Roman" w:eastAsia="宋体"/>
                <w:strike w:val="0"/>
                <w:dstrike w:val="0"/>
                <w:color w:val="auto"/>
                <w:sz w:val="21"/>
                <w:highlight w:val="none"/>
                <w:lang w:val="en-US" w:eastAsia="zh-CN"/>
              </w:rPr>
              <w:t>2963.8</w:t>
            </w:r>
          </w:p>
        </w:tc>
      </w:tr>
      <w:tr w14:paraId="5A3F9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12D0D9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职工生活用水</w:t>
            </w:r>
          </w:p>
        </w:tc>
        <w:tc>
          <w:tcPr>
            <w:tcW w:w="2995" w:type="pct"/>
            <w:vAlign w:val="center"/>
          </w:tcPr>
          <w:p w14:paraId="6A96F3A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1460</w:t>
            </w:r>
          </w:p>
        </w:tc>
      </w:tr>
      <w:tr w14:paraId="6824D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4979A43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消毒用水</w:t>
            </w:r>
          </w:p>
        </w:tc>
        <w:tc>
          <w:tcPr>
            <w:tcW w:w="2995" w:type="pct"/>
            <w:vAlign w:val="center"/>
          </w:tcPr>
          <w:p w14:paraId="2EE2CE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rPr>
            </w:pPr>
            <w:r>
              <w:rPr>
                <w:rFonts w:hint="eastAsia" w:ascii="Times New Roman" w:hAnsi="Times New Roman" w:eastAsia="宋体" w:cs="Times New Roman"/>
                <w:strike w:val="0"/>
                <w:dstrike w:val="0"/>
                <w:color w:val="auto"/>
                <w:spacing w:val="0"/>
                <w:position w:val="0"/>
                <w:sz w:val="21"/>
                <w:szCs w:val="21"/>
                <w:highlight w:val="none"/>
                <w:lang w:val="en-US" w:eastAsia="zh-CN"/>
              </w:rPr>
              <w:t>18.25</w:t>
            </w:r>
          </w:p>
        </w:tc>
      </w:tr>
      <w:tr w14:paraId="6FEC8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04" w:type="pct"/>
            <w:vAlign w:val="center"/>
          </w:tcPr>
          <w:p w14:paraId="669451B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挤奶厅清洗用水</w:t>
            </w:r>
          </w:p>
        </w:tc>
        <w:tc>
          <w:tcPr>
            <w:tcW w:w="2995" w:type="pct"/>
            <w:vAlign w:val="center"/>
          </w:tcPr>
          <w:p w14:paraId="281D4F6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1533</w:t>
            </w:r>
          </w:p>
        </w:tc>
      </w:tr>
      <w:tr w14:paraId="6A6AC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04" w:type="pct"/>
            <w:vAlign w:val="center"/>
          </w:tcPr>
          <w:p w14:paraId="31A46A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设备清洗用水</w:t>
            </w:r>
          </w:p>
        </w:tc>
        <w:tc>
          <w:tcPr>
            <w:tcW w:w="2995" w:type="pct"/>
            <w:vAlign w:val="center"/>
          </w:tcPr>
          <w:p w14:paraId="3C53698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146</w:t>
            </w:r>
          </w:p>
        </w:tc>
      </w:tr>
      <w:tr w14:paraId="2AA30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337" w:type="dxa"/>
            <w:vAlign w:val="center"/>
          </w:tcPr>
          <w:p w14:paraId="15AE223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合计</w:t>
            </w:r>
          </w:p>
        </w:tc>
        <w:tc>
          <w:tcPr>
            <w:tcW w:w="4988" w:type="dxa"/>
            <w:vAlign w:val="center"/>
          </w:tcPr>
          <w:p w14:paraId="1A8C94F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6121.05</w:t>
            </w:r>
          </w:p>
        </w:tc>
      </w:tr>
    </w:tbl>
    <w:p w14:paraId="554184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.2排水系统</w:t>
      </w:r>
    </w:p>
    <w:p w14:paraId="3B27B75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sz w:val="24"/>
          <w:highlight w:val="none"/>
        </w:rPr>
        <w:t>本项目</w:t>
      </w:r>
      <w:r>
        <w:rPr>
          <w:rFonts w:hint="eastAsia" w:ascii="Times New Roman" w:hAnsi="Times New Roman" w:eastAsia="宋体"/>
          <w:strike w:val="0"/>
          <w:dstrike w:val="0"/>
          <w:color w:val="auto"/>
          <w:sz w:val="24"/>
          <w:highlight w:val="none"/>
          <w:lang w:val="en-US" w:eastAsia="zh-CN"/>
        </w:rPr>
        <w:t>无生产废水产生，本项目运营过程中产生的</w:t>
      </w:r>
      <w:r>
        <w:rPr>
          <w:rFonts w:ascii="Times New Roman" w:hAnsi="Times New Roman" w:eastAsia="宋体"/>
          <w:strike w:val="0"/>
          <w:dstrike w:val="0"/>
          <w:color w:val="auto"/>
          <w:sz w:val="24"/>
          <w:highlight w:val="none"/>
        </w:rPr>
        <w:t>职工生活污水</w:t>
      </w:r>
      <w:r>
        <w:rPr>
          <w:rFonts w:hint="eastAsia" w:ascii="Times New Roman" w:hAnsi="Times New Roman" w:eastAsia="宋体"/>
          <w:strike w:val="0"/>
          <w:dstrike w:val="0"/>
          <w:color w:val="auto"/>
          <w:sz w:val="24"/>
          <w:highlight w:val="none"/>
          <w:lang w:val="en-US" w:eastAsia="zh-CN"/>
        </w:rPr>
        <w:t>、挤奶厅（待挤区）清洗废水、</w:t>
      </w:r>
      <w:r>
        <w:rPr>
          <w:rFonts w:hint="eastAsia" w:ascii="Times New Roman" w:hAnsi="Times New Roman" w:eastAsia="宋体" w:cs="Times New Roman"/>
          <w:strike w:val="0"/>
          <w:dstrike w:val="0"/>
          <w:color w:val="auto"/>
          <w:sz w:val="24"/>
          <w:lang w:val="en-US" w:eastAsia="zh-CN" w:bidi="ar-SA"/>
        </w:rPr>
        <w:t>挤奶</w:t>
      </w:r>
      <w:r>
        <w:rPr>
          <w:rFonts w:hint="eastAsia" w:ascii="Times New Roman" w:hAnsi="Times New Roman" w:eastAsia="宋体"/>
          <w:strike w:val="0"/>
          <w:dstrike w:val="0"/>
          <w:color w:val="auto"/>
          <w:sz w:val="24"/>
          <w:highlight w:val="none"/>
          <w:lang w:val="en-US" w:eastAsia="zh-CN"/>
        </w:rPr>
        <w:t>设备清洗废水进入本项目自行建设黑膜池厌氧发酵处理后，用于周边林带及厂区绿化施肥</w:t>
      </w:r>
      <w:r>
        <w:rPr>
          <w:rFonts w:hint="eastAsia" w:ascii="Times New Roman" w:hAnsi="Times New Roman" w:eastAsia="宋体"/>
          <w:strike w:val="0"/>
          <w:dstrike w:val="0"/>
          <w:color w:val="auto"/>
          <w:highlight w:val="none"/>
          <w:lang w:eastAsia="zh-CN"/>
        </w:rPr>
        <w:t>。</w:t>
      </w:r>
    </w:p>
    <w:p w14:paraId="54B7F6D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职工生活污水</w:t>
      </w:r>
    </w:p>
    <w:p w14:paraId="63D98F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ascii="Times New Roman" w:hAnsi="Times New Roman" w:eastAsia="宋体"/>
          <w:strike w:val="0"/>
          <w:dstrike w:val="0"/>
          <w:color w:val="auto"/>
          <w:highlight w:val="none"/>
        </w:rPr>
        <w:t>职工生活污水按照用水量的80%计算，则生活污水产生量约为</w:t>
      </w:r>
      <w:r>
        <w:rPr>
          <w:rFonts w:hint="eastAsia" w:ascii="Times New Roman" w:hAnsi="Times New Roman" w:eastAsia="宋体"/>
          <w:strike w:val="0"/>
          <w:dstrike w:val="0"/>
          <w:color w:val="auto"/>
          <w:highlight w:val="none"/>
          <w:lang w:val="en-US" w:eastAsia="zh-CN"/>
        </w:rPr>
        <w:t>3.2m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1168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生活污水经地下排污管道流至舍外黑膜池，经</w:t>
      </w:r>
      <w:r>
        <w:rPr>
          <w:rFonts w:hint="eastAsia" w:ascii="Times New Roman" w:hAnsi="Times New Roman" w:eastAsia="宋体"/>
          <w:strike w:val="0"/>
          <w:dstrike w:val="0"/>
          <w:color w:val="auto"/>
          <w:sz w:val="24"/>
          <w:highlight w:val="none"/>
          <w:lang w:val="en-US" w:eastAsia="zh-CN"/>
        </w:rPr>
        <w:t>黑膜池厌氧发酵处理后，用于周边林带及厂区绿化施肥</w:t>
      </w:r>
      <w:r>
        <w:rPr>
          <w:rFonts w:hint="eastAsia" w:ascii="Times New Roman" w:hAnsi="Times New Roman" w:eastAsia="宋体"/>
          <w:strike w:val="0"/>
          <w:dstrike w:val="0"/>
          <w:color w:val="auto"/>
          <w:highlight w:val="none"/>
          <w:lang w:eastAsia="zh-CN"/>
        </w:rPr>
        <w:t>。</w:t>
      </w:r>
    </w:p>
    <w:p w14:paraId="66AFC608">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骆驼尿</w:t>
      </w:r>
    </w:p>
    <w:p w14:paraId="12BBACBE">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根据建设方提供的数据，骆驼尿按2kg/（峰·d）计算，则驼尿产生量为2.03m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/d，740.95m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根据当地已建成项目，骆驼尿全部自然风干。</w:t>
      </w:r>
    </w:p>
    <w:p w14:paraId="3C1792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（3）消毒用水</w:t>
      </w:r>
    </w:p>
    <w:p w14:paraId="5EBCA5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本项目消毒采用喷洒式消毒方式，消毒用水量较小，不会在厂区形成径流，自然蒸发损耗。</w:t>
      </w:r>
    </w:p>
    <w:p w14:paraId="3CCF4F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（4）</w:t>
      </w:r>
      <w:r>
        <w:rPr>
          <w:rFonts w:hint="eastAsia" w:ascii="Times New Roman" w:hAnsi="Times New Roman" w:eastAsia="宋体"/>
          <w:strike w:val="0"/>
          <w:dstrike w:val="0"/>
          <w:color w:val="auto"/>
          <w:highlight w:val="none"/>
          <w:lang w:val="en-US" w:eastAsia="zh-CN"/>
        </w:rPr>
        <w:t>挤奶厅（待挤区）清洗废水</w:t>
      </w:r>
    </w:p>
    <w:p w14:paraId="5EB385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挤奶厅清洗废水按照用水量的</w:t>
      </w:r>
      <w:r>
        <w:rPr>
          <w:rFonts w:ascii="Times New Roman" w:hAnsi="Times New Roman" w:eastAsia="宋体"/>
          <w:strike w:val="0"/>
          <w:dstrike w:val="0"/>
          <w:color w:val="auto"/>
          <w:highlight w:val="none"/>
        </w:rPr>
        <w:t>80%计算，则</w:t>
      </w:r>
      <w:r>
        <w:rPr>
          <w:rFonts w:hint="eastAsia" w:ascii="Times New Roman" w:hAnsi="Times New Roman" w:eastAsia="宋体"/>
          <w:strike w:val="0"/>
          <w:dstrike w:val="0"/>
          <w:color w:val="auto"/>
          <w:highlight w:val="none"/>
        </w:rPr>
        <w:t>挤奶厅清洗废水</w:t>
      </w:r>
      <w:r>
        <w:rPr>
          <w:rFonts w:ascii="Times New Roman" w:hAnsi="Times New Roman" w:eastAsia="宋体"/>
          <w:strike w:val="0"/>
          <w:dstrike w:val="0"/>
          <w:color w:val="auto"/>
          <w:highlight w:val="none"/>
        </w:rPr>
        <w:t>产生量约为</w:t>
      </w:r>
      <w:r>
        <w:rPr>
          <w:rFonts w:hint="eastAsia" w:ascii="Times New Roman" w:hAnsi="Times New Roman" w:eastAsia="宋体"/>
          <w:strike w:val="0"/>
          <w:dstrike w:val="0"/>
          <w:color w:val="auto"/>
          <w:highlight w:val="none"/>
          <w:lang w:val="en-US" w:eastAsia="zh-CN"/>
        </w:rPr>
        <w:t>3.36m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/d，1226.4m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挤奶厅清洗废水经地下排污管道流至舍外黑膜池，</w:t>
      </w:r>
      <w:r>
        <w:rPr>
          <w:rFonts w:hint="eastAsia" w:ascii="Times New Roman" w:hAnsi="Times New Roman" w:eastAsia="宋体"/>
          <w:strike w:val="0"/>
          <w:dstrike w:val="0"/>
          <w:color w:val="auto"/>
          <w:sz w:val="24"/>
          <w:highlight w:val="none"/>
          <w:lang w:val="en-US" w:eastAsia="zh-CN"/>
        </w:rPr>
        <w:t>厌氧发酵处理后，用于周边林带及厂区绿化施肥</w:t>
      </w:r>
      <w:r>
        <w:rPr>
          <w:rFonts w:hint="eastAsia" w:ascii="Times New Roman" w:hAnsi="Times New Roman" w:eastAsia="宋体"/>
          <w:strike w:val="0"/>
          <w:dstrike w:val="0"/>
          <w:color w:val="auto"/>
          <w:highlight w:val="none"/>
          <w:lang w:eastAsia="zh-CN"/>
        </w:rPr>
        <w:t>。</w:t>
      </w:r>
    </w:p>
    <w:p w14:paraId="1AC18A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（5）挤奶设备清洗废水</w:t>
      </w:r>
    </w:p>
    <w:p w14:paraId="4A7F7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设备清洗废水按照用水量的80%计算，</w:t>
      </w:r>
      <w:r>
        <w:rPr>
          <w:rFonts w:ascii="Times New Roman" w:hAnsi="Times New Roman" w:eastAsia="宋体" w:cs="宋体"/>
          <w:color w:val="auto"/>
          <w:sz w:val="24"/>
          <w:szCs w:val="24"/>
        </w:rPr>
        <w:t>项目冲洗设备</w:t>
      </w:r>
      <w:r>
        <w:rPr>
          <w:rFonts w:hint="eastAsia" w:ascii="Times New Roman" w:hAnsi="Times New Roman" w:eastAsia="宋体" w:cs="宋体"/>
          <w:color w:val="auto"/>
          <w:sz w:val="24"/>
          <w:szCs w:val="24"/>
          <w:lang w:val="en-US" w:eastAsia="zh-CN"/>
        </w:rPr>
        <w:t>废水产生量</w:t>
      </w:r>
      <w:r>
        <w:rPr>
          <w:rFonts w:ascii="Times New Roman" w:hAnsi="Times New Roman" w:eastAsia="宋体" w:cs="宋体"/>
          <w:color w:val="auto"/>
          <w:sz w:val="24"/>
          <w:szCs w:val="24"/>
        </w:rPr>
        <w:t>为</w:t>
      </w:r>
      <w:r>
        <w:rPr>
          <w:rFonts w:hint="eastAsia" w:ascii="Times New Roman" w:hAnsi="Times New Roman" w:eastAsia="宋体" w:cs="Times New Roman"/>
          <w:strike w:val="0"/>
          <w:dstrike w:val="0"/>
          <w:color w:val="auto"/>
          <w:sz w:val="24"/>
          <w:szCs w:val="20"/>
          <w:highlight w:val="none"/>
          <w:lang w:val="en-US" w:eastAsia="zh-CN" w:bidi="ar-SA"/>
        </w:rPr>
        <w:t>0.32m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/d，116.8m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/a，</w:t>
      </w:r>
      <w:r>
        <w:rPr>
          <w:rFonts w:hint="eastAsia" w:ascii="Times New Roman" w:hAnsi="Times New Roman" w:eastAsia="宋体"/>
          <w:strike w:val="0"/>
          <w:dstrike w:val="0"/>
          <w:color w:val="auto"/>
          <w:highlight w:val="none"/>
          <w:lang w:val="en-US" w:eastAsia="zh-CN"/>
        </w:rPr>
        <w:t>经地下排污管道流至舍外黑膜池，</w:t>
      </w:r>
      <w:r>
        <w:rPr>
          <w:rFonts w:hint="eastAsia" w:ascii="Times New Roman" w:hAnsi="Times New Roman" w:eastAsia="宋体"/>
          <w:strike w:val="0"/>
          <w:dstrike w:val="0"/>
          <w:color w:val="auto"/>
          <w:sz w:val="24"/>
          <w:highlight w:val="none"/>
          <w:lang w:val="en-US" w:eastAsia="zh-CN"/>
        </w:rPr>
        <w:t>厌氧发酵处理后，用于周边林带及厂区绿化施肥</w:t>
      </w:r>
      <w:r>
        <w:rPr>
          <w:rFonts w:hint="eastAsia" w:ascii="Times New Roman" w:hAnsi="Times New Roman" w:eastAsia="宋体"/>
          <w:strike w:val="0"/>
          <w:dstrike w:val="0"/>
          <w:color w:val="auto"/>
          <w:highlight w:val="none"/>
          <w:lang w:eastAsia="zh-CN"/>
        </w:rPr>
        <w:t>。</w:t>
      </w:r>
    </w:p>
    <w:p w14:paraId="6F6ACCA8">
      <w:pPr>
        <w:pStyle w:val="17"/>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olor w:val="auto"/>
          <w:lang w:val="en-US" w:eastAsia="zh-CN"/>
        </w:rPr>
      </w:pPr>
      <w:r>
        <w:rPr>
          <w:rFonts w:ascii="Times New Roman" w:hAnsi="Times New Roman" w:eastAsia="宋体"/>
          <w:color w:val="auto"/>
        </w:rPr>
        <w:drawing>
          <wp:inline distT="0" distB="0" distL="114300" distR="114300">
            <wp:extent cx="5161280" cy="2257425"/>
            <wp:effectExtent l="0" t="0" r="0" b="0"/>
            <wp:docPr id="73" name="E657119C-6982-421D-8BA7-E74DEB70A7D9-1" descr="C:/Users/QFY/AppData/Local/Temp/wps.wZWDMf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657119C-6982-421D-8BA7-E74DEB70A7D9-1" descr="C:/Users/QFY/AppData/Local/Temp/wps.wZWDMfwps"/>
                    <pic:cNvPicPr>
                      <a:picLocks noChangeAspect="1"/>
                    </pic:cNvPicPr>
                  </pic:nvPicPr>
                  <pic:blipFill>
                    <a:blip r:embed="rId31"/>
                    <a:stretch>
                      <a:fillRect/>
                    </a:stretch>
                  </pic:blipFill>
                  <pic:spPr>
                    <a:xfrm>
                      <a:off x="0" y="0"/>
                      <a:ext cx="5161280" cy="2257425"/>
                    </a:xfrm>
                    <a:prstGeom prst="rect">
                      <a:avLst/>
                    </a:prstGeom>
                  </pic:spPr>
                </pic:pic>
              </a:graphicData>
            </a:graphic>
          </wp:inline>
        </w:drawing>
      </w:r>
      <w:r>
        <w:rPr>
          <w:rFonts w:hint="eastAsia" w:ascii="Times New Roman" w:hAnsi="Times New Roman" w:eastAsia="宋体" w:cstheme="majorBidi"/>
          <w:b/>
          <w:strike w:val="0"/>
          <w:dstrike w:val="0"/>
          <w:color w:val="auto"/>
          <w:sz w:val="21"/>
          <w:szCs w:val="20"/>
          <w:highlight w:val="none"/>
          <w:lang w:val="en-US" w:eastAsia="zh-CN" w:bidi="ar-SA"/>
        </w:rPr>
        <w:t>图3.1-1水平衡图 单位：m</w:t>
      </w:r>
      <w:r>
        <w:rPr>
          <w:rFonts w:hint="eastAsia" w:ascii="Times New Roman" w:hAnsi="Times New Roman" w:eastAsia="宋体" w:cstheme="majorBidi"/>
          <w:b/>
          <w:strike w:val="0"/>
          <w:dstrike w:val="0"/>
          <w:color w:val="auto"/>
          <w:sz w:val="21"/>
          <w:szCs w:val="20"/>
          <w:highlight w:val="none"/>
          <w:vertAlign w:val="superscript"/>
          <w:lang w:val="en-US" w:eastAsia="zh-CN" w:bidi="ar-SA"/>
        </w:rPr>
        <w:t>3</w:t>
      </w:r>
      <w:r>
        <w:rPr>
          <w:rFonts w:hint="eastAsia" w:ascii="Times New Roman" w:hAnsi="Times New Roman" w:eastAsia="宋体" w:cstheme="majorBidi"/>
          <w:b/>
          <w:strike w:val="0"/>
          <w:dstrike w:val="0"/>
          <w:color w:val="auto"/>
          <w:sz w:val="21"/>
          <w:szCs w:val="20"/>
          <w:highlight w:val="none"/>
          <w:lang w:val="en-US" w:eastAsia="zh-CN" w:bidi="ar-SA"/>
        </w:rPr>
        <w:t>/a</w:t>
      </w:r>
    </w:p>
    <w:p w14:paraId="1038DA5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.3供电</w:t>
      </w:r>
    </w:p>
    <w:p w14:paraId="5C6B552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本项目所在地供电由项目区外电网接入，场区内设变配电室，供电采用树干式与放射式相结合供电方式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对主要供电负荷，采用单独回路供电</w:t>
      </w:r>
      <w:r>
        <w:rPr>
          <w:rFonts w:hint="eastAsia" w:ascii="Times New Roman" w:hAnsi="Times New Roman" w:eastAsia="宋体"/>
          <w:strike w:val="0"/>
          <w:dstrike w:val="0"/>
          <w:color w:val="auto"/>
          <w:highlight w:val="none"/>
          <w:lang w:eastAsia="zh-CN"/>
        </w:rPr>
        <w:t>。</w:t>
      </w:r>
    </w:p>
    <w:p w14:paraId="799C8842">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.4供热</w:t>
      </w:r>
    </w:p>
    <w:p w14:paraId="1F9B79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本项目圈舍采用</w:t>
      </w:r>
      <w:r>
        <w:rPr>
          <w:rFonts w:hint="eastAsia" w:ascii="Times New Roman" w:hAnsi="Times New Roman" w:eastAsia="宋体"/>
          <w:strike w:val="0"/>
          <w:dstrike w:val="0"/>
          <w:color w:val="auto"/>
          <w:highlight w:val="none"/>
          <w:lang w:val="en-US" w:eastAsia="zh-CN"/>
        </w:rPr>
        <w:t>电采暖</w:t>
      </w:r>
      <w:r>
        <w:rPr>
          <w:rFonts w:hint="eastAsia" w:ascii="Times New Roman" w:hAnsi="Times New Roman" w:eastAsia="宋体"/>
          <w:strike w:val="0"/>
          <w:dstrike w:val="0"/>
          <w:color w:val="auto"/>
          <w:highlight w:val="none"/>
          <w:lang w:eastAsia="zh-CN"/>
        </w:rPr>
        <w:t>。</w:t>
      </w:r>
    </w:p>
    <w:p w14:paraId="5581210C">
      <w:pPr>
        <w:pStyle w:val="3"/>
        <w:rPr>
          <w:rFonts w:ascii="Times New Roman" w:hAnsi="Times New Roman" w:eastAsia="宋体"/>
          <w:strike w:val="0"/>
          <w:dstrike w:val="0"/>
          <w:color w:val="auto"/>
          <w:highlight w:val="none"/>
        </w:rPr>
      </w:pPr>
      <w:bookmarkStart w:id="107" w:name="_Toc117518536"/>
      <w:bookmarkStart w:id="108" w:name="_Toc3038841"/>
      <w:bookmarkStart w:id="109" w:name="_Toc536265806"/>
      <w:bookmarkStart w:id="110" w:name="_Toc46066266"/>
      <w:bookmarkStart w:id="111" w:name="_Toc15704"/>
      <w:bookmarkStart w:id="112" w:name="_Toc3455645"/>
      <w:bookmarkStart w:id="113" w:name="_Toc224388007"/>
      <w:bookmarkStart w:id="114" w:name="_Toc29350521"/>
      <w:bookmarkStart w:id="115" w:name="_Toc24776864"/>
      <w:bookmarkStart w:id="116" w:name="_Toc3038754"/>
      <w:bookmarkStart w:id="117" w:name="_Toc2258924"/>
      <w:bookmarkStart w:id="118" w:name="_Toc2320728"/>
      <w:bookmarkStart w:id="119" w:name="_Toc117518331"/>
      <w:bookmarkStart w:id="120" w:name="_Toc113278807"/>
      <w:bookmarkStart w:id="121" w:name="_Toc113254406"/>
      <w:bookmarkStart w:id="122" w:name="_Toc324245525"/>
      <w:bookmarkStart w:id="123" w:name="_Toc117518166"/>
      <w:bookmarkStart w:id="124" w:name="_Toc117517821"/>
      <w:bookmarkStart w:id="125" w:name="_Toc29350463"/>
      <w:bookmarkStart w:id="126" w:name="_Toc112970974"/>
      <w:bookmarkStart w:id="127" w:name="_Toc112970910"/>
      <w:bookmarkStart w:id="128" w:name="_Toc29631758"/>
      <w:bookmarkStart w:id="129" w:name="_Toc117518251"/>
      <w:bookmarkStart w:id="130" w:name="_Toc113254136"/>
      <w:bookmarkStart w:id="131" w:name="_Toc2156134"/>
      <w:bookmarkStart w:id="132" w:name="_Toc117518085"/>
      <w:bookmarkStart w:id="133" w:name="_Toc12482"/>
      <w:bookmarkStart w:id="134" w:name="_Toc14719"/>
      <w:bookmarkStart w:id="135" w:name="_Toc89619334"/>
      <w:r>
        <w:rPr>
          <w:rFonts w:ascii="Times New Roman" w:hAnsi="Times New Roman" w:eastAsia="宋体"/>
          <w:strike w:val="0"/>
          <w:dstrike w:val="0"/>
          <w:color w:val="auto"/>
          <w:highlight w:val="none"/>
        </w:rPr>
        <w:t>3.2</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hint="eastAsia" w:ascii="Times New Roman" w:hAnsi="Times New Roman" w:eastAsia="宋体"/>
          <w:strike w:val="0"/>
          <w:dstrike w:val="0"/>
          <w:color w:val="auto"/>
          <w:highlight w:val="none"/>
        </w:rPr>
        <w:t>生产工艺流程</w:t>
      </w:r>
      <w:bookmarkEnd w:id="133"/>
      <w:bookmarkEnd w:id="134"/>
      <w:bookmarkEnd w:id="135"/>
    </w:p>
    <w:p w14:paraId="05BAD396">
      <w:pPr>
        <w:pStyle w:val="4"/>
        <w:rPr>
          <w:rFonts w:ascii="Times New Roman" w:hAnsi="Times New Roman" w:eastAsia="宋体"/>
          <w:strike w:val="0"/>
          <w:dstrike w:val="0"/>
          <w:color w:val="auto"/>
          <w:highlight w:val="none"/>
        </w:rPr>
      </w:pPr>
      <w:bookmarkStart w:id="136" w:name="_Toc12902"/>
      <w:bookmarkStart w:id="137" w:name="_Toc106663468"/>
      <w:r>
        <w:rPr>
          <w:rFonts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rPr>
        <w:t>施工期工艺流程及产污节点</w:t>
      </w:r>
      <w:bookmarkEnd w:id="136"/>
      <w:bookmarkEnd w:id="137"/>
    </w:p>
    <w:p w14:paraId="7E9452E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过程分为土方阶段（包括场地平整、开挖土石方）、基础施工阶段（包括打桩，构筑基础等）、主体工程阶段（包括钢筋、砖混结构施工、管线施工等）及装修阶段、场地清理（包括回填土石方、修路、清理场地等）</w:t>
      </w:r>
      <w:r>
        <w:rPr>
          <w:rFonts w:hint="eastAsia" w:ascii="Times New Roman" w:hAnsi="Times New Roman" w:eastAsia="宋体"/>
          <w:strike w:val="0"/>
          <w:dstrike w:val="0"/>
          <w:color w:val="auto"/>
          <w:highlight w:val="none"/>
          <w:lang w:eastAsia="zh-CN"/>
        </w:rPr>
        <w:t>。</w:t>
      </w:r>
    </w:p>
    <w:p w14:paraId="67350E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w:t>
      </w:r>
      <w:r>
        <w:rPr>
          <w:rFonts w:ascii="Times New Roman" w:hAnsi="Times New Roman" w:eastAsia="宋体"/>
          <w:strike w:val="0"/>
          <w:dstrike w:val="0"/>
          <w:color w:val="auto"/>
          <w:highlight w:val="none"/>
        </w:rPr>
        <w:t>施工期工艺流程及产污</w:t>
      </w:r>
      <w:r>
        <w:rPr>
          <w:rFonts w:hint="eastAsia" w:ascii="Times New Roman" w:hAnsi="Times New Roman" w:eastAsia="宋体"/>
          <w:strike w:val="0"/>
          <w:dstrike w:val="0"/>
          <w:color w:val="auto"/>
          <w:highlight w:val="none"/>
        </w:rPr>
        <w:t>环节图</w:t>
      </w:r>
      <w:r>
        <w:rPr>
          <w:rFonts w:ascii="Times New Roman" w:hAnsi="Times New Roman" w:eastAsia="宋体"/>
          <w:strike w:val="0"/>
          <w:dstrike w:val="0"/>
          <w:color w:val="auto"/>
          <w:highlight w:val="none"/>
        </w:rPr>
        <w:t>见图</w:t>
      </w:r>
      <w:r>
        <w:rPr>
          <w:rFonts w:hint="eastAsia"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lang w:eastAsia="zh-CN"/>
        </w:rPr>
        <w:t>。</w:t>
      </w:r>
    </w:p>
    <w:p w14:paraId="1638267A">
      <w:pPr>
        <w:topLinePunct/>
        <w:adjustRightInd w:val="0"/>
        <w:snapToGrid w:val="0"/>
        <w:spacing w:line="240" w:lineRule="auto"/>
        <w:ind w:firstLine="0" w:firstLineChars="0"/>
        <w:jc w:val="center"/>
        <w:rPr>
          <w:rFonts w:ascii="Times New Roman" w:hAnsi="Times New Roman" w:eastAsia="宋体"/>
          <w:strike w:val="0"/>
          <w:dstrike w:val="0"/>
          <w:snapToGrid w:val="0"/>
          <w:color w:val="auto"/>
          <w:sz w:val="28"/>
          <w:szCs w:val="28"/>
          <w:highlight w:val="none"/>
        </w:rPr>
      </w:pPr>
      <w:r>
        <w:rPr>
          <w:rFonts w:ascii="Times New Roman" w:hAnsi="Times New Roman" w:eastAsia="宋体"/>
          <w:strike w:val="0"/>
          <w:dstrike w:val="0"/>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344170</wp:posOffset>
                </wp:positionH>
                <wp:positionV relativeFrom="paragraph">
                  <wp:posOffset>26670</wp:posOffset>
                </wp:positionV>
                <wp:extent cx="4912995" cy="1814830"/>
                <wp:effectExtent l="0" t="0" r="20955" b="13970"/>
                <wp:wrapNone/>
                <wp:docPr id="299" name="组合 299"/>
                <wp:cNvGraphicFramePr/>
                <a:graphic xmlns:a="http://schemas.openxmlformats.org/drawingml/2006/main">
                  <a:graphicData uri="http://schemas.microsoft.com/office/word/2010/wordprocessingGroup">
                    <wpg:wgp>
                      <wpg:cNvGrpSpPr/>
                      <wpg:grpSpPr>
                        <a:xfrm>
                          <a:off x="0" y="0"/>
                          <a:ext cx="4912995" cy="1814830"/>
                          <a:chOff x="2061" y="3103"/>
                          <a:chExt cx="7737" cy="2858"/>
                        </a:xfrm>
                      </wpg:grpSpPr>
                      <wps:wsp>
                        <wps:cNvPr id="300" name="文本框 354"/>
                        <wps:cNvSpPr txBox="1">
                          <a:spLocks noChangeArrowheads="1"/>
                        </wps:cNvSpPr>
                        <wps:spPr bwMode="auto">
                          <a:xfrm>
                            <a:off x="4116" y="5663"/>
                            <a:ext cx="3420" cy="298"/>
                          </a:xfrm>
                          <a:prstGeom prst="rect">
                            <a:avLst/>
                          </a:prstGeom>
                          <a:solidFill>
                            <a:srgbClr val="FFFFFF"/>
                          </a:solidFill>
                          <a:ln w="9525" cmpd="sng">
                            <a:solidFill>
                              <a:srgbClr val="000000"/>
                            </a:solidFill>
                            <a:miter lim="800000"/>
                          </a:ln>
                        </wps:spPr>
                        <wps:txbx>
                          <w:txbxContent>
                            <w:p w14:paraId="613BA231">
                              <w:pPr>
                                <w:spacing w:line="240" w:lineRule="auto"/>
                                <w:ind w:firstLine="0" w:firstLineChars="0"/>
                                <w:jc w:val="center"/>
                              </w:pPr>
                              <w:r>
                                <w:rPr>
                                  <w:rFonts w:hint="eastAsia"/>
                                </w:rPr>
                                <w:t>建筑垃圾、生活垃圾、生活废水</w:t>
                              </w:r>
                            </w:p>
                            <w:p w14:paraId="3F44C025">
                              <w:pPr>
                                <w:ind w:firstLine="480"/>
                              </w:pPr>
                            </w:p>
                          </w:txbxContent>
                        </wps:txbx>
                        <wps:bodyPr rot="0" vert="horz" wrap="square" lIns="18000" tIns="0" rIns="18000" bIns="0" anchor="t" anchorCtr="0" upright="1">
                          <a:noAutofit/>
                        </wps:bodyPr>
                      </wps:wsp>
                      <wps:wsp>
                        <wps:cNvPr id="301" name="文本框 355"/>
                        <wps:cNvSpPr txBox="1">
                          <a:spLocks noChangeArrowheads="1"/>
                        </wps:cNvSpPr>
                        <wps:spPr bwMode="auto">
                          <a:xfrm>
                            <a:off x="3471" y="4678"/>
                            <a:ext cx="1260" cy="312"/>
                          </a:xfrm>
                          <a:prstGeom prst="rect">
                            <a:avLst/>
                          </a:prstGeom>
                          <a:solidFill>
                            <a:srgbClr val="FFFFFF"/>
                          </a:solidFill>
                          <a:ln w="9525" cmpd="sng">
                            <a:solidFill>
                              <a:srgbClr val="000000"/>
                            </a:solidFill>
                            <a:miter lim="800000"/>
                          </a:ln>
                        </wps:spPr>
                        <wps:txbx>
                          <w:txbxContent>
                            <w:p w14:paraId="290CEE2B">
                              <w:pPr>
                                <w:spacing w:line="240" w:lineRule="auto"/>
                                <w:ind w:firstLine="0" w:firstLineChars="0"/>
                                <w:jc w:val="center"/>
                              </w:pPr>
                              <w:r>
                                <w:rPr>
                                  <w:rFonts w:hint="eastAsia"/>
                                </w:rPr>
                                <w:t>土方开挖</w:t>
                              </w:r>
                            </w:p>
                          </w:txbxContent>
                        </wps:txbx>
                        <wps:bodyPr rot="0" vert="horz" wrap="square" lIns="18000" tIns="0" rIns="18000" bIns="0" anchor="t" anchorCtr="0" upright="1">
                          <a:noAutofit/>
                        </wps:bodyPr>
                      </wps:wsp>
                      <wps:wsp>
                        <wps:cNvPr id="302" name="文本框 356"/>
                        <wps:cNvSpPr txBox="1">
                          <a:spLocks noChangeArrowheads="1"/>
                        </wps:cNvSpPr>
                        <wps:spPr bwMode="auto">
                          <a:xfrm>
                            <a:off x="5436" y="4672"/>
                            <a:ext cx="1260" cy="298"/>
                          </a:xfrm>
                          <a:prstGeom prst="rect">
                            <a:avLst/>
                          </a:prstGeom>
                          <a:solidFill>
                            <a:srgbClr val="FFFFFF"/>
                          </a:solidFill>
                          <a:ln w="9525" cmpd="sng">
                            <a:solidFill>
                              <a:srgbClr val="000000"/>
                            </a:solidFill>
                            <a:miter lim="800000"/>
                          </a:ln>
                        </wps:spPr>
                        <wps:txbx>
                          <w:txbxContent>
                            <w:p w14:paraId="19703EDF">
                              <w:pPr>
                                <w:spacing w:line="240" w:lineRule="auto"/>
                                <w:ind w:firstLine="0" w:firstLineChars="0"/>
                                <w:jc w:val="center"/>
                              </w:pPr>
                              <w:r>
                                <w:rPr>
                                  <w:rFonts w:hint="eastAsia"/>
                                </w:rPr>
                                <w:t>道路修筑</w:t>
                              </w:r>
                            </w:p>
                          </w:txbxContent>
                        </wps:txbx>
                        <wps:bodyPr rot="0" vert="horz" wrap="square" lIns="18000" tIns="0" rIns="18000" bIns="0" anchor="t" anchorCtr="0" upright="1">
                          <a:noAutofit/>
                        </wps:bodyPr>
                      </wps:wsp>
                      <wps:wsp>
                        <wps:cNvPr id="303" name="文本框 357"/>
                        <wps:cNvSpPr txBox="1">
                          <a:spLocks noChangeArrowheads="1"/>
                        </wps:cNvSpPr>
                        <wps:spPr bwMode="auto">
                          <a:xfrm>
                            <a:off x="7146" y="4687"/>
                            <a:ext cx="1260" cy="298"/>
                          </a:xfrm>
                          <a:prstGeom prst="rect">
                            <a:avLst/>
                          </a:prstGeom>
                          <a:solidFill>
                            <a:srgbClr val="FFFFFF"/>
                          </a:solidFill>
                          <a:ln w="9525" cmpd="sng">
                            <a:solidFill>
                              <a:srgbClr val="000000"/>
                            </a:solidFill>
                            <a:miter lim="800000"/>
                          </a:ln>
                        </wps:spPr>
                        <wps:txbx>
                          <w:txbxContent>
                            <w:p w14:paraId="2EC7CFB1">
                              <w:pPr>
                                <w:spacing w:line="240" w:lineRule="auto"/>
                                <w:ind w:firstLine="0" w:firstLineChars="0"/>
                                <w:jc w:val="center"/>
                              </w:pPr>
                              <w:r>
                                <w:rPr>
                                  <w:rFonts w:hint="eastAsia"/>
                                </w:rPr>
                                <w:t>房屋建筑</w:t>
                              </w:r>
                            </w:p>
                          </w:txbxContent>
                        </wps:txbx>
                        <wps:bodyPr rot="0" vert="horz" wrap="square" lIns="18000" tIns="0" rIns="18000" bIns="0" anchor="t" anchorCtr="0" upright="1">
                          <a:noAutofit/>
                        </wps:bodyPr>
                      </wps:wsp>
                      <wps:wsp>
                        <wps:cNvPr id="304" name="文本框 358"/>
                        <wps:cNvSpPr txBox="1">
                          <a:spLocks noChangeArrowheads="1"/>
                        </wps:cNvSpPr>
                        <wps:spPr bwMode="auto">
                          <a:xfrm>
                            <a:off x="8856" y="4702"/>
                            <a:ext cx="720" cy="296"/>
                          </a:xfrm>
                          <a:prstGeom prst="rect">
                            <a:avLst/>
                          </a:prstGeom>
                          <a:solidFill>
                            <a:srgbClr val="FFFFFF"/>
                          </a:solidFill>
                          <a:ln w="9525" cmpd="sng">
                            <a:solidFill>
                              <a:srgbClr val="000000"/>
                            </a:solidFill>
                            <a:miter lim="800000"/>
                          </a:ln>
                        </wps:spPr>
                        <wps:txbx>
                          <w:txbxContent>
                            <w:p w14:paraId="65A27D00">
                              <w:pPr>
                                <w:spacing w:line="240" w:lineRule="auto"/>
                                <w:ind w:firstLine="0" w:firstLineChars="0"/>
                                <w:jc w:val="center"/>
                              </w:pPr>
                              <w:r>
                                <w:rPr>
                                  <w:rFonts w:hint="eastAsia"/>
                                </w:rPr>
                                <w:t>装修</w:t>
                              </w:r>
                            </w:p>
                          </w:txbxContent>
                        </wps:txbx>
                        <wps:bodyPr rot="0" vert="horz" wrap="square" lIns="18000" tIns="0" rIns="18000" bIns="0" anchor="t" anchorCtr="0" upright="1">
                          <a:noAutofit/>
                        </wps:bodyPr>
                      </wps:wsp>
                      <wps:wsp>
                        <wps:cNvPr id="305" name="文本框 359"/>
                        <wps:cNvSpPr txBox="1">
                          <a:spLocks noChangeArrowheads="1"/>
                        </wps:cNvSpPr>
                        <wps:spPr bwMode="auto">
                          <a:xfrm>
                            <a:off x="2061" y="4672"/>
                            <a:ext cx="1080" cy="312"/>
                          </a:xfrm>
                          <a:prstGeom prst="rect">
                            <a:avLst/>
                          </a:prstGeom>
                          <a:solidFill>
                            <a:srgbClr val="FFFFFF"/>
                          </a:solidFill>
                          <a:ln w="9525" cmpd="sng">
                            <a:solidFill>
                              <a:srgbClr val="000000"/>
                            </a:solidFill>
                            <a:miter lim="800000"/>
                          </a:ln>
                        </wps:spPr>
                        <wps:txbx>
                          <w:txbxContent>
                            <w:p w14:paraId="43F22E64">
                              <w:pPr>
                                <w:spacing w:line="240" w:lineRule="auto"/>
                                <w:ind w:firstLine="0" w:firstLineChars="0"/>
                                <w:jc w:val="center"/>
                              </w:pPr>
                              <w:r>
                                <w:rPr>
                                  <w:rFonts w:hint="eastAsia"/>
                                </w:rPr>
                                <w:t>场地平整</w:t>
                              </w:r>
                            </w:p>
                          </w:txbxContent>
                        </wps:txbx>
                        <wps:bodyPr rot="0" vert="horz" wrap="square" lIns="18000" tIns="0" rIns="18000" bIns="0" anchor="t" anchorCtr="0" upright="1">
                          <a:noAutofit/>
                        </wps:bodyPr>
                      </wps:wsp>
                      <wps:wsp>
                        <wps:cNvPr id="306" name="文本框 360"/>
                        <wps:cNvSpPr txBox="1">
                          <a:spLocks noChangeArrowheads="1"/>
                        </wps:cNvSpPr>
                        <wps:spPr bwMode="auto">
                          <a:xfrm>
                            <a:off x="5109" y="3481"/>
                            <a:ext cx="960" cy="462"/>
                          </a:xfrm>
                          <a:prstGeom prst="rect">
                            <a:avLst/>
                          </a:prstGeom>
                          <a:solidFill>
                            <a:srgbClr val="FFFFFF"/>
                          </a:solidFill>
                          <a:ln w="9525" cmpd="sng">
                            <a:solidFill>
                              <a:srgbClr val="000000"/>
                            </a:solidFill>
                            <a:miter lim="800000"/>
                          </a:ln>
                        </wps:spPr>
                        <wps:txbx>
                          <w:txbxContent>
                            <w:p w14:paraId="42C58DAF">
                              <w:pPr>
                                <w:spacing w:line="240" w:lineRule="auto"/>
                                <w:ind w:firstLine="0" w:firstLineChars="0"/>
                                <w:jc w:val="center"/>
                              </w:pPr>
                              <w:r>
                                <w:rPr>
                                  <w:rFonts w:hint="eastAsia"/>
                                </w:rPr>
                                <w:t>噪声</w:t>
                              </w:r>
                            </w:p>
                          </w:txbxContent>
                        </wps:txbx>
                        <wps:bodyPr rot="0" vert="horz" wrap="square" lIns="91440" tIns="45720" rIns="91440" bIns="45720" anchor="t" anchorCtr="0" upright="1">
                          <a:noAutofit/>
                        </wps:bodyPr>
                      </wps:wsp>
                      <wps:wsp>
                        <wps:cNvPr id="307" name="文本框 361"/>
                        <wps:cNvSpPr txBox="1">
                          <a:spLocks noChangeArrowheads="1"/>
                        </wps:cNvSpPr>
                        <wps:spPr bwMode="auto">
                          <a:xfrm>
                            <a:off x="2556" y="3475"/>
                            <a:ext cx="1080" cy="468"/>
                          </a:xfrm>
                          <a:prstGeom prst="rect">
                            <a:avLst/>
                          </a:prstGeom>
                          <a:solidFill>
                            <a:srgbClr val="FFFFFF"/>
                          </a:solidFill>
                          <a:ln w="9525" cmpd="sng">
                            <a:solidFill>
                              <a:srgbClr val="000000"/>
                            </a:solidFill>
                            <a:miter lim="800000"/>
                          </a:ln>
                        </wps:spPr>
                        <wps:txbx>
                          <w:txbxContent>
                            <w:p w14:paraId="59EBA731">
                              <w:pPr>
                                <w:spacing w:line="240" w:lineRule="auto"/>
                                <w:ind w:firstLine="0" w:firstLineChars="0"/>
                                <w:jc w:val="center"/>
                              </w:pPr>
                              <w:r>
                                <w:rPr>
                                  <w:rFonts w:hint="eastAsia"/>
                                </w:rPr>
                                <w:t>扬尘</w:t>
                              </w:r>
                            </w:p>
                          </w:txbxContent>
                        </wps:txbx>
                        <wps:bodyPr rot="0" vert="horz" wrap="square" lIns="91440" tIns="45720" rIns="91440" bIns="45720" anchor="t" anchorCtr="0" upright="1">
                          <a:noAutofit/>
                        </wps:bodyPr>
                      </wps:wsp>
                      <wps:wsp>
                        <wps:cNvPr id="308" name="文本框 362"/>
                        <wps:cNvSpPr txBox="1">
                          <a:spLocks noChangeArrowheads="1"/>
                        </wps:cNvSpPr>
                        <wps:spPr bwMode="auto">
                          <a:xfrm>
                            <a:off x="7356" y="3481"/>
                            <a:ext cx="2442" cy="468"/>
                          </a:xfrm>
                          <a:prstGeom prst="rect">
                            <a:avLst/>
                          </a:prstGeom>
                          <a:solidFill>
                            <a:srgbClr val="FFFFFF"/>
                          </a:solidFill>
                          <a:ln w="9525" cmpd="sng">
                            <a:solidFill>
                              <a:srgbClr val="000000"/>
                            </a:solidFill>
                            <a:miter lim="800000"/>
                          </a:ln>
                        </wps:spPr>
                        <wps:txbx>
                          <w:txbxContent>
                            <w:p w14:paraId="177DC2BC">
                              <w:pPr>
                                <w:spacing w:line="240" w:lineRule="auto"/>
                                <w:ind w:firstLine="0" w:firstLineChars="0"/>
                                <w:jc w:val="center"/>
                              </w:pPr>
                              <w:r>
                                <w:rPr>
                                  <w:rFonts w:hint="eastAsia"/>
                                </w:rPr>
                                <w:t>建筑材料堆放、运输</w:t>
                              </w:r>
                            </w:p>
                          </w:txbxContent>
                        </wps:txbx>
                        <wps:bodyPr rot="0" vert="horz" wrap="square" lIns="91440" tIns="45720" rIns="91440" bIns="45720" anchor="t" anchorCtr="0" upright="1">
                          <a:noAutofit/>
                        </wps:bodyPr>
                      </wps:wsp>
                      <wps:wsp>
                        <wps:cNvPr id="309" name="直线 363"/>
                        <wps:cNvCnPr>
                          <a:cxnSpLocks noChangeShapeType="1"/>
                        </wps:cNvCnPr>
                        <wps:spPr bwMode="auto">
                          <a:xfrm flipH="1">
                            <a:off x="5441" y="4968"/>
                            <a:ext cx="641" cy="693"/>
                          </a:xfrm>
                          <a:prstGeom prst="line">
                            <a:avLst/>
                          </a:prstGeom>
                          <a:noFill/>
                          <a:ln w="9525" cmpd="sng">
                            <a:solidFill>
                              <a:srgbClr val="000000"/>
                            </a:solidFill>
                            <a:prstDash val="dash"/>
                            <a:round/>
                            <a:tailEnd type="triangle" w="med" len="med"/>
                          </a:ln>
                        </wps:spPr>
                        <wps:bodyPr/>
                      </wps:wsp>
                      <wps:wsp>
                        <wps:cNvPr id="310" name="直线 364"/>
                        <wps:cNvCnPr>
                          <a:cxnSpLocks noChangeShapeType="1"/>
                        </wps:cNvCnPr>
                        <wps:spPr bwMode="auto">
                          <a:xfrm flipH="1">
                            <a:off x="5888" y="4985"/>
                            <a:ext cx="1780" cy="659"/>
                          </a:xfrm>
                          <a:prstGeom prst="line">
                            <a:avLst/>
                          </a:prstGeom>
                          <a:noFill/>
                          <a:ln w="9525" cmpd="sng">
                            <a:solidFill>
                              <a:srgbClr val="000000"/>
                            </a:solidFill>
                            <a:prstDash val="dash"/>
                            <a:round/>
                            <a:tailEnd type="triangle" w="med" len="med"/>
                          </a:ln>
                        </wps:spPr>
                        <wps:bodyPr/>
                      </wps:wsp>
                      <wps:wsp>
                        <wps:cNvPr id="311" name="直线 365"/>
                        <wps:cNvCnPr>
                          <a:cxnSpLocks noChangeShapeType="1"/>
                        </wps:cNvCnPr>
                        <wps:spPr bwMode="auto">
                          <a:xfrm flipH="1">
                            <a:off x="6458" y="5002"/>
                            <a:ext cx="2697" cy="644"/>
                          </a:xfrm>
                          <a:prstGeom prst="line">
                            <a:avLst/>
                          </a:prstGeom>
                          <a:noFill/>
                          <a:ln w="9525" cmpd="sng">
                            <a:solidFill>
                              <a:srgbClr val="000000"/>
                            </a:solidFill>
                            <a:prstDash val="dash"/>
                            <a:round/>
                            <a:tailEnd type="triangle" w="med" len="med"/>
                          </a:ln>
                        </wps:spPr>
                        <wps:bodyPr/>
                      </wps:wsp>
                      <wps:wsp>
                        <wps:cNvPr id="312" name="直线 366"/>
                        <wps:cNvCnPr>
                          <a:cxnSpLocks noChangeShapeType="1"/>
                        </wps:cNvCnPr>
                        <wps:spPr bwMode="auto">
                          <a:xfrm flipH="1" flipV="1">
                            <a:off x="3458" y="3958"/>
                            <a:ext cx="2579" cy="705"/>
                          </a:xfrm>
                          <a:prstGeom prst="line">
                            <a:avLst/>
                          </a:prstGeom>
                          <a:noFill/>
                          <a:ln w="9525" cmpd="sng">
                            <a:solidFill>
                              <a:srgbClr val="000000"/>
                            </a:solidFill>
                            <a:prstDash val="dash"/>
                            <a:round/>
                            <a:tailEnd type="triangle" w="med" len="med"/>
                          </a:ln>
                        </wps:spPr>
                        <wps:bodyPr/>
                      </wps:wsp>
                      <wps:wsp>
                        <wps:cNvPr id="313" name="直线 367"/>
                        <wps:cNvCnPr>
                          <a:cxnSpLocks noChangeShapeType="1"/>
                        </wps:cNvCnPr>
                        <wps:spPr bwMode="auto">
                          <a:xfrm>
                            <a:off x="4170" y="5005"/>
                            <a:ext cx="1082" cy="662"/>
                          </a:xfrm>
                          <a:prstGeom prst="line">
                            <a:avLst/>
                          </a:prstGeom>
                          <a:noFill/>
                          <a:ln w="9525" cmpd="sng">
                            <a:solidFill>
                              <a:srgbClr val="000000"/>
                            </a:solidFill>
                            <a:prstDash val="dash"/>
                            <a:round/>
                            <a:tailEnd type="triangle" w="med" len="med"/>
                          </a:ln>
                        </wps:spPr>
                        <wps:bodyPr/>
                      </wps:wsp>
                      <wps:wsp>
                        <wps:cNvPr id="314" name="直线 368"/>
                        <wps:cNvCnPr>
                          <a:cxnSpLocks noChangeShapeType="1"/>
                        </wps:cNvCnPr>
                        <wps:spPr bwMode="auto">
                          <a:xfrm flipV="1">
                            <a:off x="8511" y="3103"/>
                            <a:ext cx="2" cy="371"/>
                          </a:xfrm>
                          <a:prstGeom prst="line">
                            <a:avLst/>
                          </a:prstGeom>
                          <a:noFill/>
                          <a:ln w="9525" cmpd="sng">
                            <a:solidFill>
                              <a:srgbClr val="000000"/>
                            </a:solidFill>
                            <a:prstDash val="dash"/>
                            <a:round/>
                          </a:ln>
                        </wps:spPr>
                        <wps:bodyPr/>
                      </wps:wsp>
                      <wps:wsp>
                        <wps:cNvPr id="315" name="直线 369"/>
                        <wps:cNvCnPr>
                          <a:cxnSpLocks noChangeShapeType="1"/>
                        </wps:cNvCnPr>
                        <wps:spPr bwMode="auto">
                          <a:xfrm>
                            <a:off x="7944" y="3959"/>
                            <a:ext cx="1" cy="735"/>
                          </a:xfrm>
                          <a:prstGeom prst="line">
                            <a:avLst/>
                          </a:prstGeom>
                          <a:noFill/>
                          <a:ln w="9525" cmpd="sng">
                            <a:solidFill>
                              <a:srgbClr val="000000"/>
                            </a:solidFill>
                            <a:round/>
                            <a:tailEnd type="triangle" w="med" len="med"/>
                          </a:ln>
                        </wps:spPr>
                        <wps:bodyPr/>
                      </wps:wsp>
                      <wps:wsp>
                        <wps:cNvPr id="316" name="直线 370"/>
                        <wps:cNvCnPr>
                          <a:cxnSpLocks noChangeShapeType="1"/>
                        </wps:cNvCnPr>
                        <wps:spPr bwMode="auto">
                          <a:xfrm flipH="1" flipV="1">
                            <a:off x="5975" y="3943"/>
                            <a:ext cx="3135" cy="750"/>
                          </a:xfrm>
                          <a:prstGeom prst="line">
                            <a:avLst/>
                          </a:prstGeom>
                          <a:noFill/>
                          <a:ln w="9525" cmpd="sng">
                            <a:solidFill>
                              <a:srgbClr val="000000"/>
                            </a:solidFill>
                            <a:prstDash val="dash"/>
                            <a:round/>
                            <a:tailEnd type="triangle" w="med" len="med"/>
                          </a:ln>
                        </wps:spPr>
                        <wps:bodyPr/>
                      </wps:wsp>
                      <wps:wsp>
                        <wps:cNvPr id="317" name="直线 371"/>
                        <wps:cNvCnPr>
                          <a:cxnSpLocks noChangeShapeType="1"/>
                        </wps:cNvCnPr>
                        <wps:spPr bwMode="auto">
                          <a:xfrm flipH="1" flipV="1">
                            <a:off x="5753" y="3958"/>
                            <a:ext cx="1755" cy="734"/>
                          </a:xfrm>
                          <a:prstGeom prst="line">
                            <a:avLst/>
                          </a:prstGeom>
                          <a:noFill/>
                          <a:ln w="9525" cmpd="sng">
                            <a:solidFill>
                              <a:srgbClr val="000000"/>
                            </a:solidFill>
                            <a:prstDash val="dash"/>
                            <a:round/>
                            <a:tailEnd type="triangle" w="med" len="med"/>
                          </a:ln>
                        </wps:spPr>
                        <wps:bodyPr/>
                      </wps:wsp>
                      <wps:wsp>
                        <wps:cNvPr id="318" name="直线 372"/>
                        <wps:cNvCnPr>
                          <a:cxnSpLocks noChangeShapeType="1"/>
                        </wps:cNvCnPr>
                        <wps:spPr bwMode="auto">
                          <a:xfrm flipH="1" flipV="1">
                            <a:off x="5454" y="3937"/>
                            <a:ext cx="617" cy="726"/>
                          </a:xfrm>
                          <a:prstGeom prst="line">
                            <a:avLst/>
                          </a:prstGeom>
                          <a:noFill/>
                          <a:ln w="9525" cmpd="sng">
                            <a:solidFill>
                              <a:srgbClr val="000000"/>
                            </a:solidFill>
                            <a:prstDash val="dash"/>
                            <a:round/>
                            <a:tailEnd type="triangle" w="med" len="med"/>
                          </a:ln>
                        </wps:spPr>
                        <wps:bodyPr/>
                      </wps:wsp>
                      <wps:wsp>
                        <wps:cNvPr id="319" name="直线 373"/>
                        <wps:cNvCnPr>
                          <a:cxnSpLocks noChangeShapeType="1"/>
                        </wps:cNvCnPr>
                        <wps:spPr bwMode="auto">
                          <a:xfrm flipH="1" flipV="1">
                            <a:off x="3023" y="3958"/>
                            <a:ext cx="1229" cy="720"/>
                          </a:xfrm>
                          <a:prstGeom prst="line">
                            <a:avLst/>
                          </a:prstGeom>
                          <a:noFill/>
                          <a:ln w="9525" cmpd="sng">
                            <a:solidFill>
                              <a:srgbClr val="000000"/>
                            </a:solidFill>
                            <a:prstDash val="dash"/>
                            <a:round/>
                            <a:tailEnd type="triangle" w="med" len="med"/>
                          </a:ln>
                        </wps:spPr>
                        <wps:bodyPr/>
                      </wps:wsp>
                      <wps:wsp>
                        <wps:cNvPr id="320" name="直线 374"/>
                        <wps:cNvCnPr>
                          <a:cxnSpLocks noChangeShapeType="1"/>
                        </wps:cNvCnPr>
                        <wps:spPr bwMode="auto">
                          <a:xfrm flipV="1">
                            <a:off x="2601" y="3943"/>
                            <a:ext cx="2702" cy="729"/>
                          </a:xfrm>
                          <a:prstGeom prst="line">
                            <a:avLst/>
                          </a:prstGeom>
                          <a:noFill/>
                          <a:ln w="9525" cmpd="sng">
                            <a:solidFill>
                              <a:srgbClr val="000000"/>
                            </a:solidFill>
                            <a:prstDash val="dash"/>
                            <a:round/>
                            <a:tailEnd type="triangle" w="med" len="med"/>
                          </a:ln>
                        </wps:spPr>
                        <wps:bodyPr/>
                      </wps:wsp>
                      <wps:wsp>
                        <wps:cNvPr id="321" name="直线 375"/>
                        <wps:cNvCnPr>
                          <a:cxnSpLocks noChangeShapeType="1"/>
                        </wps:cNvCnPr>
                        <wps:spPr bwMode="auto">
                          <a:xfrm>
                            <a:off x="2497" y="4985"/>
                            <a:ext cx="2386" cy="658"/>
                          </a:xfrm>
                          <a:prstGeom prst="line">
                            <a:avLst/>
                          </a:prstGeom>
                          <a:noFill/>
                          <a:ln w="9525" cmpd="sng">
                            <a:solidFill>
                              <a:srgbClr val="000000"/>
                            </a:solidFill>
                            <a:prstDash val="dash"/>
                            <a:round/>
                            <a:tailEnd type="triangle" w="med" len="med"/>
                          </a:ln>
                        </wps:spPr>
                        <wps:bodyPr/>
                      </wps:wsp>
                      <wps:wsp>
                        <wps:cNvPr id="322" name="直线 376"/>
                        <wps:cNvCnPr>
                          <a:cxnSpLocks noChangeShapeType="1"/>
                        </wps:cNvCnPr>
                        <wps:spPr bwMode="auto">
                          <a:xfrm>
                            <a:off x="3111" y="3103"/>
                            <a:ext cx="5400" cy="1"/>
                          </a:xfrm>
                          <a:prstGeom prst="line">
                            <a:avLst/>
                          </a:prstGeom>
                          <a:noFill/>
                          <a:ln w="9525" cmpd="sng">
                            <a:solidFill>
                              <a:srgbClr val="000000"/>
                            </a:solidFill>
                            <a:prstDash val="dash"/>
                            <a:round/>
                          </a:ln>
                        </wps:spPr>
                        <wps:bodyPr/>
                      </wps:wsp>
                      <wps:wsp>
                        <wps:cNvPr id="323" name="直线 377"/>
                        <wps:cNvCnPr>
                          <a:cxnSpLocks noChangeShapeType="1"/>
                        </wps:cNvCnPr>
                        <wps:spPr bwMode="auto">
                          <a:xfrm>
                            <a:off x="3096" y="3103"/>
                            <a:ext cx="2" cy="360"/>
                          </a:xfrm>
                          <a:prstGeom prst="line">
                            <a:avLst/>
                          </a:prstGeom>
                          <a:noFill/>
                          <a:ln w="9525" cmpd="sng">
                            <a:solidFill>
                              <a:srgbClr val="000000"/>
                            </a:solidFill>
                            <a:prstDash val="dash"/>
                            <a:round/>
                            <a:tailEnd type="triangle" w="med" len="med"/>
                          </a:ln>
                        </wps:spPr>
                        <wps:bodyPr/>
                      </wps:wsp>
                      <wps:wsp>
                        <wps:cNvPr id="324" name="直线 378"/>
                        <wps:cNvCnPr>
                          <a:cxnSpLocks noChangeShapeType="1"/>
                        </wps:cNvCnPr>
                        <wps:spPr bwMode="auto">
                          <a:xfrm flipV="1">
                            <a:off x="2679" y="3912"/>
                            <a:ext cx="43" cy="766"/>
                          </a:xfrm>
                          <a:prstGeom prst="line">
                            <a:avLst/>
                          </a:prstGeom>
                          <a:noFill/>
                          <a:ln w="9525" cmpd="sng">
                            <a:solidFill>
                              <a:srgbClr val="000000"/>
                            </a:solidFill>
                            <a:prstDash val="dash"/>
                            <a:round/>
                            <a:tailEnd type="triangle" w="med" len="med"/>
                          </a:ln>
                        </wps:spPr>
                        <wps:bodyPr/>
                      </wps:wsp>
                      <wps:wsp>
                        <wps:cNvPr id="325" name="直线 379"/>
                        <wps:cNvCnPr>
                          <a:cxnSpLocks noChangeShapeType="1"/>
                        </wps:cNvCnPr>
                        <wps:spPr bwMode="auto">
                          <a:xfrm flipH="1" flipV="1">
                            <a:off x="6098" y="3719"/>
                            <a:ext cx="1258" cy="3"/>
                          </a:xfrm>
                          <a:prstGeom prst="line">
                            <a:avLst/>
                          </a:prstGeom>
                          <a:noFill/>
                          <a:ln w="9525" cmpd="sng">
                            <a:solidFill>
                              <a:srgbClr val="000000"/>
                            </a:solidFill>
                            <a:prstDash val="dash"/>
                            <a:round/>
                            <a:tailEnd type="triangle" w="med" len="med"/>
                          </a:ln>
                        </wps:spPr>
                        <wps:bodyPr/>
                      </wps:wsp>
                      <wps:wsp>
                        <wps:cNvPr id="326" name="直线 380"/>
                        <wps:cNvCnPr>
                          <a:cxnSpLocks noChangeShapeType="1"/>
                        </wps:cNvCnPr>
                        <wps:spPr bwMode="auto">
                          <a:xfrm flipV="1">
                            <a:off x="4230" y="3924"/>
                            <a:ext cx="1200" cy="726"/>
                          </a:xfrm>
                          <a:prstGeom prst="line">
                            <a:avLst/>
                          </a:prstGeom>
                          <a:noFill/>
                          <a:ln w="9525" cmpd="sng">
                            <a:solidFill>
                              <a:srgbClr val="000000"/>
                            </a:solidFill>
                            <a:prstDash val="dash"/>
                            <a:round/>
                            <a:tailEnd type="triangle" w="med" len="med"/>
                          </a:ln>
                        </wps:spPr>
                        <wps:bodyPr/>
                      </wps:wsp>
                    </wpg:wgp>
                  </a:graphicData>
                </a:graphic>
              </wp:anchor>
            </w:drawing>
          </mc:Choice>
          <mc:Fallback>
            <w:pict>
              <v:group id="_x0000_s1026" o:spid="_x0000_s1026" o:spt="203" style="position:absolute;left:0pt;margin-left:27.1pt;margin-top:2.1pt;height:142.9pt;width:386.85pt;z-index:251659264;mso-width-relative:page;mso-height-relative:page;" coordorigin="2061,3103" coordsize="7737,2858" o:gfxdata="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">
                <o:lock v:ext="edit" aspectratio="f"/>
                <v:shape id="文本框 354" o:spid="_x0000_s1026" o:spt="202" type="#_x0000_t202" style="position:absolute;left:4116;top:5663;height:298;width:3420;" fillcolor="#FFFFFF" filled="t" stroked="t" coordsize="21600,21600" o:gfxdata="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QVcC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0.5mm,0mm,0.5mm,0mm">
                    <w:txbxContent>
                      <w:p w14:paraId="613BA231">
                        <w:pPr>
                          <w:spacing w:line="240" w:lineRule="auto"/>
                          <w:ind w:firstLine="0" w:firstLineChars="0"/>
                          <w:jc w:val="center"/>
                        </w:pPr>
                        <w:r>
                          <w:rPr>
                            <w:rFonts w:hint="eastAsia"/>
                          </w:rPr>
                          <w:t>建筑垃圾、生活垃圾、生活废水</w:t>
                        </w:r>
                      </w:p>
                      <w:p w14:paraId="3F44C025">
                        <w:pPr>
                          <w:ind w:firstLine="480"/>
                        </w:pPr>
                      </w:p>
                    </w:txbxContent>
                  </v:textbox>
                </v:shape>
                <v:shape id="文本框 355" o:spid="_x0000_s1026" o:spt="202" type="#_x0000_t202" style="position:absolute;left:3471;top:4678;height:312;width:1260;" fillcolor="#FFFFFF" filled="t" stroked="t" coordsize="21600,21600" o:gfxdata="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n5k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290CEE2B">
                        <w:pPr>
                          <w:spacing w:line="240" w:lineRule="auto"/>
                          <w:ind w:firstLine="0" w:firstLineChars="0"/>
                          <w:jc w:val="center"/>
                        </w:pPr>
                        <w:r>
                          <w:rPr>
                            <w:rFonts w:hint="eastAsia"/>
                          </w:rPr>
                          <w:t>土方开挖</w:t>
                        </w:r>
                      </w:p>
                    </w:txbxContent>
                  </v:textbox>
                </v:shape>
                <v:shape id="文本框 356" o:spid="_x0000_s1026" o:spt="202" type="#_x0000_t202" style="position:absolute;left:5436;top:4672;height:298;width:1260;" fillcolor="#FFFFFF" filled="t" stroked="t" coordsize="21600,21600" o:gfxdata="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tn5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19703EDF">
                        <w:pPr>
                          <w:spacing w:line="240" w:lineRule="auto"/>
                          <w:ind w:firstLine="0" w:firstLineChars="0"/>
                          <w:jc w:val="center"/>
                        </w:pPr>
                        <w:r>
                          <w:rPr>
                            <w:rFonts w:hint="eastAsia"/>
                          </w:rPr>
                          <w:t>道路修筑</w:t>
                        </w:r>
                      </w:p>
                    </w:txbxContent>
                  </v:textbox>
                </v:shape>
                <v:shape id="文本框 357" o:spid="_x0000_s1026" o:spt="202" type="#_x0000_t202" style="position:absolute;left:7146;top:4687;height:298;width:1260;" fillcolor="#FFFFFF" filled="t" stroked="t" coordsize="21600,21600" o:gfxdata="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fCf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2EC7CFB1">
                        <w:pPr>
                          <w:spacing w:line="240" w:lineRule="auto"/>
                          <w:ind w:firstLine="0" w:firstLineChars="0"/>
                          <w:jc w:val="center"/>
                        </w:pPr>
                        <w:r>
                          <w:rPr>
                            <w:rFonts w:hint="eastAsia"/>
                          </w:rPr>
                          <w:t>房屋建筑</w:t>
                        </w:r>
                      </w:p>
                    </w:txbxContent>
                  </v:textbox>
                </v:shape>
                <v:shape id="文本框 358" o:spid="_x0000_s1026" o:spt="202" type="#_x0000_t202" style="position:absolute;left:8856;top:4702;height:296;width:720;" fillcolor="#FFFFFF" filled="t" stroked="t" coordsize="21600,21600" o:gfxdata="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Wgq/&#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5mm,0mm,0.5mm,0mm">
                    <w:txbxContent>
                      <w:p w14:paraId="65A27D00">
                        <w:pPr>
                          <w:spacing w:line="240" w:lineRule="auto"/>
                          <w:ind w:firstLine="0" w:firstLineChars="0"/>
                          <w:jc w:val="center"/>
                        </w:pPr>
                        <w:r>
                          <w:rPr>
                            <w:rFonts w:hint="eastAsia"/>
                          </w:rPr>
                          <w:t>装修</w:t>
                        </w:r>
                      </w:p>
                    </w:txbxContent>
                  </v:textbox>
                </v:shape>
                <v:shape id="文本框 359" o:spid="_x0000_s1026" o:spt="202" type="#_x0000_t202" style="position:absolute;left:2061;top:4672;height:312;width:1080;" fillcolor="#FFFFFF" filled="t" stroked="t" coordsize="21600,21600" o:gfxdata="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L/k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43F22E64">
                        <w:pPr>
                          <w:spacing w:line="240" w:lineRule="auto"/>
                          <w:ind w:firstLine="0" w:firstLineChars="0"/>
                          <w:jc w:val="center"/>
                        </w:pPr>
                        <w:r>
                          <w:rPr>
                            <w:rFonts w:hint="eastAsia"/>
                          </w:rPr>
                          <w:t>场地平整</w:t>
                        </w:r>
                      </w:p>
                    </w:txbxContent>
                  </v:textbox>
                </v:shape>
                <v:shape id="文本框 360" o:spid="_x0000_s1026" o:spt="202" type="#_x0000_t202" style="position:absolute;left:5109;top:3481;height:462;width:960;" fillcolor="#FFFFFF" filled="t" stroked="t" coordsize="21600,21600" o:gfxdata="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9op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2C58DAF">
                        <w:pPr>
                          <w:spacing w:line="240" w:lineRule="auto"/>
                          <w:ind w:firstLine="0" w:firstLineChars="0"/>
                          <w:jc w:val="center"/>
                        </w:pPr>
                        <w:r>
                          <w:rPr>
                            <w:rFonts w:hint="eastAsia"/>
                          </w:rPr>
                          <w:t>噪声</w:t>
                        </w:r>
                      </w:p>
                    </w:txbxContent>
                  </v:textbox>
                </v:shape>
                <v:shape id="文本框 361" o:spid="_x0000_s1026" o:spt="202" type="#_x0000_t202" style="position:absolute;left:2556;top:3475;height:468;width:1080;" fillcolor="#FFFFFF" filled="t" stroked="t" coordsize="21600,21600" o:gfxdata="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PNP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9EBA731">
                        <w:pPr>
                          <w:spacing w:line="240" w:lineRule="auto"/>
                          <w:ind w:firstLine="0" w:firstLineChars="0"/>
                          <w:jc w:val="center"/>
                        </w:pPr>
                        <w:r>
                          <w:rPr>
                            <w:rFonts w:hint="eastAsia"/>
                          </w:rPr>
                          <w:t>扬尘</w:t>
                        </w:r>
                      </w:p>
                    </w:txbxContent>
                  </v:textbox>
                </v:shape>
                <v:shape id="文本框 362" o:spid="_x0000_s1026" o:spt="202" type="#_x0000_t202" style="position:absolute;left:7356;top:3481;height:468;width:2442;" fillcolor="#FFFFFF" filled="t" stroked="t" coordsize="21600,21600" o:gfxdata="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xZT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77DC2BC">
                        <w:pPr>
                          <w:spacing w:line="240" w:lineRule="auto"/>
                          <w:ind w:firstLine="0" w:firstLineChars="0"/>
                          <w:jc w:val="center"/>
                        </w:pPr>
                        <w:r>
                          <w:rPr>
                            <w:rFonts w:hint="eastAsia"/>
                          </w:rPr>
                          <w:t>建筑材料堆放、运输</w:t>
                        </w:r>
                      </w:p>
                    </w:txbxContent>
                  </v:textbox>
                </v:shape>
                <v:line id="直线 363" o:spid="_x0000_s1026" o:spt="20" style="position:absolute;left:5441;top:4968;flip:x;height:693;width:641;" filled="f" stroked="t" coordsize="21600,21600" o:gfxdata="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oCb68AAAA&#10;3AAAAA8AAAAAAAAAAQAgAAAAIgAAAGRycy9kb3ducmV2LnhtbFBLAQIUABQAAAAIAIdO4kAzLwWe&#10;OwAAADkAAAAQAAAAAAAAAAEAIAAAAAsBAABkcnMvc2hhcGV4bWwueG1sUEsFBgAAAAAGAAYAWwEA&#10;ALUDAAAAAA==&#10;">
                  <v:fill on="f" focussize="0,0"/>
                  <v:stroke color="#000000" joinstyle="round" dashstyle="dash" endarrow="block"/>
                  <v:imagedata o:title=""/>
                  <o:lock v:ext="edit" aspectratio="f"/>
                </v:line>
                <v:line id="直线 364" o:spid="_x0000_s1026" o:spt="20" style="position:absolute;left:5888;top:4985;flip:x;height:659;width:1780;" filled="f" stroked="t" coordsize="21600,21600" o:gfxdata="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s2/rgAAADcAAAA&#10;DwAAAAAAAAABACAAAAAiAAAAZHJzL2Rvd25yZXYueG1sUEsBAhQAFAAAAAgAh07iQDMvBZ47AAAA&#10;OQAAABAAAAAAAAAAAQAgAAAABwEAAGRycy9zaGFwZXhtbC54bWxQSwUGAAAAAAYABgBbAQAAsQMA&#10;AAAA&#10;">
                  <v:fill on="f" focussize="0,0"/>
                  <v:stroke color="#000000" joinstyle="round" dashstyle="dash" endarrow="block"/>
                  <v:imagedata o:title=""/>
                  <o:lock v:ext="edit" aspectratio="f"/>
                </v:line>
                <v:line id="直线 365" o:spid="_x0000_s1026" o:spt="20" style="position:absolute;left:6458;top:5002;flip:x;height:644;width:2697;" filled="f" stroked="t" coordsize="21600,21600" o:gfxdata="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B5Nl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66" o:spid="_x0000_s1026" o:spt="20" style="position:absolute;left:3458;top:3958;flip:x y;height:705;width:2579;" filled="f" stroked="t" coordsize="21600,21600" o:gfxdata="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5F/V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67" o:spid="_x0000_s1026" o:spt="20" style="position:absolute;left:4170;top:5005;height:662;width:1082;" filled="f" stroked="t" coordsize="21600,21600" o:gfxdata="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g/Kd&#10;wAAAANwAAAAPAAAAAAAAAAEAIAAAACIAAABkcnMvZG93bnJldi54bWxQSwECFAAUAAAACACHTuJA&#10;My8FnjsAAAA5AAAAEAAAAAAAAAABACAAAAAPAQAAZHJzL3NoYXBleG1sLnhtbFBLBQYAAAAABgAG&#10;AFsBAAC5AwAAAAA=&#10;">
                  <v:fill on="f" focussize="0,0"/>
                  <v:stroke color="#000000" joinstyle="round" dashstyle="dash" endarrow="block"/>
                  <v:imagedata o:title=""/>
                  <o:lock v:ext="edit" aspectratio="f"/>
                </v:line>
                <v:line id="直线 368" o:spid="_x0000_s1026" o:spt="20" style="position:absolute;left:8511;top:3103;flip:y;height:371;width:2;" filled="f" stroked="t" coordsize="21600,21600" o:gfxdata="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loVxLsAAADc&#10;AAAADwAAAAAAAAABACAAAAAiAAAAZHJzL2Rvd25yZXYueG1sUEsBAhQAFAAAAAgAh07iQDMvBZ47&#10;AAAAOQAAABAAAAAAAAAAAQAgAAAACgEAAGRycy9zaGFwZXhtbC54bWxQSwUGAAAAAAYABgBbAQAA&#10;tAMAAAAA&#10;">
                  <v:fill on="f" focussize="0,0"/>
                  <v:stroke color="#000000" joinstyle="round" dashstyle="dash"/>
                  <v:imagedata o:title=""/>
                  <o:lock v:ext="edit" aspectratio="f"/>
                </v:line>
                <v:line id="直线 369" o:spid="_x0000_s1026" o:spt="20" style="position:absolute;left:7944;top:3959;height:735;width:1;" filled="f" stroked="t" coordsize="21600,21600" o:gfxdata="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16US&#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370" o:spid="_x0000_s1026" o:spt="20" style="position:absolute;left:5975;top:3943;flip:x y;height:750;width:3135;" filled="f" stroked="t" coordsize="21600,21600" o:gfxdata="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31nW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1" o:spid="_x0000_s1026" o:spt="20" style="position:absolute;left:5753;top:3958;flip:x y;height:734;width:1755;" filled="f" stroked="t" coordsize="21600,21600" o:gfxdata="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k/xN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2" o:spid="_x0000_s1026" o:spt="20" style="position:absolute;left:5454;top:3937;flip:x y;height:726;width:617;" filled="f" stroked="t" coordsize="21600,21600" o:gfxdata="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0MaD+5AAAA3AAA&#10;AA8AAAAAAAAAAQAgAAAAIgAAAGRycy9kb3ducmV2LnhtbFBLAQIUABQAAAAIAIdO4kAzLwWeOwAA&#10;ADkAAAAQAAAAAAAAAAEAIAAAAAgBAABkcnMvc2hhcGV4bWwueG1sUEsFBgAAAAAGAAYAWwEAALID&#10;AAAAAA==&#10;">
                  <v:fill on="f" focussize="0,0"/>
                  <v:stroke color="#000000" joinstyle="round" dashstyle="dash" endarrow="block"/>
                  <v:imagedata o:title=""/>
                  <o:lock v:ext="edit" aspectratio="f"/>
                </v:line>
                <v:line id="直线 373" o:spid="_x0000_s1026" o:spt="20" style="position:absolute;left:3023;top:3958;flip:x y;height:720;width:1229;" filled="f" stroked="t" coordsize="21600,21600" o:gfxdata="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QM2k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4" o:spid="_x0000_s1026" o:spt="20" style="position:absolute;left:2601;top:3943;flip:y;height:729;width:2702;" filled="f" stroked="t" coordsize="21600,21600" o:gfxdata="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yf8Q7UAAADcAAAADwAA&#10;AAAAAAABACAAAAAiAAAAZHJzL2Rvd25yZXYueG1sUEsBAhQAFAAAAAgAh07iQDMvBZ47AAAAOQAA&#10;ABAAAAAAAAAAAQAgAAAABAEAAGRycy9zaGFwZXhtbC54bWxQSwUGAAAAAAYABgBbAQAArgMAAAAA&#10;">
                  <v:fill on="f" focussize="0,0"/>
                  <v:stroke color="#000000" joinstyle="round" dashstyle="dash" endarrow="block"/>
                  <v:imagedata o:title=""/>
                  <o:lock v:ext="edit" aspectratio="f"/>
                </v:line>
                <v:line id="直线 375" o:spid="_x0000_s1026" o:spt="20" style="position:absolute;left:2497;top:4985;height:658;width:2386;" filled="f" stroked="t" coordsize="21600,21600" o:gfxdata="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HED&#10;zMEAAADcAAAADwAAAAAAAAABACAAAAAiAAAAZHJzL2Rvd25yZXYueG1sUEsBAhQAFAAAAAgAh07i&#10;QDMvBZ47AAAAOQAAABAAAAAAAAAAAQAgAAAAEAEAAGRycy9zaGFwZXhtbC54bWxQSwUGAAAAAAYA&#10;BgBbAQAAugMAAAAA&#10;">
                  <v:fill on="f" focussize="0,0"/>
                  <v:stroke color="#000000" joinstyle="round" dashstyle="dash" endarrow="block"/>
                  <v:imagedata o:title=""/>
                  <o:lock v:ext="edit" aspectratio="f"/>
                </v:line>
                <v:line id="直线 376" o:spid="_x0000_s1026" o:spt="20" style="position:absolute;left:3111;top:3103;height:1;width:5400;" filled="f" stroked="t" coordsize="21600,21600" o:gfxdata="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h89b4A&#10;AADc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line>
                <v:line id="直线 377" o:spid="_x0000_s1026" o:spt="20" style="position:absolute;left:3096;top:3103;height:360;width:2;" filled="f" stroked="t" coordsize="21600,21600" o:gfxdata="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84&#10;IMEAAADcAAAADwAAAAAAAAABACAAAAAiAAAAZHJzL2Rvd25yZXYueG1sUEsBAhQAFAAAAAgAh07i&#10;QDMvBZ47AAAAOQAAABAAAAAAAAAAAQAgAAAAEAEAAGRycy9zaGFwZXhtbC54bWxQSwUGAAAAAAYA&#10;BgBbAQAAugMAAAAA&#10;">
                  <v:fill on="f" focussize="0,0"/>
                  <v:stroke color="#000000" joinstyle="round" dashstyle="dash" endarrow="block"/>
                  <v:imagedata o:title=""/>
                  <o:lock v:ext="edit" aspectratio="f"/>
                </v:line>
                <v:line id="直线 378" o:spid="_x0000_s1026" o:spt="20" style="position:absolute;left:2679;top:3912;flip:y;height:766;width:43;" filled="f" stroked="t" coordsize="21600,21600" o:gfxdata="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HPpAugAAANw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line id="直线 379" o:spid="_x0000_s1026" o:spt="20" style="position:absolute;left:6098;top:3719;flip:x y;height:3;width:1258;" filled="f" stroked="t" coordsize="21600,21600" o:gfxdata="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YQ0c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80" o:spid="_x0000_s1026" o:spt="20" style="position:absolute;left:4230;top:3924;flip:y;height:726;width:1200;" filled="f" stroked="t" coordsize="21600,21600" o:gfxdata="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gsGs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group>
            </w:pict>
          </mc:Fallback>
        </mc:AlternateContent>
      </w:r>
    </w:p>
    <w:p w14:paraId="1504022F">
      <w:pPr>
        <w:adjustRightInd w:val="0"/>
        <w:snapToGrid w:val="0"/>
        <w:spacing w:line="240" w:lineRule="auto"/>
        <w:ind w:firstLine="0" w:firstLineChars="0"/>
        <w:jc w:val="center"/>
        <w:rPr>
          <w:rFonts w:ascii="Times New Roman" w:hAnsi="Times New Roman" w:eastAsia="宋体"/>
          <w:b/>
          <w:bCs/>
          <w:strike w:val="0"/>
          <w:dstrike w:val="0"/>
          <w:color w:val="auto"/>
          <w:highlight w:val="none"/>
        </w:rPr>
      </w:pPr>
    </w:p>
    <w:p w14:paraId="6308B1C7">
      <w:pPr>
        <w:adjustRightInd w:val="0"/>
        <w:snapToGrid w:val="0"/>
        <w:ind w:firstLine="482"/>
        <w:jc w:val="center"/>
        <w:rPr>
          <w:rFonts w:ascii="Times New Roman" w:hAnsi="Times New Roman" w:eastAsia="宋体"/>
          <w:b/>
          <w:bCs/>
          <w:strike w:val="0"/>
          <w:dstrike w:val="0"/>
          <w:color w:val="auto"/>
          <w:highlight w:val="none"/>
        </w:rPr>
      </w:pPr>
    </w:p>
    <w:p w14:paraId="1CF8FBC8">
      <w:pPr>
        <w:adjustRightInd w:val="0"/>
        <w:snapToGrid w:val="0"/>
        <w:ind w:firstLine="482"/>
        <w:jc w:val="center"/>
        <w:rPr>
          <w:rFonts w:ascii="Times New Roman" w:hAnsi="Times New Roman" w:eastAsia="宋体"/>
          <w:b/>
          <w:bCs/>
          <w:strike w:val="0"/>
          <w:dstrike w:val="0"/>
          <w:color w:val="auto"/>
          <w:highlight w:val="none"/>
        </w:rPr>
      </w:pPr>
    </w:p>
    <w:p w14:paraId="616B0E14">
      <w:pPr>
        <w:adjustRightInd w:val="0"/>
        <w:snapToGrid w:val="0"/>
        <w:ind w:firstLine="482"/>
        <w:jc w:val="center"/>
        <w:rPr>
          <w:rFonts w:ascii="Times New Roman" w:hAnsi="Times New Roman" w:eastAsia="宋体"/>
          <w:b/>
          <w:bCs/>
          <w:strike w:val="0"/>
          <w:dstrike w:val="0"/>
          <w:color w:val="auto"/>
          <w:highlight w:val="none"/>
        </w:rPr>
      </w:pPr>
    </w:p>
    <w:p w14:paraId="43C291EF">
      <w:pPr>
        <w:adjustRightInd w:val="0"/>
        <w:snapToGrid w:val="0"/>
        <w:ind w:firstLine="482"/>
        <w:jc w:val="center"/>
        <w:rPr>
          <w:rFonts w:ascii="Times New Roman" w:hAnsi="Times New Roman" w:eastAsia="宋体"/>
          <w:b/>
          <w:bCs/>
          <w:strike w:val="0"/>
          <w:dstrike w:val="0"/>
          <w:color w:val="auto"/>
          <w:highlight w:val="none"/>
        </w:rPr>
      </w:pPr>
    </w:p>
    <w:p w14:paraId="23FD85E7">
      <w:pPr>
        <w:adjustRightInd w:val="0"/>
        <w:snapToGrid w:val="0"/>
        <w:ind w:firstLine="482"/>
        <w:jc w:val="center"/>
        <w:rPr>
          <w:rFonts w:ascii="Times New Roman" w:hAnsi="Times New Roman" w:eastAsia="宋体"/>
          <w:b/>
          <w:bCs/>
          <w:strike w:val="0"/>
          <w:dstrike w:val="0"/>
          <w:color w:val="auto"/>
          <w:highlight w:val="none"/>
        </w:rPr>
      </w:pPr>
    </w:p>
    <w:p w14:paraId="78843C2E">
      <w:pPr>
        <w:spacing w:line="240" w:lineRule="auto"/>
        <w:ind w:firstLine="0" w:firstLineChars="0"/>
        <w:jc w:val="center"/>
        <w:rPr>
          <w:rFonts w:ascii="Times New Roman" w:hAnsi="Times New Roman" w:eastAsia="宋体"/>
          <w:strike w:val="0"/>
          <w:dstrike w:val="0"/>
          <w:color w:val="auto"/>
          <w:highlight w:val="none"/>
        </w:rPr>
      </w:pPr>
    </w:p>
    <w:p w14:paraId="7C71A9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图3.2-1施工期工艺流程及产污环节图</w:t>
      </w:r>
    </w:p>
    <w:p w14:paraId="5CE7A2FB">
      <w:pPr>
        <w:pStyle w:val="4"/>
        <w:rPr>
          <w:rFonts w:ascii="Times New Roman" w:hAnsi="Times New Roman" w:eastAsia="宋体"/>
          <w:strike w:val="0"/>
          <w:dstrike w:val="0"/>
          <w:color w:val="auto"/>
          <w:highlight w:val="none"/>
        </w:rPr>
      </w:pPr>
      <w:bookmarkStart w:id="138" w:name="_Toc106663469"/>
      <w:bookmarkStart w:id="139" w:name="_Toc899"/>
      <w:r>
        <w:rPr>
          <w:rFonts w:hint="eastAsia" w:ascii="Times New Roman" w:hAnsi="Times New Roman" w:eastAsia="宋体"/>
          <w:strike w:val="0"/>
          <w:dstrike w:val="0"/>
          <w:color w:val="auto"/>
          <w:highlight w:val="none"/>
        </w:rPr>
        <w:t>3.2.2运营期工艺流程及产污节点</w:t>
      </w:r>
      <w:bookmarkEnd w:id="138"/>
      <w:bookmarkEnd w:id="139"/>
    </w:p>
    <w:p w14:paraId="422D26F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3.2.2.1养殖工艺流程及产污环节</w:t>
      </w:r>
    </w:p>
    <w:p w14:paraId="21C9B79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position w:val="0"/>
          <w:sz w:val="24"/>
          <w:szCs w:val="24"/>
          <w:highlight w:val="none"/>
        </w:rPr>
      </w:pPr>
      <w:r>
        <w:rPr>
          <w:rFonts w:ascii="Times New Roman" w:hAnsi="Times New Roman" w:eastAsia="宋体" w:cs="Times New Roman"/>
          <w:b/>
          <w:bCs/>
          <w:strike w:val="0"/>
          <w:dstrike w:val="0"/>
          <w:color w:val="auto"/>
          <w:spacing w:val="0"/>
          <w:position w:val="0"/>
          <w:sz w:val="24"/>
          <w:szCs w:val="24"/>
          <w:highlight w:val="none"/>
        </w:rPr>
        <w:t>1</w:t>
      </w:r>
      <w:r>
        <w:rPr>
          <w:rFonts w:ascii="Times New Roman" w:hAnsi="Times New Roman" w:eastAsia="宋体" w:cs="宋体"/>
          <w:b/>
          <w:bCs/>
          <w:strike w:val="0"/>
          <w:dstrike w:val="0"/>
          <w:color w:val="auto"/>
          <w:spacing w:val="0"/>
          <w:position w:val="0"/>
          <w:sz w:val="24"/>
          <w:szCs w:val="24"/>
          <w:highlight w:val="none"/>
        </w:rPr>
        <w:t>、养殖工艺</w:t>
      </w:r>
    </w:p>
    <w:p w14:paraId="0DDCD98E">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本项目建成共养殖1015峰骆驼</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工艺流程及产污节点见图3.2-2。</w:t>
      </w:r>
    </w:p>
    <w:p w14:paraId="59CD56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b/>
          <w:bCs/>
          <w:strike w:val="0"/>
          <w:dstrike w:val="0"/>
          <w:color w:val="auto"/>
          <w:highlight w:val="none"/>
          <w:lang w:val="en-US" w:eastAsia="zh-CN"/>
        </w:rPr>
      </w:pPr>
      <w:r>
        <w:rPr>
          <w:rFonts w:ascii="Times New Roman" w:hAnsi="Times New Roman" w:eastAsia="宋体"/>
          <w:color w:val="auto"/>
        </w:rPr>
        <w:drawing>
          <wp:inline distT="0" distB="0" distL="114300" distR="114300">
            <wp:extent cx="5273675" cy="3971925"/>
            <wp:effectExtent l="0" t="0" r="3175" b="9525"/>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32"/>
                    <a:stretch>
                      <a:fillRect/>
                    </a:stretch>
                  </pic:blipFill>
                  <pic:spPr>
                    <a:xfrm>
                      <a:off x="0" y="0"/>
                      <a:ext cx="5273675" cy="3971925"/>
                    </a:xfrm>
                    <a:prstGeom prst="rect">
                      <a:avLst/>
                    </a:prstGeom>
                    <a:noFill/>
                    <a:ln>
                      <a:noFill/>
                    </a:ln>
                  </pic:spPr>
                </pic:pic>
              </a:graphicData>
            </a:graphic>
          </wp:inline>
        </w:drawing>
      </w:r>
      <w:r>
        <w:rPr>
          <w:rFonts w:hint="eastAsia" w:ascii="Times New Roman" w:hAnsi="Times New Roman" w:eastAsia="宋体"/>
          <w:b/>
          <w:bCs/>
          <w:strike w:val="0"/>
          <w:dstrike w:val="0"/>
          <w:color w:val="auto"/>
          <w:highlight w:val="none"/>
          <w:lang w:val="en-US" w:eastAsia="zh-CN"/>
        </w:rPr>
        <w:t>图3.2-2运营期工艺流程及产污环节图</w:t>
      </w:r>
    </w:p>
    <w:p w14:paraId="0024A0E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1</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骆驼防疫</w:t>
      </w:r>
    </w:p>
    <w:p w14:paraId="31ABFED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default" w:ascii="Times New Roman" w:hAnsi="Times New Roman" w:eastAsia="宋体" w:cs="Times New Roman"/>
          <w:strike w:val="0"/>
          <w:dstrike w:val="0"/>
          <w:color w:val="auto"/>
          <w:spacing w:val="0"/>
          <w:position w:val="0"/>
          <w:sz w:val="24"/>
          <w:szCs w:val="24"/>
          <w:highlight w:val="none"/>
          <w:lang w:val="en-US" w:eastAsia="zh-CN"/>
        </w:rPr>
        <w:t>防疫工作是一项复杂的系统工程，它涉及从生产到销售，从场内到场外的所有过程</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因此，必须把防疫工作纳入正常的管理，建立由兽医人员监督执行、全体人员参加的全防体系</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如建立①科学的程序消毒，这是切断传播途径的重要措施，目的在于杀灭外界环境中存在的各种病原体</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②人员进出登记工作和洗澡更衣记录</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③尽量实行全进全出制</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④进行预防接种，目前公司已建立起防疫的规章制度</w:t>
      </w:r>
      <w:r>
        <w:rPr>
          <w:rFonts w:hint="eastAsia" w:ascii="Times New Roman" w:hAnsi="Times New Roman" w:eastAsia="宋体" w:cs="Times New Roman"/>
          <w:strike w:val="0"/>
          <w:dstrike w:val="0"/>
          <w:color w:val="auto"/>
          <w:spacing w:val="0"/>
          <w:position w:val="0"/>
          <w:sz w:val="24"/>
          <w:szCs w:val="24"/>
          <w:highlight w:val="none"/>
          <w:lang w:val="en-US" w:eastAsia="zh-CN"/>
        </w:rPr>
        <w:t>。</w:t>
      </w:r>
    </w:p>
    <w:p w14:paraId="60CCE1A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2</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饲养管理办法</w:t>
      </w:r>
    </w:p>
    <w:p w14:paraId="156E7520">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Times New Roman"/>
          <w:strike w:val="0"/>
          <w:dstrike w:val="0"/>
          <w:color w:val="auto"/>
          <w:spacing w:val="0"/>
          <w:position w:val="0"/>
          <w:sz w:val="24"/>
          <w:szCs w:val="24"/>
          <w:highlight w:val="none"/>
          <w:lang w:eastAsia="zh-CN"/>
        </w:rPr>
      </w:pPr>
      <w:r>
        <w:rPr>
          <w:rFonts w:hint="eastAsia" w:ascii="Times New Roman" w:hAnsi="Times New Roman" w:eastAsia="宋体" w:cs="Times New Roman"/>
          <w:strike w:val="0"/>
          <w:dstrike w:val="0"/>
          <w:color w:val="auto"/>
          <w:spacing w:val="0"/>
          <w:position w:val="0"/>
          <w:sz w:val="24"/>
          <w:szCs w:val="24"/>
          <w:highlight w:val="none"/>
        </w:rPr>
        <w:t>本项目</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养殖技术方案按照</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rPr>
        <w:t>良种、良料、良舍、良法、良医配套技术的要求，项目建成后引入</w:t>
      </w:r>
      <w:r>
        <w:rPr>
          <w:rFonts w:hint="eastAsia" w:ascii="Times New Roman" w:hAnsi="Times New Roman" w:eastAsia="宋体" w:cs="Times New Roman"/>
          <w:strike w:val="0"/>
          <w:dstrike w:val="0"/>
          <w:color w:val="auto"/>
          <w:spacing w:val="0"/>
          <w:position w:val="0"/>
          <w:sz w:val="24"/>
          <w:szCs w:val="24"/>
          <w:highlight w:val="none"/>
          <w:lang w:val="en-US" w:eastAsia="zh-CN"/>
        </w:rPr>
        <w:t>1015</w:t>
      </w:r>
      <w:r>
        <w:rPr>
          <w:rFonts w:hint="eastAsia" w:ascii="Times New Roman" w:hAnsi="Times New Roman" w:eastAsia="宋体" w:cs="Times New Roman"/>
          <w:strike w:val="0"/>
          <w:dstrike w:val="0"/>
          <w:color w:val="auto"/>
          <w:spacing w:val="0"/>
          <w:position w:val="0"/>
          <w:sz w:val="24"/>
          <w:szCs w:val="24"/>
          <w:highlight w:val="none"/>
        </w:rPr>
        <w:t>峰</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作为本项目的基础群，采用人工授精</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rPr>
        <w:t>TMR饲喂、标准化管理、高效繁育技术、卫生防疫及</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保健技术等措施，实行科学饲养管理，达到高产高效的目的</w:t>
      </w:r>
      <w:r>
        <w:rPr>
          <w:rFonts w:hint="eastAsia" w:ascii="Times New Roman" w:hAnsi="Times New Roman" w:eastAsia="宋体" w:cs="Times New Roman"/>
          <w:strike w:val="0"/>
          <w:dstrike w:val="0"/>
          <w:color w:val="auto"/>
          <w:spacing w:val="0"/>
          <w:position w:val="0"/>
          <w:sz w:val="24"/>
          <w:szCs w:val="24"/>
          <w:highlight w:val="none"/>
          <w:lang w:eastAsia="zh-CN"/>
        </w:rPr>
        <w:t>。</w:t>
      </w:r>
    </w:p>
    <w:p w14:paraId="50A6537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default" w:ascii="Times New Roman" w:hAnsi="Times New Roman" w:eastAsia="宋体" w:cs="Times New Roman"/>
          <w:strike w:val="0"/>
          <w:dstrike w:val="0"/>
          <w:color w:val="auto"/>
          <w:spacing w:val="0"/>
          <w:position w:val="0"/>
          <w:sz w:val="24"/>
          <w:szCs w:val="24"/>
          <w:highlight w:val="none"/>
          <w:lang w:val="en-US" w:eastAsia="zh-CN"/>
        </w:rPr>
        <w:t>1</w:t>
      </w:r>
      <w:r>
        <w:rPr>
          <w:rFonts w:hint="eastAsia" w:ascii="Times New Roman" w:hAnsi="Times New Roman" w:eastAsia="宋体" w:cs="Times New Roman"/>
          <w:strike w:val="0"/>
          <w:dstrike w:val="0"/>
          <w:color w:val="auto"/>
          <w:spacing w:val="0"/>
          <w:position w:val="0"/>
          <w:sz w:val="24"/>
          <w:szCs w:val="24"/>
          <w:highlight w:val="none"/>
          <w:lang w:val="en-US" w:eastAsia="zh-CN"/>
        </w:rPr>
        <w:t>）饲养怀孕母驼的技术</w:t>
      </w:r>
    </w:p>
    <w:p w14:paraId="1D4C65D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培育生产性能较高的骆驼，必须从胚胎期着手。因此，应加强骆驼养殖技术，给予怀孕母驼以合理的饲养管理，对其分娩后的泌乳量和驼羔生长发育，都起着重要的作用。</w:t>
      </w:r>
    </w:p>
    <w:p w14:paraId="2EC55834">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饲养怀孕母骆驼的技术要点：</w:t>
      </w:r>
    </w:p>
    <w:p w14:paraId="5841266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①母驼配种受胎后，性情安静，代谢旺盛，食欲巨增，且怀孕的前期恰是青黄不接的春季，既要负担胚胎的正常发育，又要负担上年所产驼羔的哺乳。根据上述特点，正确地饲养怀孕母驼，关键在于春季牧地的选择，母驼配种后，须在牧草生长茂盛，草质优良的牧地上放牧，以满足营养需要，否则就应当加补精料。</w:t>
      </w:r>
    </w:p>
    <w:p w14:paraId="3C348F1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②母驼配种受胎后三个月泌乳量显著减少，五、六个月时泌乳量更少，甚至自行干乳，此期恰是夏末秋初，牧草生长比较繁茂，应作好断乳，分群工作，以保证怀孕母驼抓好秋膘，促进胚胎发育。</w:t>
      </w:r>
    </w:p>
    <w:p w14:paraId="24A1061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③怀孕母驼易发生流产，尤其是怀孕</w:t>
      </w:r>
      <w:r>
        <w:rPr>
          <w:rFonts w:hint="default" w:ascii="Times New Roman" w:hAnsi="Times New Roman" w:eastAsia="宋体" w:cs="Times New Roman"/>
          <w:strike w:val="0"/>
          <w:dstrike w:val="0"/>
          <w:color w:val="auto"/>
          <w:spacing w:val="0"/>
          <w:position w:val="0"/>
          <w:sz w:val="24"/>
          <w:szCs w:val="24"/>
          <w:highlight w:val="none"/>
          <w:lang w:val="en-US" w:eastAsia="zh-CN"/>
        </w:rPr>
        <w:t>6-7</w:t>
      </w:r>
      <w:r>
        <w:rPr>
          <w:rFonts w:hint="eastAsia" w:ascii="Times New Roman" w:hAnsi="Times New Roman" w:eastAsia="宋体" w:cs="Times New Roman"/>
          <w:strike w:val="0"/>
          <w:dstrike w:val="0"/>
          <w:color w:val="auto"/>
          <w:spacing w:val="0"/>
          <w:position w:val="0"/>
          <w:sz w:val="24"/>
          <w:szCs w:val="24"/>
          <w:highlight w:val="none"/>
          <w:lang w:val="en-US" w:eastAsia="zh-CN"/>
        </w:rPr>
        <w:t>个月以前，往往由于惊吓、猛赶、拥挤、猛力打击头部和腹部、公驼的爬垮、异外的声音、役后立即吃碱柴、脱毛后受暴雨刺激，以及冬季空腹大量饮水等的刺激，而引起子宫强烈地收缩，发生流产。所以，对怀孕母驼的管理，应从这些方面作好保胎工作，为了作好这一工作，重要的是应对配种</w:t>
      </w:r>
      <w:r>
        <w:rPr>
          <w:rFonts w:hint="default" w:ascii="Times New Roman" w:hAnsi="Times New Roman" w:eastAsia="宋体" w:cs="Times New Roman"/>
          <w:strike w:val="0"/>
          <w:dstrike w:val="0"/>
          <w:color w:val="auto"/>
          <w:spacing w:val="0"/>
          <w:position w:val="0"/>
          <w:sz w:val="24"/>
          <w:szCs w:val="24"/>
          <w:highlight w:val="none"/>
          <w:lang w:val="en-US" w:eastAsia="zh-CN"/>
        </w:rPr>
        <w:t>14</w:t>
      </w:r>
      <w:r>
        <w:rPr>
          <w:rFonts w:hint="eastAsia" w:ascii="Times New Roman" w:hAnsi="Times New Roman" w:eastAsia="宋体" w:cs="Times New Roman"/>
          <w:strike w:val="0"/>
          <w:dstrike w:val="0"/>
          <w:color w:val="auto"/>
          <w:spacing w:val="0"/>
          <w:position w:val="0"/>
          <w:sz w:val="24"/>
          <w:szCs w:val="24"/>
          <w:highlight w:val="none"/>
          <w:lang w:val="en-US" w:eastAsia="zh-CN"/>
        </w:rPr>
        <w:t>天后表现拒配的母驼，及早地进行早期妊娠诊断，凡是被确诊为受孕的母驼，都应细心护理，特别是</w:t>
      </w:r>
      <w:r>
        <w:rPr>
          <w:rFonts w:hint="default" w:ascii="Times New Roman" w:hAnsi="Times New Roman" w:eastAsia="宋体" w:cs="Times New Roman"/>
          <w:strike w:val="0"/>
          <w:dstrike w:val="0"/>
          <w:color w:val="auto"/>
          <w:spacing w:val="0"/>
          <w:position w:val="0"/>
          <w:sz w:val="24"/>
          <w:szCs w:val="24"/>
          <w:highlight w:val="none"/>
          <w:lang w:val="en-US" w:eastAsia="zh-CN"/>
        </w:rPr>
        <w:t>4-5</w:t>
      </w:r>
      <w:r>
        <w:rPr>
          <w:rFonts w:hint="eastAsia" w:ascii="Times New Roman" w:hAnsi="Times New Roman" w:eastAsia="宋体" w:cs="Times New Roman"/>
          <w:strike w:val="0"/>
          <w:dstrike w:val="0"/>
          <w:color w:val="auto"/>
          <w:spacing w:val="0"/>
          <w:position w:val="0"/>
          <w:sz w:val="24"/>
          <w:szCs w:val="24"/>
          <w:highlight w:val="none"/>
          <w:lang w:val="en-US" w:eastAsia="zh-CN"/>
        </w:rPr>
        <w:t>岁的青年母驼，常因性情活泼、好动，较易流产。</w:t>
      </w:r>
    </w:p>
    <w:p w14:paraId="63D7D22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④母驼怀孕后，应尽量减轻使役。一般在受孕</w:t>
      </w:r>
      <w:r>
        <w:rPr>
          <w:rFonts w:hint="default" w:ascii="Times New Roman" w:hAnsi="Times New Roman" w:eastAsia="宋体" w:cs="Times New Roman"/>
          <w:strike w:val="0"/>
          <w:dstrike w:val="0"/>
          <w:color w:val="auto"/>
          <w:spacing w:val="0"/>
          <w:position w:val="0"/>
          <w:sz w:val="24"/>
          <w:szCs w:val="24"/>
          <w:highlight w:val="none"/>
          <w:lang w:val="en-US" w:eastAsia="zh-CN"/>
        </w:rPr>
        <w:t>l5</w:t>
      </w:r>
      <w:r>
        <w:rPr>
          <w:rFonts w:hint="eastAsia" w:ascii="Times New Roman" w:hAnsi="Times New Roman" w:eastAsia="宋体" w:cs="Times New Roman"/>
          <w:strike w:val="0"/>
          <w:dstrike w:val="0"/>
          <w:color w:val="auto"/>
          <w:spacing w:val="0"/>
          <w:position w:val="0"/>
          <w:sz w:val="24"/>
          <w:szCs w:val="24"/>
          <w:highlight w:val="none"/>
          <w:lang w:val="en-US" w:eastAsia="zh-CN"/>
        </w:rPr>
        <w:t>天时则可做轻微的劳役，</w:t>
      </w:r>
      <w:r>
        <w:rPr>
          <w:rFonts w:hint="default" w:ascii="Times New Roman" w:hAnsi="Times New Roman" w:eastAsia="宋体" w:cs="Times New Roman"/>
          <w:strike w:val="0"/>
          <w:dstrike w:val="0"/>
          <w:color w:val="auto"/>
          <w:spacing w:val="0"/>
          <w:position w:val="0"/>
          <w:sz w:val="24"/>
          <w:szCs w:val="24"/>
          <w:highlight w:val="none"/>
          <w:lang w:val="en-US" w:eastAsia="zh-CN"/>
        </w:rPr>
        <w:t>5</w:t>
      </w:r>
      <w:r>
        <w:rPr>
          <w:rFonts w:hint="eastAsia" w:ascii="Times New Roman" w:hAnsi="Times New Roman" w:eastAsia="宋体" w:cs="Times New Roman"/>
          <w:strike w:val="0"/>
          <w:dstrike w:val="0"/>
          <w:color w:val="auto"/>
          <w:spacing w:val="0"/>
          <w:position w:val="0"/>
          <w:sz w:val="24"/>
          <w:szCs w:val="24"/>
          <w:highlight w:val="none"/>
          <w:lang w:val="en-US" w:eastAsia="zh-CN"/>
        </w:rPr>
        <w:t>个月时使役不能连续二周，</w:t>
      </w:r>
      <w:r>
        <w:rPr>
          <w:rFonts w:hint="default" w:ascii="Times New Roman" w:hAnsi="Times New Roman" w:eastAsia="宋体" w:cs="Times New Roman"/>
          <w:strike w:val="0"/>
          <w:dstrike w:val="0"/>
          <w:color w:val="auto"/>
          <w:spacing w:val="0"/>
          <w:position w:val="0"/>
          <w:sz w:val="24"/>
          <w:szCs w:val="24"/>
          <w:highlight w:val="none"/>
          <w:lang w:val="en-US" w:eastAsia="zh-CN"/>
        </w:rPr>
        <w:t>6</w:t>
      </w:r>
      <w:r>
        <w:rPr>
          <w:rFonts w:hint="eastAsia" w:ascii="Times New Roman" w:hAnsi="Times New Roman" w:eastAsia="宋体" w:cs="Times New Roman"/>
          <w:strike w:val="0"/>
          <w:dstrike w:val="0"/>
          <w:color w:val="auto"/>
          <w:spacing w:val="0"/>
          <w:position w:val="0"/>
          <w:sz w:val="24"/>
          <w:szCs w:val="24"/>
          <w:highlight w:val="none"/>
          <w:lang w:val="en-US" w:eastAsia="zh-CN"/>
        </w:rPr>
        <w:t>个月后可做零星的劳役，</w:t>
      </w:r>
      <w:r>
        <w:rPr>
          <w:rFonts w:hint="default" w:ascii="Times New Roman" w:hAnsi="Times New Roman" w:eastAsia="宋体" w:cs="Times New Roman"/>
          <w:strike w:val="0"/>
          <w:dstrike w:val="0"/>
          <w:color w:val="auto"/>
          <w:spacing w:val="0"/>
          <w:position w:val="0"/>
          <w:sz w:val="24"/>
          <w:szCs w:val="24"/>
          <w:highlight w:val="none"/>
          <w:lang w:val="en-US" w:eastAsia="zh-CN"/>
        </w:rPr>
        <w:t>10</w:t>
      </w:r>
      <w:r>
        <w:rPr>
          <w:rFonts w:hint="eastAsia" w:ascii="Times New Roman" w:hAnsi="Times New Roman" w:eastAsia="宋体" w:cs="Times New Roman"/>
          <w:strike w:val="0"/>
          <w:dstrike w:val="0"/>
          <w:color w:val="auto"/>
          <w:spacing w:val="0"/>
          <w:position w:val="0"/>
          <w:sz w:val="24"/>
          <w:szCs w:val="24"/>
          <w:highlight w:val="none"/>
          <w:lang w:val="en-US" w:eastAsia="zh-CN"/>
        </w:rPr>
        <w:t>个月后应停止使役。</w:t>
      </w:r>
    </w:p>
    <w:p w14:paraId="11A1371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⑤初产青年母驼常常在临产时，行动异常，突然离群，自寻产地，因此应密切注视，严加管理，归牧后可拴系或关入驼圈。</w:t>
      </w:r>
    </w:p>
    <w:p w14:paraId="79E1BD2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val="en-US" w:eastAsia="zh-CN"/>
        </w:rPr>
        <w:t>2）母驼生产幼崽管理</w:t>
      </w:r>
    </w:p>
    <w:p w14:paraId="6858408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default" w:ascii="Times New Roman" w:hAnsi="Times New Roman" w:eastAsia="宋体" w:cs="Times New Roman"/>
          <w:strike w:val="0"/>
          <w:dstrike w:val="0"/>
          <w:color w:val="auto"/>
          <w:spacing w:val="0"/>
          <w:position w:val="0"/>
          <w:sz w:val="24"/>
          <w:szCs w:val="24"/>
          <w:highlight w:val="none"/>
          <w:lang w:val="en-US" w:eastAsia="zh-CN"/>
        </w:rPr>
        <w:t>妊娠母驼于专用消毒</w:t>
      </w:r>
      <w:r>
        <w:rPr>
          <w:rFonts w:hint="eastAsia" w:ascii="Times New Roman" w:hAnsi="Times New Roman" w:eastAsia="宋体" w:cs="Times New Roman"/>
          <w:strike w:val="0"/>
          <w:dstrike w:val="0"/>
          <w:color w:val="auto"/>
          <w:spacing w:val="0"/>
          <w:position w:val="0"/>
          <w:sz w:val="24"/>
          <w:szCs w:val="24"/>
          <w:highlight w:val="none"/>
          <w:lang w:val="en-US" w:eastAsia="zh-CN"/>
        </w:rPr>
        <w:t>孕驼舍</w:t>
      </w:r>
      <w:r>
        <w:rPr>
          <w:rFonts w:hint="default" w:ascii="Times New Roman" w:hAnsi="Times New Roman" w:eastAsia="宋体" w:cs="Times New Roman"/>
          <w:strike w:val="0"/>
          <w:dstrike w:val="0"/>
          <w:color w:val="auto"/>
          <w:spacing w:val="0"/>
          <w:position w:val="0"/>
          <w:sz w:val="24"/>
          <w:szCs w:val="24"/>
          <w:highlight w:val="none"/>
          <w:lang w:val="en-US" w:eastAsia="zh-CN"/>
        </w:rPr>
        <w:t>待产分娩，人工辅助接生、脐带消毒；分娩胎盘、病死驼羔密闭暂存</w:t>
      </w:r>
      <w:r>
        <w:rPr>
          <w:rFonts w:hint="eastAsia" w:ascii="Times New Roman" w:hAnsi="Times New Roman" w:eastAsia="宋体" w:cs="Times New Roman"/>
          <w:strike w:val="0"/>
          <w:dstrike w:val="0"/>
          <w:color w:val="auto"/>
          <w:spacing w:val="0"/>
          <w:position w:val="0"/>
          <w:sz w:val="24"/>
          <w:szCs w:val="24"/>
          <w:highlight w:val="none"/>
          <w:lang w:val="en-US" w:eastAsia="zh-CN"/>
        </w:rPr>
        <w:t>交</w:t>
      </w:r>
      <w:r>
        <w:rPr>
          <w:rFonts w:hint="default" w:ascii="Times New Roman" w:hAnsi="Times New Roman" w:eastAsia="宋体" w:cs="Times New Roman"/>
          <w:strike w:val="0"/>
          <w:dstrike w:val="0"/>
          <w:color w:val="auto"/>
          <w:spacing w:val="0"/>
          <w:position w:val="0"/>
          <w:sz w:val="24"/>
          <w:szCs w:val="24"/>
          <w:highlight w:val="none"/>
          <w:lang w:val="en-US" w:eastAsia="zh-CN"/>
        </w:rPr>
        <w:t>资质单位无害化处置，粪污干清收集</w:t>
      </w:r>
      <w:r>
        <w:rPr>
          <w:rFonts w:hint="eastAsia" w:ascii="Times New Roman" w:hAnsi="Times New Roman" w:eastAsia="宋体" w:cs="Times New Roman"/>
          <w:strike w:val="0"/>
          <w:dstrike w:val="0"/>
          <w:color w:val="auto"/>
          <w:spacing w:val="0"/>
          <w:position w:val="0"/>
          <w:sz w:val="24"/>
          <w:szCs w:val="24"/>
          <w:highlight w:val="none"/>
          <w:lang w:val="en-US" w:eastAsia="zh-CN"/>
        </w:rPr>
        <w:t>堆肥发酵</w:t>
      </w:r>
      <w:r>
        <w:rPr>
          <w:rFonts w:hint="default" w:ascii="Times New Roman" w:hAnsi="Times New Roman" w:eastAsia="宋体" w:cs="Times New Roman"/>
          <w:strike w:val="0"/>
          <w:dstrike w:val="0"/>
          <w:color w:val="auto"/>
          <w:spacing w:val="0"/>
          <w:position w:val="0"/>
          <w:sz w:val="24"/>
          <w:szCs w:val="24"/>
          <w:highlight w:val="none"/>
          <w:lang w:val="en-US" w:eastAsia="zh-CN"/>
        </w:rPr>
        <w:t>，冲洗废水统一收集</w:t>
      </w:r>
      <w:r>
        <w:rPr>
          <w:rFonts w:hint="eastAsia" w:ascii="Times New Roman" w:hAnsi="Times New Roman" w:eastAsia="宋体" w:cs="Times New Roman"/>
          <w:strike w:val="0"/>
          <w:dstrike w:val="0"/>
          <w:color w:val="auto"/>
          <w:spacing w:val="0"/>
          <w:position w:val="0"/>
          <w:sz w:val="24"/>
          <w:szCs w:val="24"/>
          <w:highlight w:val="none"/>
          <w:lang w:val="en-US" w:eastAsia="zh-CN"/>
        </w:rPr>
        <w:t>至黑膜池</w:t>
      </w:r>
      <w:r>
        <w:rPr>
          <w:rFonts w:hint="default" w:ascii="Times New Roman" w:hAnsi="Times New Roman" w:eastAsia="宋体" w:cs="Times New Roman"/>
          <w:strike w:val="0"/>
          <w:dstrike w:val="0"/>
          <w:color w:val="auto"/>
          <w:spacing w:val="0"/>
          <w:position w:val="0"/>
          <w:sz w:val="24"/>
          <w:szCs w:val="24"/>
          <w:highlight w:val="none"/>
          <w:lang w:val="en-US" w:eastAsia="zh-CN"/>
        </w:rPr>
        <w:t>。</w:t>
      </w:r>
    </w:p>
    <w:p w14:paraId="4480400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3）带羔母驼的饲养管理</w:t>
      </w:r>
    </w:p>
    <w:p w14:paraId="3F32D43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①舍饲带羔母驼</w:t>
      </w:r>
      <w:r>
        <w:rPr>
          <w:rFonts w:hint="default" w:ascii="Times New Roman" w:hAnsi="Times New Roman" w:eastAsia="宋体" w:cs="Times New Roman"/>
          <w:strike w:val="0"/>
          <w:dstrike w:val="0"/>
          <w:color w:val="auto"/>
          <w:spacing w:val="0"/>
          <w:position w:val="0"/>
          <w:sz w:val="24"/>
          <w:szCs w:val="24"/>
          <w:highlight w:val="none"/>
          <w:lang w:val="en-US"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每天可喂优良的豆科和禾本科牧草</w:t>
      </w:r>
      <w:r>
        <w:rPr>
          <w:rFonts w:hint="default" w:ascii="Times New Roman" w:hAnsi="Times New Roman" w:eastAsia="宋体" w:cs="Times New Roman"/>
          <w:strike w:val="0"/>
          <w:dstrike w:val="0"/>
          <w:color w:val="auto"/>
          <w:spacing w:val="0"/>
          <w:position w:val="0"/>
          <w:sz w:val="24"/>
          <w:szCs w:val="24"/>
          <w:highlight w:val="none"/>
          <w:lang w:val="en-US" w:eastAsia="zh-CN"/>
        </w:rPr>
        <w:t>5-6</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2-4</w:t>
      </w:r>
      <w:r>
        <w:rPr>
          <w:rFonts w:hint="eastAsia" w:ascii="Times New Roman" w:hAnsi="Times New Roman" w:eastAsia="宋体" w:cs="Times New Roman"/>
          <w:strike w:val="0"/>
          <w:dstrike w:val="0"/>
          <w:color w:val="auto"/>
          <w:spacing w:val="0"/>
          <w:position w:val="0"/>
          <w:sz w:val="24"/>
          <w:szCs w:val="24"/>
          <w:highlight w:val="none"/>
          <w:lang w:val="en-US" w:eastAsia="zh-CN"/>
        </w:rPr>
        <w:t>公斤，以及添加带羔模样驼适量的食盐和钙、磷，有条件地区，最好能够补喂胡萝卜或大麦芽</w:t>
      </w:r>
      <w:r>
        <w:rPr>
          <w:rFonts w:hint="default" w:ascii="Times New Roman" w:hAnsi="Times New Roman" w:eastAsia="宋体" w:cs="Times New Roman"/>
          <w:strike w:val="0"/>
          <w:dstrike w:val="0"/>
          <w:color w:val="auto"/>
          <w:spacing w:val="0"/>
          <w:position w:val="0"/>
          <w:sz w:val="24"/>
          <w:szCs w:val="24"/>
          <w:highlight w:val="none"/>
          <w:lang w:val="en-US" w:eastAsia="zh-CN"/>
        </w:rPr>
        <w:t>1.5-2.0</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05CDF6F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②放牧母驼群，应选择草质最好，水源近，背风，向阳的草场，作为冬春营地，以满足孕驼和带羔母驼需要，有贮备饲草料的社队，则可给带羔母驼补饲干草</w:t>
      </w:r>
      <w:r>
        <w:rPr>
          <w:rFonts w:hint="default" w:ascii="Times New Roman" w:hAnsi="Times New Roman" w:eastAsia="宋体" w:cs="Times New Roman"/>
          <w:strike w:val="0"/>
          <w:dstrike w:val="0"/>
          <w:color w:val="auto"/>
          <w:spacing w:val="0"/>
          <w:position w:val="0"/>
          <w:sz w:val="24"/>
          <w:szCs w:val="24"/>
          <w:highlight w:val="none"/>
          <w:lang w:val="en-US" w:eastAsia="zh-CN"/>
        </w:rPr>
        <w:t>3-5</w:t>
      </w:r>
      <w:r>
        <w:rPr>
          <w:rFonts w:hint="eastAsia" w:ascii="Times New Roman" w:hAnsi="Times New Roman" w:eastAsia="宋体" w:cs="Times New Roman"/>
          <w:strike w:val="0"/>
          <w:dstrike w:val="0"/>
          <w:color w:val="auto"/>
          <w:spacing w:val="0"/>
          <w:position w:val="0"/>
          <w:sz w:val="24"/>
          <w:szCs w:val="24"/>
          <w:highlight w:val="none"/>
          <w:lang w:val="en-US" w:eastAsia="zh-CN"/>
        </w:rPr>
        <w:t>公斤、精料</w:t>
      </w:r>
      <w:r>
        <w:rPr>
          <w:rFonts w:hint="default" w:ascii="Times New Roman" w:hAnsi="Times New Roman" w:eastAsia="宋体" w:cs="Times New Roman"/>
          <w:strike w:val="0"/>
          <w:dstrike w:val="0"/>
          <w:color w:val="auto"/>
          <w:spacing w:val="0"/>
          <w:position w:val="0"/>
          <w:sz w:val="24"/>
          <w:szCs w:val="24"/>
          <w:highlight w:val="none"/>
          <w:lang w:val="en-US" w:eastAsia="zh-CN"/>
        </w:rPr>
        <w:t>1.0-2.0</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52E2F36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③产羔母驼群，在天气炎热到来之前，即五月份以前，应作好转场，在天气炎热以后，就不能再远距离移牧。否则，会由于母驼留旧草场，采食减少，泌乳量下降，而影响驼羔的生长发育。</w:t>
      </w:r>
    </w:p>
    <w:p w14:paraId="0140D58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④产羔母驼应每日饮水一次，在遇到风雪，雨天时，应将乏弱母驼的背上，搭盖毡片，以防御风寒，可不予饮水。产羔一个月后，除风、雪、雨天外，可让母驼带领驼羔，在附近放牧，归牧后应将驼羔进行系留，以防夜间母驼带领驼羔自行远离。产羔后三至四周，可剪去母驼的嗉毛、毛和肘毛。带羔母驼的被毛脱落，较其它骆驼迟，收毛时应先收四肢，腹下颈部和体侧毛，背部毛待到小暑后收掉。</w:t>
      </w:r>
    </w:p>
    <w:p w14:paraId="7CC0DCB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⑤对泌乳量较高的母驼，则可每天早晨或晚上挤乳</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次，或者将驼羔哺乳后剩余的乳汁全部挤净，这样有利于提高泌乳量和防止驼羔过食，而引起消化不良。随着驼羔的生长发育速度的增加，挤乳次数应逐渐减少，甚至停止。但在草质不佳、母驼泌乳量不高时，应先满足驼羔需要，严禁挤乳。</w:t>
      </w:r>
    </w:p>
    <w:p w14:paraId="75F6B4A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⑥初产母驼，若母性不强，不让驼羔哺乳时，则可强行保定两后肢，人工辅助驼羔进行哺乳，待习惯</w:t>
      </w:r>
      <w:r>
        <w:rPr>
          <w:rFonts w:hint="default" w:ascii="Times New Roman" w:hAnsi="Times New Roman" w:eastAsia="宋体" w:cs="Times New Roman"/>
          <w:strike w:val="0"/>
          <w:dstrike w:val="0"/>
          <w:color w:val="auto"/>
          <w:spacing w:val="0"/>
          <w:position w:val="0"/>
          <w:sz w:val="24"/>
          <w:szCs w:val="24"/>
          <w:highlight w:val="none"/>
          <w:lang w:val="en-US" w:eastAsia="zh-CN"/>
        </w:rPr>
        <w:t>3-5</w:t>
      </w:r>
      <w:r>
        <w:rPr>
          <w:rFonts w:hint="eastAsia" w:ascii="Times New Roman" w:hAnsi="Times New Roman" w:eastAsia="宋体" w:cs="Times New Roman"/>
          <w:strike w:val="0"/>
          <w:dstrike w:val="0"/>
          <w:color w:val="auto"/>
          <w:spacing w:val="0"/>
          <w:position w:val="0"/>
          <w:sz w:val="24"/>
          <w:szCs w:val="24"/>
          <w:highlight w:val="none"/>
          <w:lang w:val="en-US" w:eastAsia="zh-CN"/>
        </w:rPr>
        <w:t>天后即可。产羔母驼在第二年发情、配种、受胎后，随着怀孕月数的增加，泌乳量逐渐减少。一般怀孕三个月后泌乳量就有明显下降，五至六个月时更为显著，有的个体甚至停止泌乳，此期恰是夏末秋初，牧草生长较茂盛，应作好断乳和分群工作，以保证母驼营养和胚胎的发育。</w:t>
      </w:r>
    </w:p>
    <w:p w14:paraId="3E44B4C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4）种公驼的饲养管理</w:t>
      </w:r>
    </w:p>
    <w:p w14:paraId="5A1A848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骆驼是一种较好利用沙漠环境的牲畜。骆驼生活在严酷，艰苦的环境中，对人类具有极高的应用价值。因此，我们要加强骆驼养殖技术，正确地组织种公驼的饲养管理，使种公驼体质健壮，延长利用年限。</w:t>
      </w:r>
    </w:p>
    <w:p w14:paraId="69CBE90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在配种季节到来之后，食欲减退，行动反常，体力消耗很大。为了保证种公驼配种任务的完成，应从</w:t>
      </w:r>
      <w:r>
        <w:rPr>
          <w:rFonts w:hint="default" w:ascii="Times New Roman" w:hAnsi="Times New Roman" w:eastAsia="宋体" w:cs="Times New Roman"/>
          <w:strike w:val="0"/>
          <w:dstrike w:val="0"/>
          <w:color w:val="auto"/>
          <w:spacing w:val="0"/>
          <w:position w:val="0"/>
          <w:sz w:val="24"/>
          <w:szCs w:val="24"/>
          <w:highlight w:val="none"/>
          <w:lang w:val="en-US" w:eastAsia="zh-CN"/>
        </w:rPr>
        <w:t>11</w:t>
      </w:r>
      <w:r>
        <w:rPr>
          <w:rFonts w:hint="eastAsia" w:ascii="Times New Roman" w:hAnsi="Times New Roman" w:eastAsia="宋体" w:cs="Times New Roman"/>
          <w:strike w:val="0"/>
          <w:dstrike w:val="0"/>
          <w:color w:val="auto"/>
          <w:spacing w:val="0"/>
          <w:position w:val="0"/>
          <w:sz w:val="24"/>
          <w:szCs w:val="24"/>
          <w:highlight w:val="none"/>
          <w:lang w:val="en-US" w:eastAsia="zh-CN"/>
        </w:rPr>
        <w:t>月中旬开始，对种公驼实行逐渐补料。从</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月中旬起，整个配种季节里种公驼的日粮应具有完全的营养价值，力求多样化。由于冬春缺乏青绿饲料，有条件地区，还应加补一定数量的胡萝卜、大麦芽或锁阳等富于维生素的多汁饲料，以便增进种公驼的体质。</w:t>
      </w:r>
    </w:p>
    <w:p w14:paraId="5FC2000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我国牧区饲养种公驼，一般在草质好的牧地放牧时不加补饲。但在雨水少的干旱年里，则有的根据草质和种公驼的实际体况，补饲优良干草</w:t>
      </w:r>
      <w:r>
        <w:rPr>
          <w:rFonts w:hint="default" w:ascii="Times New Roman" w:hAnsi="Times New Roman" w:eastAsia="宋体" w:cs="Times New Roman"/>
          <w:strike w:val="0"/>
          <w:dstrike w:val="0"/>
          <w:color w:val="auto"/>
          <w:spacing w:val="0"/>
          <w:position w:val="0"/>
          <w:sz w:val="24"/>
          <w:szCs w:val="24"/>
          <w:highlight w:val="none"/>
          <w:lang w:val="en-US" w:eastAsia="zh-CN"/>
        </w:rPr>
        <w:t>3-4</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1-3</w:t>
      </w:r>
      <w:r>
        <w:rPr>
          <w:rFonts w:hint="eastAsia" w:ascii="Times New Roman" w:hAnsi="Times New Roman" w:eastAsia="宋体" w:cs="Times New Roman"/>
          <w:strike w:val="0"/>
          <w:dstrike w:val="0"/>
          <w:color w:val="auto"/>
          <w:spacing w:val="0"/>
          <w:position w:val="0"/>
          <w:sz w:val="24"/>
          <w:szCs w:val="24"/>
          <w:highlight w:val="none"/>
          <w:lang w:val="en-US" w:eastAsia="zh-CN"/>
        </w:rPr>
        <w:t>公斤，有条件的还加补锁阳</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公斤。也有的在种公驼交配多（二次）的日子里，灌服酸奶</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公斤，或带汤瘦羊肉</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5C3D1EC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对于舍饲种公驼</w:t>
      </w:r>
      <w:r>
        <w:rPr>
          <w:rFonts w:hint="default" w:ascii="Times New Roman" w:hAnsi="Times New Roman" w:eastAsia="宋体" w:cs="Times New Roman"/>
          <w:strike w:val="0"/>
          <w:dstrike w:val="0"/>
          <w:color w:val="auto"/>
          <w:spacing w:val="0"/>
          <w:position w:val="0"/>
          <w:sz w:val="24"/>
          <w:szCs w:val="24"/>
          <w:highlight w:val="none"/>
          <w:lang w:val="en-US"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配种期日粮，则接每</w:t>
      </w:r>
      <w:r>
        <w:rPr>
          <w:rFonts w:hint="default" w:ascii="Times New Roman" w:hAnsi="Times New Roman" w:eastAsia="宋体" w:cs="Times New Roman"/>
          <w:strike w:val="0"/>
          <w:dstrike w:val="0"/>
          <w:color w:val="auto"/>
          <w:spacing w:val="0"/>
          <w:position w:val="0"/>
          <w:sz w:val="24"/>
          <w:szCs w:val="24"/>
          <w:highlight w:val="none"/>
          <w:lang w:val="en-US" w:eastAsia="zh-CN"/>
        </w:rPr>
        <w:t>100</w:t>
      </w:r>
      <w:r>
        <w:rPr>
          <w:rFonts w:hint="eastAsia" w:ascii="Times New Roman" w:hAnsi="Times New Roman" w:eastAsia="宋体" w:cs="Times New Roman"/>
          <w:strike w:val="0"/>
          <w:dstrike w:val="0"/>
          <w:color w:val="auto"/>
          <w:spacing w:val="0"/>
          <w:position w:val="0"/>
          <w:sz w:val="24"/>
          <w:szCs w:val="24"/>
          <w:highlight w:val="none"/>
          <w:lang w:val="en-US" w:eastAsia="zh-CN"/>
        </w:rPr>
        <w:t>公斤活重，喂饲优良干草</w:t>
      </w:r>
      <w:r>
        <w:rPr>
          <w:rFonts w:hint="default" w:ascii="Times New Roman" w:hAnsi="Times New Roman" w:eastAsia="宋体" w:cs="Times New Roman"/>
          <w:strike w:val="0"/>
          <w:dstrike w:val="0"/>
          <w:color w:val="auto"/>
          <w:spacing w:val="0"/>
          <w:position w:val="0"/>
          <w:sz w:val="24"/>
          <w:szCs w:val="24"/>
          <w:highlight w:val="none"/>
          <w:lang w:val="en-US" w:eastAsia="zh-CN"/>
        </w:rPr>
        <w:t>0.8-1.2</w:t>
      </w:r>
      <w:r>
        <w:rPr>
          <w:rFonts w:hint="eastAsia" w:ascii="Times New Roman" w:hAnsi="Times New Roman" w:eastAsia="宋体" w:cs="Times New Roman"/>
          <w:strike w:val="0"/>
          <w:dstrike w:val="0"/>
          <w:color w:val="auto"/>
          <w:spacing w:val="0"/>
          <w:position w:val="0"/>
          <w:sz w:val="24"/>
          <w:szCs w:val="24"/>
          <w:highlight w:val="none"/>
          <w:lang w:val="en-US" w:eastAsia="zh-CN"/>
        </w:rPr>
        <w:t>公斤，多汁饲料</w:t>
      </w:r>
      <w:r>
        <w:rPr>
          <w:rFonts w:hint="default" w:ascii="Times New Roman" w:hAnsi="Times New Roman" w:eastAsia="宋体" w:cs="Times New Roman"/>
          <w:strike w:val="0"/>
          <w:dstrike w:val="0"/>
          <w:color w:val="auto"/>
          <w:spacing w:val="0"/>
          <w:position w:val="0"/>
          <w:sz w:val="24"/>
          <w:szCs w:val="24"/>
          <w:highlight w:val="none"/>
          <w:lang w:val="en-US" w:eastAsia="zh-CN"/>
        </w:rPr>
        <w:t>1.0-1.5</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0.5-1.0</w:t>
      </w:r>
      <w:r>
        <w:rPr>
          <w:rFonts w:hint="eastAsia" w:ascii="Times New Roman" w:hAnsi="Times New Roman" w:eastAsia="宋体" w:cs="Times New Roman"/>
          <w:strike w:val="0"/>
          <w:dstrike w:val="0"/>
          <w:color w:val="auto"/>
          <w:spacing w:val="0"/>
          <w:position w:val="0"/>
          <w:sz w:val="24"/>
          <w:szCs w:val="24"/>
          <w:highlight w:val="none"/>
          <w:lang w:val="en-US" w:eastAsia="zh-CN"/>
        </w:rPr>
        <w:t>公斤，以及相应数量的食盐和钙、磷，进行饲养。</w:t>
      </w:r>
    </w:p>
    <w:p w14:paraId="1A64227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在配种期里，骆驼食欲大为减少，腹部上卷，随着配种日数的增加，体力消耗很大，为了不影响配种受胎，除细心管理外，必须严格控制配种次数，每日不应超过两次，每周应停止配种一天。</w:t>
      </w:r>
    </w:p>
    <w:p w14:paraId="299EC0F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骆驼配种应在早晨或白天进行，晚上归牧后，将种公驼分开拴系，距母驼要有一定距离并给予补饲。配种场地不宜人多，应保持安静，一般公驼交配不需要辅助，唯遇到特殊的性情凶暴的公驼时，应有人在旁，以便临时进行辅助。运输途中若发现有发情母驼，卸驮后即行配种，最易受胎。</w:t>
      </w:r>
    </w:p>
    <w:p w14:paraId="4C7245B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配种结束后，四月中旬应剪去嗉毛，鬃毛和肘毛，除去笼头并编入骟驼群，进行收毛和夏秋的放牧管理。</w:t>
      </w:r>
    </w:p>
    <w:p w14:paraId="2572E77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5）初生驼羔的护理技术</w:t>
      </w:r>
    </w:p>
    <w:p w14:paraId="5D74BF4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val="en-US" w:eastAsia="zh-CN"/>
        </w:rPr>
        <w:t>初生驼羔的体重较小，一般只</w:t>
      </w:r>
      <w:r>
        <w:rPr>
          <w:rFonts w:hint="default" w:ascii="Times New Roman" w:hAnsi="Times New Roman" w:eastAsia="宋体" w:cs="Times New Roman"/>
          <w:strike w:val="0"/>
          <w:dstrike w:val="0"/>
          <w:color w:val="auto"/>
          <w:spacing w:val="0"/>
          <w:position w:val="0"/>
          <w:sz w:val="24"/>
          <w:szCs w:val="24"/>
          <w:highlight w:val="none"/>
          <w:lang w:val="en-US" w:eastAsia="zh-CN"/>
        </w:rPr>
        <w:t>35-45</w:t>
      </w:r>
      <w:r>
        <w:rPr>
          <w:rFonts w:hint="eastAsia" w:ascii="Times New Roman" w:hAnsi="Times New Roman" w:eastAsia="宋体" w:cs="Times New Roman"/>
          <w:strike w:val="0"/>
          <w:dstrike w:val="0"/>
          <w:color w:val="auto"/>
          <w:spacing w:val="0"/>
          <w:position w:val="0"/>
          <w:sz w:val="24"/>
          <w:szCs w:val="24"/>
          <w:highlight w:val="none"/>
          <w:lang w:val="en-US" w:eastAsia="zh-CN"/>
        </w:rPr>
        <w:t>公斤，个别初生重能达</w:t>
      </w:r>
      <w:r>
        <w:rPr>
          <w:rFonts w:hint="default" w:ascii="Times New Roman" w:hAnsi="Times New Roman" w:eastAsia="宋体" w:cs="Times New Roman"/>
          <w:strike w:val="0"/>
          <w:dstrike w:val="0"/>
          <w:color w:val="auto"/>
          <w:spacing w:val="0"/>
          <w:position w:val="0"/>
          <w:sz w:val="24"/>
          <w:szCs w:val="24"/>
          <w:highlight w:val="none"/>
          <w:lang w:val="en-US" w:eastAsia="zh-CN"/>
        </w:rPr>
        <w:t>60</w:t>
      </w:r>
      <w:r>
        <w:rPr>
          <w:rFonts w:hint="eastAsia" w:ascii="Times New Roman" w:hAnsi="Times New Roman" w:eastAsia="宋体" w:cs="Times New Roman"/>
          <w:strike w:val="0"/>
          <w:dstrike w:val="0"/>
          <w:color w:val="auto"/>
          <w:spacing w:val="0"/>
          <w:position w:val="0"/>
          <w:sz w:val="24"/>
          <w:szCs w:val="24"/>
          <w:highlight w:val="none"/>
          <w:lang w:val="en-US" w:eastAsia="zh-CN"/>
        </w:rPr>
        <w:t>公斤。与其母体比较，只占母驼活重的</w:t>
      </w:r>
      <w:r>
        <w:rPr>
          <w:rFonts w:hint="default" w:ascii="Times New Roman" w:hAnsi="Times New Roman" w:eastAsia="宋体" w:cs="Times New Roman"/>
          <w:strike w:val="0"/>
          <w:dstrike w:val="0"/>
          <w:color w:val="auto"/>
          <w:spacing w:val="0"/>
          <w:position w:val="0"/>
          <w:sz w:val="24"/>
          <w:szCs w:val="24"/>
          <w:highlight w:val="none"/>
          <w:lang w:val="en-US" w:eastAsia="zh-CN"/>
        </w:rPr>
        <w:t>5-7%</w:t>
      </w:r>
      <w:r>
        <w:rPr>
          <w:rFonts w:hint="eastAsia" w:ascii="Times New Roman" w:hAnsi="Times New Roman" w:eastAsia="宋体" w:cs="Times New Roman"/>
          <w:strike w:val="0"/>
          <w:dstrike w:val="0"/>
          <w:color w:val="auto"/>
          <w:spacing w:val="0"/>
          <w:position w:val="0"/>
          <w:sz w:val="24"/>
          <w:szCs w:val="24"/>
          <w:highlight w:val="none"/>
          <w:lang w:val="en-US" w:eastAsia="zh-CN"/>
        </w:rPr>
        <w:t>，所以初生驼羔一般较弱，往往步态踉跄，不能很好站立，而且生后十天内的体温调节酶的活动以及各组织器官的机能也很不健全。因此，必须加强护理。由于母驼不舐羔，所以接羔员应该用干布将口腔和头部天然孔的粘液擦净，撕去体外的套膜，擦干被毛，消毒脐带，用毡片包着胸腹，并将驼羔放在铺有干粪末的地上，晚上或恶劣天气，可将驼羔放入接羔棚中。</w:t>
      </w:r>
    </w:p>
    <w:p w14:paraId="37A57D2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第一次哺乳是在出生后</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小时进行人工辅助。在哺乳前应洗净母驼乳房，并挤去最初几滴初乳。为了促进胎粪排出，可在哺乳之前给驼羔灌服</w:t>
      </w:r>
      <w:r>
        <w:rPr>
          <w:rFonts w:hint="default" w:ascii="Times New Roman" w:hAnsi="Times New Roman" w:eastAsia="宋体" w:cs="Times New Roman"/>
          <w:strike w:val="0"/>
          <w:dstrike w:val="0"/>
          <w:color w:val="auto"/>
          <w:spacing w:val="0"/>
          <w:position w:val="0"/>
          <w:sz w:val="24"/>
          <w:szCs w:val="24"/>
          <w:highlight w:val="none"/>
          <w:lang w:val="en-US" w:eastAsia="zh-CN"/>
        </w:rPr>
        <w:t>80-120</w:t>
      </w:r>
      <w:r>
        <w:rPr>
          <w:rFonts w:hint="eastAsia" w:ascii="Times New Roman" w:hAnsi="Times New Roman" w:eastAsia="宋体" w:cs="Times New Roman"/>
          <w:strike w:val="0"/>
          <w:dstrike w:val="0"/>
          <w:color w:val="auto"/>
          <w:spacing w:val="0"/>
          <w:position w:val="0"/>
          <w:sz w:val="24"/>
          <w:szCs w:val="24"/>
          <w:highlight w:val="none"/>
          <w:lang w:val="en-US" w:eastAsia="zh-CN"/>
        </w:rPr>
        <w:t>克蓖麻油或清油。第二次哺乳是在第一次哺乳后的</w:t>
      </w:r>
      <w:r>
        <w:rPr>
          <w:rFonts w:hint="default" w:ascii="Times New Roman" w:hAnsi="Times New Roman" w:eastAsia="宋体" w:cs="Times New Roman"/>
          <w:strike w:val="0"/>
          <w:dstrike w:val="0"/>
          <w:color w:val="auto"/>
          <w:spacing w:val="0"/>
          <w:position w:val="0"/>
          <w:sz w:val="24"/>
          <w:szCs w:val="24"/>
          <w:highlight w:val="none"/>
          <w:lang w:val="en-US" w:eastAsia="zh-CN"/>
        </w:rPr>
        <w:t>3-4</w:t>
      </w:r>
      <w:r>
        <w:rPr>
          <w:rFonts w:hint="eastAsia" w:ascii="Times New Roman" w:hAnsi="Times New Roman" w:eastAsia="宋体" w:cs="Times New Roman"/>
          <w:strike w:val="0"/>
          <w:dstrike w:val="0"/>
          <w:color w:val="auto"/>
          <w:spacing w:val="0"/>
          <w:position w:val="0"/>
          <w:sz w:val="24"/>
          <w:szCs w:val="24"/>
          <w:highlight w:val="none"/>
          <w:lang w:val="en-US" w:eastAsia="zh-CN"/>
        </w:rPr>
        <w:t>小时进行。以后哺乳，不论白天晚上，最好每三小时让母驼授乳一次。对于泌乳量较高的母驼，可每日早晚各挤乳一次，以防止驼羔过食，引起消化失调。</w:t>
      </w:r>
    </w:p>
    <w:p w14:paraId="7B0BCF8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有少数初产母驼不认羔，帮助哺乳的方法是：用绳将它的一条后腿拴在重袋上或桩上，把母驼稍向前牵，这条后腿被拉向后，就可在同侧帮助驼羔吮乳，经过三、四天后，母驼即能认羔。</w:t>
      </w:r>
    </w:p>
    <w:p w14:paraId="2A2301A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b/>
          <w:bCs/>
          <w:strike w:val="0"/>
          <w:dstrike w:val="0"/>
          <w:color w:val="auto"/>
          <w:spacing w:val="0"/>
          <w:position w:val="0"/>
          <w:sz w:val="24"/>
          <w:szCs w:val="24"/>
          <w:highlight w:val="none"/>
          <w:lang w:val="en-US" w:eastAsia="zh-CN"/>
        </w:rPr>
      </w:pPr>
      <w:r>
        <w:rPr>
          <w:rFonts w:hint="eastAsia" w:ascii="Times New Roman" w:hAnsi="Times New Roman" w:eastAsia="宋体" w:cs="Times New Roman"/>
          <w:b/>
          <w:bCs/>
          <w:strike w:val="0"/>
          <w:dstrike w:val="0"/>
          <w:color w:val="auto"/>
          <w:spacing w:val="0"/>
          <w:position w:val="0"/>
          <w:sz w:val="24"/>
          <w:szCs w:val="24"/>
          <w:highlight w:val="none"/>
          <w:lang w:val="en-US" w:eastAsia="zh-CN"/>
        </w:rPr>
        <w:t>2、饲料加工工艺流程</w:t>
      </w:r>
    </w:p>
    <w:p w14:paraId="4C69146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饲料制取设备混料箱内，通过绞龙和刀片的作用对饲料切碎、揉搓、软化及搓细，实现饲料的搅拌与混合。</w:t>
      </w:r>
    </w:p>
    <w:p w14:paraId="0D358B9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b/>
          <w:bCs/>
          <w:strike w:val="0"/>
          <w:dstrike w:val="0"/>
          <w:color w:val="auto"/>
          <w:spacing w:val="0"/>
          <w:position w:val="0"/>
          <w:sz w:val="24"/>
          <w:szCs w:val="24"/>
          <w:highlight w:val="none"/>
          <w:lang w:val="en-US" w:eastAsia="zh-CN"/>
        </w:rPr>
      </w:pPr>
      <w:r>
        <w:rPr>
          <w:rFonts w:hint="eastAsia" w:ascii="Times New Roman" w:hAnsi="Times New Roman" w:eastAsia="宋体" w:cs="宋体"/>
          <w:b/>
          <w:bCs/>
          <w:strike w:val="0"/>
          <w:dstrike w:val="0"/>
          <w:color w:val="auto"/>
          <w:spacing w:val="0"/>
          <w:position w:val="0"/>
          <w:sz w:val="24"/>
          <w:szCs w:val="24"/>
          <w:highlight w:val="none"/>
          <w:lang w:val="en-US" w:eastAsia="zh-CN"/>
        </w:rPr>
        <w:t>挤奶工序工艺流程</w:t>
      </w:r>
    </w:p>
    <w:p w14:paraId="3A30CB9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宋体"/>
          <w:strike w:val="0"/>
          <w:dstrike w:val="0"/>
          <w:color w:val="auto"/>
          <w:kern w:val="0"/>
          <w:sz w:val="24"/>
          <w:szCs w:val="24"/>
          <w:lang w:val="en-US" w:eastAsia="zh-CN" w:bidi="ar"/>
        </w:rPr>
        <w:t>本项目泌乳母驼采用标准化机械挤奶工艺，整体流程密闭、卫生、连续。由于骆驼无储乳生理特性，泌乳需幼驼诱导刺激方可正常排乳。挤奶作业前，将泌乳母驼有序引导进入挤奶厅专用栏位，将幼驼牵至母驼旁，通过幼驼气味及吮吸刺激母驼形成泌乳反射。待排乳反应稳定后，工作人员采用温水对母驼乳房、乳头进行冲洗清洁，使用无菌毛巾擦干并对乳头进行消毒处理；随后人工挤出少量前奶进行感官检查，排查是否存在变质、异常乳，异常奶液全部废弃处置。确认乳质正常后，快速套接机械挤奶杯组，通过设备模拟自然吮吸脉动负压开展密闭挤奶作业，挤奶全过程奶液经密闭管道输送，无敞口暴露、无二次污染。挤奶完成后设备自动脱杯。</w:t>
      </w:r>
    </w:p>
    <w:p w14:paraId="3507BBE1">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宋体"/>
          <w:strike w:val="0"/>
          <w:dstrike w:val="0"/>
          <w:color w:val="auto"/>
          <w:kern w:val="0"/>
          <w:sz w:val="24"/>
          <w:szCs w:val="24"/>
          <w:lang w:val="en-US" w:eastAsia="zh-CN" w:bidi="ar"/>
        </w:rPr>
        <w:t>采集的生鲜驼奶经管道进入过滤装置，去除驼毛、碎屑等杂质，过滤后的洁净鲜奶快速进入低温储奶罐，控制温度在4℃以下密闭暂存，保持原奶品质稳定，待统一外售转运。每日挤奶工作结束后，对挤奶杯组、输奶管道、储奶设备采用酸碱清洗、热水冲洗、杀菌消毒；同时对挤奶厅地面、栏位进行清扫冲洗，挤奶设备清洗废水、地面冲洗废水全部收集进入场区</w:t>
      </w:r>
      <w:r>
        <w:rPr>
          <w:rFonts w:hint="eastAsia" w:ascii="Times New Roman" w:hAnsi="Times New Roman" w:eastAsia="宋体" w:cs="宋体"/>
          <w:strike w:val="0"/>
          <w:dstrike w:val="0"/>
          <w:color w:val="auto"/>
          <w:kern w:val="0"/>
          <w:sz w:val="24"/>
          <w:szCs w:val="24"/>
          <w:lang w:val="en-US" w:eastAsia="zh-CN" w:bidi="ar"/>
        </w:rPr>
        <w:t>黑膜池</w:t>
      </w:r>
      <w:r>
        <w:rPr>
          <w:rFonts w:hint="default" w:ascii="Times New Roman" w:hAnsi="Times New Roman" w:eastAsia="宋体" w:cs="宋体"/>
          <w:strike w:val="0"/>
          <w:dstrike w:val="0"/>
          <w:color w:val="auto"/>
          <w:kern w:val="0"/>
          <w:sz w:val="24"/>
          <w:szCs w:val="24"/>
          <w:lang w:val="en-US" w:eastAsia="zh-CN" w:bidi="ar"/>
        </w:rPr>
        <w:t>。</w:t>
      </w:r>
    </w:p>
    <w:p w14:paraId="20052440">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b/>
          <w:bCs/>
          <w:strike w:val="0"/>
          <w:dstrike w:val="0"/>
          <w:color w:val="auto"/>
          <w:spacing w:val="0"/>
          <w:position w:val="0"/>
          <w:sz w:val="24"/>
          <w:szCs w:val="24"/>
          <w:highlight w:val="none"/>
          <w:lang w:val="en-US" w:eastAsia="zh-CN"/>
        </w:rPr>
      </w:pPr>
      <w:r>
        <w:rPr>
          <w:rFonts w:hint="eastAsia" w:ascii="Times New Roman" w:hAnsi="Times New Roman" w:eastAsia="宋体" w:cs="宋体"/>
          <w:b/>
          <w:bCs/>
          <w:strike w:val="0"/>
          <w:dstrike w:val="0"/>
          <w:color w:val="auto"/>
          <w:spacing w:val="0"/>
          <w:position w:val="0"/>
          <w:sz w:val="24"/>
          <w:szCs w:val="24"/>
          <w:highlight w:val="none"/>
          <w:lang w:val="en-US" w:eastAsia="zh-CN"/>
        </w:rPr>
        <w:t>4、粪便堆肥工艺流程</w:t>
      </w:r>
    </w:p>
    <w:p w14:paraId="38CCCCDB">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堆肥是指在有氧条件下，微生物通过自身的生物代谢活动，对一部分有机物进行分解代谢，即氧化分解以获得生物生长、活动所需要的能量，把另一部分有机物转化合成新的细胞物质，使微生物生长繁殖，产生更多的生物体</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同时好反应释放的热量形成高温(&gt;55℃)杀死病原微生物，从而实现畜禽粪便减量化、稳定化和无害化的过程</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将有机物转变为肥料，由不稳定状态转变为稳定的腐殖质物质</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畜禽粪便堆肥通常包括前处理、好氧发酵、后处理和贮存等过程</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发酵前需与发酵菌剂、秸秆混合，同时调节水分、碳氮比等指标，发酵过程中不断进行翻堆，从而促使其腐熟</w:t>
      </w:r>
      <w:r>
        <w:rPr>
          <w:rFonts w:hint="eastAsia" w:ascii="Times New Roman" w:hAnsi="Times New Roman" w:eastAsia="宋体" w:cs="宋体"/>
          <w:strike w:val="0"/>
          <w:dstrike w:val="0"/>
          <w:color w:val="auto"/>
          <w:spacing w:val="0"/>
          <w:position w:val="0"/>
          <w:sz w:val="24"/>
          <w:szCs w:val="24"/>
          <w:highlight w:val="none"/>
          <w:lang w:eastAsia="zh-CN"/>
        </w:rPr>
        <w:t>。</w:t>
      </w:r>
    </w:p>
    <w:p w14:paraId="2A95B6F0">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本项目用铲车及刮板将驼粪全部铲走拉到</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内,每次投入在表面再覆盖一层明砂，除臭并消毒，粪污在</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内发酵堆肥后产生有机肥</w:t>
      </w:r>
      <w:r>
        <w:rPr>
          <w:rFonts w:hint="eastAsia" w:ascii="Times New Roman" w:hAnsi="Times New Roman" w:eastAsia="宋体" w:cs="宋体"/>
          <w:strike w:val="0"/>
          <w:dstrike w:val="0"/>
          <w:color w:val="auto"/>
          <w:spacing w:val="0"/>
          <w:position w:val="0"/>
          <w:sz w:val="24"/>
          <w:szCs w:val="24"/>
          <w:highlight w:val="none"/>
          <w:lang w:eastAsia="zh-CN"/>
        </w:rPr>
        <w:t>。</w:t>
      </w:r>
    </w:p>
    <w:p w14:paraId="0F22DBE5">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本项目驼粪堆入</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中进行厌氧发酵</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粪便中有机物经过微生物厌氧分解发酵过程分为液化、酸化、产甲烷三个阶段</w:t>
      </w:r>
      <w:r>
        <w:rPr>
          <w:rFonts w:hint="eastAsia" w:ascii="Times New Roman" w:hAnsi="Times New Roman" w:eastAsia="宋体" w:cs="宋体"/>
          <w:strike w:val="0"/>
          <w:dstrike w:val="0"/>
          <w:color w:val="auto"/>
          <w:spacing w:val="0"/>
          <w:position w:val="0"/>
          <w:sz w:val="24"/>
          <w:szCs w:val="24"/>
          <w:highlight w:val="none"/>
          <w:lang w:eastAsia="zh-CN"/>
        </w:rPr>
        <w:t>。</w:t>
      </w:r>
    </w:p>
    <w:p w14:paraId="7E121867">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①液化阶段</w:t>
      </w:r>
    </w:p>
    <w:p w14:paraId="07FEB091">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厌氧菌种利用胞外酶对有机物进行酶解，使固态物变成可溶于水的物质</w:t>
      </w:r>
    </w:p>
    <w:p w14:paraId="1CA6D819">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②产酸阶段</w:t>
      </w:r>
    </w:p>
    <w:p w14:paraId="365AA053">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依靠产酸菌将上述可溶物生成酸性中间物:</w:t>
      </w:r>
    </w:p>
    <w:p w14:paraId="3508C83A">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③产甲烷阶段</w:t>
      </w:r>
    </w:p>
    <w:p w14:paraId="1594B02D">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最后由甲烷菌利用酸性中间物以及物料中的其他碳类化合物转化为甲烷，经过再次微生物发酵后，便是价值较高的有机肥</w:t>
      </w:r>
    </w:p>
    <w:p w14:paraId="0B9C7C77">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本项目设置</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1座，面积为</w:t>
      </w:r>
      <w:r>
        <w:rPr>
          <w:rFonts w:hint="eastAsia" w:ascii="Times New Roman" w:hAnsi="Times New Roman" w:eastAsia="宋体" w:cs="宋体"/>
          <w:strike w:val="0"/>
          <w:dstrike w:val="0"/>
          <w:color w:val="auto"/>
          <w:spacing w:val="0"/>
          <w:position w:val="0"/>
          <w:sz w:val="24"/>
          <w:szCs w:val="24"/>
          <w:highlight w:val="none"/>
          <w:lang w:val="en-US" w:eastAsia="zh-CN"/>
        </w:rPr>
        <w:t>2000m</w:t>
      </w:r>
      <w:r>
        <w:rPr>
          <w:rFonts w:hint="eastAsia" w:ascii="Times New Roman" w:hAnsi="Times New Roman" w:eastAsia="宋体" w:cs="宋体"/>
          <w:strike w:val="0"/>
          <w:dstrike w:val="0"/>
          <w:color w:val="auto"/>
          <w:spacing w:val="0"/>
          <w:position w:val="0"/>
          <w:sz w:val="24"/>
          <w:szCs w:val="24"/>
          <w:highlight w:val="none"/>
          <w:vertAlign w:val="superscript"/>
          <w:lang w:val="en-US" w:eastAsia="zh-CN"/>
        </w:rPr>
        <w:t>2</w:t>
      </w:r>
      <w:r>
        <w:rPr>
          <w:rFonts w:hint="eastAsia" w:ascii="Times New Roman" w:hAnsi="Times New Roman" w:eastAsia="宋体" w:cs="宋体"/>
          <w:strike w:val="0"/>
          <w:dstrike w:val="0"/>
          <w:color w:val="auto"/>
          <w:spacing w:val="0"/>
          <w:position w:val="0"/>
          <w:sz w:val="24"/>
          <w:szCs w:val="24"/>
          <w:highlight w:val="none"/>
        </w:rPr>
        <w:t>，对</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地面进行水泥</w:t>
      </w:r>
      <w:r>
        <w:rPr>
          <w:rFonts w:hint="eastAsia" w:cs="宋体"/>
          <w:strike w:val="0"/>
          <w:dstrike w:val="0"/>
          <w:color w:val="auto"/>
          <w:spacing w:val="0"/>
          <w:position w:val="0"/>
          <w:sz w:val="24"/>
          <w:szCs w:val="24"/>
          <w:highlight w:val="none"/>
          <w:lang w:eastAsia="zh-CN"/>
        </w:rPr>
        <w:t>混凝土</w:t>
      </w:r>
      <w:r>
        <w:rPr>
          <w:rFonts w:hint="eastAsia" w:ascii="Times New Roman" w:hAnsi="Times New Roman" w:eastAsia="宋体" w:cs="宋体"/>
          <w:strike w:val="0"/>
          <w:dstrike w:val="0"/>
          <w:color w:val="auto"/>
          <w:spacing w:val="0"/>
          <w:position w:val="0"/>
          <w:sz w:val="24"/>
          <w:szCs w:val="24"/>
          <w:highlight w:val="none"/>
        </w:rPr>
        <w:t>硬化防渗处理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本项目粪肥在项目区内最大贮存天数为20d</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的结构应符合《畜禽粪便贮存设施设计要求》(GB/T27622-2011)的有关规定，具有防渗漏功能，不得污染地下水，对易侵蚀的部位，应按照GB50046的规定采取相应的防腐蚀措施</w:t>
      </w:r>
      <w:r>
        <w:rPr>
          <w:rFonts w:hint="eastAsia" w:ascii="Times New Roman" w:hAnsi="Times New Roman" w:eastAsia="宋体" w:cs="宋体"/>
          <w:strike w:val="0"/>
          <w:dstrike w:val="0"/>
          <w:color w:val="auto"/>
          <w:spacing w:val="0"/>
          <w:position w:val="0"/>
          <w:sz w:val="24"/>
          <w:szCs w:val="24"/>
          <w:highlight w:val="none"/>
          <w:lang w:eastAsia="zh-CN"/>
        </w:rPr>
        <w:t>。</w:t>
      </w:r>
    </w:p>
    <w:p w14:paraId="1C7467DE">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position w:val="0"/>
          <w:sz w:val="24"/>
          <w:szCs w:val="24"/>
          <w:highlight w:val="none"/>
        </w:rPr>
      </w:pPr>
      <w:r>
        <w:rPr>
          <w:rFonts w:ascii="Times New Roman" w:hAnsi="Times New Roman" w:eastAsia="宋体" w:cs="Times New Roman"/>
          <w:b/>
          <w:bCs/>
          <w:strike w:val="0"/>
          <w:dstrike w:val="0"/>
          <w:color w:val="auto"/>
          <w:spacing w:val="0"/>
          <w:position w:val="0"/>
          <w:sz w:val="24"/>
          <w:szCs w:val="24"/>
          <w:highlight w:val="none"/>
        </w:rPr>
        <w:t>3</w:t>
      </w:r>
      <w:r>
        <w:rPr>
          <w:rFonts w:ascii="Times New Roman" w:hAnsi="Times New Roman" w:eastAsia="宋体" w:cs="宋体"/>
          <w:b/>
          <w:bCs/>
          <w:strike w:val="0"/>
          <w:dstrike w:val="0"/>
          <w:color w:val="auto"/>
          <w:spacing w:val="0"/>
          <w:position w:val="0"/>
          <w:sz w:val="24"/>
          <w:szCs w:val="24"/>
          <w:highlight w:val="none"/>
        </w:rPr>
        <w:t>、废水的处理</w:t>
      </w:r>
    </w:p>
    <w:p w14:paraId="267A2695">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本项目废水采取黑膜池工艺处理，工艺流程简要说明：项目区内</w:t>
      </w:r>
      <w:r>
        <w:rPr>
          <w:rFonts w:hint="eastAsia" w:ascii="Times New Roman" w:hAnsi="Times New Roman" w:eastAsia="宋体" w:cs="宋体"/>
          <w:color w:val="auto"/>
          <w:kern w:val="0"/>
          <w:sz w:val="24"/>
          <w:lang w:val="en-US" w:eastAsia="zh-CN" w:bidi="ar"/>
        </w:rPr>
        <w:t>生产</w:t>
      </w:r>
      <w:r>
        <w:rPr>
          <w:rFonts w:hint="eastAsia" w:ascii="Times New Roman" w:hAnsi="Times New Roman" w:eastAsia="宋体" w:cs="宋体"/>
          <w:color w:val="auto"/>
          <w:kern w:val="0"/>
          <w:sz w:val="24"/>
          <w:lang w:bidi="ar"/>
        </w:rPr>
        <w:t>废水</w:t>
      </w:r>
      <w:r>
        <w:rPr>
          <w:rFonts w:hint="eastAsia" w:ascii="Times New Roman" w:hAnsi="Times New Roman" w:eastAsia="宋体" w:cs="宋体"/>
          <w:color w:val="auto"/>
          <w:kern w:val="0"/>
          <w:sz w:val="24"/>
          <w:lang w:val="en-US" w:eastAsia="zh-CN" w:bidi="ar"/>
        </w:rPr>
        <w:t>和生活污水</w:t>
      </w:r>
      <w:r>
        <w:rPr>
          <w:rFonts w:hint="eastAsia" w:ascii="Times New Roman" w:hAnsi="Times New Roman" w:eastAsia="宋体" w:cs="宋体"/>
          <w:color w:val="auto"/>
          <w:kern w:val="0"/>
          <w:sz w:val="24"/>
          <w:lang w:bidi="ar"/>
        </w:rPr>
        <w:t>均采取密闭管道收集后进入黑膜池中，同时管道中设置水封，防止恶臭气体通过污水管道流进</w:t>
      </w:r>
      <w:r>
        <w:rPr>
          <w:rFonts w:hint="eastAsia" w:ascii="Times New Roman" w:hAnsi="Times New Roman" w:eastAsia="宋体" w:cs="宋体"/>
          <w:color w:val="auto"/>
          <w:kern w:val="0"/>
          <w:sz w:val="24"/>
          <w:lang w:val="en-US" w:eastAsia="zh-CN" w:bidi="ar"/>
        </w:rPr>
        <w:t>挤奶厅</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bidi="ar"/>
        </w:rPr>
        <w:t>本项目所设计的黑膜池采用双层覆膜技术，具有防渗防蒸发的功能；能减少恶臭气体的挥发，减少对周围环境的影响</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黑膜池增设导排孔，产生的少量CH</w:t>
      </w:r>
      <w:r>
        <w:rPr>
          <w:rFonts w:hint="eastAsia" w:ascii="Times New Roman" w:hAnsi="Times New Roman" w:eastAsia="宋体" w:cs="宋体"/>
          <w:color w:val="auto"/>
          <w:kern w:val="0"/>
          <w:sz w:val="24"/>
          <w:vertAlign w:val="subscript"/>
          <w:lang w:val="en-US" w:eastAsia="zh-CN" w:bidi="ar"/>
        </w:rPr>
        <w:t>4</w:t>
      </w:r>
      <w:r>
        <w:rPr>
          <w:rFonts w:hint="eastAsia" w:ascii="Times New Roman" w:hAnsi="Times New Roman" w:eastAsia="宋体" w:cs="宋体"/>
          <w:color w:val="auto"/>
          <w:kern w:val="0"/>
          <w:sz w:val="24"/>
          <w:vertAlign w:val="baseline"/>
          <w:lang w:val="en-US" w:eastAsia="zh-CN" w:bidi="ar"/>
        </w:rPr>
        <w:t>、H</w:t>
      </w:r>
      <w:r>
        <w:rPr>
          <w:rFonts w:hint="eastAsia" w:ascii="Times New Roman" w:hAnsi="Times New Roman" w:eastAsia="宋体" w:cs="宋体"/>
          <w:color w:val="auto"/>
          <w:kern w:val="0"/>
          <w:sz w:val="24"/>
          <w:vertAlign w:val="subscript"/>
          <w:lang w:val="en-US" w:eastAsia="zh-CN" w:bidi="ar"/>
        </w:rPr>
        <w:t>2</w:t>
      </w:r>
      <w:r>
        <w:rPr>
          <w:rFonts w:hint="eastAsia" w:ascii="Times New Roman" w:hAnsi="Times New Roman" w:eastAsia="宋体" w:cs="宋体"/>
          <w:color w:val="auto"/>
          <w:kern w:val="0"/>
          <w:sz w:val="24"/>
          <w:vertAlign w:val="baseline"/>
          <w:lang w:val="en-US" w:eastAsia="zh-CN" w:bidi="ar"/>
        </w:rPr>
        <w:t>S、NH</w:t>
      </w:r>
      <w:r>
        <w:rPr>
          <w:rFonts w:hint="eastAsia" w:ascii="Times New Roman" w:hAnsi="Times New Roman" w:eastAsia="宋体" w:cs="宋体"/>
          <w:color w:val="auto"/>
          <w:kern w:val="0"/>
          <w:sz w:val="24"/>
          <w:vertAlign w:val="subscript"/>
          <w:lang w:val="en-US" w:eastAsia="zh-CN" w:bidi="ar"/>
        </w:rPr>
        <w:t>3</w:t>
      </w:r>
      <w:r>
        <w:rPr>
          <w:rFonts w:hint="eastAsia" w:ascii="Times New Roman" w:hAnsi="Times New Roman" w:eastAsia="宋体" w:cs="宋体"/>
          <w:color w:val="auto"/>
          <w:kern w:val="0"/>
          <w:sz w:val="24"/>
          <w:vertAlign w:val="baseline"/>
          <w:lang w:val="en-US" w:eastAsia="zh-CN" w:bidi="ar"/>
        </w:rPr>
        <w:t>以无组织形式排放</w:t>
      </w:r>
      <w:r>
        <w:rPr>
          <w:rFonts w:hint="eastAsia" w:ascii="Times New Roman" w:hAnsi="Times New Roman" w:eastAsia="宋体" w:cs="宋体"/>
          <w:color w:val="auto"/>
          <w:kern w:val="0"/>
          <w:sz w:val="24"/>
          <w:lang w:bidi="ar"/>
        </w:rPr>
        <w:t>。黑膜池系统简单、施工快捷，存储过程中无渗漏无蒸发，能减少存储过程中恶臭的挥发，同时存储过程中对周边大气、土壤、地下水等也不造成污染，是一种绿色、环保、高效、经济的废水存储和处置方式。厌氧消化的优点是反应速度快，适应性强，操作简单、投资较少。</w:t>
      </w:r>
    </w:p>
    <w:p w14:paraId="75F0E167">
      <w:pPr>
        <w:pStyle w:val="5"/>
        <w:ind w:firstLine="482"/>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3.2.2.2</w:t>
      </w:r>
      <w:r>
        <w:rPr>
          <w:rFonts w:hint="eastAsia" w:ascii="Times New Roman" w:hAnsi="Times New Roman" w:eastAsia="宋体"/>
          <w:strike w:val="0"/>
          <w:dstrike w:val="0"/>
          <w:color w:val="auto"/>
          <w:highlight w:val="none"/>
          <w:lang w:val="en-US" w:eastAsia="zh-CN"/>
        </w:rPr>
        <w:t>产物节点分析</w:t>
      </w:r>
    </w:p>
    <w:p w14:paraId="5DFEAA9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废气：</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养殖</w:t>
      </w:r>
      <w:r>
        <w:rPr>
          <w:rFonts w:hint="eastAsia" w:ascii="Times New Roman" w:hAnsi="Times New Roman" w:eastAsia="宋体"/>
          <w:strike w:val="0"/>
          <w:dstrike w:val="0"/>
          <w:color w:val="auto"/>
          <w:highlight w:val="none"/>
          <w:lang w:val="en-US" w:eastAsia="zh-CN"/>
        </w:rPr>
        <w:t>、堆肥场、黑膜池</w:t>
      </w:r>
      <w:r>
        <w:rPr>
          <w:rFonts w:ascii="Times New Roman" w:hAnsi="Times New Roman" w:eastAsia="宋体"/>
          <w:strike w:val="0"/>
          <w:dstrike w:val="0"/>
          <w:color w:val="auto"/>
          <w:highlight w:val="none"/>
        </w:rPr>
        <w:t>恶臭；</w:t>
      </w:r>
    </w:p>
    <w:p w14:paraId="0F657FD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废水：职工生活污水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挤奶厅（待挤区）清洗废水、设备清洗废水</w:t>
      </w:r>
      <w:r>
        <w:rPr>
          <w:rFonts w:ascii="Times New Roman" w:hAnsi="Times New Roman" w:eastAsia="宋体"/>
          <w:strike w:val="0"/>
          <w:dstrike w:val="0"/>
          <w:color w:val="auto"/>
          <w:highlight w:val="none"/>
        </w:rPr>
        <w:t>；</w:t>
      </w:r>
    </w:p>
    <w:p w14:paraId="6CB8D15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噪声：设备噪声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骆驼叫声</w:t>
      </w:r>
      <w:r>
        <w:rPr>
          <w:rFonts w:ascii="Times New Roman" w:hAnsi="Times New Roman" w:eastAsia="宋体"/>
          <w:strike w:val="0"/>
          <w:dstrike w:val="0"/>
          <w:color w:val="auto"/>
          <w:highlight w:val="none"/>
        </w:rPr>
        <w:t>；</w:t>
      </w:r>
    </w:p>
    <w:p w14:paraId="0A439B7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固体废物：</w:t>
      </w:r>
      <w:r>
        <w:rPr>
          <w:rFonts w:hint="eastAsia" w:ascii="Times New Roman" w:hAnsi="Times New Roman" w:eastAsia="宋体"/>
          <w:strike w:val="0"/>
          <w:dstrike w:val="0"/>
          <w:color w:val="auto"/>
          <w:highlight w:val="none"/>
          <w:lang w:val="en-US" w:eastAsia="zh-CN"/>
        </w:rPr>
        <w:t>粪便</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病死骆驼、分娩废弃物（胎衣、死胎、胎盘附属物）、挤奶大厅废弃的一次性挤奶耗材、塑料奶管、废弃包装物、生活垃圾、医疗废物、</w:t>
      </w:r>
      <w:r>
        <w:rPr>
          <w:rFonts w:hint="eastAsia" w:ascii="Times New Roman" w:hAnsi="Times New Roman" w:eastAsia="宋体"/>
          <w:strike w:val="0"/>
          <w:dstrike w:val="0"/>
          <w:color w:val="auto"/>
          <w:highlight w:val="none"/>
          <w:lang w:val="en-US" w:eastAsia="zh-CN"/>
        </w:rPr>
        <w:t>黑膜池污泥</w:t>
      </w:r>
      <w:r>
        <w:rPr>
          <w:rFonts w:hint="eastAsia" w:ascii="Times New Roman" w:hAnsi="Times New Roman" w:eastAsia="宋体"/>
          <w:strike w:val="0"/>
          <w:dstrike w:val="0"/>
          <w:color w:val="auto"/>
          <w:highlight w:val="none"/>
          <w:lang w:eastAsia="zh-CN"/>
        </w:rPr>
        <w:t>。</w:t>
      </w:r>
    </w:p>
    <w:p w14:paraId="092988A6">
      <w:pPr>
        <w:pStyle w:val="3"/>
        <w:rPr>
          <w:rFonts w:ascii="Times New Roman" w:hAnsi="Times New Roman" w:eastAsia="宋体"/>
          <w:strike w:val="0"/>
          <w:dstrike w:val="0"/>
          <w:color w:val="auto"/>
          <w:highlight w:val="none"/>
        </w:rPr>
      </w:pPr>
      <w:bookmarkStart w:id="140" w:name="_Toc30834"/>
      <w:bookmarkStart w:id="141" w:name="_Toc428807952"/>
      <w:bookmarkStart w:id="142" w:name="_Toc394331577"/>
      <w:bookmarkStart w:id="143" w:name="_Toc414533970"/>
      <w:bookmarkStart w:id="144" w:name="_Toc89619335"/>
      <w:bookmarkStart w:id="145" w:name="_Toc4478"/>
      <w:bookmarkStart w:id="146" w:name="_Toc17579"/>
      <w:r>
        <w:rPr>
          <w:rFonts w:ascii="Times New Roman" w:hAnsi="Times New Roman" w:eastAsia="宋体"/>
          <w:strike w:val="0"/>
          <w:dstrike w:val="0"/>
          <w:color w:val="auto"/>
          <w:highlight w:val="none"/>
        </w:rPr>
        <w:t>3.</w:t>
      </w:r>
      <w:bookmarkEnd w:id="140"/>
      <w:bookmarkEnd w:id="141"/>
      <w:bookmarkEnd w:id="142"/>
      <w:bookmarkEnd w:id="143"/>
      <w:r>
        <w:rPr>
          <w:rFonts w:hint="eastAsia" w:ascii="Times New Roman" w:hAnsi="Times New Roman" w:eastAsia="宋体"/>
          <w:strike w:val="0"/>
          <w:dstrike w:val="0"/>
          <w:color w:val="auto"/>
          <w:highlight w:val="none"/>
        </w:rPr>
        <w:t>3污染源源强分析</w:t>
      </w:r>
      <w:bookmarkEnd w:id="144"/>
      <w:bookmarkEnd w:id="145"/>
      <w:bookmarkEnd w:id="146"/>
    </w:p>
    <w:p w14:paraId="00DF4570">
      <w:pPr>
        <w:pStyle w:val="4"/>
        <w:rPr>
          <w:rFonts w:ascii="Times New Roman" w:hAnsi="Times New Roman" w:eastAsia="宋体"/>
          <w:strike w:val="0"/>
          <w:dstrike w:val="0"/>
          <w:color w:val="auto"/>
          <w:highlight w:val="none"/>
        </w:rPr>
      </w:pPr>
      <w:bookmarkStart w:id="147" w:name="_Toc106663471"/>
      <w:bookmarkStart w:id="148" w:name="_Toc6472"/>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.1施工期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bookmarkEnd w:id="147"/>
      <w:bookmarkEnd w:id="148"/>
    </w:p>
    <w:p w14:paraId="741A487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3.3.1.1施工期大气污染源</w:t>
      </w:r>
    </w:p>
    <w:p w14:paraId="280EC69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施工期间影响环境空气质量的主要污染物是施工扬尘、运送施工材料、设施的车辆，施工机械运行时排产生的废气</w:t>
      </w:r>
      <w:r>
        <w:rPr>
          <w:rFonts w:hint="eastAsia" w:ascii="Times New Roman" w:hAnsi="Times New Roman" w:eastAsia="宋体"/>
          <w:strike w:val="0"/>
          <w:dstrike w:val="0"/>
          <w:color w:val="auto"/>
          <w:highlight w:val="none"/>
          <w:lang w:eastAsia="zh-CN"/>
        </w:rPr>
        <w:t>。</w:t>
      </w:r>
    </w:p>
    <w:p w14:paraId="3485EA4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（1）施工扬尘</w:t>
      </w:r>
    </w:p>
    <w:p w14:paraId="2B1693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主体工程、辅助工程、公用工程基础施工、环保工程等的土建挖取土（石）、推土、场地平整、施工沙石材料等的装卸、运输过程中有扬尘产生，另外土石方的临时堆放过程中也将有扬尘产生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扬尘产生的大小与施工管理、气象（特别是风速）条件等密切相关，也与扬尘本身沉降速度有关</w:t>
      </w:r>
      <w:r>
        <w:rPr>
          <w:rFonts w:hint="eastAsia" w:ascii="Times New Roman" w:hAnsi="Times New Roman" w:eastAsia="宋体"/>
          <w:strike w:val="0"/>
          <w:dstrike w:val="0"/>
          <w:color w:val="auto"/>
          <w:highlight w:val="none"/>
          <w:lang w:eastAsia="zh-CN"/>
        </w:rPr>
        <w:t>。</w:t>
      </w:r>
    </w:p>
    <w:p w14:paraId="79B3130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①土石方施工及堆放扬尘</w:t>
      </w:r>
    </w:p>
    <w:p w14:paraId="1DFA8E4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间静态起尘主要是土石方施工及堆放过程中土方开挖、回填过程中产生的扬尘以及临时土石方、建筑垃圾等堆放过程中因风力作用引起的扬尘，另外，在施工时地表清理、施工后临时土石方、弃方清理后将造成地表裸露，在风力作用下，亦可产生扬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由前述可知，此类扬尘产生量与气象风速、扬尘沉降速度有关，不同粒径扬尘的沉降速度见表3.3-1</w:t>
      </w:r>
      <w:r>
        <w:rPr>
          <w:rFonts w:hint="eastAsia" w:ascii="Times New Roman" w:hAnsi="Times New Roman" w:eastAsia="宋体"/>
          <w:strike w:val="0"/>
          <w:dstrike w:val="0"/>
          <w:color w:val="auto"/>
          <w:highlight w:val="none"/>
          <w:lang w:eastAsia="zh-CN"/>
        </w:rPr>
        <w:t>。</w:t>
      </w:r>
    </w:p>
    <w:p w14:paraId="61E5C3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表3.3-1不同粒径扬尘沉降速度一览表</w:t>
      </w:r>
    </w:p>
    <w:tbl>
      <w:tblPr>
        <w:tblStyle w:val="6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986"/>
        <w:gridCol w:w="921"/>
        <w:gridCol w:w="857"/>
        <w:gridCol w:w="863"/>
        <w:gridCol w:w="1066"/>
        <w:gridCol w:w="1066"/>
        <w:gridCol w:w="1066"/>
      </w:tblGrid>
      <w:tr w14:paraId="7E5B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2266159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15A18DC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w:t>
            </w:r>
          </w:p>
        </w:tc>
        <w:tc>
          <w:tcPr>
            <w:tcW w:w="921" w:type="dxa"/>
            <w:vAlign w:val="center"/>
          </w:tcPr>
          <w:p w14:paraId="195077B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20</w:t>
            </w:r>
          </w:p>
        </w:tc>
        <w:tc>
          <w:tcPr>
            <w:tcW w:w="857" w:type="dxa"/>
            <w:vAlign w:val="center"/>
          </w:tcPr>
          <w:p w14:paraId="612A7C0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30</w:t>
            </w:r>
          </w:p>
        </w:tc>
        <w:tc>
          <w:tcPr>
            <w:tcW w:w="863" w:type="dxa"/>
            <w:vAlign w:val="center"/>
          </w:tcPr>
          <w:p w14:paraId="4B95620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40</w:t>
            </w:r>
          </w:p>
        </w:tc>
        <w:tc>
          <w:tcPr>
            <w:tcW w:w="1066" w:type="dxa"/>
            <w:vAlign w:val="center"/>
          </w:tcPr>
          <w:p w14:paraId="786D76A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50</w:t>
            </w:r>
          </w:p>
        </w:tc>
        <w:tc>
          <w:tcPr>
            <w:tcW w:w="1066" w:type="dxa"/>
            <w:vAlign w:val="center"/>
          </w:tcPr>
          <w:p w14:paraId="2300F94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60</w:t>
            </w:r>
          </w:p>
        </w:tc>
        <w:tc>
          <w:tcPr>
            <w:tcW w:w="1066" w:type="dxa"/>
            <w:vAlign w:val="center"/>
          </w:tcPr>
          <w:p w14:paraId="1CB2402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70</w:t>
            </w:r>
          </w:p>
        </w:tc>
      </w:tr>
      <w:tr w14:paraId="2D48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5D3417A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127DCD0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0.003</w:t>
            </w:r>
          </w:p>
        </w:tc>
        <w:tc>
          <w:tcPr>
            <w:tcW w:w="921" w:type="dxa"/>
            <w:vAlign w:val="center"/>
          </w:tcPr>
          <w:p w14:paraId="0499BD50">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0.012</w:t>
            </w:r>
          </w:p>
        </w:tc>
        <w:tc>
          <w:tcPr>
            <w:tcW w:w="857" w:type="dxa"/>
            <w:vAlign w:val="center"/>
          </w:tcPr>
          <w:p w14:paraId="51584A2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0.027</w:t>
            </w:r>
          </w:p>
        </w:tc>
        <w:tc>
          <w:tcPr>
            <w:tcW w:w="863" w:type="dxa"/>
            <w:vAlign w:val="center"/>
          </w:tcPr>
          <w:p w14:paraId="20A1027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0.048</w:t>
            </w:r>
          </w:p>
        </w:tc>
        <w:tc>
          <w:tcPr>
            <w:tcW w:w="1066" w:type="dxa"/>
            <w:vAlign w:val="center"/>
          </w:tcPr>
          <w:p w14:paraId="193A911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0.075</w:t>
            </w:r>
          </w:p>
        </w:tc>
        <w:tc>
          <w:tcPr>
            <w:tcW w:w="1066" w:type="dxa"/>
            <w:vAlign w:val="center"/>
          </w:tcPr>
          <w:p w14:paraId="7E8B878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0.108</w:t>
            </w:r>
          </w:p>
        </w:tc>
        <w:tc>
          <w:tcPr>
            <w:tcW w:w="1066" w:type="dxa"/>
            <w:vAlign w:val="center"/>
          </w:tcPr>
          <w:p w14:paraId="2D7955B3">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0.147</w:t>
            </w:r>
          </w:p>
        </w:tc>
      </w:tr>
      <w:tr w14:paraId="4DC4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75CE899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4BBF34B5">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80</w:t>
            </w:r>
          </w:p>
        </w:tc>
        <w:tc>
          <w:tcPr>
            <w:tcW w:w="921" w:type="dxa"/>
            <w:vAlign w:val="center"/>
          </w:tcPr>
          <w:p w14:paraId="2102F73A">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90</w:t>
            </w:r>
          </w:p>
        </w:tc>
        <w:tc>
          <w:tcPr>
            <w:tcW w:w="857" w:type="dxa"/>
            <w:vAlign w:val="center"/>
          </w:tcPr>
          <w:p w14:paraId="582116A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100</w:t>
            </w:r>
          </w:p>
        </w:tc>
        <w:tc>
          <w:tcPr>
            <w:tcW w:w="863" w:type="dxa"/>
            <w:vAlign w:val="center"/>
          </w:tcPr>
          <w:p w14:paraId="1EF90A5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150</w:t>
            </w:r>
          </w:p>
        </w:tc>
        <w:tc>
          <w:tcPr>
            <w:tcW w:w="1066" w:type="dxa"/>
            <w:vAlign w:val="center"/>
          </w:tcPr>
          <w:p w14:paraId="112AF29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200</w:t>
            </w:r>
          </w:p>
        </w:tc>
        <w:tc>
          <w:tcPr>
            <w:tcW w:w="1066" w:type="dxa"/>
            <w:vAlign w:val="center"/>
          </w:tcPr>
          <w:p w14:paraId="737EE92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250</w:t>
            </w:r>
          </w:p>
        </w:tc>
        <w:tc>
          <w:tcPr>
            <w:tcW w:w="1066" w:type="dxa"/>
            <w:vAlign w:val="center"/>
          </w:tcPr>
          <w:p w14:paraId="47667219">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350</w:t>
            </w:r>
          </w:p>
        </w:tc>
      </w:tr>
      <w:tr w14:paraId="1858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304FABA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4CEE986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0.158</w:t>
            </w:r>
          </w:p>
        </w:tc>
        <w:tc>
          <w:tcPr>
            <w:tcW w:w="921" w:type="dxa"/>
            <w:vAlign w:val="center"/>
          </w:tcPr>
          <w:p w14:paraId="08C942E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0.170</w:t>
            </w:r>
          </w:p>
        </w:tc>
        <w:tc>
          <w:tcPr>
            <w:tcW w:w="857" w:type="dxa"/>
            <w:vAlign w:val="center"/>
          </w:tcPr>
          <w:p w14:paraId="75081D3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0.182</w:t>
            </w:r>
          </w:p>
        </w:tc>
        <w:tc>
          <w:tcPr>
            <w:tcW w:w="863" w:type="dxa"/>
            <w:vAlign w:val="center"/>
          </w:tcPr>
          <w:p w14:paraId="10C3C27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0.239</w:t>
            </w:r>
          </w:p>
        </w:tc>
        <w:tc>
          <w:tcPr>
            <w:tcW w:w="1066" w:type="dxa"/>
            <w:vAlign w:val="center"/>
          </w:tcPr>
          <w:p w14:paraId="6FCB052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0.804</w:t>
            </w:r>
          </w:p>
        </w:tc>
        <w:tc>
          <w:tcPr>
            <w:tcW w:w="1066" w:type="dxa"/>
            <w:vAlign w:val="center"/>
          </w:tcPr>
          <w:p w14:paraId="7C025EF9">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1.005</w:t>
            </w:r>
          </w:p>
        </w:tc>
        <w:tc>
          <w:tcPr>
            <w:tcW w:w="1066" w:type="dxa"/>
            <w:vAlign w:val="center"/>
          </w:tcPr>
          <w:p w14:paraId="785DCAB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1.829</w:t>
            </w:r>
          </w:p>
        </w:tc>
      </w:tr>
      <w:tr w14:paraId="6C63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320BCF9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1786B5F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450</w:t>
            </w:r>
          </w:p>
        </w:tc>
        <w:tc>
          <w:tcPr>
            <w:tcW w:w="921" w:type="dxa"/>
            <w:vAlign w:val="center"/>
          </w:tcPr>
          <w:p w14:paraId="0F0114B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550</w:t>
            </w:r>
          </w:p>
        </w:tc>
        <w:tc>
          <w:tcPr>
            <w:tcW w:w="857" w:type="dxa"/>
            <w:vAlign w:val="center"/>
          </w:tcPr>
          <w:p w14:paraId="56CDE6D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650</w:t>
            </w:r>
          </w:p>
        </w:tc>
        <w:tc>
          <w:tcPr>
            <w:tcW w:w="863" w:type="dxa"/>
            <w:vAlign w:val="center"/>
          </w:tcPr>
          <w:p w14:paraId="74263B90">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750</w:t>
            </w:r>
          </w:p>
        </w:tc>
        <w:tc>
          <w:tcPr>
            <w:tcW w:w="1066" w:type="dxa"/>
            <w:vAlign w:val="center"/>
          </w:tcPr>
          <w:p w14:paraId="5C2FBA7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850</w:t>
            </w:r>
          </w:p>
        </w:tc>
        <w:tc>
          <w:tcPr>
            <w:tcW w:w="1066" w:type="dxa"/>
            <w:vAlign w:val="center"/>
          </w:tcPr>
          <w:p w14:paraId="507DEDEB">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950</w:t>
            </w:r>
          </w:p>
        </w:tc>
        <w:tc>
          <w:tcPr>
            <w:tcW w:w="1066" w:type="dxa"/>
            <w:vAlign w:val="center"/>
          </w:tcPr>
          <w:p w14:paraId="209BCC5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1050</w:t>
            </w:r>
          </w:p>
        </w:tc>
      </w:tr>
      <w:tr w14:paraId="1444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0496ABCA">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7F7E0C4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2.211</w:t>
            </w:r>
          </w:p>
        </w:tc>
        <w:tc>
          <w:tcPr>
            <w:tcW w:w="921" w:type="dxa"/>
            <w:vAlign w:val="center"/>
          </w:tcPr>
          <w:p w14:paraId="117F23A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2.614</w:t>
            </w:r>
          </w:p>
        </w:tc>
        <w:tc>
          <w:tcPr>
            <w:tcW w:w="857" w:type="dxa"/>
            <w:vAlign w:val="center"/>
          </w:tcPr>
          <w:p w14:paraId="50E9A093">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3.016</w:t>
            </w:r>
          </w:p>
        </w:tc>
        <w:tc>
          <w:tcPr>
            <w:tcW w:w="863" w:type="dxa"/>
            <w:vAlign w:val="center"/>
          </w:tcPr>
          <w:p w14:paraId="1BEEED1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3.418</w:t>
            </w:r>
          </w:p>
        </w:tc>
        <w:tc>
          <w:tcPr>
            <w:tcW w:w="1066" w:type="dxa"/>
            <w:vAlign w:val="center"/>
          </w:tcPr>
          <w:p w14:paraId="7BDA7D6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3.820</w:t>
            </w:r>
          </w:p>
        </w:tc>
        <w:tc>
          <w:tcPr>
            <w:tcW w:w="1066" w:type="dxa"/>
            <w:vAlign w:val="center"/>
          </w:tcPr>
          <w:p w14:paraId="248D0C5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4.222</w:t>
            </w:r>
          </w:p>
        </w:tc>
        <w:tc>
          <w:tcPr>
            <w:tcW w:w="1066" w:type="dxa"/>
            <w:vAlign w:val="center"/>
          </w:tcPr>
          <w:p w14:paraId="1A0F239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4.624</w:t>
            </w:r>
          </w:p>
        </w:tc>
      </w:tr>
    </w:tbl>
    <w:p w14:paraId="2A28794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由表3.3-1可知，粉尘的沉降速度随粒径的增大而迅速增大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当粒径为250</w:t>
      </w:r>
      <w:r>
        <w:rPr>
          <w:rFonts w:ascii="Times New Roman" w:hAnsi="Times New Roman" w:eastAsia="宋体"/>
          <w:strike w:val="0"/>
          <w:dstrike w:val="0"/>
          <w:color w:val="auto"/>
          <w:highlight w:val="none"/>
        </w:rPr>
        <w:t>μm</w:t>
      </w:r>
      <w:r>
        <w:rPr>
          <w:rFonts w:hint="eastAsia" w:ascii="Times New Roman" w:hAnsi="Times New Roman" w:eastAsia="宋体"/>
          <w:strike w:val="0"/>
          <w:dstrike w:val="0"/>
          <w:color w:val="auto"/>
          <w:highlight w:val="none"/>
        </w:rPr>
        <w:t>时，沉降速度为1.005m/s，因此可以认为当粒径大于250</w:t>
      </w:r>
      <w:r>
        <w:rPr>
          <w:rFonts w:ascii="Times New Roman" w:hAnsi="Times New Roman" w:eastAsia="宋体"/>
          <w:strike w:val="0"/>
          <w:dstrike w:val="0"/>
          <w:color w:val="auto"/>
          <w:highlight w:val="none"/>
        </w:rPr>
        <w:t>μm</w:t>
      </w:r>
      <w:r>
        <w:rPr>
          <w:rFonts w:hint="eastAsia" w:ascii="Times New Roman" w:hAnsi="Times New Roman" w:eastAsia="宋体"/>
          <w:strike w:val="0"/>
          <w:dstrike w:val="0"/>
          <w:color w:val="auto"/>
          <w:highlight w:val="none"/>
        </w:rPr>
        <w:t>时，主要影响范围在扬尘点下风向近距离范围内，本项目评价范围内无大气环境敏感点，因此，此类扬尘可造成施工区域附近TSP浓度暂时升高，对项目区周边评价范围内大气环境敏感点影响不大</w:t>
      </w:r>
      <w:r>
        <w:rPr>
          <w:rFonts w:hint="eastAsia" w:ascii="Times New Roman" w:hAnsi="Times New Roman" w:eastAsia="宋体"/>
          <w:strike w:val="0"/>
          <w:dstrike w:val="0"/>
          <w:color w:val="auto"/>
          <w:highlight w:val="none"/>
          <w:lang w:eastAsia="zh-CN"/>
        </w:rPr>
        <w:t>。</w:t>
      </w:r>
    </w:p>
    <w:p w14:paraId="5B8D676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②车辆运输扬尘</w:t>
      </w:r>
    </w:p>
    <w:p w14:paraId="51E3204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本项目动态起尘主要是各类施工机械、运输车辆在项目区内外来往形成的地面扬尘，据有关文献资料显示，在施工过程中，运输车辆行驶扬尘与车辆行驶速度、风速、气象条件、路面积尘量和积尘湿度等因素有关</w:t>
      </w:r>
      <w:r>
        <w:rPr>
          <w:rFonts w:hint="eastAsia" w:ascii="Times New Roman" w:hAnsi="Times New Roman" w:eastAsia="宋体"/>
          <w:strike w:val="0"/>
          <w:dstrike w:val="0"/>
          <w:color w:val="auto"/>
          <w:highlight w:val="none"/>
          <w:lang w:eastAsia="zh-CN"/>
        </w:rPr>
        <w:t>。</w:t>
      </w:r>
    </w:p>
    <w:p w14:paraId="77C206D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（2）燃油机械及机动车废气</w:t>
      </w:r>
    </w:p>
    <w:p w14:paraId="5DC866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施工燃油机械和运输车辆运作过程中将产生含SO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、CO等气体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根据相关资料，每耗1升油料，排放空气污染物NO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9g，SO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3.24g，CO27g</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本项目建设期消耗油料约2033</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9升，污染物排放量为NO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183t，SO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0.0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7t，CO0.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549t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由于此类废气系无组织流动性排放，废气经稀释扩散后不会对周边空气环境产生明显影响</w:t>
      </w:r>
      <w:r>
        <w:rPr>
          <w:rFonts w:hint="eastAsia" w:ascii="Times New Roman" w:hAnsi="Times New Roman" w:eastAsia="宋体"/>
          <w:strike w:val="0"/>
          <w:dstrike w:val="0"/>
          <w:color w:val="auto"/>
          <w:highlight w:val="none"/>
          <w:lang w:eastAsia="zh-CN"/>
        </w:rPr>
        <w:t>。</w:t>
      </w:r>
    </w:p>
    <w:p w14:paraId="2AF138A2">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3.3.1.2施工期水污染源</w:t>
      </w:r>
    </w:p>
    <w:p w14:paraId="0F786C3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本项目施工期排放废水主要是施工废水和施工人员的日常生活废水</w:t>
      </w:r>
      <w:r>
        <w:rPr>
          <w:rFonts w:hint="eastAsia" w:ascii="Times New Roman" w:hAnsi="Times New Roman" w:eastAsia="宋体"/>
          <w:strike w:val="0"/>
          <w:dstrike w:val="0"/>
          <w:color w:val="auto"/>
          <w:highlight w:val="none"/>
          <w:lang w:eastAsia="zh-CN"/>
        </w:rPr>
        <w:t>。</w:t>
      </w:r>
    </w:p>
    <w:p w14:paraId="431648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1</w:t>
      </w:r>
      <w:r>
        <w:rPr>
          <w:rFonts w:ascii="Times New Roman" w:hAnsi="Times New Roman" w:eastAsia="宋体"/>
          <w:strike w:val="0"/>
          <w:dstrike w:val="0"/>
          <w:color w:val="auto"/>
          <w:highlight w:val="none"/>
        </w:rPr>
        <w:t>）施工废水</w:t>
      </w:r>
    </w:p>
    <w:p w14:paraId="69373DF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不在施工区内洗车，施工废水主要包括混凝土废水、泥浆废水、混凝土保养时排放的废水，主要污染因子为SS，含一定量的泥沙和砾石碎屑等悬浮物，因施工场地分散工程进度不同，废水的产生量与排放量较难估算，在施工现场设置不小于3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的简易防渗沉淀池沉淀后回用于生产，项目产生的施工废水作到零排放，不会恶化地下水水质</w:t>
      </w:r>
      <w:r>
        <w:rPr>
          <w:rFonts w:hint="eastAsia" w:ascii="Times New Roman" w:hAnsi="Times New Roman" w:eastAsia="宋体"/>
          <w:strike w:val="0"/>
          <w:dstrike w:val="0"/>
          <w:color w:val="auto"/>
          <w:highlight w:val="none"/>
          <w:lang w:eastAsia="zh-CN"/>
        </w:rPr>
        <w:t>。</w:t>
      </w:r>
    </w:p>
    <w:p w14:paraId="3096F17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）生活污水</w:t>
      </w:r>
    </w:p>
    <w:p w14:paraId="5C7B803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本项目施工人员高峰时约</w:t>
      </w:r>
      <w:r>
        <w:rPr>
          <w:rFonts w:hint="eastAsia" w:ascii="Times New Roman" w:hAnsi="Times New Roman" w:eastAsia="宋体"/>
          <w:strike w:val="0"/>
          <w:dstrike w:val="0"/>
          <w:color w:val="auto"/>
          <w:highlight w:val="none"/>
        </w:rPr>
        <w:t>30</w:t>
      </w:r>
      <w:r>
        <w:rPr>
          <w:rFonts w:ascii="Times New Roman" w:hAnsi="Times New Roman" w:eastAsia="宋体"/>
          <w:strike w:val="0"/>
          <w:dstrike w:val="0"/>
          <w:color w:val="auto"/>
          <w:highlight w:val="none"/>
        </w:rPr>
        <w:t>人，按平均每人每天用水量为</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0L计，污水排放量按用水量的80%计，则现场施工人员生活污水产生量约为</w:t>
      </w:r>
      <w:r>
        <w:rPr>
          <w:rFonts w:hint="eastAsia" w:ascii="Times New Roman" w:hAnsi="Times New Roman" w:eastAsia="宋体"/>
          <w:strike w:val="0"/>
          <w:dstrike w:val="0"/>
          <w:color w:val="auto"/>
          <w:highlight w:val="none"/>
        </w:rPr>
        <w:t>0.96</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/d</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生活污水主要污染因子为SS、COD、BOD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、氨氮</w:t>
      </w:r>
      <w:r>
        <w:rPr>
          <w:rFonts w:hint="eastAsia" w:ascii="Times New Roman" w:hAnsi="Times New Roman" w:eastAsia="宋体"/>
          <w:strike w:val="0"/>
          <w:dstrike w:val="0"/>
          <w:color w:val="auto"/>
          <w:highlight w:val="none"/>
          <w:lang w:eastAsia="zh-CN"/>
        </w:rPr>
        <w:t>。</w:t>
      </w:r>
    </w:p>
    <w:p w14:paraId="7828F11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3.3.1.3施工期</w:t>
      </w:r>
      <w:r>
        <w:rPr>
          <w:rFonts w:ascii="Times New Roman" w:hAnsi="Times New Roman" w:eastAsia="宋体"/>
          <w:strike w:val="0"/>
          <w:dstrike w:val="0"/>
          <w:color w:val="auto"/>
          <w:highlight w:val="none"/>
        </w:rPr>
        <w:t>噪声</w:t>
      </w:r>
      <w:r>
        <w:rPr>
          <w:rFonts w:hint="eastAsia" w:ascii="Times New Roman" w:hAnsi="Times New Roman" w:eastAsia="宋体"/>
          <w:strike w:val="0"/>
          <w:dstrike w:val="0"/>
          <w:color w:val="auto"/>
          <w:highlight w:val="none"/>
        </w:rPr>
        <w:t>污染源</w:t>
      </w:r>
    </w:p>
    <w:p w14:paraId="6634760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施工期噪声主要来自施工机械噪声、施工作业噪声和运输车辆噪声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机械噪声由施工机械所造成，如挖土机、打桩机、混凝土搅拌机、升降机等，多为点声源；施工作业噪声主要指一些零星的敲打声、装卸建材的撞击声、施工人员的吆喝声、拆装模板的撞击声等，多为瞬间噪声；运输车辆的噪声属于交通噪声</w:t>
      </w:r>
      <w:r>
        <w:rPr>
          <w:rFonts w:hint="eastAsia" w:ascii="Times New Roman" w:hAnsi="Times New Roman" w:eastAsia="宋体"/>
          <w:strike w:val="0"/>
          <w:dstrike w:val="0"/>
          <w:color w:val="auto"/>
          <w:highlight w:val="none"/>
          <w:lang w:eastAsia="zh-CN"/>
        </w:rPr>
        <w:t>。</w:t>
      </w:r>
    </w:p>
    <w:p w14:paraId="183ECFD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各施工阶段的主要产噪机械设备、运输车辆及其声级值见表3.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-2和表3.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p>
    <w:p w14:paraId="14C9A0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表3.3-2施工噪声源强声级统计表单位：dB（A）</w:t>
      </w:r>
    </w:p>
    <w:tbl>
      <w:tblPr>
        <w:tblStyle w:val="6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3"/>
        <w:gridCol w:w="2766"/>
        <w:gridCol w:w="2764"/>
      </w:tblGrid>
      <w:tr w14:paraId="552A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6" w:type="pct"/>
            <w:vAlign w:val="center"/>
          </w:tcPr>
          <w:p w14:paraId="1854A6B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w:t>
            </w:r>
          </w:p>
        </w:tc>
        <w:tc>
          <w:tcPr>
            <w:tcW w:w="1667" w:type="pct"/>
            <w:vAlign w:val="center"/>
          </w:tcPr>
          <w:p w14:paraId="6DB6ED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声源强度</w:t>
            </w:r>
          </w:p>
        </w:tc>
        <w:tc>
          <w:tcPr>
            <w:tcW w:w="1666" w:type="pct"/>
            <w:vAlign w:val="center"/>
          </w:tcPr>
          <w:p w14:paraId="0A99365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声源性质</w:t>
            </w:r>
          </w:p>
        </w:tc>
      </w:tr>
      <w:tr w14:paraId="2C75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4A01FDA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推土机</w:t>
            </w:r>
          </w:p>
        </w:tc>
        <w:tc>
          <w:tcPr>
            <w:tcW w:w="1667" w:type="pct"/>
            <w:vAlign w:val="center"/>
          </w:tcPr>
          <w:p w14:paraId="4EE0851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115</w:t>
            </w:r>
          </w:p>
        </w:tc>
        <w:tc>
          <w:tcPr>
            <w:tcW w:w="1666" w:type="pct"/>
            <w:vMerge w:val="restart"/>
            <w:vAlign w:val="center"/>
          </w:tcPr>
          <w:p w14:paraId="5D56D84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间歇性声源</w:t>
            </w:r>
          </w:p>
        </w:tc>
      </w:tr>
      <w:tr w14:paraId="6E36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3924B11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装载机</w:t>
            </w:r>
          </w:p>
        </w:tc>
        <w:tc>
          <w:tcPr>
            <w:tcW w:w="1667" w:type="pct"/>
            <w:vAlign w:val="center"/>
          </w:tcPr>
          <w:p w14:paraId="3176B5C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105</w:t>
            </w:r>
          </w:p>
        </w:tc>
        <w:tc>
          <w:tcPr>
            <w:tcW w:w="1666" w:type="pct"/>
            <w:vMerge w:val="continue"/>
            <w:vAlign w:val="center"/>
          </w:tcPr>
          <w:p w14:paraId="72D68BE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12C9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2F48118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挖掘机</w:t>
            </w:r>
          </w:p>
        </w:tc>
        <w:tc>
          <w:tcPr>
            <w:tcW w:w="1667" w:type="pct"/>
            <w:vAlign w:val="center"/>
          </w:tcPr>
          <w:p w14:paraId="7B1E63D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7974BC1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0C24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6030126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自卸卡车</w:t>
            </w:r>
          </w:p>
        </w:tc>
        <w:tc>
          <w:tcPr>
            <w:tcW w:w="1667" w:type="pct"/>
            <w:vAlign w:val="center"/>
          </w:tcPr>
          <w:p w14:paraId="651478F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3C8860C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2C48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01CF206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空压机</w:t>
            </w:r>
          </w:p>
        </w:tc>
        <w:tc>
          <w:tcPr>
            <w:tcW w:w="1667" w:type="pct"/>
            <w:vAlign w:val="center"/>
          </w:tcPr>
          <w:p w14:paraId="581350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110</w:t>
            </w:r>
          </w:p>
        </w:tc>
        <w:tc>
          <w:tcPr>
            <w:tcW w:w="1666" w:type="pct"/>
            <w:vMerge w:val="continue"/>
            <w:vAlign w:val="center"/>
          </w:tcPr>
          <w:p w14:paraId="10D715D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5423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3D29531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电锯</w:t>
            </w:r>
          </w:p>
        </w:tc>
        <w:tc>
          <w:tcPr>
            <w:tcW w:w="1667" w:type="pct"/>
            <w:vAlign w:val="center"/>
          </w:tcPr>
          <w:p w14:paraId="6FF80B4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115</w:t>
            </w:r>
          </w:p>
        </w:tc>
        <w:tc>
          <w:tcPr>
            <w:tcW w:w="1666" w:type="pct"/>
            <w:vMerge w:val="continue"/>
            <w:vAlign w:val="center"/>
          </w:tcPr>
          <w:p w14:paraId="14819D6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2297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2F1109D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卷扬机</w:t>
            </w:r>
          </w:p>
        </w:tc>
        <w:tc>
          <w:tcPr>
            <w:tcW w:w="1667" w:type="pct"/>
            <w:vAlign w:val="center"/>
          </w:tcPr>
          <w:p w14:paraId="39988F9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5C65657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7E8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5A3A41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切割机</w:t>
            </w:r>
          </w:p>
        </w:tc>
        <w:tc>
          <w:tcPr>
            <w:tcW w:w="1667" w:type="pct"/>
            <w:vAlign w:val="center"/>
          </w:tcPr>
          <w:p w14:paraId="1DC0C22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110</w:t>
            </w:r>
          </w:p>
        </w:tc>
        <w:tc>
          <w:tcPr>
            <w:tcW w:w="1666" w:type="pct"/>
            <w:vMerge w:val="continue"/>
            <w:vAlign w:val="center"/>
          </w:tcPr>
          <w:p w14:paraId="3D082FE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bl>
    <w:p w14:paraId="4A8870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表3.3-3运输车辆交通噪声源强统计表单位：dB（A）</w:t>
      </w:r>
    </w:p>
    <w:tbl>
      <w:tblPr>
        <w:tblStyle w:val="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1"/>
        <w:gridCol w:w="2591"/>
        <w:gridCol w:w="2076"/>
        <w:gridCol w:w="2078"/>
      </w:tblGrid>
      <w:tr w14:paraId="49CB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vAlign w:val="center"/>
          </w:tcPr>
          <w:p w14:paraId="1CCDF53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施工阶段</w:t>
            </w:r>
          </w:p>
        </w:tc>
        <w:tc>
          <w:tcPr>
            <w:tcW w:w="2666" w:type="dxa"/>
            <w:vAlign w:val="center"/>
          </w:tcPr>
          <w:p w14:paraId="205948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运输内容</w:t>
            </w:r>
          </w:p>
        </w:tc>
        <w:tc>
          <w:tcPr>
            <w:tcW w:w="2131" w:type="dxa"/>
            <w:vAlign w:val="center"/>
          </w:tcPr>
          <w:p w14:paraId="536B26C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车辆类型</w:t>
            </w:r>
          </w:p>
        </w:tc>
        <w:tc>
          <w:tcPr>
            <w:tcW w:w="2131" w:type="dxa"/>
            <w:vAlign w:val="center"/>
          </w:tcPr>
          <w:p w14:paraId="704C30C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声源强度</w:t>
            </w:r>
          </w:p>
        </w:tc>
      </w:tr>
      <w:tr w14:paraId="07F4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463DE0A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基础工程</w:t>
            </w:r>
          </w:p>
        </w:tc>
        <w:tc>
          <w:tcPr>
            <w:tcW w:w="2666" w:type="dxa"/>
            <w:vAlign w:val="center"/>
          </w:tcPr>
          <w:p w14:paraId="109B78D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弃土外运</w:t>
            </w:r>
          </w:p>
        </w:tc>
        <w:tc>
          <w:tcPr>
            <w:tcW w:w="2131" w:type="dxa"/>
            <w:vAlign w:val="center"/>
          </w:tcPr>
          <w:p w14:paraId="1AD816C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大型载重车</w:t>
            </w:r>
          </w:p>
        </w:tc>
        <w:tc>
          <w:tcPr>
            <w:tcW w:w="2131" w:type="dxa"/>
            <w:vAlign w:val="center"/>
          </w:tcPr>
          <w:p w14:paraId="3AB1282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84-89</w:t>
            </w:r>
          </w:p>
        </w:tc>
      </w:tr>
      <w:tr w14:paraId="57DB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27A7A4A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主体工程</w:t>
            </w:r>
          </w:p>
        </w:tc>
        <w:tc>
          <w:tcPr>
            <w:tcW w:w="2666" w:type="dxa"/>
            <w:vAlign w:val="center"/>
          </w:tcPr>
          <w:p w14:paraId="1689DF5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钢筋、商品混凝土</w:t>
            </w:r>
          </w:p>
        </w:tc>
        <w:tc>
          <w:tcPr>
            <w:tcW w:w="2131" w:type="dxa"/>
            <w:vAlign w:val="center"/>
          </w:tcPr>
          <w:p w14:paraId="618696B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混凝土罐车、载重车</w:t>
            </w:r>
          </w:p>
        </w:tc>
        <w:tc>
          <w:tcPr>
            <w:tcW w:w="2131" w:type="dxa"/>
            <w:vAlign w:val="center"/>
          </w:tcPr>
          <w:p w14:paraId="1CD1062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80-85</w:t>
            </w:r>
          </w:p>
        </w:tc>
      </w:tr>
      <w:tr w14:paraId="712D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1D6B94D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装饰工程</w:t>
            </w:r>
          </w:p>
        </w:tc>
        <w:tc>
          <w:tcPr>
            <w:tcW w:w="2666" w:type="dxa"/>
            <w:vAlign w:val="center"/>
          </w:tcPr>
          <w:p w14:paraId="08ACBF5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各种装修材料及必备设备</w:t>
            </w:r>
          </w:p>
        </w:tc>
        <w:tc>
          <w:tcPr>
            <w:tcW w:w="2131" w:type="dxa"/>
            <w:vAlign w:val="center"/>
          </w:tcPr>
          <w:p w14:paraId="464F05C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轻型载重卡车</w:t>
            </w:r>
          </w:p>
        </w:tc>
        <w:tc>
          <w:tcPr>
            <w:tcW w:w="2131" w:type="dxa"/>
            <w:vAlign w:val="center"/>
          </w:tcPr>
          <w:p w14:paraId="731FCAA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75-80</w:t>
            </w:r>
          </w:p>
        </w:tc>
      </w:tr>
    </w:tbl>
    <w:p w14:paraId="5205FF9C">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3.3.1.4施工期</w:t>
      </w:r>
      <w:r>
        <w:rPr>
          <w:rFonts w:ascii="Times New Roman" w:hAnsi="Times New Roman" w:eastAsia="宋体"/>
          <w:strike w:val="0"/>
          <w:dstrike w:val="0"/>
          <w:color w:val="auto"/>
          <w:highlight w:val="none"/>
        </w:rPr>
        <w:t>固体废物</w:t>
      </w:r>
    </w:p>
    <w:p w14:paraId="4435C8C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施工期间固体废物主要源于施工人员生活垃圾和施工场地产生的建筑垃圾（废弃砖块、废钢筋等）</w:t>
      </w:r>
      <w:r>
        <w:rPr>
          <w:rFonts w:hint="eastAsia" w:ascii="Times New Roman" w:hAnsi="Times New Roman" w:eastAsia="宋体"/>
          <w:strike w:val="0"/>
          <w:dstrike w:val="0"/>
          <w:color w:val="auto"/>
          <w:highlight w:val="none"/>
          <w:lang w:eastAsia="zh-CN"/>
        </w:rPr>
        <w:t>。</w:t>
      </w:r>
    </w:p>
    <w:p w14:paraId="3C00A58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本项目主要建筑物为</w:t>
      </w:r>
      <w:r>
        <w:rPr>
          <w:rFonts w:hint="eastAsia" w:ascii="Times New Roman" w:hAnsi="Times New Roman" w:eastAsia="宋体"/>
          <w:strike w:val="0"/>
          <w:dstrike w:val="0"/>
          <w:color w:val="auto"/>
          <w:highlight w:val="none"/>
        </w:rPr>
        <w:t>标准化</w:t>
      </w:r>
      <w:r>
        <w:rPr>
          <w:rFonts w:hint="eastAsia" w:ascii="Times New Roman" w:hAnsi="Times New Roman" w:eastAsia="宋体"/>
          <w:strike w:val="0"/>
          <w:dstrike w:val="0"/>
          <w:color w:val="auto"/>
          <w:highlight w:val="none"/>
          <w:lang w:val="en-US" w:eastAsia="zh-CN"/>
        </w:rPr>
        <w:t>骆驼圈舍</w:t>
      </w:r>
      <w:r>
        <w:rPr>
          <w:rFonts w:ascii="Times New Roman" w:hAnsi="Times New Roman" w:eastAsia="宋体"/>
          <w:strike w:val="0"/>
          <w:dstrike w:val="0"/>
          <w:color w:val="auto"/>
          <w:highlight w:val="none"/>
        </w:rPr>
        <w:t>及相应的配套设施，在建设过程中会产生碎砖块、砂浆、桩头、水泥、钢筋、涂料和包装材料等建筑垃圾</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此类固体废物应按相关环境保护要求及时清运至</w:t>
      </w:r>
      <w:r>
        <w:rPr>
          <w:rFonts w:hint="eastAsia" w:ascii="Times New Roman" w:hAnsi="Times New Roman" w:eastAsia="宋体"/>
          <w:strike w:val="0"/>
          <w:dstrike w:val="0"/>
          <w:color w:val="auto"/>
          <w:highlight w:val="none"/>
          <w:lang w:eastAsia="zh-CN"/>
        </w:rPr>
        <w:t>木垒县</w:t>
      </w:r>
      <w:r>
        <w:rPr>
          <w:rFonts w:ascii="Times New Roman" w:hAnsi="Times New Roman" w:eastAsia="宋体"/>
          <w:strike w:val="0"/>
          <w:dstrike w:val="0"/>
          <w:color w:val="auto"/>
          <w:highlight w:val="none"/>
        </w:rPr>
        <w:t>建筑垃圾填埋场填埋，建筑垃圾使用加盖篷布的车辆运输</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施工产生的固体废物中遗留在现场的建筑废物要及时清运或回填，将建筑垃圾运至指定地点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各施工单位要加强施工管理，对施工产生的生活垃圾和建筑垃圾不得随意倾倒</w:t>
      </w:r>
      <w:r>
        <w:rPr>
          <w:rFonts w:hint="eastAsia" w:ascii="Times New Roman" w:hAnsi="Times New Roman" w:eastAsia="宋体"/>
          <w:strike w:val="0"/>
          <w:dstrike w:val="0"/>
          <w:color w:val="auto"/>
          <w:highlight w:val="none"/>
          <w:lang w:eastAsia="zh-CN"/>
        </w:rPr>
        <w:t>。</w:t>
      </w:r>
    </w:p>
    <w:p w14:paraId="0EF2337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生活垃圾按</w:t>
      </w:r>
      <w:r>
        <w:rPr>
          <w:rFonts w:hint="eastAsia" w:ascii="Times New Roman" w:hAnsi="Times New Roman" w:eastAsia="宋体"/>
          <w:strike w:val="0"/>
          <w:dstrike w:val="0"/>
          <w:color w:val="auto"/>
          <w:highlight w:val="none"/>
        </w:rPr>
        <w:t>0.5</w:t>
      </w:r>
      <w:r>
        <w:rPr>
          <w:rFonts w:ascii="Times New Roman" w:hAnsi="Times New Roman" w:eastAsia="宋体"/>
          <w:strike w:val="0"/>
          <w:dstrike w:val="0"/>
          <w:color w:val="auto"/>
          <w:highlight w:val="none"/>
        </w:rPr>
        <w:t>kg/人·d计，则施工期生活垃圾产生量为</w:t>
      </w:r>
      <w:r>
        <w:rPr>
          <w:rFonts w:hint="eastAsia" w:ascii="Times New Roman" w:hAnsi="Times New Roman" w:eastAsia="宋体"/>
          <w:strike w:val="0"/>
          <w:dstrike w:val="0"/>
          <w:color w:val="auto"/>
          <w:highlight w:val="none"/>
        </w:rPr>
        <w:t>15</w:t>
      </w:r>
      <w:r>
        <w:rPr>
          <w:rFonts w:ascii="Times New Roman" w:hAnsi="Times New Roman" w:eastAsia="宋体"/>
          <w:strike w:val="0"/>
          <w:dstrike w:val="0"/>
          <w:color w:val="auto"/>
          <w:highlight w:val="none"/>
        </w:rPr>
        <w:t>kg/d</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对施工人员产生的生活垃圾，设置垃圾箱，集中收集后交由环卫部门统一处置</w:t>
      </w:r>
      <w:r>
        <w:rPr>
          <w:rFonts w:hint="eastAsia" w:ascii="Times New Roman" w:hAnsi="Times New Roman" w:eastAsia="宋体"/>
          <w:strike w:val="0"/>
          <w:dstrike w:val="0"/>
          <w:color w:val="auto"/>
          <w:highlight w:val="none"/>
          <w:lang w:eastAsia="zh-CN"/>
        </w:rPr>
        <w:t>。</w:t>
      </w:r>
    </w:p>
    <w:p w14:paraId="266F11A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施工期项目的固体废弃物排放是暂时的，随着施工的结束而减小，通过积极有效的施工管理，施工期固体废弃物对环境造成的影响不大</w:t>
      </w:r>
      <w:r>
        <w:rPr>
          <w:rFonts w:hint="eastAsia" w:ascii="Times New Roman" w:hAnsi="Times New Roman" w:eastAsia="宋体"/>
          <w:strike w:val="0"/>
          <w:dstrike w:val="0"/>
          <w:color w:val="auto"/>
          <w:highlight w:val="none"/>
          <w:lang w:eastAsia="zh-CN"/>
        </w:rPr>
        <w:t>。</w:t>
      </w:r>
    </w:p>
    <w:p w14:paraId="33A89ED7">
      <w:pPr>
        <w:pStyle w:val="4"/>
        <w:rPr>
          <w:rFonts w:ascii="Times New Roman" w:hAnsi="Times New Roman" w:eastAsia="宋体"/>
          <w:strike w:val="0"/>
          <w:dstrike w:val="0"/>
          <w:color w:val="auto"/>
          <w:highlight w:val="none"/>
        </w:rPr>
      </w:pPr>
      <w:bookmarkStart w:id="149" w:name="_Toc106663472"/>
      <w:bookmarkStart w:id="150" w:name="_Toc2984"/>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.2运营期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bookmarkEnd w:id="149"/>
      <w:bookmarkEnd w:id="150"/>
    </w:p>
    <w:p w14:paraId="7DE2D424">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3.3.2.1运营期大气污染源</w:t>
      </w:r>
    </w:p>
    <w:p w14:paraId="0FADF3DF">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eastAsia="zh-CN"/>
        </w:rPr>
      </w:pPr>
      <w:r>
        <w:rPr>
          <w:rFonts w:hint="eastAsia" w:ascii="Times New Roman" w:hAnsi="Times New Roman" w:eastAsia="宋体"/>
          <w:strike w:val="0"/>
          <w:dstrike w:val="0"/>
          <w:color w:val="auto"/>
          <w:spacing w:val="0"/>
          <w:sz w:val="24"/>
          <w:highlight w:val="none"/>
        </w:rPr>
        <w:t>本项目冬季供暖采用电锅炉供暖，不使用天然气和燃煤锅炉，因此，本项目废气主要是恶臭气体</w:t>
      </w:r>
      <w:r>
        <w:rPr>
          <w:rFonts w:hint="eastAsia" w:ascii="Times New Roman" w:hAnsi="Times New Roman" w:eastAsia="宋体"/>
          <w:strike w:val="0"/>
          <w:dstrike w:val="0"/>
          <w:color w:val="auto"/>
          <w:spacing w:val="0"/>
          <w:sz w:val="24"/>
          <w:highlight w:val="none"/>
          <w:lang w:val="en-US" w:eastAsia="zh-CN"/>
        </w:rPr>
        <w:t>和饲料加工粉尘</w:t>
      </w:r>
      <w:r>
        <w:rPr>
          <w:rFonts w:hint="eastAsia" w:ascii="Times New Roman" w:hAnsi="Times New Roman" w:eastAsia="宋体"/>
          <w:strike w:val="0"/>
          <w:dstrike w:val="0"/>
          <w:color w:val="auto"/>
          <w:spacing w:val="0"/>
          <w:sz w:val="24"/>
          <w:highlight w:val="none"/>
          <w:lang w:eastAsia="zh-CN"/>
        </w:rPr>
        <w:t>。</w:t>
      </w:r>
    </w:p>
    <w:p w14:paraId="7DAC14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cs="Times New Roman"/>
          <w:b/>
          <w:bCs/>
          <w:strike w:val="0"/>
          <w:dstrike w:val="0"/>
          <w:color w:val="auto"/>
          <w:spacing w:val="0"/>
          <w:sz w:val="24"/>
          <w:lang w:val="en-US" w:eastAsia="zh-CN" w:bidi="ar-SA"/>
        </w:rPr>
        <w:t>（1）</w:t>
      </w:r>
      <w:r>
        <w:rPr>
          <w:rFonts w:hint="eastAsia" w:ascii="Times New Roman" w:hAnsi="Times New Roman" w:eastAsia="宋体"/>
          <w:b/>
          <w:bCs/>
          <w:strike w:val="0"/>
          <w:dstrike w:val="0"/>
          <w:color w:val="auto"/>
          <w:spacing w:val="0"/>
          <w:sz w:val="24"/>
          <w:highlight w:val="none"/>
          <w:lang w:val="en-US" w:eastAsia="zh-CN"/>
        </w:rPr>
        <w:t>恶臭</w:t>
      </w:r>
    </w:p>
    <w:p w14:paraId="6175EC8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textAlignment w:val="auto"/>
        <w:rPr>
          <w:rFonts w:ascii="Times New Roman" w:hAnsi="Times New Roman" w:eastAsia="宋体"/>
          <w:b/>
          <w:bCs/>
          <w:strike w:val="0"/>
          <w:dstrike w:val="0"/>
          <w:color w:val="auto"/>
          <w:spacing w:val="0"/>
          <w:sz w:val="24"/>
          <w:highlight w:val="none"/>
        </w:rPr>
      </w:pPr>
      <w:r>
        <w:rPr>
          <w:rFonts w:hint="eastAsia" w:ascii="Times New Roman" w:hAnsi="Times New Roman" w:eastAsia="宋体"/>
          <w:b/>
          <w:bCs/>
          <w:strike w:val="0"/>
          <w:dstrike w:val="0"/>
          <w:color w:val="auto"/>
          <w:spacing w:val="0"/>
          <w:sz w:val="24"/>
          <w:highlight w:val="none"/>
          <w:lang w:val="en-US" w:eastAsia="zh-CN"/>
        </w:rPr>
        <w:t>①</w:t>
      </w:r>
      <w:r>
        <w:rPr>
          <w:rFonts w:hint="eastAsia" w:ascii="Times New Roman" w:hAnsi="Times New Roman" w:eastAsia="宋体"/>
          <w:b/>
          <w:bCs/>
          <w:strike w:val="0"/>
          <w:dstrike w:val="0"/>
          <w:color w:val="auto"/>
          <w:spacing w:val="0"/>
          <w:sz w:val="24"/>
          <w:highlight w:val="none"/>
        </w:rPr>
        <w:t>来源及组成</w:t>
      </w:r>
    </w:p>
    <w:p w14:paraId="1DD77C7B">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本项目骆驼养殖过程中恶臭气体主要来源于骆驼圈舍、堆肥场、黑膜池。</w:t>
      </w:r>
    </w:p>
    <w:p w14:paraId="386C0721">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恶臭主要由骆驼排泄物引发，骆驼排泄物组成主要包括碳水化合物和含氮化合物，它们在有氧条件下会彻底氧化，不会产生恶臭，绝大部分恶臭均是这些有机物在合适的条件下经过慢性厌氧发酵而形成的。研究表明，排泄物在18℃的情况下经70d以后，有24%的植物纤维片段和43%的粗蛋白发生降解，碳水化合物会转化成挥发性脂肪酸、醇类及二氧化碳等，这些物质略带臭味和酸味。含氮化合物会转化成氨、硫酸、乙烯醇、二甲基硫醚、硫化氢、三甲胺等，这些气体有的具有腐败洋葱臭，有的具有腐败的蛋臭、鱼臭等。各种具有不同的气味的气体混合在一起，也即人们常说的恶臭。</w:t>
      </w:r>
    </w:p>
    <w:p w14:paraId="5274C6EB">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几种主要恶臭物质的理化性质见下表：</w:t>
      </w:r>
    </w:p>
    <w:p w14:paraId="7AD6E2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表3.3-4恶臭物质理化性质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2073"/>
        <w:gridCol w:w="2089"/>
        <w:gridCol w:w="2068"/>
      </w:tblGrid>
      <w:tr w14:paraId="2D20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7A9D45D">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恶臭物质</w:t>
            </w:r>
          </w:p>
        </w:tc>
        <w:tc>
          <w:tcPr>
            <w:tcW w:w="2130" w:type="dxa"/>
          </w:tcPr>
          <w:p w14:paraId="22771A69">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分子式</w:t>
            </w:r>
          </w:p>
        </w:tc>
        <w:tc>
          <w:tcPr>
            <w:tcW w:w="2131" w:type="dxa"/>
          </w:tcPr>
          <w:p w14:paraId="32DA6C61">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嗅阀值（ppm）</w:t>
            </w:r>
          </w:p>
        </w:tc>
        <w:tc>
          <w:tcPr>
            <w:tcW w:w="2131" w:type="dxa"/>
          </w:tcPr>
          <w:p w14:paraId="252ADFBF">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臭气特征</w:t>
            </w:r>
          </w:p>
        </w:tc>
      </w:tr>
      <w:tr w14:paraId="47B7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C815FF4">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氨</w:t>
            </w:r>
          </w:p>
        </w:tc>
        <w:tc>
          <w:tcPr>
            <w:tcW w:w="2130" w:type="dxa"/>
          </w:tcPr>
          <w:p w14:paraId="7A00C2B2">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subscript"/>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NH</w:t>
            </w:r>
            <w:r>
              <w:rPr>
                <w:rFonts w:hint="eastAsia" w:ascii="Times New Roman" w:hAnsi="Times New Roman" w:eastAsia="宋体"/>
                <w:strike w:val="0"/>
                <w:dstrike w:val="0"/>
                <w:color w:val="auto"/>
                <w:spacing w:val="0"/>
                <w:sz w:val="21"/>
                <w:highlight w:val="none"/>
                <w:vertAlign w:val="subscript"/>
                <w:lang w:val="en-US" w:eastAsia="zh-CN"/>
              </w:rPr>
              <w:t>3</w:t>
            </w:r>
          </w:p>
        </w:tc>
        <w:tc>
          <w:tcPr>
            <w:tcW w:w="2131" w:type="dxa"/>
          </w:tcPr>
          <w:p w14:paraId="46718796">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1.54</w:t>
            </w:r>
          </w:p>
        </w:tc>
        <w:tc>
          <w:tcPr>
            <w:tcW w:w="2131" w:type="dxa"/>
          </w:tcPr>
          <w:p w14:paraId="0E4FE32B">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刺激味</w:t>
            </w:r>
          </w:p>
        </w:tc>
      </w:tr>
      <w:tr w14:paraId="1A24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5975C03">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硫化氢</w:t>
            </w:r>
          </w:p>
        </w:tc>
        <w:tc>
          <w:tcPr>
            <w:tcW w:w="2130" w:type="dxa"/>
          </w:tcPr>
          <w:p w14:paraId="0B1D32AA">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H</w:t>
            </w:r>
            <w:r>
              <w:rPr>
                <w:rFonts w:hint="eastAsia" w:ascii="Times New Roman" w:hAnsi="Times New Roman" w:eastAsia="宋体"/>
                <w:strike w:val="0"/>
                <w:dstrike w:val="0"/>
                <w:color w:val="auto"/>
                <w:spacing w:val="0"/>
                <w:sz w:val="21"/>
                <w:highlight w:val="none"/>
                <w:vertAlign w:val="subscript"/>
                <w:lang w:val="en-US" w:eastAsia="zh-CN"/>
              </w:rPr>
              <w:t>2</w:t>
            </w:r>
            <w:r>
              <w:rPr>
                <w:rFonts w:hint="eastAsia" w:ascii="Times New Roman" w:hAnsi="Times New Roman" w:eastAsia="宋体"/>
                <w:strike w:val="0"/>
                <w:dstrike w:val="0"/>
                <w:color w:val="auto"/>
                <w:spacing w:val="0"/>
                <w:sz w:val="21"/>
                <w:highlight w:val="none"/>
                <w:vertAlign w:val="baseline"/>
                <w:lang w:val="en-US" w:eastAsia="zh-CN"/>
              </w:rPr>
              <w:t>S</w:t>
            </w:r>
          </w:p>
        </w:tc>
        <w:tc>
          <w:tcPr>
            <w:tcW w:w="2131" w:type="dxa"/>
          </w:tcPr>
          <w:p w14:paraId="52A8C3DE">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0.0041</w:t>
            </w:r>
          </w:p>
        </w:tc>
        <w:tc>
          <w:tcPr>
            <w:tcW w:w="2131" w:type="dxa"/>
          </w:tcPr>
          <w:p w14:paraId="55BB01F5">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臭蛋味</w:t>
            </w:r>
          </w:p>
        </w:tc>
      </w:tr>
    </w:tbl>
    <w:p w14:paraId="79F2735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sz w:val="24"/>
          <w:szCs w:val="24"/>
          <w:highlight w:val="none"/>
        </w:rPr>
      </w:pPr>
      <w:r>
        <w:rPr>
          <w:rFonts w:hint="eastAsia" w:ascii="Times New Roman" w:hAnsi="Times New Roman" w:eastAsia="宋体" w:cs="宋体"/>
          <w:b/>
          <w:bCs/>
          <w:strike w:val="0"/>
          <w:dstrike w:val="0"/>
          <w:color w:val="auto"/>
          <w:spacing w:val="0"/>
          <w:sz w:val="24"/>
          <w:szCs w:val="24"/>
          <w:highlight w:val="none"/>
          <w:lang w:val="en-US" w:eastAsia="zh-CN"/>
        </w:rPr>
        <w:t>②</w:t>
      </w:r>
      <w:r>
        <w:rPr>
          <w:rFonts w:ascii="Times New Roman" w:hAnsi="Times New Roman" w:eastAsia="宋体" w:cs="宋体"/>
          <w:b/>
          <w:bCs/>
          <w:strike w:val="0"/>
          <w:dstrike w:val="0"/>
          <w:color w:val="auto"/>
          <w:spacing w:val="0"/>
          <w:sz w:val="24"/>
          <w:szCs w:val="24"/>
          <w:highlight w:val="none"/>
        </w:rPr>
        <w:t>恶臭源强</w:t>
      </w:r>
    </w:p>
    <w:p w14:paraId="0000780C">
      <w:pPr>
        <w:keepNext w:val="0"/>
        <w:keepLines w:val="0"/>
        <w:pageBreakBefore w:val="0"/>
        <w:widowControl w:val="0"/>
        <w:kinsoku/>
        <w:wordWrap/>
        <w:overflowPunct/>
        <w:topLinePunct w:val="0"/>
        <w:autoSpaceDE/>
        <w:autoSpaceDN/>
        <w:bidi w:val="0"/>
        <w:adjustRightInd/>
        <w:snapToGrid/>
        <w:spacing w:line="480" w:lineRule="exact"/>
        <w:ind w:left="0" w:right="0" w:firstLine="479"/>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本项目恶臭气体主要来源于</w:t>
      </w:r>
      <w:r>
        <w:rPr>
          <w:rFonts w:hint="eastAsia" w:ascii="Times New Roman" w:hAnsi="Times New Roman" w:eastAsia="宋体" w:cs="宋体"/>
          <w:strike w:val="0"/>
          <w:dstrike w:val="0"/>
          <w:color w:val="auto"/>
          <w:spacing w:val="0"/>
          <w:sz w:val="24"/>
          <w:szCs w:val="24"/>
          <w:highlight w:val="none"/>
          <w:lang w:eastAsia="zh-CN"/>
        </w:rPr>
        <w:t>骆驼圈舍</w:t>
      </w:r>
      <w:r>
        <w:rPr>
          <w:rFonts w:hint="eastAsia" w:ascii="Times New Roman" w:hAnsi="Times New Roman" w:eastAsia="宋体" w:cs="宋体"/>
          <w:strike w:val="0"/>
          <w:dstrike w:val="0"/>
          <w:color w:val="auto"/>
          <w:spacing w:val="0"/>
          <w:sz w:val="24"/>
          <w:szCs w:val="24"/>
          <w:highlight w:val="none"/>
          <w:lang w:val="en-US" w:eastAsia="zh-CN"/>
        </w:rPr>
        <w:t>、堆肥场、黑膜池</w:t>
      </w:r>
      <w:r>
        <w:rPr>
          <w:rFonts w:ascii="Times New Roman" w:hAnsi="Times New Roman" w:eastAsia="宋体" w:cs="宋体"/>
          <w:strike w:val="0"/>
          <w:dstrike w:val="0"/>
          <w:color w:val="auto"/>
          <w:spacing w:val="0"/>
          <w:sz w:val="24"/>
          <w:szCs w:val="24"/>
          <w:highlight w:val="none"/>
        </w:rPr>
        <w:t>，恶臭气体主要为</w:t>
      </w:r>
      <w:r>
        <w:rPr>
          <w:rFonts w:ascii="Times New Roman" w:hAnsi="Times New Roman" w:eastAsia="宋体" w:cs="Times New Roman"/>
          <w:strike w:val="0"/>
          <w:dstrike w:val="0"/>
          <w:color w:val="auto"/>
          <w:spacing w:val="0"/>
          <w:sz w:val="24"/>
          <w:szCs w:val="24"/>
          <w:highlight w:val="none"/>
        </w:rPr>
        <w:t>NH</w:t>
      </w:r>
      <w:r>
        <w:rPr>
          <w:rFonts w:ascii="Times New Roman" w:hAnsi="Times New Roman" w:eastAsia="宋体" w:cs="Times New Roman"/>
          <w:strike w:val="0"/>
          <w:dstrike w:val="0"/>
          <w:color w:val="auto"/>
          <w:spacing w:val="0"/>
          <w:sz w:val="24"/>
          <w:szCs w:val="15"/>
          <w:highlight w:val="none"/>
          <w:vertAlign w:val="subscript"/>
        </w:rPr>
        <w:t>3</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H</w:t>
      </w:r>
      <w:r>
        <w:rPr>
          <w:rFonts w:ascii="Times New Roman" w:hAnsi="Times New Roman" w:eastAsia="宋体" w:cs="Times New Roman"/>
          <w:strike w:val="0"/>
          <w:dstrike w:val="0"/>
          <w:color w:val="auto"/>
          <w:spacing w:val="0"/>
          <w:sz w:val="24"/>
          <w:szCs w:val="15"/>
          <w:highlight w:val="none"/>
          <w:vertAlign w:val="subscript"/>
        </w:rPr>
        <w:t>2</w:t>
      </w:r>
      <w:r>
        <w:rPr>
          <w:rFonts w:ascii="Times New Roman" w:hAnsi="Times New Roman" w:eastAsia="宋体" w:cs="Times New Roman"/>
          <w:strike w:val="0"/>
          <w:dstrike w:val="0"/>
          <w:color w:val="auto"/>
          <w:spacing w:val="0"/>
          <w:sz w:val="24"/>
          <w:szCs w:val="24"/>
          <w:highlight w:val="none"/>
        </w:rPr>
        <w:t>S</w:t>
      </w:r>
      <w:r>
        <w:rPr>
          <w:rFonts w:ascii="Times New Roman" w:hAnsi="Times New Roman" w:eastAsia="宋体" w:cs="宋体"/>
          <w:strike w:val="0"/>
          <w:dstrike w:val="0"/>
          <w:color w:val="auto"/>
          <w:spacing w:val="0"/>
          <w:sz w:val="24"/>
          <w:szCs w:val="24"/>
          <w:highlight w:val="none"/>
        </w:rPr>
        <w:t>等</w:t>
      </w:r>
      <w:r>
        <w:rPr>
          <w:rFonts w:hint="eastAsia" w:ascii="Times New Roman" w:hAnsi="Times New Roman" w:eastAsia="宋体" w:cs="宋体"/>
          <w:strike w:val="0"/>
          <w:dstrike w:val="0"/>
          <w:color w:val="auto"/>
          <w:spacing w:val="0"/>
          <w:sz w:val="24"/>
          <w:szCs w:val="24"/>
          <w:highlight w:val="none"/>
          <w:lang w:eastAsia="zh-CN"/>
        </w:rPr>
        <w:t>。</w:t>
      </w:r>
    </w:p>
    <w:p w14:paraId="7F165151">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cs="宋体"/>
          <w:b/>
          <w:bCs/>
          <w:strike w:val="0"/>
          <w:dstrike w:val="0"/>
          <w:color w:val="auto"/>
          <w:spacing w:val="0"/>
          <w:sz w:val="24"/>
          <w:szCs w:val="24"/>
          <w:highlight w:val="none"/>
          <w:lang w:eastAsia="zh-CN"/>
        </w:rPr>
      </w:pPr>
      <w:r>
        <w:rPr>
          <w:rFonts w:hint="eastAsia" w:ascii="Times New Roman" w:hAnsi="Times New Roman" w:eastAsia="宋体"/>
          <w:b/>
          <w:bCs/>
          <w:strike w:val="0"/>
          <w:dstrike w:val="0"/>
          <w:color w:val="auto"/>
          <w:spacing w:val="0"/>
          <w:sz w:val="24"/>
          <w:highlight w:val="none"/>
          <w:lang w:val="en-US" w:eastAsia="zh-CN"/>
        </w:rPr>
        <w:t>a</w:t>
      </w:r>
      <w:r>
        <w:rPr>
          <w:rFonts w:hint="eastAsia" w:ascii="Times New Roman" w:hAnsi="Times New Roman" w:eastAsia="宋体" w:cs="宋体"/>
          <w:b/>
          <w:bCs/>
          <w:strike w:val="0"/>
          <w:dstrike w:val="0"/>
          <w:color w:val="auto"/>
          <w:spacing w:val="0"/>
          <w:sz w:val="24"/>
          <w:szCs w:val="24"/>
          <w:highlight w:val="none"/>
          <w:lang w:eastAsia="zh-CN"/>
        </w:rPr>
        <w:t>骆驼圈舍</w:t>
      </w:r>
    </w:p>
    <w:p w14:paraId="2992A75E">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本项目采用资料调查法参考相关文献报道确定恶臭污染物源强。</w:t>
      </w:r>
    </w:p>
    <w:p w14:paraId="2E41419A">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骆驼养殖恶臭主要来自驼舍和堆肥场，其产生源分布面较广，均为低矮面源。</w:t>
      </w:r>
    </w:p>
    <w:p w14:paraId="609DC8C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cs="Times New Roman"/>
          <w:strike w:val="0"/>
          <w:dstrike w:val="0"/>
          <w:color w:val="auto"/>
          <w:kern w:val="0"/>
          <w:sz w:val="24"/>
          <w:szCs w:val="20"/>
          <w:lang w:val="en-US" w:eastAsia="zh-CN" w:bidi="ar-SA"/>
        </w:rPr>
        <w:t>根据《建设项目环境影响评价分类管理名录》（2021年版），二、畜牧业03中相关说明“其他畜禽种类折合猪的养殖量”，因此本项目将骆驼养殖量换算成猪养殖量，</w:t>
      </w:r>
      <w:r>
        <w:rPr>
          <w:rFonts w:hint="eastAsia" w:ascii="Times New Roman" w:hAnsi="Times New Roman" w:eastAsia="宋体"/>
          <w:strike w:val="0"/>
          <w:dstrike w:val="0"/>
          <w:color w:val="auto"/>
          <w:spacing w:val="0"/>
          <w:sz w:val="24"/>
          <w:highlight w:val="none"/>
          <w:lang w:val="en-US" w:eastAsia="zh-CN"/>
        </w:rPr>
        <w:t>《畜禽养殖业污染物排放标准》（GB1859-2001）中有鸡、牛的换算比例，目前无明确文件规定骆驼换算比例，因此参考论文《基于饲养标准的家禽单位折算方法》（草地学报，第17卷第4期，2009年7月，刘玉杰、李向林、何峰）中各种家禽与绵羊单位的折算系数可知：1头牛=4只绵羊，1峰骆驼=7只绵羊，并结合《畜禽养殖业污染物排放标准》（GB 118596-2001）可知：1头肉牛=5头猪。按照上述折算系数，可得出：1峰骆驼约折算成9头猪，本项目骆驼存栏量1015峰，骆驼换算后的量为9135头猪。</w:t>
      </w:r>
    </w:p>
    <w:p w14:paraId="2D86C332">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default"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本次评价骆驼养殖恶臭排放源强参照《排放源统计调查产排污核算方法和系数手册》畜禽规模化养殖排污系数中生猪的相关数据（一头生猪一天产生的氨氮为0.0283kg/头）进行计算，恶臭无组织排放氮转化为NH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挥发的比率约为1%，H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S约为NH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的10%。</w:t>
      </w:r>
    </w:p>
    <w:p w14:paraId="3167A5EF">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本项目骆驼存栏量1015峰，则NH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的产生量约为943.599kg/a，H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S的产生量约为94.36kg/a，排放方式为无组织排放的面源。</w:t>
      </w:r>
    </w:p>
    <w:p w14:paraId="6E162BE2">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驼舍定时清理骆驼粪，加强驼舍通风，并科学合理调控饲粮，合理配置饲料成分，同时加强骆驼养殖场的环境跟踪和管理，对驼舍、堆肥场定期喷洒除臭剂，减少恶臭污染物的蓄积，经过上述综合措施处理后，臭气浓度排放值可满足《畜禽养殖业污染物排放标准》（GB18596-2001）中限值要求。</w:t>
      </w:r>
    </w:p>
    <w:p w14:paraId="054B221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参考《日粮不同种类的饲草料对荷斯坦青年母牛粪尿中总氮、氨态氮和粪中NH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S散发量的影响》（《中国畜牧杂质》，2010（46）20）一文，在采取TMR全混合日粮喂食奶牛、添加沙皂素等除臭剂后，其粪污中NH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S可减少55%左右；参考《南方冬季奶牛场牛舍内环境检测与评价》（金陵科技学院动物科学与技术学院，伍林清等）一文，在牛舍通风条件良好的情况下牛舍内NH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较牛舍通风条件一般情况减少35%左右；定期驼舍清理、堆肥棚、集污池定期喷洒除生物除臭剂去除恶臭，参考《多种除臭剂对氨和硫化氢去除效果的试验研究》（丁湘蓉，（北京市海淀区环境卫生科学研究所）一文，采用除臭剂去除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S的，NH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S可减少85%左右。</w:t>
      </w:r>
    </w:p>
    <w:p w14:paraId="0699ED8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综合考虑，本项目恶臭去除效率按照85%考虑，达产后骆驼养殖场恶臭污染物排放量为NH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：141.54kg/a，H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S：14.154kg/a。</w:t>
      </w:r>
    </w:p>
    <w:p w14:paraId="6BE3B90B">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eastAsia" w:ascii="Times New Roman" w:hAnsi="Times New Roman" w:eastAsia="宋体" w:cs="Times New Roman"/>
          <w:strike w:val="0"/>
          <w:dstrike w:val="0"/>
          <w:color w:val="auto"/>
          <w:spacing w:val="0"/>
          <w:sz w:val="24"/>
          <w:szCs w:val="24"/>
          <w:highlight w:val="none"/>
          <w:lang w:eastAsia="zh-CN"/>
        </w:rPr>
      </w:pPr>
      <w:r>
        <w:rPr>
          <w:rFonts w:hint="eastAsia" w:ascii="Times New Roman" w:hAnsi="Times New Roman" w:eastAsia="宋体" w:cs="宋体"/>
          <w:color w:val="auto"/>
          <w:kern w:val="0"/>
          <w:sz w:val="24"/>
          <w:lang w:bidi="ar"/>
        </w:rPr>
        <w:t>本项目</w:t>
      </w:r>
      <w:r>
        <w:rPr>
          <w:rFonts w:hint="eastAsia" w:ascii="Times New Roman" w:hAnsi="Times New Roman" w:eastAsia="宋体" w:cs="宋体"/>
          <w:color w:val="auto"/>
          <w:kern w:val="0"/>
          <w:sz w:val="24"/>
          <w:lang w:val="en-US" w:eastAsia="zh-CN" w:bidi="ar"/>
        </w:rPr>
        <w:t>骆驼圈舍</w:t>
      </w:r>
      <w:r>
        <w:rPr>
          <w:rFonts w:hint="eastAsia" w:ascii="Times New Roman" w:hAnsi="Times New Roman" w:eastAsia="宋体" w:cs="宋体"/>
          <w:color w:val="auto"/>
          <w:kern w:val="0"/>
          <w:sz w:val="24"/>
          <w:lang w:bidi="ar"/>
        </w:rPr>
        <w:t>恶臭气体产生排放情况见表</w:t>
      </w:r>
      <w:r>
        <w:rPr>
          <w:rFonts w:hint="eastAsia" w:ascii="Times New Roman" w:hAnsi="Times New Roman" w:eastAsia="宋体" w:cs="Times New Roman"/>
          <w:strike w:val="0"/>
          <w:dstrike w:val="0"/>
          <w:color w:val="auto"/>
          <w:spacing w:val="0"/>
          <w:sz w:val="24"/>
          <w:szCs w:val="24"/>
          <w:highlight w:val="none"/>
          <w:lang w:val="en-US" w:eastAsia="zh-CN"/>
        </w:rPr>
        <w:t>3.3-4</w:t>
      </w:r>
      <w:r>
        <w:rPr>
          <w:rFonts w:hint="eastAsia" w:ascii="Times New Roman" w:hAnsi="Times New Roman" w:eastAsia="宋体" w:cs="Times New Roman"/>
          <w:strike w:val="0"/>
          <w:dstrike w:val="0"/>
          <w:color w:val="auto"/>
          <w:spacing w:val="0"/>
          <w:sz w:val="24"/>
          <w:szCs w:val="24"/>
          <w:highlight w:val="none"/>
          <w:lang w:eastAsia="zh-CN"/>
        </w:rPr>
        <w:t>。</w:t>
      </w:r>
    </w:p>
    <w:p w14:paraId="602CF376">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表3.3-4骆驼圈舍恶臭气体产生排放情况一览表</w:t>
      </w:r>
    </w:p>
    <w:tbl>
      <w:tblPr>
        <w:tblStyle w:val="183"/>
        <w:tblW w:w="502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8"/>
        <w:gridCol w:w="479"/>
        <w:gridCol w:w="459"/>
        <w:gridCol w:w="733"/>
        <w:gridCol w:w="3303"/>
        <w:gridCol w:w="888"/>
        <w:gridCol w:w="888"/>
        <w:gridCol w:w="1048"/>
      </w:tblGrid>
      <w:tr w14:paraId="3D2D0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Align w:val="center"/>
          </w:tcPr>
          <w:p w14:paraId="5EC3A42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污染源</w:t>
            </w:r>
          </w:p>
        </w:tc>
        <w:tc>
          <w:tcPr>
            <w:tcW w:w="287" w:type="pct"/>
            <w:vAlign w:val="center"/>
          </w:tcPr>
          <w:p w14:paraId="0089D5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污染因子</w:t>
            </w:r>
          </w:p>
        </w:tc>
        <w:tc>
          <w:tcPr>
            <w:tcW w:w="275" w:type="pct"/>
            <w:vAlign w:val="center"/>
          </w:tcPr>
          <w:p w14:paraId="49361C9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排放方式</w:t>
            </w:r>
          </w:p>
        </w:tc>
        <w:tc>
          <w:tcPr>
            <w:tcW w:w="439" w:type="pct"/>
            <w:vAlign w:val="center"/>
          </w:tcPr>
          <w:p w14:paraId="1EFAD49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产生量（kg/a）</w:t>
            </w:r>
          </w:p>
        </w:tc>
        <w:tc>
          <w:tcPr>
            <w:tcW w:w="1981" w:type="pct"/>
            <w:vAlign w:val="center"/>
          </w:tcPr>
          <w:p w14:paraId="4369C1F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治理措施</w:t>
            </w:r>
          </w:p>
        </w:tc>
        <w:tc>
          <w:tcPr>
            <w:tcW w:w="532" w:type="pct"/>
            <w:vAlign w:val="center"/>
          </w:tcPr>
          <w:p w14:paraId="67B30D4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处理效率</w:t>
            </w:r>
          </w:p>
        </w:tc>
        <w:tc>
          <w:tcPr>
            <w:tcW w:w="532" w:type="pct"/>
            <w:vAlign w:val="center"/>
          </w:tcPr>
          <w:p w14:paraId="1BC0D1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排放量（kg/a）</w:t>
            </w:r>
          </w:p>
        </w:tc>
        <w:tc>
          <w:tcPr>
            <w:tcW w:w="628" w:type="pct"/>
            <w:vAlign w:val="center"/>
          </w:tcPr>
          <w:p w14:paraId="55E9866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排放速率（kg/h）</w:t>
            </w:r>
          </w:p>
        </w:tc>
      </w:tr>
      <w:tr w14:paraId="607D8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Merge w:val="restart"/>
            <w:vAlign w:val="center"/>
          </w:tcPr>
          <w:p w14:paraId="1C070A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骆驼圈舍</w:t>
            </w:r>
          </w:p>
        </w:tc>
        <w:tc>
          <w:tcPr>
            <w:tcW w:w="287" w:type="pct"/>
            <w:vAlign w:val="center"/>
          </w:tcPr>
          <w:p w14:paraId="617A759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subscript"/>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NH</w:t>
            </w:r>
            <w:r>
              <w:rPr>
                <w:rFonts w:hint="eastAsia" w:ascii="Times New Roman" w:hAnsi="Times New Roman" w:eastAsia="宋体" w:cs="Times New Roman"/>
                <w:strike w:val="0"/>
                <w:dstrike w:val="0"/>
                <w:color w:val="auto"/>
                <w:spacing w:val="0"/>
                <w:position w:val="0"/>
                <w:sz w:val="21"/>
                <w:szCs w:val="21"/>
                <w:highlight w:val="none"/>
                <w:vertAlign w:val="subscript"/>
                <w:lang w:val="en-US" w:eastAsia="zh-CN"/>
              </w:rPr>
              <w:t>3</w:t>
            </w:r>
          </w:p>
        </w:tc>
        <w:tc>
          <w:tcPr>
            <w:tcW w:w="275" w:type="pct"/>
            <w:vMerge w:val="restart"/>
            <w:vAlign w:val="center"/>
          </w:tcPr>
          <w:p w14:paraId="5415EA9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无组织</w:t>
            </w:r>
          </w:p>
        </w:tc>
        <w:tc>
          <w:tcPr>
            <w:tcW w:w="439" w:type="pct"/>
            <w:vAlign w:val="center"/>
          </w:tcPr>
          <w:p w14:paraId="7406030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943.599</w:t>
            </w:r>
          </w:p>
        </w:tc>
        <w:tc>
          <w:tcPr>
            <w:tcW w:w="1981" w:type="pct"/>
            <w:vMerge w:val="restart"/>
            <w:vAlign w:val="center"/>
          </w:tcPr>
          <w:p w14:paraId="2E7EC2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532" w:type="pct"/>
            <w:vMerge w:val="restart"/>
            <w:vAlign w:val="center"/>
          </w:tcPr>
          <w:p w14:paraId="532C69A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85%</w:t>
            </w:r>
          </w:p>
        </w:tc>
        <w:tc>
          <w:tcPr>
            <w:tcW w:w="532" w:type="pct"/>
            <w:vAlign w:val="center"/>
          </w:tcPr>
          <w:p w14:paraId="27FF12F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w:t>
            </w:r>
          </w:p>
        </w:tc>
        <w:tc>
          <w:tcPr>
            <w:tcW w:w="628" w:type="pct"/>
            <w:vAlign w:val="center"/>
          </w:tcPr>
          <w:p w14:paraId="66F921A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superscript"/>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r>
      <w:tr w14:paraId="1ECAA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Merge w:val="continue"/>
            <w:vAlign w:val="center"/>
          </w:tcPr>
          <w:p w14:paraId="464C377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287" w:type="pct"/>
            <w:vAlign w:val="center"/>
          </w:tcPr>
          <w:p w14:paraId="7E1716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H</w:t>
            </w:r>
            <w:r>
              <w:rPr>
                <w:rFonts w:hint="eastAsia" w:ascii="Times New Roman" w:hAnsi="Times New Roman" w:eastAsia="宋体" w:cs="Times New Roman"/>
                <w:strike w:val="0"/>
                <w:dstrike w:val="0"/>
                <w:color w:val="auto"/>
                <w:spacing w:val="0"/>
                <w:position w:val="0"/>
                <w:sz w:val="21"/>
                <w:szCs w:val="21"/>
                <w:highlight w:val="none"/>
                <w:vertAlign w:val="subscript"/>
                <w:lang w:val="en-US" w:eastAsia="zh-CN"/>
              </w:rPr>
              <w:t>2</w:t>
            </w:r>
            <w:r>
              <w:rPr>
                <w:rFonts w:hint="eastAsia" w:ascii="Times New Roman" w:hAnsi="Times New Roman" w:eastAsia="宋体" w:cs="Times New Roman"/>
                <w:strike w:val="0"/>
                <w:dstrike w:val="0"/>
                <w:color w:val="auto"/>
                <w:spacing w:val="0"/>
                <w:position w:val="0"/>
                <w:sz w:val="21"/>
                <w:szCs w:val="21"/>
                <w:highlight w:val="none"/>
                <w:vertAlign w:val="baseline"/>
                <w:lang w:val="en-US" w:eastAsia="zh-CN"/>
              </w:rPr>
              <w:t>S</w:t>
            </w:r>
          </w:p>
        </w:tc>
        <w:tc>
          <w:tcPr>
            <w:tcW w:w="275" w:type="pct"/>
            <w:vMerge w:val="continue"/>
            <w:vAlign w:val="center"/>
          </w:tcPr>
          <w:p w14:paraId="14070C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439" w:type="pct"/>
            <w:vAlign w:val="center"/>
          </w:tcPr>
          <w:p w14:paraId="2E23F43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94.36</w:t>
            </w:r>
          </w:p>
        </w:tc>
        <w:tc>
          <w:tcPr>
            <w:tcW w:w="1981" w:type="pct"/>
            <w:vMerge w:val="continue"/>
            <w:vAlign w:val="center"/>
          </w:tcPr>
          <w:p w14:paraId="335D294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532" w:type="pct"/>
            <w:vMerge w:val="continue"/>
            <w:vAlign w:val="center"/>
          </w:tcPr>
          <w:p w14:paraId="29D52FF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532" w:type="pct"/>
            <w:vAlign w:val="center"/>
          </w:tcPr>
          <w:p w14:paraId="6C3128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w:t>
            </w:r>
          </w:p>
        </w:tc>
        <w:tc>
          <w:tcPr>
            <w:tcW w:w="628" w:type="pct"/>
            <w:vAlign w:val="center"/>
          </w:tcPr>
          <w:p w14:paraId="52DC4F0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bl>
    <w:p w14:paraId="72AB9A8E">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b/>
          <w:bCs/>
          <w:strike w:val="0"/>
          <w:dstrike w:val="0"/>
          <w:color w:val="auto"/>
          <w:spacing w:val="0"/>
          <w:sz w:val="24"/>
          <w:highlight w:val="none"/>
          <w:lang w:val="en-US" w:eastAsia="zh-CN"/>
        </w:rPr>
        <w:t>b堆肥发酵恶臭</w:t>
      </w:r>
    </w:p>
    <w:p w14:paraId="617206D0">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default"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恶臭主要产生于粪便暂存、混合、发酵等环节。根据《规模化畜禽养殖场恶臭污染物扩散规律及其防护距离研究》中国农业科学院中的恶臭污染源</w:t>
      </w:r>
      <w:r>
        <w:rPr>
          <w:rFonts w:hint="default" w:ascii="Times New Roman" w:hAnsi="Times New Roman" w:eastAsia="宋体"/>
          <w:strike w:val="0"/>
          <w:dstrike w:val="0"/>
          <w:color w:val="auto"/>
          <w:spacing w:val="0"/>
          <w:sz w:val="24"/>
          <w:highlight w:val="none"/>
          <w:shd w:val="clear"/>
          <w:lang w:val="en-US" w:eastAsia="zh-CN"/>
        </w:rPr>
        <w:t>500头牛粪堆场NH</w:t>
      </w:r>
      <w:r>
        <w:rPr>
          <w:rFonts w:hint="default" w:ascii="Times New Roman" w:hAnsi="Times New Roman" w:eastAsia="宋体"/>
          <w:strike w:val="0"/>
          <w:dstrike w:val="0"/>
          <w:color w:val="auto"/>
          <w:spacing w:val="0"/>
          <w:sz w:val="24"/>
          <w:highlight w:val="none"/>
          <w:shd w:val="clear"/>
          <w:vertAlign w:val="subscript"/>
          <w:lang w:val="en-US" w:eastAsia="zh-CN"/>
        </w:rPr>
        <w:t>3</w:t>
      </w:r>
      <w:r>
        <w:rPr>
          <w:rFonts w:hint="default" w:ascii="Times New Roman" w:hAnsi="Times New Roman" w:eastAsia="宋体"/>
          <w:strike w:val="0"/>
          <w:dstrike w:val="0"/>
          <w:color w:val="auto"/>
          <w:spacing w:val="0"/>
          <w:sz w:val="24"/>
          <w:highlight w:val="none"/>
          <w:shd w:val="clear"/>
          <w:lang w:val="en-US" w:eastAsia="zh-CN"/>
        </w:rPr>
        <w:t>年产生量6.25kg/a，H</w:t>
      </w:r>
      <w:r>
        <w:rPr>
          <w:rFonts w:hint="default" w:ascii="Times New Roman" w:hAnsi="Times New Roman" w:eastAsia="宋体"/>
          <w:strike w:val="0"/>
          <w:dstrike w:val="0"/>
          <w:color w:val="auto"/>
          <w:spacing w:val="0"/>
          <w:sz w:val="24"/>
          <w:highlight w:val="none"/>
          <w:shd w:val="clear"/>
          <w:vertAlign w:val="subscript"/>
          <w:lang w:val="en-US" w:eastAsia="zh-CN"/>
        </w:rPr>
        <w:t>2</w:t>
      </w:r>
      <w:r>
        <w:rPr>
          <w:rFonts w:hint="default" w:ascii="Times New Roman" w:hAnsi="Times New Roman" w:eastAsia="宋体"/>
          <w:strike w:val="0"/>
          <w:dstrike w:val="0"/>
          <w:color w:val="auto"/>
          <w:spacing w:val="0"/>
          <w:sz w:val="24"/>
          <w:highlight w:val="none"/>
          <w:shd w:val="clear"/>
          <w:lang w:val="en-US" w:eastAsia="zh-CN"/>
        </w:rPr>
        <w:t>S年产生量为0.15kg/a。</w:t>
      </w:r>
      <w:r>
        <w:rPr>
          <w:rFonts w:hint="default" w:ascii="Times New Roman" w:hAnsi="Times New Roman" w:eastAsia="宋体"/>
          <w:strike w:val="0"/>
          <w:dstrike w:val="0"/>
          <w:color w:val="auto"/>
          <w:spacing w:val="0"/>
          <w:sz w:val="24"/>
          <w:highlight w:val="none"/>
          <w:lang w:val="en-US" w:eastAsia="zh-CN"/>
        </w:rPr>
        <w:t>同时根据论文《基于饲养标准的家禽单位折算方法》（草地学报，第17卷第4期，2009年7月，刘玉杰、李向林、何峰）中各种家畜与绵羊单位的折算系数可知：1头牛=4只绵羊，1峰骆驼=7只绵羊；根据《畜禽养殖业污染物排放标准》（GB118596-2001）可知：1头肉牛=5头猪。按照上述折算系数，可得出：1峰骆驼约折算成1.8头牛，经过折算后，本项目</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NH</w:t>
      </w:r>
      <w:r>
        <w:rPr>
          <w:rFonts w:hint="default" w:ascii="Times New Roman" w:hAnsi="Times New Roman" w:eastAsia="宋体"/>
          <w:strike w:val="0"/>
          <w:dstrike w:val="0"/>
          <w:color w:val="auto"/>
          <w:spacing w:val="0"/>
          <w:sz w:val="24"/>
          <w:highlight w:val="none"/>
          <w:vertAlign w:val="subscript"/>
          <w:lang w:val="en-US" w:eastAsia="zh-CN"/>
        </w:rPr>
        <w:t>3</w:t>
      </w:r>
      <w:r>
        <w:rPr>
          <w:rFonts w:hint="default" w:ascii="Times New Roman" w:hAnsi="Times New Roman" w:eastAsia="宋体"/>
          <w:strike w:val="0"/>
          <w:dstrike w:val="0"/>
          <w:color w:val="auto"/>
          <w:spacing w:val="0"/>
          <w:sz w:val="24"/>
          <w:highlight w:val="none"/>
          <w:lang w:val="en-US" w:eastAsia="zh-CN"/>
        </w:rPr>
        <w:t>年产生为</w:t>
      </w:r>
      <w:r>
        <w:rPr>
          <w:rFonts w:hint="eastAsia" w:ascii="Times New Roman" w:hAnsi="Times New Roman" w:eastAsia="宋体"/>
          <w:strike w:val="0"/>
          <w:dstrike w:val="0"/>
          <w:color w:val="auto"/>
          <w:spacing w:val="0"/>
          <w:sz w:val="24"/>
          <w:highlight w:val="none"/>
          <w:lang w:val="en-US" w:eastAsia="zh-CN"/>
        </w:rPr>
        <w:t>22.8375</w:t>
      </w:r>
      <w:r>
        <w:rPr>
          <w:rFonts w:hint="default" w:ascii="Times New Roman" w:hAnsi="Times New Roman" w:eastAsia="宋体"/>
          <w:strike w:val="0"/>
          <w:dstrike w:val="0"/>
          <w:color w:val="auto"/>
          <w:spacing w:val="0"/>
          <w:sz w:val="24"/>
          <w:highlight w:val="none"/>
          <w:lang w:val="en-US" w:eastAsia="zh-CN"/>
        </w:rPr>
        <w:t>kg/a，H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S年产生量为</w:t>
      </w:r>
      <w:r>
        <w:rPr>
          <w:rFonts w:hint="eastAsia" w:ascii="Times New Roman" w:hAnsi="Times New Roman" w:eastAsia="宋体"/>
          <w:strike w:val="0"/>
          <w:dstrike w:val="0"/>
          <w:color w:val="auto"/>
          <w:spacing w:val="0"/>
          <w:sz w:val="24"/>
          <w:highlight w:val="none"/>
          <w:lang w:val="en-US" w:eastAsia="zh-CN"/>
        </w:rPr>
        <w:t>0.5481</w:t>
      </w:r>
      <w:r>
        <w:rPr>
          <w:rFonts w:hint="default" w:ascii="Times New Roman" w:hAnsi="Times New Roman" w:eastAsia="宋体"/>
          <w:strike w:val="0"/>
          <w:dstrike w:val="0"/>
          <w:color w:val="auto"/>
          <w:spacing w:val="0"/>
          <w:sz w:val="24"/>
          <w:highlight w:val="none"/>
          <w:lang w:val="en-US" w:eastAsia="zh-CN"/>
        </w:rPr>
        <w:t>kg/a，产生速率即</w:t>
      </w:r>
      <w:r>
        <w:rPr>
          <w:rFonts w:hint="eastAsia" w:ascii="Times New Roman" w:hAnsi="Times New Roman" w:eastAsia="宋体"/>
          <w:strike w:val="0"/>
          <w:dstrike w:val="0"/>
          <w:color w:val="auto"/>
          <w:spacing w:val="0"/>
          <w:sz w:val="24"/>
          <w:highlight w:val="none"/>
          <w:lang w:val="en-US" w:eastAsia="zh-CN"/>
        </w:rPr>
        <w:t>2.61</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-3</w:t>
      </w:r>
      <w:r>
        <w:rPr>
          <w:rFonts w:hint="default" w:ascii="Times New Roman" w:hAnsi="Times New Roman" w:eastAsia="宋体"/>
          <w:strike w:val="0"/>
          <w:dstrike w:val="0"/>
          <w:color w:val="auto"/>
          <w:spacing w:val="0"/>
          <w:sz w:val="24"/>
          <w:highlight w:val="none"/>
          <w:lang w:val="en-US" w:eastAsia="zh-CN"/>
        </w:rPr>
        <w:t>和</w:t>
      </w:r>
      <w:r>
        <w:rPr>
          <w:rFonts w:hint="eastAsia" w:ascii="Times New Roman" w:hAnsi="Times New Roman" w:eastAsia="宋体"/>
          <w:strike w:val="0"/>
          <w:dstrike w:val="0"/>
          <w:color w:val="auto"/>
          <w:spacing w:val="0"/>
          <w:sz w:val="24"/>
          <w:highlight w:val="none"/>
          <w:lang w:val="en-US" w:eastAsia="zh-CN"/>
        </w:rPr>
        <w:t>6.26</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-5</w:t>
      </w:r>
      <w:r>
        <w:rPr>
          <w:rFonts w:hint="default" w:ascii="Times New Roman" w:hAnsi="Times New Roman" w:eastAsia="宋体"/>
          <w:strike w:val="0"/>
          <w:dstrike w:val="0"/>
          <w:color w:val="auto"/>
          <w:spacing w:val="0"/>
          <w:sz w:val="24"/>
          <w:highlight w:val="none"/>
          <w:lang w:val="en-US" w:eastAsia="zh-CN"/>
        </w:rPr>
        <w:t>kg/h。</w:t>
      </w:r>
    </w:p>
    <w:p w14:paraId="4E86D1F0">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default" w:ascii="Times New Roman" w:hAnsi="Times New Roman" w:eastAsia="宋体"/>
          <w:strike w:val="0"/>
          <w:dstrike w:val="0"/>
          <w:color w:val="auto"/>
          <w:spacing w:val="0"/>
          <w:sz w:val="24"/>
          <w:highlight w:val="none"/>
          <w:lang w:val="en-US" w:eastAsia="zh-CN"/>
        </w:rPr>
      </w:pPr>
      <w:r>
        <w:rPr>
          <w:rFonts w:hint="default" w:ascii="Times New Roman" w:hAnsi="Times New Roman" w:eastAsia="宋体"/>
          <w:strike w:val="0"/>
          <w:dstrike w:val="0"/>
          <w:color w:val="auto"/>
          <w:spacing w:val="0"/>
          <w:sz w:val="24"/>
          <w:highlight w:val="none"/>
          <w:lang w:val="en-US" w:eastAsia="zh-CN"/>
        </w:rPr>
        <w:t>本项目采取在</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周边种植高大乔木，利用绿色植物对恶臭气体的吸收作用减少污染；另外要在</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周边喷洒除臭剂进行处理，多用强氧化剂和杀菌剂等消除微生物产生的臭味或化学氧化臭味物质</w:t>
      </w:r>
      <w:r>
        <w:rPr>
          <w:rFonts w:hint="eastAsia" w:ascii="Times New Roman" w:hAnsi="Times New Roman" w:eastAsia="宋体"/>
          <w:strike w:val="0"/>
          <w:dstrike w:val="0"/>
          <w:color w:val="auto"/>
          <w:spacing w:val="0"/>
          <w:sz w:val="24"/>
          <w:highlight w:val="none"/>
          <w:lang w:val="en-US" w:eastAsia="zh-CN"/>
        </w:rPr>
        <w:t>；使用透气发酵膜全覆盖堆垛，周边压实，防雨、阻隔臭气，翻堆仅局部揭膜，同步喷淋除臭，完工马上盖膜；</w:t>
      </w:r>
      <w:r>
        <w:rPr>
          <w:rFonts w:hint="default" w:ascii="Times New Roman" w:hAnsi="Times New Roman" w:eastAsia="宋体"/>
          <w:strike w:val="0"/>
          <w:dstrike w:val="0"/>
          <w:color w:val="auto"/>
          <w:spacing w:val="0"/>
          <w:sz w:val="24"/>
          <w:highlight w:val="none"/>
          <w:lang w:val="en-US" w:eastAsia="zh-CN"/>
        </w:rPr>
        <w:t>经过采取以上措施后，可有效减少约60%的恶臭废气排放，经计算，</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恶臭排放量为NH</w:t>
      </w:r>
      <w:r>
        <w:rPr>
          <w:rFonts w:hint="default"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vertAlign w:val="baseline"/>
          <w:lang w:val="en-US" w:eastAsia="zh-CN"/>
        </w:rPr>
        <w:t>：9.1250</w:t>
      </w:r>
      <w:r>
        <w:rPr>
          <w:rFonts w:hint="default" w:ascii="Times New Roman" w:hAnsi="Times New Roman" w:eastAsia="宋体"/>
          <w:strike w:val="0"/>
          <w:dstrike w:val="0"/>
          <w:color w:val="auto"/>
          <w:spacing w:val="0"/>
          <w:sz w:val="24"/>
          <w:highlight w:val="none"/>
          <w:lang w:val="en-US" w:eastAsia="zh-CN"/>
        </w:rPr>
        <w:t>kg/a，H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0.2190</w:t>
      </w:r>
      <w:r>
        <w:rPr>
          <w:rFonts w:hint="default" w:ascii="Times New Roman" w:hAnsi="Times New Roman" w:eastAsia="宋体"/>
          <w:strike w:val="0"/>
          <w:dstrike w:val="0"/>
          <w:color w:val="auto"/>
          <w:spacing w:val="0"/>
          <w:sz w:val="24"/>
          <w:highlight w:val="none"/>
          <w:lang w:val="en-US" w:eastAsia="zh-CN"/>
        </w:rPr>
        <w:t>kg/a</w:t>
      </w:r>
      <w:r>
        <w:rPr>
          <w:rFonts w:hint="eastAsia" w:ascii="Times New Roman" w:hAnsi="Times New Roman" w:eastAsia="宋体"/>
          <w:strike w:val="0"/>
          <w:dstrike w:val="0"/>
          <w:color w:val="auto"/>
          <w:spacing w:val="0"/>
          <w:sz w:val="24"/>
          <w:highlight w:val="none"/>
          <w:lang w:val="en-US" w:eastAsia="zh-CN"/>
        </w:rPr>
        <w:t>，排放速率为</w:t>
      </w:r>
      <w:r>
        <w:rPr>
          <w:rFonts w:hint="default" w:ascii="Times New Roman" w:hAnsi="Times New Roman" w:eastAsia="宋体"/>
          <w:strike w:val="0"/>
          <w:dstrike w:val="0"/>
          <w:color w:val="auto"/>
          <w:spacing w:val="0"/>
          <w:sz w:val="24"/>
          <w:highlight w:val="none"/>
          <w:lang w:val="en-US" w:eastAsia="zh-CN"/>
        </w:rPr>
        <w:t>NH</w:t>
      </w:r>
      <w:r>
        <w:rPr>
          <w:rFonts w:hint="default"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1.04</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-3</w:t>
      </w:r>
      <w:r>
        <w:rPr>
          <w:rFonts w:hint="default" w:ascii="Times New Roman" w:hAnsi="Times New Roman" w:eastAsia="宋体"/>
          <w:strike w:val="0"/>
          <w:dstrike w:val="0"/>
          <w:color w:val="auto"/>
          <w:spacing w:val="0"/>
          <w:sz w:val="24"/>
          <w:highlight w:val="none"/>
          <w:lang w:val="en-US" w:eastAsia="zh-CN"/>
        </w:rPr>
        <w:t>kg/</w:t>
      </w:r>
      <w:r>
        <w:rPr>
          <w:rFonts w:hint="eastAsia"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2.50</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-5</w:t>
      </w:r>
      <w:r>
        <w:rPr>
          <w:rFonts w:hint="default" w:ascii="Times New Roman" w:hAnsi="Times New Roman" w:eastAsia="宋体"/>
          <w:strike w:val="0"/>
          <w:dstrike w:val="0"/>
          <w:color w:val="auto"/>
          <w:spacing w:val="0"/>
          <w:sz w:val="24"/>
          <w:highlight w:val="none"/>
          <w:lang w:val="en-US" w:eastAsia="zh-CN"/>
        </w:rPr>
        <w:t>kg/</w:t>
      </w:r>
      <w:r>
        <w:rPr>
          <w:rFonts w:hint="eastAsia"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lang w:val="en-US" w:eastAsia="zh-CN"/>
        </w:rPr>
        <w:t>。</w:t>
      </w:r>
    </w:p>
    <w:p w14:paraId="47D25FF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w:t>
      </w:r>
      <w:r>
        <w:rPr>
          <w:rFonts w:hint="eastAsia" w:ascii="Times New Roman" w:hAnsi="Times New Roman" w:eastAsia="宋体" w:cs="宋体"/>
          <w:color w:val="auto"/>
          <w:kern w:val="0"/>
          <w:sz w:val="24"/>
          <w:lang w:val="en-US" w:eastAsia="zh-CN" w:bidi="ar"/>
        </w:rPr>
        <w:t>堆肥厂</w:t>
      </w:r>
      <w:r>
        <w:rPr>
          <w:rFonts w:hint="eastAsia" w:ascii="Times New Roman" w:hAnsi="Times New Roman" w:eastAsia="宋体" w:cs="宋体"/>
          <w:color w:val="auto"/>
          <w:kern w:val="0"/>
          <w:sz w:val="24"/>
          <w:lang w:bidi="ar"/>
        </w:rPr>
        <w:t>恶臭气体产生排放情况见表</w:t>
      </w:r>
      <w:r>
        <w:rPr>
          <w:rFonts w:hint="eastAsia" w:ascii="Times New Roman" w:hAnsi="Times New Roman" w:eastAsia="宋体" w:cs="宋体"/>
          <w:color w:val="auto"/>
          <w:kern w:val="0"/>
          <w:sz w:val="24"/>
          <w:lang w:val="en-US" w:eastAsia="zh-CN" w:bidi="ar"/>
        </w:rPr>
        <w:t>3.3-5</w:t>
      </w:r>
      <w:r>
        <w:rPr>
          <w:rFonts w:hint="eastAsia" w:ascii="Times New Roman" w:hAnsi="Times New Roman" w:eastAsia="宋体" w:cs="宋体"/>
          <w:color w:val="auto"/>
          <w:kern w:val="0"/>
          <w:sz w:val="24"/>
          <w:lang w:bidi="ar"/>
        </w:rPr>
        <w:t>。</w:t>
      </w:r>
    </w:p>
    <w:p w14:paraId="29931670">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表3.3-5堆肥场恶臭气体产生排放情况一览表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708"/>
        <w:gridCol w:w="730"/>
        <w:gridCol w:w="1095"/>
        <w:gridCol w:w="1959"/>
        <w:gridCol w:w="657"/>
        <w:gridCol w:w="1028"/>
        <w:gridCol w:w="1149"/>
      </w:tblGrid>
      <w:tr w14:paraId="7DFE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582" w:type="pct"/>
            <w:shd w:val="clear" w:color="auto" w:fill="auto"/>
            <w:vAlign w:val="center"/>
          </w:tcPr>
          <w:p w14:paraId="259A746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污染源</w:t>
            </w:r>
          </w:p>
        </w:tc>
        <w:tc>
          <w:tcPr>
            <w:tcW w:w="426" w:type="pct"/>
            <w:shd w:val="clear" w:color="auto" w:fill="auto"/>
            <w:vAlign w:val="center"/>
          </w:tcPr>
          <w:p w14:paraId="142BD5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污染</w:t>
            </w:r>
            <w:r>
              <w:rPr>
                <w:rFonts w:hint="eastAsia" w:ascii="Times New Roman" w:hAnsi="Times New Roman" w:eastAsia="宋体" w:cs="宋体"/>
                <w:color w:val="auto"/>
                <w:kern w:val="0"/>
                <w:sz w:val="21"/>
                <w:szCs w:val="21"/>
                <w:lang w:val="en-US" w:eastAsia="zh-CN" w:bidi="ar"/>
              </w:rPr>
              <w:t>因子</w:t>
            </w:r>
          </w:p>
        </w:tc>
        <w:tc>
          <w:tcPr>
            <w:tcW w:w="440" w:type="pct"/>
            <w:shd w:val="clear" w:color="auto" w:fill="auto"/>
            <w:vAlign w:val="center"/>
          </w:tcPr>
          <w:p w14:paraId="223BB4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color w:val="auto"/>
                <w:kern w:val="0"/>
                <w:sz w:val="21"/>
                <w:szCs w:val="21"/>
                <w:lang w:val="en-US" w:eastAsia="zh-CN" w:bidi="ar"/>
              </w:rPr>
            </w:pPr>
            <w:r>
              <w:rPr>
                <w:rFonts w:hint="eastAsia" w:ascii="Times New Roman" w:hAnsi="Times New Roman" w:eastAsia="宋体" w:cs="宋体"/>
                <w:color w:val="auto"/>
                <w:kern w:val="0"/>
                <w:sz w:val="21"/>
                <w:szCs w:val="21"/>
                <w:lang w:val="en-US" w:eastAsia="zh-CN" w:bidi="ar"/>
              </w:rPr>
              <w:t>排放方式</w:t>
            </w:r>
          </w:p>
        </w:tc>
        <w:tc>
          <w:tcPr>
            <w:tcW w:w="660" w:type="pct"/>
            <w:shd w:val="clear" w:color="auto" w:fill="auto"/>
            <w:vAlign w:val="center"/>
          </w:tcPr>
          <w:p w14:paraId="0558250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产生量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1181" w:type="pct"/>
            <w:shd w:val="clear" w:color="auto" w:fill="auto"/>
            <w:vAlign w:val="center"/>
          </w:tcPr>
          <w:p w14:paraId="56A33CE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val="en-US" w:eastAsia="zh-CN" w:bidi="ar"/>
              </w:rPr>
              <w:t>治理</w:t>
            </w:r>
            <w:r>
              <w:rPr>
                <w:rFonts w:hint="eastAsia" w:ascii="Times New Roman" w:hAnsi="Times New Roman" w:eastAsia="宋体" w:cs="宋体"/>
                <w:color w:val="auto"/>
                <w:kern w:val="0"/>
                <w:sz w:val="21"/>
                <w:szCs w:val="21"/>
                <w:lang w:bidi="ar"/>
              </w:rPr>
              <w:t>措施</w:t>
            </w:r>
          </w:p>
        </w:tc>
        <w:tc>
          <w:tcPr>
            <w:tcW w:w="396" w:type="pct"/>
            <w:shd w:val="clear" w:color="auto" w:fill="auto"/>
            <w:vAlign w:val="center"/>
          </w:tcPr>
          <w:p w14:paraId="0B3D56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处理效率</w:t>
            </w:r>
          </w:p>
        </w:tc>
        <w:tc>
          <w:tcPr>
            <w:tcW w:w="619" w:type="pct"/>
            <w:shd w:val="clear" w:color="auto" w:fill="auto"/>
            <w:vAlign w:val="center"/>
          </w:tcPr>
          <w:p w14:paraId="54BAC95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692" w:type="pct"/>
            <w:shd w:val="clear" w:color="auto" w:fill="auto"/>
            <w:vAlign w:val="center"/>
          </w:tcPr>
          <w:p w14:paraId="4BB7BC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排放速率</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bidi="ar"/>
              </w:rPr>
              <w:t>kg/h</w:t>
            </w:r>
            <w:r>
              <w:rPr>
                <w:rFonts w:hint="eastAsia" w:ascii="Times New Roman" w:hAnsi="Times New Roman" w:eastAsia="宋体" w:cs="宋体"/>
                <w:color w:val="auto"/>
                <w:kern w:val="0"/>
                <w:sz w:val="21"/>
                <w:szCs w:val="21"/>
                <w:lang w:eastAsia="zh-CN" w:bidi="ar"/>
              </w:rPr>
              <w:t>）</w:t>
            </w:r>
          </w:p>
        </w:tc>
      </w:tr>
      <w:tr w14:paraId="218A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pct"/>
            <w:vMerge w:val="restart"/>
            <w:shd w:val="clear" w:color="auto" w:fill="auto"/>
            <w:vAlign w:val="center"/>
          </w:tcPr>
          <w:p w14:paraId="5766A49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堆肥场</w:t>
            </w:r>
          </w:p>
        </w:tc>
        <w:tc>
          <w:tcPr>
            <w:tcW w:w="426" w:type="pct"/>
            <w:shd w:val="clear" w:color="auto" w:fill="auto"/>
            <w:vAlign w:val="center"/>
          </w:tcPr>
          <w:p w14:paraId="23506C5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NH</w:t>
            </w:r>
            <w:r>
              <w:rPr>
                <w:rFonts w:ascii="Times New Roman" w:hAnsi="Times New Roman" w:eastAsia="宋体"/>
                <w:color w:val="auto"/>
                <w:kern w:val="0"/>
                <w:sz w:val="21"/>
                <w:szCs w:val="21"/>
                <w:vertAlign w:val="subscript"/>
                <w:lang w:bidi="ar"/>
              </w:rPr>
              <w:t>3</w:t>
            </w:r>
          </w:p>
        </w:tc>
        <w:tc>
          <w:tcPr>
            <w:tcW w:w="440" w:type="pct"/>
            <w:vMerge w:val="restart"/>
            <w:shd w:val="clear" w:color="auto" w:fill="auto"/>
            <w:vAlign w:val="center"/>
          </w:tcPr>
          <w:p w14:paraId="15E302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olor w:val="auto"/>
                <w:kern w:val="0"/>
                <w:sz w:val="21"/>
                <w:szCs w:val="21"/>
                <w:lang w:val="en-US" w:eastAsia="zh-CN" w:bidi="ar"/>
              </w:rPr>
            </w:pPr>
            <w:r>
              <w:rPr>
                <w:rFonts w:hint="eastAsia" w:ascii="Times New Roman" w:hAnsi="Times New Roman" w:eastAsia="宋体"/>
                <w:color w:val="auto"/>
                <w:kern w:val="0"/>
                <w:sz w:val="21"/>
                <w:szCs w:val="21"/>
                <w:lang w:val="en-US" w:eastAsia="zh-CN" w:bidi="ar"/>
              </w:rPr>
              <w:t>无组织</w:t>
            </w:r>
          </w:p>
        </w:tc>
        <w:tc>
          <w:tcPr>
            <w:tcW w:w="660" w:type="pct"/>
            <w:shd w:val="clear" w:color="auto" w:fill="auto"/>
            <w:vAlign w:val="center"/>
          </w:tcPr>
          <w:p w14:paraId="2E18E10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22.8375</w:t>
            </w:r>
          </w:p>
        </w:tc>
        <w:tc>
          <w:tcPr>
            <w:tcW w:w="1181" w:type="pct"/>
            <w:vMerge w:val="restart"/>
            <w:shd w:val="clear" w:color="auto" w:fill="auto"/>
            <w:vAlign w:val="center"/>
          </w:tcPr>
          <w:p w14:paraId="1C90FA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396" w:type="pct"/>
            <w:vMerge w:val="restart"/>
            <w:shd w:val="clear" w:color="auto" w:fill="auto"/>
            <w:vAlign w:val="center"/>
          </w:tcPr>
          <w:p w14:paraId="6D01162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olor w:val="auto"/>
                <w:kern w:val="0"/>
                <w:sz w:val="21"/>
                <w:szCs w:val="21"/>
                <w:lang w:val="en-US" w:eastAsia="zh-CN" w:bidi="ar"/>
              </w:rPr>
              <w:t>60</w:t>
            </w:r>
            <w:r>
              <w:rPr>
                <w:rFonts w:ascii="Times New Roman" w:hAnsi="Times New Roman" w:eastAsia="宋体"/>
                <w:color w:val="auto"/>
                <w:kern w:val="0"/>
                <w:sz w:val="21"/>
                <w:szCs w:val="21"/>
                <w:lang w:bidi="ar"/>
              </w:rPr>
              <w:t>%</w:t>
            </w:r>
          </w:p>
        </w:tc>
        <w:tc>
          <w:tcPr>
            <w:tcW w:w="619" w:type="pct"/>
            <w:shd w:val="clear" w:color="auto" w:fill="auto"/>
            <w:vAlign w:val="center"/>
          </w:tcPr>
          <w:p w14:paraId="4EAACE3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9.1350</w:t>
            </w:r>
          </w:p>
        </w:tc>
        <w:tc>
          <w:tcPr>
            <w:tcW w:w="692" w:type="pct"/>
            <w:shd w:val="clear" w:color="auto" w:fill="auto"/>
            <w:vAlign w:val="center"/>
          </w:tcPr>
          <w:p w14:paraId="072E27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1.04</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-3</w:t>
            </w:r>
          </w:p>
        </w:tc>
      </w:tr>
      <w:tr w14:paraId="40DA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pct"/>
            <w:vMerge w:val="continue"/>
            <w:shd w:val="clear" w:color="auto" w:fill="auto"/>
            <w:vAlign w:val="center"/>
          </w:tcPr>
          <w:p w14:paraId="694C7CA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center"/>
              <w:rPr>
                <w:rFonts w:ascii="Times New Roman" w:hAnsi="Times New Roman" w:eastAsia="宋体" w:cs="宋体"/>
                <w:bCs/>
                <w:color w:val="auto"/>
                <w:spacing w:val="-10"/>
                <w:sz w:val="21"/>
                <w:szCs w:val="21"/>
              </w:rPr>
            </w:pPr>
          </w:p>
        </w:tc>
        <w:tc>
          <w:tcPr>
            <w:tcW w:w="426" w:type="pct"/>
            <w:shd w:val="clear" w:color="auto" w:fill="auto"/>
            <w:vAlign w:val="center"/>
          </w:tcPr>
          <w:p w14:paraId="53B625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H</w:t>
            </w:r>
            <w:r>
              <w:rPr>
                <w:rFonts w:ascii="Times New Roman" w:hAnsi="Times New Roman" w:eastAsia="宋体"/>
                <w:color w:val="auto"/>
                <w:kern w:val="0"/>
                <w:sz w:val="21"/>
                <w:szCs w:val="21"/>
                <w:vertAlign w:val="subscript"/>
                <w:lang w:bidi="ar"/>
              </w:rPr>
              <w:t>2</w:t>
            </w:r>
            <w:r>
              <w:rPr>
                <w:rFonts w:ascii="Times New Roman" w:hAnsi="Times New Roman" w:eastAsia="宋体"/>
                <w:color w:val="auto"/>
                <w:kern w:val="0"/>
                <w:sz w:val="21"/>
                <w:szCs w:val="21"/>
                <w:lang w:bidi="ar"/>
              </w:rPr>
              <w:t>S</w:t>
            </w:r>
          </w:p>
        </w:tc>
        <w:tc>
          <w:tcPr>
            <w:tcW w:w="440" w:type="pct"/>
            <w:vMerge w:val="continue"/>
            <w:shd w:val="clear" w:color="auto" w:fill="auto"/>
            <w:vAlign w:val="center"/>
          </w:tcPr>
          <w:p w14:paraId="0F7C2D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olor w:val="auto"/>
                <w:kern w:val="0"/>
                <w:sz w:val="21"/>
                <w:szCs w:val="21"/>
                <w:lang w:bidi="ar"/>
              </w:rPr>
            </w:pPr>
          </w:p>
        </w:tc>
        <w:tc>
          <w:tcPr>
            <w:tcW w:w="660" w:type="pct"/>
            <w:shd w:val="clear" w:color="auto" w:fill="auto"/>
            <w:vAlign w:val="center"/>
          </w:tcPr>
          <w:p w14:paraId="3C66E1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0.5481</w:t>
            </w:r>
          </w:p>
        </w:tc>
        <w:tc>
          <w:tcPr>
            <w:tcW w:w="1181" w:type="pct"/>
            <w:vMerge w:val="continue"/>
            <w:shd w:val="clear" w:color="auto" w:fill="auto"/>
            <w:vAlign w:val="center"/>
          </w:tcPr>
          <w:p w14:paraId="509A804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396" w:type="pct"/>
            <w:vMerge w:val="continue"/>
            <w:shd w:val="clear" w:color="auto" w:fill="auto"/>
            <w:vAlign w:val="center"/>
          </w:tcPr>
          <w:p w14:paraId="448B6E5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619" w:type="pct"/>
            <w:shd w:val="clear" w:color="auto" w:fill="auto"/>
            <w:vAlign w:val="center"/>
          </w:tcPr>
          <w:p w14:paraId="6A5AAC2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0.2192</w:t>
            </w:r>
          </w:p>
        </w:tc>
        <w:tc>
          <w:tcPr>
            <w:tcW w:w="692" w:type="pct"/>
            <w:shd w:val="clear" w:color="auto" w:fill="auto"/>
            <w:vAlign w:val="center"/>
          </w:tcPr>
          <w:p w14:paraId="6DB2DE2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2.50</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bl>
    <w:p w14:paraId="1FF48F26">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宋体"/>
          <w:b/>
          <w:bCs/>
          <w:strike w:val="0"/>
          <w:dstrike w:val="0"/>
          <w:color w:val="auto"/>
          <w:kern w:val="0"/>
          <w:sz w:val="24"/>
          <w:szCs w:val="24"/>
          <w:lang w:val="en-US" w:eastAsia="zh-CN" w:bidi="ar"/>
        </w:rPr>
      </w:pPr>
      <w:r>
        <w:rPr>
          <w:rFonts w:hint="eastAsia" w:ascii="Times New Roman" w:hAnsi="Times New Roman" w:eastAsia="宋体" w:cs="宋体"/>
          <w:b/>
          <w:bCs/>
          <w:strike w:val="0"/>
          <w:dstrike w:val="0"/>
          <w:color w:val="auto"/>
          <w:kern w:val="0"/>
          <w:sz w:val="24"/>
          <w:szCs w:val="24"/>
          <w:lang w:val="en-US" w:eastAsia="zh-CN" w:bidi="ar"/>
        </w:rPr>
        <w:t>c黑膜池恶臭</w:t>
      </w:r>
    </w:p>
    <w:p w14:paraId="3F62AC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污水处理的臭气可分为两类：一类是直接从污水中挥发出来的，如废水中含有的有机成分；另一类是由于微生物的生物化学反应而新形成的，尤其与厌氧菌活动有很大的关系。</w:t>
      </w:r>
    </w:p>
    <w:p w14:paraId="797B142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highlight w:val="none"/>
          <w:lang w:bidi="ar"/>
        </w:rPr>
      </w:pPr>
      <w:r>
        <w:rPr>
          <w:rFonts w:hint="eastAsia" w:ascii="Times New Roman" w:hAnsi="Times New Roman" w:eastAsia="宋体" w:cs="宋体"/>
          <w:color w:val="auto"/>
          <w:kern w:val="0"/>
          <w:sz w:val="24"/>
          <w:highlight w:val="none"/>
          <w:lang w:bidi="ar"/>
        </w:rPr>
        <w:t>类比调查及美国</w:t>
      </w:r>
      <w:r>
        <w:rPr>
          <w:rFonts w:ascii="Times New Roman" w:hAnsi="Times New Roman" w:eastAsia="宋体" w:cs="宋体"/>
          <w:color w:val="auto"/>
          <w:kern w:val="0"/>
          <w:sz w:val="24"/>
          <w:highlight w:val="none"/>
          <w:lang w:bidi="ar"/>
        </w:rPr>
        <w:t>EPA</w:t>
      </w:r>
      <w:r>
        <w:rPr>
          <w:rFonts w:hint="eastAsia" w:ascii="Times New Roman" w:hAnsi="Times New Roman" w:eastAsia="宋体" w:cs="宋体"/>
          <w:color w:val="auto"/>
          <w:kern w:val="0"/>
          <w:sz w:val="24"/>
          <w:highlight w:val="none"/>
          <w:lang w:bidi="ar"/>
        </w:rPr>
        <w:t>对城市污水处理厂恶臭污染物产生情况的研究，每处理</w:t>
      </w:r>
      <w:r>
        <w:rPr>
          <w:rFonts w:ascii="Times New Roman" w:hAnsi="Times New Roman" w:eastAsia="宋体" w:cs="宋体"/>
          <w:color w:val="auto"/>
          <w:kern w:val="0"/>
          <w:sz w:val="24"/>
          <w:highlight w:val="none"/>
          <w:lang w:bidi="ar"/>
        </w:rPr>
        <w:t>1g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BOD</w:t>
      </w:r>
      <w:r>
        <w:rPr>
          <w:rFonts w:ascii="Times New Roman" w:hAnsi="Times New Roman" w:eastAsia="宋体" w:cs="宋体"/>
          <w:color w:val="auto"/>
          <w:kern w:val="0"/>
          <w:sz w:val="24"/>
          <w:highlight w:val="none"/>
          <w:vertAlign w:val="subscript"/>
          <w:lang w:bidi="ar"/>
        </w:rPr>
        <w:t>5</w:t>
      </w:r>
      <w:r>
        <w:rPr>
          <w:rFonts w:hint="eastAsia" w:ascii="Times New Roman" w:hAnsi="Times New Roman" w:eastAsia="宋体" w:cs="宋体"/>
          <w:color w:val="auto"/>
          <w:kern w:val="0"/>
          <w:sz w:val="24"/>
          <w:highlight w:val="none"/>
          <w:lang w:bidi="ar"/>
        </w:rPr>
        <w:t>，可产生</w:t>
      </w:r>
      <w:r>
        <w:rPr>
          <w:rFonts w:ascii="Times New Roman" w:hAnsi="Times New Roman" w:eastAsia="宋体" w:cs="宋体"/>
          <w:color w:val="auto"/>
          <w:kern w:val="0"/>
          <w:sz w:val="24"/>
          <w:highlight w:val="none"/>
          <w:lang w:bidi="ar"/>
        </w:rPr>
        <w:t>0.0031g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NH</w:t>
      </w:r>
      <w:r>
        <w:rPr>
          <w:rFonts w:ascii="Times New Roman" w:hAnsi="Times New Roman" w:eastAsia="宋体" w:cs="宋体"/>
          <w:color w:val="auto"/>
          <w:kern w:val="0"/>
          <w:sz w:val="24"/>
          <w:highlight w:val="none"/>
          <w:vertAlign w:val="subscript"/>
          <w:lang w:bidi="ar"/>
        </w:rPr>
        <w:t>3</w:t>
      </w:r>
      <w:r>
        <w:rPr>
          <w:rFonts w:hint="eastAsia" w:ascii="Times New Roman" w:hAnsi="Times New Roman" w:eastAsia="宋体" w:cs="宋体"/>
          <w:color w:val="auto"/>
          <w:kern w:val="0"/>
          <w:sz w:val="24"/>
          <w:highlight w:val="none"/>
          <w:lang w:bidi="ar"/>
        </w:rPr>
        <w:t>、</w:t>
      </w:r>
      <w:r>
        <w:rPr>
          <w:rFonts w:ascii="Times New Roman" w:hAnsi="Times New Roman" w:eastAsia="宋体" w:cs="宋体"/>
          <w:color w:val="auto"/>
          <w:kern w:val="0"/>
          <w:sz w:val="24"/>
          <w:highlight w:val="none"/>
          <w:lang w:bidi="ar"/>
        </w:rPr>
        <w:t>0.00012g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H</w:t>
      </w:r>
      <w:r>
        <w:rPr>
          <w:rFonts w:ascii="Times New Roman" w:hAnsi="Times New Roman" w:eastAsia="宋体" w:cs="宋体"/>
          <w:color w:val="auto"/>
          <w:kern w:val="0"/>
          <w:sz w:val="24"/>
          <w:highlight w:val="none"/>
          <w:vertAlign w:val="subscript"/>
          <w:lang w:bidi="ar"/>
        </w:rPr>
        <w:t>2</w:t>
      </w:r>
      <w:r>
        <w:rPr>
          <w:rFonts w:ascii="Times New Roman" w:hAnsi="Times New Roman" w:eastAsia="宋体" w:cs="宋体"/>
          <w:color w:val="auto"/>
          <w:kern w:val="0"/>
          <w:sz w:val="24"/>
          <w:highlight w:val="none"/>
          <w:lang w:bidi="ar"/>
        </w:rPr>
        <w:t>S</w:t>
      </w:r>
      <w:r>
        <w:rPr>
          <w:rFonts w:hint="eastAsia" w:ascii="Times New Roman" w:hAnsi="Times New Roman" w:eastAsia="宋体" w:cs="宋体"/>
          <w:color w:val="auto"/>
          <w:kern w:val="0"/>
          <w:sz w:val="24"/>
          <w:highlight w:val="none"/>
          <w:lang w:bidi="ar"/>
        </w:rPr>
        <w:t>。根据废水工程分析，本项目污水处理系统</w:t>
      </w:r>
      <w:r>
        <w:rPr>
          <w:rFonts w:ascii="Times New Roman" w:hAnsi="Times New Roman" w:eastAsia="宋体" w:cs="宋体"/>
          <w:color w:val="auto"/>
          <w:kern w:val="0"/>
          <w:sz w:val="24"/>
          <w:highlight w:val="none"/>
          <w:lang w:bidi="ar"/>
        </w:rPr>
        <w:t>BOD</w:t>
      </w:r>
      <w:r>
        <w:rPr>
          <w:rFonts w:ascii="Times New Roman" w:hAnsi="Times New Roman" w:eastAsia="宋体" w:cs="宋体"/>
          <w:color w:val="auto"/>
          <w:kern w:val="0"/>
          <w:sz w:val="24"/>
          <w:highlight w:val="none"/>
          <w:vertAlign w:val="subscript"/>
          <w:lang w:bidi="ar"/>
        </w:rPr>
        <w:t>5</w:t>
      </w:r>
      <w:r>
        <w:rPr>
          <w:rFonts w:hint="eastAsia" w:ascii="Times New Roman" w:hAnsi="Times New Roman" w:eastAsia="宋体" w:cs="宋体"/>
          <w:color w:val="auto"/>
          <w:kern w:val="0"/>
          <w:sz w:val="24"/>
          <w:highlight w:val="none"/>
          <w:lang w:bidi="ar"/>
        </w:rPr>
        <w:t>的去除量为</w:t>
      </w:r>
      <w:r>
        <w:rPr>
          <w:rFonts w:hint="eastAsia" w:ascii="Times New Roman" w:hAnsi="Times New Roman" w:eastAsia="宋体" w:cs="宋体"/>
          <w:color w:val="auto"/>
          <w:kern w:val="0"/>
          <w:sz w:val="24"/>
          <w:highlight w:val="none"/>
          <w:lang w:val="en-US" w:eastAsia="zh-CN" w:bidi="ar"/>
        </w:rPr>
        <w:t>1.57</w:t>
      </w:r>
      <w:r>
        <w:rPr>
          <w:rFonts w:ascii="Times New Roman" w:hAnsi="Times New Roman" w:eastAsia="宋体" w:cs="宋体"/>
          <w:color w:val="auto"/>
          <w:kern w:val="0"/>
          <w:sz w:val="24"/>
          <w:highlight w:val="none"/>
          <w:lang w:bidi="ar"/>
        </w:rPr>
        <w:t>t/a</w:t>
      </w:r>
      <w:r>
        <w:rPr>
          <w:rFonts w:hint="eastAsia" w:ascii="Times New Roman" w:hAnsi="Times New Roman" w:eastAsia="宋体" w:cs="宋体"/>
          <w:color w:val="auto"/>
          <w:kern w:val="0"/>
          <w:sz w:val="24"/>
          <w:highlight w:val="none"/>
          <w:lang w:bidi="ar"/>
        </w:rPr>
        <w:t>，则污水处理中</w:t>
      </w:r>
      <w:r>
        <w:rPr>
          <w:rFonts w:ascii="Times New Roman" w:hAnsi="Times New Roman" w:eastAsia="宋体" w:cs="宋体"/>
          <w:color w:val="auto"/>
          <w:kern w:val="0"/>
          <w:sz w:val="24"/>
          <w:highlight w:val="none"/>
          <w:lang w:bidi="ar"/>
        </w:rPr>
        <w:t>NH</w:t>
      </w:r>
      <w:r>
        <w:rPr>
          <w:rFonts w:ascii="Times New Roman" w:hAnsi="Times New Roman" w:eastAsia="宋体" w:cs="宋体"/>
          <w:color w:val="auto"/>
          <w:kern w:val="0"/>
          <w:sz w:val="24"/>
          <w:highlight w:val="none"/>
          <w:vertAlign w:val="subscript"/>
          <w:lang w:bidi="ar"/>
        </w:rPr>
        <w:t>3</w:t>
      </w:r>
      <w:r>
        <w:rPr>
          <w:rFonts w:hint="eastAsia" w:ascii="Times New Roman" w:hAnsi="Times New Roman" w:eastAsia="宋体" w:cs="宋体"/>
          <w:color w:val="auto"/>
          <w:kern w:val="0"/>
          <w:sz w:val="24"/>
          <w:highlight w:val="none"/>
          <w:lang w:bidi="ar"/>
        </w:rPr>
        <w:t>的产生量为</w:t>
      </w:r>
      <w:r>
        <w:rPr>
          <w:rFonts w:hint="eastAsia" w:ascii="Times New Roman" w:hAnsi="Times New Roman" w:eastAsia="宋体" w:cs="宋体"/>
          <w:color w:val="auto"/>
          <w:kern w:val="0"/>
          <w:sz w:val="24"/>
          <w:highlight w:val="none"/>
          <w:lang w:val="en-US" w:eastAsia="zh-CN" w:bidi="ar"/>
        </w:rPr>
        <w:t>4.8670kg</w:t>
      </w:r>
      <w:r>
        <w:rPr>
          <w:rFonts w:ascii="Times New Roman" w:hAnsi="Times New Roman" w:eastAsia="宋体" w:cs="宋体"/>
          <w:color w:val="auto"/>
          <w:kern w:val="0"/>
          <w:sz w:val="24"/>
          <w:highlight w:val="none"/>
          <w:lang w:bidi="ar"/>
        </w:rPr>
        <w:t>/a</w:t>
      </w:r>
      <w:r>
        <w:rPr>
          <w:rFonts w:hint="eastAsia" w:ascii="Times New Roman" w:hAnsi="Times New Roman" w:eastAsia="宋体" w:cs="宋体"/>
          <w:color w:val="auto"/>
          <w:kern w:val="0"/>
          <w:sz w:val="24"/>
          <w:highlight w:val="none"/>
          <w:lang w:bidi="ar"/>
        </w:rPr>
        <w:t>，</w:t>
      </w:r>
      <w:r>
        <w:rPr>
          <w:rFonts w:ascii="Times New Roman" w:hAnsi="Times New Roman" w:eastAsia="宋体" w:cs="宋体"/>
          <w:color w:val="auto"/>
          <w:kern w:val="0"/>
          <w:sz w:val="24"/>
          <w:highlight w:val="none"/>
          <w:lang w:bidi="ar"/>
        </w:rPr>
        <w:t>H</w:t>
      </w:r>
      <w:r>
        <w:rPr>
          <w:rFonts w:ascii="Times New Roman" w:hAnsi="Times New Roman" w:eastAsia="宋体" w:cs="宋体"/>
          <w:color w:val="auto"/>
          <w:kern w:val="0"/>
          <w:sz w:val="24"/>
          <w:highlight w:val="none"/>
          <w:vertAlign w:val="subscript"/>
          <w:lang w:bidi="ar"/>
        </w:rPr>
        <w:t>2</w:t>
      </w:r>
      <w:r>
        <w:rPr>
          <w:rFonts w:ascii="Times New Roman" w:hAnsi="Times New Roman" w:eastAsia="宋体" w:cs="宋体"/>
          <w:color w:val="auto"/>
          <w:kern w:val="0"/>
          <w:sz w:val="24"/>
          <w:highlight w:val="none"/>
          <w:lang w:bidi="ar"/>
        </w:rPr>
        <w:t>S</w:t>
      </w:r>
      <w:r>
        <w:rPr>
          <w:rFonts w:hint="eastAsia" w:ascii="Times New Roman" w:hAnsi="Times New Roman" w:eastAsia="宋体" w:cs="宋体"/>
          <w:color w:val="auto"/>
          <w:kern w:val="0"/>
          <w:sz w:val="24"/>
          <w:highlight w:val="none"/>
          <w:lang w:bidi="ar"/>
        </w:rPr>
        <w:t>的产生量为</w:t>
      </w:r>
      <w:r>
        <w:rPr>
          <w:rFonts w:hint="eastAsia" w:ascii="Times New Roman" w:hAnsi="Times New Roman" w:eastAsia="宋体" w:cs="宋体"/>
          <w:color w:val="auto"/>
          <w:kern w:val="0"/>
          <w:sz w:val="24"/>
          <w:highlight w:val="none"/>
          <w:lang w:val="en-US" w:eastAsia="zh-CN" w:bidi="ar"/>
        </w:rPr>
        <w:t>0.1884kg</w:t>
      </w:r>
      <w:r>
        <w:rPr>
          <w:rFonts w:ascii="Times New Roman" w:hAnsi="Times New Roman" w:eastAsia="宋体" w:cs="宋体"/>
          <w:color w:val="auto"/>
          <w:kern w:val="0"/>
          <w:sz w:val="24"/>
          <w:highlight w:val="none"/>
          <w:lang w:bidi="ar"/>
        </w:rPr>
        <w:t>/a</w:t>
      </w:r>
      <w:r>
        <w:rPr>
          <w:rFonts w:hint="eastAsia" w:ascii="Times New Roman" w:hAnsi="Times New Roman" w:eastAsia="宋体" w:cs="宋体"/>
          <w:color w:val="auto"/>
          <w:kern w:val="0"/>
          <w:sz w:val="24"/>
          <w:highlight w:val="none"/>
          <w:lang w:bidi="ar"/>
        </w:rPr>
        <w:t>。</w:t>
      </w:r>
    </w:p>
    <w:p w14:paraId="66626A6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项目通过喷洒除臭剂、加强绿化等措施减少污水处理过程中臭气气体排放，根据《自然科学》现代化农业，</w:t>
      </w:r>
      <w:r>
        <w:rPr>
          <w:rFonts w:ascii="Times New Roman" w:hAnsi="Times New Roman" w:eastAsia="宋体" w:cs="宋体"/>
          <w:color w:val="auto"/>
          <w:kern w:val="0"/>
          <w:sz w:val="24"/>
          <w:lang w:bidi="ar"/>
        </w:rPr>
        <w:t>2011</w:t>
      </w:r>
      <w:r>
        <w:rPr>
          <w:rFonts w:hint="eastAsia" w:ascii="Times New Roman" w:hAnsi="Times New Roman" w:eastAsia="宋体" w:cs="宋体"/>
          <w:color w:val="auto"/>
          <w:kern w:val="0"/>
          <w:sz w:val="24"/>
          <w:lang w:bidi="ar"/>
        </w:rPr>
        <w:t>年第</w:t>
      </w:r>
      <w:r>
        <w:rPr>
          <w:rFonts w:ascii="Times New Roman" w:hAnsi="Times New Roman" w:eastAsia="宋体" w:cs="宋体"/>
          <w:color w:val="auto"/>
          <w:kern w:val="0"/>
          <w:sz w:val="24"/>
          <w:lang w:bidi="ar"/>
        </w:rPr>
        <w:t>6</w:t>
      </w:r>
      <w:r>
        <w:rPr>
          <w:rFonts w:hint="eastAsia" w:ascii="Times New Roman" w:hAnsi="Times New Roman" w:eastAsia="宋体" w:cs="宋体"/>
          <w:color w:val="auto"/>
          <w:kern w:val="0"/>
          <w:sz w:val="24"/>
          <w:lang w:bidi="ar"/>
        </w:rPr>
        <w:t>期（总第</w:t>
      </w:r>
      <w:r>
        <w:rPr>
          <w:rFonts w:ascii="Times New Roman" w:hAnsi="Times New Roman" w:eastAsia="宋体" w:cs="宋体"/>
          <w:color w:val="auto"/>
          <w:kern w:val="0"/>
          <w:sz w:val="24"/>
          <w:lang w:bidi="ar"/>
        </w:rPr>
        <w:t>383</w:t>
      </w:r>
      <w:r>
        <w:rPr>
          <w:rFonts w:hint="eastAsia" w:ascii="Times New Roman" w:hAnsi="Times New Roman" w:eastAsia="宋体" w:cs="宋体"/>
          <w:color w:val="auto"/>
          <w:kern w:val="0"/>
          <w:sz w:val="24"/>
          <w:lang w:bidi="ar"/>
        </w:rPr>
        <w:t>期）“微生物除臭剂研究进展”（赵晓锋，隋文志）的资料，经国家环境分析测试中心和陕西环境监测中心测试万洁芬对</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的去除效率分别为</w:t>
      </w:r>
      <w:r>
        <w:rPr>
          <w:rFonts w:ascii="Times New Roman" w:hAnsi="Times New Roman" w:eastAsia="宋体" w:cs="宋体"/>
          <w:color w:val="auto"/>
          <w:kern w:val="0"/>
          <w:sz w:val="24"/>
          <w:lang w:bidi="ar"/>
        </w:rPr>
        <w:t>92.6%</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89%</w:t>
      </w:r>
      <w:r>
        <w:rPr>
          <w:rFonts w:hint="eastAsia" w:ascii="Times New Roman" w:hAnsi="Times New Roman" w:eastAsia="宋体" w:cs="宋体"/>
          <w:color w:val="auto"/>
          <w:kern w:val="0"/>
          <w:sz w:val="24"/>
          <w:lang w:bidi="ar"/>
        </w:rPr>
        <w:t>，本次评价对</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的保守取值</w:t>
      </w:r>
      <w:r>
        <w:rPr>
          <w:rFonts w:ascii="Times New Roman" w:hAnsi="Times New Roman" w:eastAsia="宋体" w:cs="宋体"/>
          <w:color w:val="auto"/>
          <w:kern w:val="0"/>
          <w:sz w:val="24"/>
          <w:lang w:bidi="ar"/>
        </w:rPr>
        <w:t>85%</w:t>
      </w:r>
      <w:r>
        <w:rPr>
          <w:rFonts w:hint="eastAsia" w:ascii="Times New Roman" w:hAnsi="Times New Roman" w:eastAsia="宋体" w:cs="宋体"/>
          <w:color w:val="auto"/>
          <w:kern w:val="0"/>
          <w:sz w:val="24"/>
          <w:lang w:bidi="ar"/>
        </w:rPr>
        <w:t>。则污水处理过程</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排放量分别为</w:t>
      </w:r>
      <w:r>
        <w:rPr>
          <w:rFonts w:ascii="Times New Roman" w:hAnsi="Times New Roman" w:eastAsia="宋体" w:cs="宋体"/>
          <w:color w:val="auto"/>
          <w:kern w:val="0"/>
          <w:sz w:val="24"/>
          <w:lang w:bidi="ar"/>
        </w:rPr>
        <w:t>0.00</w:t>
      </w:r>
      <w:r>
        <w:rPr>
          <w:rFonts w:hint="eastAsia" w:ascii="Times New Roman" w:hAnsi="Times New Roman" w:eastAsia="宋体" w:cs="宋体"/>
          <w:color w:val="auto"/>
          <w:kern w:val="0"/>
          <w:sz w:val="24"/>
          <w:lang w:val="en-US" w:eastAsia="zh-CN" w:bidi="ar"/>
        </w:rPr>
        <w:t>073</w:t>
      </w:r>
      <w:r>
        <w:rPr>
          <w:rFonts w:ascii="Times New Roman" w:hAnsi="Times New Roman" w:eastAsia="宋体" w:cs="宋体"/>
          <w:color w:val="auto"/>
          <w:kern w:val="0"/>
          <w:sz w:val="24"/>
          <w:lang w:bidi="ar"/>
        </w:rPr>
        <w:t>t/a</w:t>
      </w:r>
      <w:r>
        <w:rPr>
          <w:rFonts w:hint="eastAsia" w:ascii="Times New Roman" w:hAnsi="Times New Roman" w:eastAsia="宋体" w:cs="宋体"/>
          <w:color w:val="auto"/>
          <w:kern w:val="0"/>
          <w:sz w:val="24"/>
          <w:lang w:bidi="ar"/>
        </w:rPr>
        <w:t>、</w:t>
      </w:r>
      <w:r>
        <w:rPr>
          <w:rFonts w:ascii="Times New Roman" w:hAnsi="Times New Roman" w:eastAsia="宋体" w:cs="宋体"/>
          <w:color w:val="auto"/>
          <w:kern w:val="0"/>
          <w:sz w:val="24"/>
          <w:lang w:bidi="ar"/>
        </w:rPr>
        <w:t>0.000</w:t>
      </w:r>
      <w:r>
        <w:rPr>
          <w:rFonts w:hint="eastAsia" w:ascii="Times New Roman" w:hAnsi="Times New Roman" w:eastAsia="宋体" w:cs="宋体"/>
          <w:color w:val="auto"/>
          <w:kern w:val="0"/>
          <w:sz w:val="24"/>
          <w:lang w:val="en-US" w:eastAsia="zh-CN" w:bidi="ar"/>
        </w:rPr>
        <w:t>0283</w:t>
      </w:r>
      <w:r>
        <w:rPr>
          <w:rFonts w:ascii="Times New Roman" w:hAnsi="Times New Roman" w:eastAsia="宋体" w:cs="宋体"/>
          <w:color w:val="auto"/>
          <w:kern w:val="0"/>
          <w:sz w:val="24"/>
          <w:lang w:bidi="ar"/>
        </w:rPr>
        <w:t>t/a</w:t>
      </w:r>
      <w:r>
        <w:rPr>
          <w:rFonts w:hint="eastAsia" w:ascii="Times New Roman" w:hAnsi="Times New Roman" w:eastAsia="宋体" w:cs="宋体"/>
          <w:color w:val="auto"/>
          <w:kern w:val="0"/>
          <w:sz w:val="24"/>
          <w:lang w:bidi="ar"/>
        </w:rPr>
        <w:t>，排放速率分别为</w:t>
      </w:r>
      <w:r>
        <w:rPr>
          <w:rFonts w:hint="eastAsia" w:ascii="Times New Roman" w:hAnsi="Times New Roman" w:eastAsia="宋体"/>
          <w:color w:val="auto"/>
          <w:kern w:val="0"/>
          <w:sz w:val="24"/>
          <w:szCs w:val="20"/>
          <w:lang w:val="en-US" w:eastAsia="zh-CN" w:bidi="ar"/>
        </w:rPr>
        <w:t>8.3</w:t>
      </w:r>
      <w:r>
        <w:rPr>
          <w:rFonts w:hint="default" w:ascii="Times New Roman" w:hAnsi="Times New Roman" w:eastAsia="宋体" w:cs="Arial"/>
          <w:color w:val="auto"/>
          <w:kern w:val="0"/>
          <w:sz w:val="24"/>
          <w:szCs w:val="20"/>
          <w:lang w:val="en-US" w:eastAsia="zh-CN" w:bidi="ar"/>
        </w:rPr>
        <w:t>×</w:t>
      </w:r>
      <w:r>
        <w:rPr>
          <w:rFonts w:hint="eastAsia" w:ascii="Times New Roman" w:hAnsi="Times New Roman" w:eastAsia="宋体"/>
          <w:color w:val="auto"/>
          <w:kern w:val="0"/>
          <w:sz w:val="24"/>
          <w:szCs w:val="20"/>
          <w:lang w:val="en-US" w:eastAsia="zh-CN" w:bidi="ar"/>
        </w:rPr>
        <w:t>10</w:t>
      </w:r>
      <w:r>
        <w:rPr>
          <w:rFonts w:hint="eastAsia" w:ascii="Times New Roman" w:hAnsi="Times New Roman" w:eastAsia="宋体"/>
          <w:color w:val="auto"/>
          <w:kern w:val="0"/>
          <w:sz w:val="24"/>
          <w:szCs w:val="20"/>
          <w:vertAlign w:val="superscript"/>
          <w:lang w:val="en-US" w:eastAsia="zh-CN" w:bidi="ar"/>
        </w:rPr>
        <w:t>-5</w:t>
      </w:r>
      <w:r>
        <w:rPr>
          <w:rFonts w:ascii="Times New Roman" w:hAnsi="Times New Roman" w:eastAsia="宋体" w:cs="宋体"/>
          <w:color w:val="auto"/>
          <w:kern w:val="0"/>
          <w:sz w:val="24"/>
          <w:lang w:bidi="ar"/>
        </w:rPr>
        <w:t>kg/h</w:t>
      </w:r>
      <w:r>
        <w:rPr>
          <w:rFonts w:hint="eastAsia" w:ascii="Times New Roman" w:hAnsi="Times New Roman" w:eastAsia="宋体" w:cs="宋体"/>
          <w:color w:val="auto"/>
          <w:kern w:val="0"/>
          <w:sz w:val="24"/>
          <w:lang w:bidi="ar"/>
        </w:rPr>
        <w:t>、</w:t>
      </w:r>
      <w:r>
        <w:rPr>
          <w:rFonts w:ascii="Times New Roman" w:hAnsi="Times New Roman" w:eastAsia="宋体" w:cs="宋体"/>
          <w:color w:val="auto"/>
          <w:kern w:val="0"/>
          <w:sz w:val="24"/>
          <w:lang w:bidi="ar"/>
        </w:rPr>
        <w:t>0.0000</w:t>
      </w:r>
      <w:r>
        <w:rPr>
          <w:rFonts w:hint="eastAsia" w:ascii="Times New Roman" w:hAnsi="Times New Roman" w:eastAsia="宋体" w:cs="宋体"/>
          <w:color w:val="auto"/>
          <w:kern w:val="0"/>
          <w:sz w:val="24"/>
          <w:lang w:val="en-US" w:eastAsia="zh-CN" w:bidi="ar"/>
        </w:rPr>
        <w:t>17</w:t>
      </w:r>
      <w:r>
        <w:rPr>
          <w:rFonts w:ascii="Times New Roman" w:hAnsi="Times New Roman" w:eastAsia="宋体" w:cs="宋体"/>
          <w:color w:val="auto"/>
          <w:kern w:val="0"/>
          <w:sz w:val="24"/>
          <w:lang w:bidi="ar"/>
        </w:rPr>
        <w:t>kg/h</w:t>
      </w:r>
      <w:r>
        <w:rPr>
          <w:rFonts w:hint="eastAsia" w:ascii="Times New Roman" w:hAnsi="Times New Roman" w:eastAsia="宋体" w:cs="宋体"/>
          <w:color w:val="auto"/>
          <w:kern w:val="0"/>
          <w:sz w:val="24"/>
          <w:lang w:bidi="ar"/>
        </w:rPr>
        <w:t>。</w:t>
      </w:r>
    </w:p>
    <w:p w14:paraId="1B9EE89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本项目黑膜池恶臭气体产生排放情况见表</w:t>
      </w:r>
      <w:r>
        <w:rPr>
          <w:rFonts w:hint="eastAsia" w:ascii="Times New Roman" w:hAnsi="Times New Roman" w:eastAsia="宋体" w:cs="宋体"/>
          <w:color w:val="auto"/>
          <w:kern w:val="0"/>
          <w:sz w:val="24"/>
          <w:lang w:val="en-US" w:eastAsia="zh-CN" w:bidi="ar"/>
        </w:rPr>
        <w:t>3.3-6</w:t>
      </w:r>
      <w:r>
        <w:rPr>
          <w:rFonts w:hint="eastAsia" w:ascii="Times New Roman" w:hAnsi="Times New Roman" w:eastAsia="宋体" w:cs="宋体"/>
          <w:color w:val="auto"/>
          <w:kern w:val="0"/>
          <w:sz w:val="24"/>
          <w:lang w:bidi="ar"/>
        </w:rPr>
        <w:t>。</w:t>
      </w:r>
    </w:p>
    <w:p w14:paraId="40F3E1FA">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表3.3-6黑膜池恶臭气体产生排放情况一览表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708"/>
        <w:gridCol w:w="730"/>
        <w:gridCol w:w="1095"/>
        <w:gridCol w:w="1959"/>
        <w:gridCol w:w="657"/>
        <w:gridCol w:w="1028"/>
        <w:gridCol w:w="1149"/>
      </w:tblGrid>
      <w:tr w14:paraId="4A38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582" w:type="pct"/>
            <w:shd w:val="clear" w:color="auto" w:fill="auto"/>
            <w:vAlign w:val="center"/>
          </w:tcPr>
          <w:p w14:paraId="485BBC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污染源</w:t>
            </w:r>
          </w:p>
        </w:tc>
        <w:tc>
          <w:tcPr>
            <w:tcW w:w="426" w:type="pct"/>
            <w:shd w:val="clear" w:color="auto" w:fill="auto"/>
            <w:vAlign w:val="center"/>
          </w:tcPr>
          <w:p w14:paraId="02F02DB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污染</w:t>
            </w:r>
            <w:r>
              <w:rPr>
                <w:rFonts w:hint="eastAsia" w:ascii="Times New Roman" w:hAnsi="Times New Roman" w:eastAsia="宋体" w:cs="宋体"/>
                <w:color w:val="auto"/>
                <w:kern w:val="0"/>
                <w:sz w:val="21"/>
                <w:szCs w:val="21"/>
                <w:lang w:val="en-US" w:eastAsia="zh-CN" w:bidi="ar"/>
              </w:rPr>
              <w:t>因子</w:t>
            </w:r>
          </w:p>
        </w:tc>
        <w:tc>
          <w:tcPr>
            <w:tcW w:w="440" w:type="pct"/>
            <w:shd w:val="clear" w:color="auto" w:fill="auto"/>
            <w:vAlign w:val="center"/>
          </w:tcPr>
          <w:p w14:paraId="21E5968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color w:val="auto"/>
                <w:kern w:val="0"/>
                <w:sz w:val="21"/>
                <w:szCs w:val="21"/>
                <w:lang w:val="en-US" w:eastAsia="zh-CN" w:bidi="ar"/>
              </w:rPr>
            </w:pPr>
            <w:r>
              <w:rPr>
                <w:rFonts w:hint="eastAsia" w:ascii="Times New Roman" w:hAnsi="Times New Roman" w:eastAsia="宋体" w:cs="宋体"/>
                <w:color w:val="auto"/>
                <w:kern w:val="0"/>
                <w:sz w:val="21"/>
                <w:szCs w:val="21"/>
                <w:lang w:val="en-US" w:eastAsia="zh-CN" w:bidi="ar"/>
              </w:rPr>
              <w:t>排放方式</w:t>
            </w:r>
          </w:p>
        </w:tc>
        <w:tc>
          <w:tcPr>
            <w:tcW w:w="660" w:type="pct"/>
            <w:shd w:val="clear" w:color="auto" w:fill="auto"/>
            <w:vAlign w:val="center"/>
          </w:tcPr>
          <w:p w14:paraId="3F5789D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产生量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1181" w:type="pct"/>
            <w:shd w:val="clear" w:color="auto" w:fill="auto"/>
            <w:vAlign w:val="center"/>
          </w:tcPr>
          <w:p w14:paraId="7BB3830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val="en-US" w:eastAsia="zh-CN" w:bidi="ar"/>
              </w:rPr>
              <w:t>治理</w:t>
            </w:r>
            <w:r>
              <w:rPr>
                <w:rFonts w:hint="eastAsia" w:ascii="Times New Roman" w:hAnsi="Times New Roman" w:eastAsia="宋体" w:cs="宋体"/>
                <w:color w:val="auto"/>
                <w:kern w:val="0"/>
                <w:sz w:val="21"/>
                <w:szCs w:val="21"/>
                <w:lang w:bidi="ar"/>
              </w:rPr>
              <w:t>措施</w:t>
            </w:r>
          </w:p>
        </w:tc>
        <w:tc>
          <w:tcPr>
            <w:tcW w:w="396" w:type="pct"/>
            <w:shd w:val="clear" w:color="auto" w:fill="auto"/>
            <w:vAlign w:val="center"/>
          </w:tcPr>
          <w:p w14:paraId="311190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处理效率</w:t>
            </w:r>
          </w:p>
        </w:tc>
        <w:tc>
          <w:tcPr>
            <w:tcW w:w="619" w:type="pct"/>
            <w:shd w:val="clear" w:color="auto" w:fill="auto"/>
            <w:vAlign w:val="center"/>
          </w:tcPr>
          <w:p w14:paraId="057576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692" w:type="pct"/>
            <w:shd w:val="clear" w:color="auto" w:fill="auto"/>
            <w:vAlign w:val="center"/>
          </w:tcPr>
          <w:p w14:paraId="15936C6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排放速率</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bidi="ar"/>
              </w:rPr>
              <w:t>kg/h</w:t>
            </w:r>
            <w:r>
              <w:rPr>
                <w:rFonts w:hint="eastAsia" w:ascii="Times New Roman" w:hAnsi="Times New Roman" w:eastAsia="宋体" w:cs="宋体"/>
                <w:color w:val="auto"/>
                <w:kern w:val="0"/>
                <w:sz w:val="21"/>
                <w:szCs w:val="21"/>
                <w:lang w:eastAsia="zh-CN" w:bidi="ar"/>
              </w:rPr>
              <w:t>）</w:t>
            </w:r>
          </w:p>
        </w:tc>
      </w:tr>
      <w:tr w14:paraId="20B0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pct"/>
            <w:vMerge w:val="restart"/>
            <w:shd w:val="clear" w:color="auto" w:fill="auto"/>
            <w:vAlign w:val="center"/>
          </w:tcPr>
          <w:p w14:paraId="31C161B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黑膜池恶臭</w:t>
            </w:r>
          </w:p>
        </w:tc>
        <w:tc>
          <w:tcPr>
            <w:tcW w:w="426" w:type="pct"/>
            <w:shd w:val="clear" w:color="auto" w:fill="auto"/>
            <w:vAlign w:val="center"/>
          </w:tcPr>
          <w:p w14:paraId="1B235CE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NH</w:t>
            </w:r>
            <w:r>
              <w:rPr>
                <w:rFonts w:ascii="Times New Roman" w:hAnsi="Times New Roman" w:eastAsia="宋体"/>
                <w:color w:val="auto"/>
                <w:kern w:val="0"/>
                <w:sz w:val="21"/>
                <w:szCs w:val="21"/>
                <w:vertAlign w:val="subscript"/>
                <w:lang w:bidi="ar"/>
              </w:rPr>
              <w:t>3</w:t>
            </w:r>
          </w:p>
        </w:tc>
        <w:tc>
          <w:tcPr>
            <w:tcW w:w="440" w:type="pct"/>
            <w:vMerge w:val="restart"/>
            <w:shd w:val="clear" w:color="auto" w:fill="auto"/>
            <w:vAlign w:val="center"/>
          </w:tcPr>
          <w:p w14:paraId="786CEF0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olor w:val="auto"/>
                <w:kern w:val="0"/>
                <w:sz w:val="21"/>
                <w:szCs w:val="21"/>
                <w:lang w:val="en-US" w:eastAsia="zh-CN" w:bidi="ar"/>
              </w:rPr>
            </w:pPr>
            <w:r>
              <w:rPr>
                <w:rFonts w:hint="eastAsia" w:ascii="Times New Roman" w:hAnsi="Times New Roman" w:eastAsia="宋体"/>
                <w:color w:val="auto"/>
                <w:kern w:val="0"/>
                <w:sz w:val="21"/>
                <w:szCs w:val="21"/>
                <w:lang w:val="en-US" w:eastAsia="zh-CN" w:bidi="ar"/>
              </w:rPr>
              <w:t>无组织</w:t>
            </w:r>
          </w:p>
        </w:tc>
        <w:tc>
          <w:tcPr>
            <w:tcW w:w="660" w:type="pct"/>
            <w:shd w:val="clear" w:color="auto" w:fill="auto"/>
            <w:vAlign w:val="center"/>
          </w:tcPr>
          <w:p w14:paraId="7E5D641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4.8670</w:t>
            </w:r>
          </w:p>
        </w:tc>
        <w:tc>
          <w:tcPr>
            <w:tcW w:w="1181" w:type="pct"/>
            <w:vMerge w:val="restart"/>
            <w:shd w:val="clear" w:color="auto" w:fill="auto"/>
            <w:vAlign w:val="center"/>
          </w:tcPr>
          <w:p w14:paraId="0D9748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池体覆膜密闭，喷洒除臭剂、加强绿化</w:t>
            </w:r>
          </w:p>
        </w:tc>
        <w:tc>
          <w:tcPr>
            <w:tcW w:w="396" w:type="pct"/>
            <w:vMerge w:val="restart"/>
            <w:shd w:val="clear" w:color="auto" w:fill="auto"/>
            <w:vAlign w:val="center"/>
          </w:tcPr>
          <w:p w14:paraId="32E11F8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85%</w:t>
            </w:r>
          </w:p>
        </w:tc>
        <w:tc>
          <w:tcPr>
            <w:tcW w:w="619" w:type="pct"/>
            <w:shd w:val="clear" w:color="auto" w:fill="auto"/>
            <w:vAlign w:val="center"/>
          </w:tcPr>
          <w:p w14:paraId="201276D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0.7301</w:t>
            </w:r>
          </w:p>
        </w:tc>
        <w:tc>
          <w:tcPr>
            <w:tcW w:w="692" w:type="pct"/>
            <w:shd w:val="clear" w:color="auto" w:fill="auto"/>
            <w:vAlign w:val="center"/>
          </w:tcPr>
          <w:p w14:paraId="2FFD864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r w14:paraId="32A9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pct"/>
            <w:vMerge w:val="continue"/>
            <w:shd w:val="clear" w:color="auto" w:fill="auto"/>
            <w:vAlign w:val="center"/>
          </w:tcPr>
          <w:p w14:paraId="4C46A4F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center"/>
              <w:rPr>
                <w:rFonts w:ascii="Times New Roman" w:hAnsi="Times New Roman" w:eastAsia="宋体" w:cs="宋体"/>
                <w:bCs/>
                <w:color w:val="auto"/>
                <w:spacing w:val="-10"/>
                <w:sz w:val="21"/>
                <w:szCs w:val="21"/>
              </w:rPr>
            </w:pPr>
          </w:p>
        </w:tc>
        <w:tc>
          <w:tcPr>
            <w:tcW w:w="426" w:type="pct"/>
            <w:shd w:val="clear" w:color="auto" w:fill="auto"/>
            <w:vAlign w:val="center"/>
          </w:tcPr>
          <w:p w14:paraId="4CF46A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H</w:t>
            </w:r>
            <w:r>
              <w:rPr>
                <w:rFonts w:ascii="Times New Roman" w:hAnsi="Times New Roman" w:eastAsia="宋体"/>
                <w:color w:val="auto"/>
                <w:kern w:val="0"/>
                <w:sz w:val="21"/>
                <w:szCs w:val="21"/>
                <w:vertAlign w:val="subscript"/>
                <w:lang w:bidi="ar"/>
              </w:rPr>
              <w:t>2</w:t>
            </w:r>
            <w:r>
              <w:rPr>
                <w:rFonts w:ascii="Times New Roman" w:hAnsi="Times New Roman" w:eastAsia="宋体"/>
                <w:color w:val="auto"/>
                <w:kern w:val="0"/>
                <w:sz w:val="21"/>
                <w:szCs w:val="21"/>
                <w:lang w:bidi="ar"/>
              </w:rPr>
              <w:t>S</w:t>
            </w:r>
          </w:p>
        </w:tc>
        <w:tc>
          <w:tcPr>
            <w:tcW w:w="440" w:type="pct"/>
            <w:vMerge w:val="continue"/>
            <w:shd w:val="clear" w:color="auto" w:fill="auto"/>
            <w:vAlign w:val="center"/>
          </w:tcPr>
          <w:p w14:paraId="37A8D9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olor w:val="auto"/>
                <w:kern w:val="0"/>
                <w:sz w:val="21"/>
                <w:szCs w:val="21"/>
                <w:lang w:bidi="ar"/>
              </w:rPr>
            </w:pPr>
          </w:p>
        </w:tc>
        <w:tc>
          <w:tcPr>
            <w:tcW w:w="660" w:type="pct"/>
            <w:shd w:val="clear" w:color="auto" w:fill="auto"/>
            <w:vAlign w:val="center"/>
          </w:tcPr>
          <w:p w14:paraId="709AE87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ascii="Times New Roman" w:hAnsi="Times New Roman" w:eastAsia="宋体"/>
                <w:color w:val="auto"/>
                <w:kern w:val="0"/>
                <w:sz w:val="21"/>
                <w:szCs w:val="21"/>
                <w:lang w:bidi="ar"/>
              </w:rPr>
              <w:t>0.</w:t>
            </w:r>
            <w:r>
              <w:rPr>
                <w:rFonts w:hint="eastAsia" w:ascii="Times New Roman" w:hAnsi="Times New Roman" w:eastAsia="宋体"/>
                <w:color w:val="auto"/>
                <w:kern w:val="0"/>
                <w:sz w:val="21"/>
                <w:szCs w:val="21"/>
                <w:lang w:val="en-US" w:eastAsia="zh-CN" w:bidi="ar"/>
              </w:rPr>
              <w:t>1884</w:t>
            </w:r>
          </w:p>
        </w:tc>
        <w:tc>
          <w:tcPr>
            <w:tcW w:w="1181" w:type="pct"/>
            <w:vMerge w:val="continue"/>
            <w:shd w:val="clear" w:color="auto" w:fill="auto"/>
            <w:vAlign w:val="center"/>
          </w:tcPr>
          <w:p w14:paraId="13A95D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396" w:type="pct"/>
            <w:vMerge w:val="continue"/>
            <w:shd w:val="clear" w:color="auto" w:fill="auto"/>
            <w:vAlign w:val="center"/>
          </w:tcPr>
          <w:p w14:paraId="1463542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619" w:type="pct"/>
            <w:shd w:val="clear" w:color="auto" w:fill="auto"/>
            <w:vAlign w:val="center"/>
          </w:tcPr>
          <w:p w14:paraId="0C97DE3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0.0283</w:t>
            </w:r>
          </w:p>
        </w:tc>
        <w:tc>
          <w:tcPr>
            <w:tcW w:w="692" w:type="pct"/>
            <w:shd w:val="clear" w:color="auto" w:fill="auto"/>
            <w:vAlign w:val="center"/>
          </w:tcPr>
          <w:p w14:paraId="365812B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53102358">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b/>
          <w:bCs/>
          <w:strike w:val="0"/>
          <w:dstrike w:val="0"/>
          <w:color w:val="auto"/>
          <w:sz w:val="24"/>
        </w:rPr>
      </w:pPr>
      <w:r>
        <w:rPr>
          <w:rFonts w:hint="eastAsia" w:ascii="Times New Roman" w:hAnsi="Times New Roman" w:eastAsia="宋体" w:cs="宋体"/>
          <w:b/>
          <w:bCs/>
          <w:strike w:val="0"/>
          <w:dstrike w:val="0"/>
          <w:color w:val="auto"/>
          <w:kern w:val="0"/>
          <w:sz w:val="24"/>
          <w:szCs w:val="24"/>
          <w:lang w:val="en-US" w:eastAsia="zh-CN" w:bidi="ar"/>
        </w:rPr>
        <w:t>③无组织排放恶臭的治理措施</w:t>
      </w:r>
    </w:p>
    <w:p w14:paraId="3F2D1F94">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此类无组织排放恶臭的治理方法主要从减少臭气产生、防止恶臭扩散等多种方法并举。建设单位拟采取如下措施：</w:t>
      </w:r>
    </w:p>
    <w:p w14:paraId="71B57BCB">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Times New Roman"/>
          <w:strike w:val="0"/>
          <w:dstrike w:val="0"/>
          <w:color w:val="auto"/>
          <w:kern w:val="0"/>
          <w:sz w:val="24"/>
          <w:szCs w:val="24"/>
          <w:lang w:val="en-US" w:eastAsia="zh-CN" w:bidi="ar"/>
        </w:rPr>
        <w:t>a</w:t>
      </w:r>
      <w:r>
        <w:rPr>
          <w:rFonts w:hint="eastAsia" w:ascii="Times New Roman" w:hAnsi="Times New Roman" w:eastAsia="宋体" w:cs="宋体"/>
          <w:strike w:val="0"/>
          <w:dstrike w:val="0"/>
          <w:color w:val="auto"/>
          <w:kern w:val="0"/>
          <w:sz w:val="24"/>
          <w:szCs w:val="24"/>
          <w:lang w:val="en-US" w:eastAsia="zh-CN" w:bidi="ar"/>
        </w:rPr>
        <w:t>驼舍采用自然通风辅助机械通风方式加强通风，来保持驼舍空气的流通和新鲜。</w:t>
      </w:r>
    </w:p>
    <w:p w14:paraId="772E90DD">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b</w:t>
      </w:r>
      <w:r>
        <w:rPr>
          <w:rFonts w:hint="eastAsia" w:ascii="Times New Roman" w:hAnsi="Times New Roman" w:eastAsia="宋体" w:cs="宋体"/>
          <w:strike w:val="0"/>
          <w:dstrike w:val="0"/>
          <w:color w:val="auto"/>
          <w:kern w:val="0"/>
          <w:sz w:val="24"/>
          <w:szCs w:val="24"/>
          <w:lang w:val="en-US" w:eastAsia="zh-CN" w:bidi="ar"/>
        </w:rPr>
        <w:t>同时进行喷洒除臭，除臭液每</w:t>
      </w:r>
      <w:r>
        <w:rPr>
          <w:rFonts w:hint="default" w:ascii="Times New Roman" w:hAnsi="Times New Roman" w:eastAsia="宋体" w:cs="Times New Roman"/>
          <w:strike w:val="0"/>
          <w:dstrike w:val="0"/>
          <w:color w:val="auto"/>
          <w:kern w:val="0"/>
          <w:sz w:val="24"/>
          <w:szCs w:val="24"/>
          <w:lang w:val="en-US" w:eastAsia="zh-CN" w:bidi="ar"/>
        </w:rPr>
        <w:t>7</w:t>
      </w:r>
      <w:r>
        <w:rPr>
          <w:rFonts w:hint="eastAsia" w:ascii="Times New Roman" w:hAnsi="Times New Roman" w:eastAsia="宋体" w:cs="宋体"/>
          <w:strike w:val="0"/>
          <w:dstrike w:val="0"/>
          <w:color w:val="auto"/>
          <w:kern w:val="0"/>
          <w:sz w:val="24"/>
          <w:szCs w:val="24"/>
          <w:lang w:val="en-US" w:eastAsia="zh-CN" w:bidi="ar"/>
        </w:rPr>
        <w:t>天喷洒一次，除臭效率约为</w:t>
      </w:r>
      <w:r>
        <w:rPr>
          <w:rFonts w:hint="default" w:ascii="Times New Roman" w:hAnsi="Times New Roman" w:eastAsia="宋体" w:cs="Times New Roman"/>
          <w:strike w:val="0"/>
          <w:dstrike w:val="0"/>
          <w:color w:val="auto"/>
          <w:kern w:val="0"/>
          <w:sz w:val="24"/>
          <w:szCs w:val="24"/>
          <w:lang w:val="en-US" w:eastAsia="zh-CN" w:bidi="ar"/>
        </w:rPr>
        <w:t>80%</w:t>
      </w:r>
      <w:r>
        <w:rPr>
          <w:rFonts w:hint="eastAsia" w:ascii="Times New Roman" w:hAnsi="Times New Roman" w:eastAsia="宋体" w:cs="宋体"/>
          <w:strike w:val="0"/>
          <w:dstrike w:val="0"/>
          <w:color w:val="auto"/>
          <w:kern w:val="0"/>
          <w:sz w:val="24"/>
          <w:szCs w:val="24"/>
          <w:lang w:val="en-US" w:eastAsia="zh-CN" w:bidi="ar"/>
        </w:rPr>
        <w:t>。</w:t>
      </w:r>
    </w:p>
    <w:p w14:paraId="4D6162F2">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c</w:t>
      </w:r>
      <w:r>
        <w:rPr>
          <w:rFonts w:hint="eastAsia" w:ascii="Times New Roman" w:hAnsi="Times New Roman" w:eastAsia="宋体" w:cs="宋体"/>
          <w:strike w:val="0"/>
          <w:dstrike w:val="0"/>
          <w:color w:val="auto"/>
          <w:kern w:val="0"/>
          <w:sz w:val="24"/>
          <w:szCs w:val="24"/>
          <w:lang w:val="en-US" w:eastAsia="zh-CN" w:bidi="ar"/>
        </w:rPr>
        <w:t>本项目计划采用科学饲喂技术，提高饲料的利用率（尤其是氮的利用率），降低排泄物中氮的含量及恶臭气体的排放。</w:t>
      </w:r>
    </w:p>
    <w:p w14:paraId="10640505">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项目场区绿化率达到</w:t>
      </w:r>
      <w:r>
        <w:rPr>
          <w:rFonts w:hint="default" w:ascii="Times New Roman" w:hAnsi="Times New Roman" w:eastAsia="宋体" w:cs="Times New Roman"/>
          <w:strike w:val="0"/>
          <w:dstrike w:val="0"/>
          <w:color w:val="auto"/>
          <w:kern w:val="0"/>
          <w:sz w:val="24"/>
          <w:szCs w:val="24"/>
          <w:lang w:val="en-US" w:eastAsia="zh-CN" w:bidi="ar"/>
        </w:rPr>
        <w:t>10%</w:t>
      </w:r>
      <w:r>
        <w:rPr>
          <w:rFonts w:hint="eastAsia" w:ascii="Times New Roman" w:hAnsi="Times New Roman" w:eastAsia="宋体" w:cs="宋体"/>
          <w:strike w:val="0"/>
          <w:dstrike w:val="0"/>
          <w:color w:val="auto"/>
          <w:kern w:val="0"/>
          <w:sz w:val="24"/>
          <w:szCs w:val="24"/>
          <w:lang w:val="en-US" w:eastAsia="zh-CN" w:bidi="ar"/>
        </w:rPr>
        <w:t>。鉴于养殖行业特殊性，在树种选择上，不仅要考虑美化效果，还必须考虑在除臭、防火、吸尘、杀菌等方面的作用，最大限度地防止臭味对周围大气环境的影响在办公区内设置绿化，区内空地和路边尽量植树及种植花草，以最大限度地防止臭味对周围大气环境的影响。</w:t>
      </w:r>
    </w:p>
    <w:p w14:paraId="44F465D6">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本项目运营期采取上述畜禽养殖污染预防措施和养殖场臭气污染控制措施后，可以大大减少恶臭气体的产生。</w:t>
      </w:r>
    </w:p>
    <w:p w14:paraId="0F5D61FB">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b/>
          <w:bCs/>
          <w:strike w:val="0"/>
          <w:dstrike w:val="0"/>
          <w:color w:val="auto"/>
          <w:spacing w:val="0"/>
          <w:sz w:val="24"/>
          <w:highlight w:val="none"/>
          <w:lang w:val="en-US" w:eastAsia="zh-CN"/>
        </w:rPr>
        <w:t>（2）饲料加工粉尘</w:t>
      </w:r>
    </w:p>
    <w:p w14:paraId="504FA3E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骆驼喂养采用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加料法喂养，将干草（以苜蓿、玉米秸秆为主）、精料和青贮料在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饲料喂养车内充分混合得到</w:t>
      </w:r>
      <w:r>
        <w:rPr>
          <w:rFonts w:hint="default" w:ascii="Times New Roman" w:hAnsi="Times New Roman" w:eastAsia="宋体" w:cs="Times New Roman"/>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全价日粮</w:t>
      </w:r>
      <w:r>
        <w:rPr>
          <w:rFonts w:hint="default" w:ascii="Times New Roman" w:hAnsi="Times New Roman" w:eastAsia="宋体" w:cs="Times New Roman"/>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，运到驼舍分发。在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饲料制取设备混料箱内，通过绞龙和刀片的作用对饲料切碎、揉搓、软化及搓细，实现饲料的搅拌与混合，此过程中会产生少量粉尘。</w:t>
      </w:r>
    </w:p>
    <w:p w14:paraId="61BC2093">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Times New Roman" w:hAnsi="Times New Roman" w:eastAsia="宋体" w:cs="宋体"/>
          <w:b/>
          <w:bCs/>
          <w:strike w:val="0"/>
          <w:dstrike w:val="0"/>
          <w:color w:val="auto"/>
          <w:kern w:val="0"/>
          <w:sz w:val="24"/>
          <w:szCs w:val="24"/>
          <w:highlight w:val="none"/>
          <w:lang w:val="en-US" w:eastAsia="zh-CN" w:bidi="ar"/>
        </w:rPr>
      </w:pPr>
      <w:r>
        <w:rPr>
          <w:rFonts w:hint="eastAsia" w:ascii="Times New Roman" w:hAnsi="Times New Roman" w:eastAsia="宋体" w:cs="宋体"/>
          <w:b/>
          <w:bCs/>
          <w:strike w:val="0"/>
          <w:dstrike w:val="0"/>
          <w:color w:val="auto"/>
          <w:kern w:val="0"/>
          <w:sz w:val="24"/>
          <w:szCs w:val="24"/>
          <w:highlight w:val="none"/>
          <w:lang w:val="en-US" w:eastAsia="zh-CN" w:bidi="ar"/>
        </w:rPr>
        <w:t>防治措施</w:t>
      </w:r>
    </w:p>
    <w:p w14:paraId="46EE8215">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源头抑尘：项目采用TMR混合搅拌工艺，配料中添加青贮湿料，提高饲料整体含水率，从源头有效抑制干草切碎、搅拌过程产生粉尘。</w:t>
      </w:r>
    </w:p>
    <w:p w14:paraId="378977E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设备抑尘：饲料搅拌混料箱为半封闭结构，切碎、揉搓、搅拌工序均在箱体内完成，大幅减少粉尘无组织逸散。</w:t>
      </w:r>
    </w:p>
    <w:p w14:paraId="2DDA149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作业管控抑尘：饲料装卸、搅拌低速平稳作业，减少扬尘扰动；避免干料单独高速粉碎，降低颗粒物产生量；加工过程中洒水，增加空气湿度。</w:t>
      </w:r>
    </w:p>
    <w:p w14:paraId="7C82287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ascii="Times New Roman" w:hAnsi="Times New Roman" w:eastAsia="宋体"/>
          <w:strike w:val="0"/>
          <w:dstrike w:val="0"/>
          <w:color w:val="auto"/>
          <w:sz w:val="24"/>
          <w:highlight w:val="none"/>
        </w:rPr>
      </w:pPr>
      <w:r>
        <w:rPr>
          <w:rFonts w:hint="eastAsia" w:ascii="Times New Roman" w:hAnsi="Times New Roman" w:eastAsia="宋体" w:cs="宋体"/>
          <w:strike w:val="0"/>
          <w:dstrike w:val="0"/>
          <w:color w:val="auto"/>
          <w:kern w:val="0"/>
          <w:sz w:val="24"/>
          <w:szCs w:val="24"/>
          <w:highlight w:val="none"/>
          <w:lang w:val="en-US" w:eastAsia="zh-CN" w:bidi="ar"/>
        </w:rPr>
        <w:t>采取上述综合措施后，饲料加工过程中粉尘排放能够满足《大气污染物综合排放标准》（</w:t>
      </w:r>
      <w:r>
        <w:rPr>
          <w:rFonts w:hint="default" w:ascii="Times New Roman" w:hAnsi="Times New Roman" w:eastAsia="宋体" w:cs="Times New Roman"/>
          <w:strike w:val="0"/>
          <w:dstrike w:val="0"/>
          <w:color w:val="auto"/>
          <w:kern w:val="0"/>
          <w:sz w:val="24"/>
          <w:szCs w:val="24"/>
          <w:highlight w:val="none"/>
          <w:lang w:val="en-US" w:eastAsia="zh-CN" w:bidi="ar"/>
        </w:rPr>
        <w:t>GB16297-1996</w:t>
      </w:r>
      <w:r>
        <w:rPr>
          <w:rFonts w:hint="eastAsia" w:ascii="Times New Roman" w:hAnsi="Times New Roman" w:eastAsia="宋体" w:cs="宋体"/>
          <w:strike w:val="0"/>
          <w:dstrike w:val="0"/>
          <w:color w:val="auto"/>
          <w:kern w:val="0"/>
          <w:sz w:val="24"/>
          <w:szCs w:val="24"/>
          <w:highlight w:val="none"/>
          <w:lang w:val="en-US" w:eastAsia="zh-CN" w:bidi="ar"/>
        </w:rPr>
        <w:t>）中表</w:t>
      </w:r>
      <w:r>
        <w:rPr>
          <w:rFonts w:hint="default" w:ascii="Times New Roman" w:hAnsi="Times New Roman" w:eastAsia="宋体" w:cs="Times New Roman"/>
          <w:strike w:val="0"/>
          <w:dstrike w:val="0"/>
          <w:color w:val="auto"/>
          <w:kern w:val="0"/>
          <w:sz w:val="24"/>
          <w:szCs w:val="24"/>
          <w:highlight w:val="none"/>
          <w:lang w:val="en-US" w:eastAsia="zh-CN" w:bidi="ar"/>
        </w:rPr>
        <w:t>2</w:t>
      </w:r>
      <w:r>
        <w:rPr>
          <w:rFonts w:hint="eastAsia" w:ascii="Times New Roman" w:hAnsi="Times New Roman" w:eastAsia="宋体" w:cs="宋体"/>
          <w:strike w:val="0"/>
          <w:dstrike w:val="0"/>
          <w:color w:val="auto"/>
          <w:kern w:val="0"/>
          <w:sz w:val="24"/>
          <w:szCs w:val="24"/>
          <w:highlight w:val="none"/>
          <w:lang w:val="en-US" w:eastAsia="zh-CN" w:bidi="ar"/>
        </w:rPr>
        <w:t>的无组织排放限值要求（排放浓度</w:t>
      </w:r>
      <w:r>
        <w:rPr>
          <w:rFonts w:hint="default" w:ascii="Times New Roman" w:hAnsi="Times New Roman" w:eastAsia="宋体" w:cs="Times New Roman"/>
          <w:strike w:val="0"/>
          <w:dstrike w:val="0"/>
          <w:color w:val="auto"/>
          <w:kern w:val="0"/>
          <w:sz w:val="24"/>
          <w:szCs w:val="24"/>
          <w:highlight w:val="none"/>
          <w:lang w:val="en-US" w:eastAsia="zh-CN" w:bidi="ar"/>
        </w:rPr>
        <w:t>1.0mg/m</w:t>
      </w:r>
      <w:r>
        <w:rPr>
          <w:rFonts w:hint="default" w:ascii="Times New Roman" w:hAnsi="Times New Roman" w:eastAsia="宋体" w:cs="Times New Roman"/>
          <w:strike w:val="0"/>
          <w:dstrike w:val="0"/>
          <w:color w:val="auto"/>
          <w:kern w:val="0"/>
          <w:sz w:val="24"/>
          <w:szCs w:val="15"/>
          <w:highlight w:val="none"/>
          <w:vertAlign w:val="superscript"/>
          <w:lang w:val="en-US" w:eastAsia="zh-CN" w:bidi="ar"/>
        </w:rPr>
        <w:t>3</w:t>
      </w:r>
      <w:r>
        <w:rPr>
          <w:rFonts w:hint="eastAsia" w:ascii="Times New Roman" w:hAnsi="Times New Roman" w:eastAsia="宋体" w:cs="宋体"/>
          <w:strike w:val="0"/>
          <w:dstrike w:val="0"/>
          <w:color w:val="auto"/>
          <w:kern w:val="0"/>
          <w:sz w:val="24"/>
          <w:szCs w:val="24"/>
          <w:highlight w:val="none"/>
          <w:lang w:val="en-US" w:eastAsia="zh-CN" w:bidi="ar"/>
        </w:rPr>
        <w:t>）。</w:t>
      </w:r>
    </w:p>
    <w:p w14:paraId="570358D6">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.2.2</w:t>
      </w:r>
      <w:r>
        <w:rPr>
          <w:rFonts w:hint="eastAsia" w:ascii="Times New Roman" w:hAnsi="Times New Roman" w:eastAsia="宋体"/>
          <w:strike w:val="0"/>
          <w:dstrike w:val="0"/>
          <w:color w:val="auto"/>
          <w:highlight w:val="none"/>
        </w:rPr>
        <w:t>运营期水污染源</w:t>
      </w:r>
    </w:p>
    <w:p w14:paraId="347FF85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本项目废水主要有</w:t>
      </w:r>
      <w:r>
        <w:rPr>
          <w:rFonts w:hint="eastAsia" w:ascii="Times New Roman" w:hAnsi="Times New Roman" w:eastAsia="宋体"/>
          <w:strike w:val="0"/>
          <w:dstrike w:val="0"/>
          <w:color w:val="auto"/>
          <w:highlight w:val="none"/>
          <w:lang w:eastAsia="zh-CN"/>
        </w:rPr>
        <w:t>生活污水和生产废水。</w:t>
      </w:r>
    </w:p>
    <w:p w14:paraId="753ABFC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w:t>
      </w:r>
    </w:p>
    <w:p w14:paraId="3A716DE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根据《新疆维吾尔自治区工业和生活用水定额》中相关数据，工作人员用水约80L/人·d，本项目劳动定员</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0人，则工作人员的生活用水量为</w:t>
      </w:r>
      <w:r>
        <w:rPr>
          <w:rFonts w:hint="eastAsia" w:ascii="Times New Roman" w:hAnsi="Times New Roman" w:eastAsia="宋体"/>
          <w:strike w:val="0"/>
          <w:dstrike w:val="0"/>
          <w:color w:val="auto"/>
          <w:highlight w:val="none"/>
          <w:lang w:val="en-US" w:eastAsia="zh-CN"/>
        </w:rPr>
        <w:t>1460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按365天计</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生活污水按照用水量的80%计算，则生活污水排放量约为</w:t>
      </w:r>
      <w:r>
        <w:rPr>
          <w:rFonts w:hint="eastAsia" w:ascii="Times New Roman" w:hAnsi="Times New Roman" w:eastAsia="宋体"/>
          <w:strike w:val="0"/>
          <w:dstrike w:val="0"/>
          <w:color w:val="auto"/>
          <w:highlight w:val="none"/>
          <w:lang w:val="en-US" w:eastAsia="zh-CN"/>
        </w:rPr>
        <w:t>1168</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生活污水中污染物浓度约为COD</w:t>
      </w:r>
      <w:r>
        <w:rPr>
          <w:rFonts w:hint="eastAsia" w:ascii="Times New Roman" w:hAnsi="Times New Roman" w:eastAsia="宋体"/>
          <w:strike w:val="0"/>
          <w:dstrike w:val="0"/>
          <w:color w:val="auto"/>
          <w:highlight w:val="none"/>
          <w:vertAlign w:val="subscript"/>
        </w:rPr>
        <w:t>Cr</w:t>
      </w:r>
      <w:r>
        <w:rPr>
          <w:rFonts w:hint="eastAsia" w:ascii="Times New Roman" w:hAnsi="Times New Roman" w:eastAsia="宋体"/>
          <w:strike w:val="0"/>
          <w:dstrike w:val="0"/>
          <w:color w:val="auto"/>
          <w:highlight w:val="none"/>
        </w:rPr>
        <w:t>：400mg/L，BOD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rPr>
        <w:t>：250mg/L，SS：150mg/L，NH</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-N：50mg/L</w:t>
      </w:r>
      <w:r>
        <w:rPr>
          <w:rFonts w:hint="eastAsia" w:ascii="Times New Roman" w:hAnsi="Times New Roman" w:eastAsia="宋体"/>
          <w:strike w:val="0"/>
          <w:dstrike w:val="0"/>
          <w:color w:val="auto"/>
          <w:highlight w:val="none"/>
          <w:lang w:eastAsia="zh-CN"/>
        </w:rPr>
        <w:t>。</w:t>
      </w:r>
    </w:p>
    <w:p w14:paraId="452336F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本项目生活污水产生量见表</w:t>
      </w:r>
      <w:r>
        <w:rPr>
          <w:rFonts w:hint="eastAsia" w:ascii="Times New Roman" w:hAnsi="Times New Roman" w:eastAsia="宋体"/>
          <w:strike w:val="0"/>
          <w:dstrike w:val="0"/>
          <w:color w:val="auto"/>
          <w:highlight w:val="none"/>
          <w:lang w:val="en-US" w:eastAsia="zh-CN"/>
        </w:rPr>
        <w:t>3.3-7</w:t>
      </w:r>
      <w:r>
        <w:rPr>
          <w:rFonts w:hint="eastAsia" w:ascii="Times New Roman" w:hAnsi="Times New Roman" w:eastAsia="宋体"/>
          <w:strike w:val="0"/>
          <w:dstrike w:val="0"/>
          <w:color w:val="auto"/>
          <w:highlight w:val="none"/>
          <w:lang w:eastAsia="zh-CN"/>
        </w:rPr>
        <w:t>。</w:t>
      </w:r>
    </w:p>
    <w:p w14:paraId="55EA5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表3.3-7生活污水产生量</w:t>
      </w:r>
    </w:p>
    <w:p w14:paraId="6A5E00F0">
      <w:pPr>
        <w:spacing w:line="20" w:lineRule="exact"/>
        <w:rPr>
          <w:rFonts w:ascii="Times New Roman" w:hAnsi="Times New Roman" w:eastAsia="宋体"/>
          <w:strike w:val="0"/>
          <w:dstrike w:val="0"/>
          <w:color w:val="auto"/>
          <w:highlight w:val="none"/>
        </w:rPr>
      </w:pPr>
    </w:p>
    <w:tbl>
      <w:tblPr>
        <w:tblStyle w:val="183"/>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08"/>
        <w:gridCol w:w="1499"/>
        <w:gridCol w:w="1503"/>
        <w:gridCol w:w="1808"/>
        <w:gridCol w:w="1979"/>
      </w:tblGrid>
      <w:tr w14:paraId="7A6C6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08" w:type="pct"/>
            <w:vAlign w:val="center"/>
          </w:tcPr>
          <w:p w14:paraId="3CD5E6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废水来源</w:t>
            </w:r>
          </w:p>
        </w:tc>
        <w:tc>
          <w:tcPr>
            <w:tcW w:w="903" w:type="pct"/>
            <w:vAlign w:val="center"/>
          </w:tcPr>
          <w:p w14:paraId="3789051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废水量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905" w:type="pct"/>
            <w:vAlign w:val="center"/>
          </w:tcPr>
          <w:p w14:paraId="029601F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w:t>
            </w:r>
          </w:p>
        </w:tc>
        <w:tc>
          <w:tcPr>
            <w:tcW w:w="1089" w:type="pct"/>
            <w:vAlign w:val="center"/>
          </w:tcPr>
          <w:p w14:paraId="299FF68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产生浓度</w:t>
            </w:r>
          </w:p>
          <w:p w14:paraId="7A2FD3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192" w:type="pct"/>
            <w:vAlign w:val="center"/>
          </w:tcPr>
          <w:p w14:paraId="69964DD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产生量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54E7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restart"/>
            <w:tcBorders>
              <w:bottom w:val="nil"/>
            </w:tcBorders>
            <w:vAlign w:val="center"/>
          </w:tcPr>
          <w:p w14:paraId="528B78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生活污水</w:t>
            </w:r>
          </w:p>
        </w:tc>
        <w:tc>
          <w:tcPr>
            <w:tcW w:w="903" w:type="pct"/>
            <w:vMerge w:val="restart"/>
            <w:tcBorders>
              <w:bottom w:val="nil"/>
            </w:tcBorders>
            <w:vAlign w:val="center"/>
          </w:tcPr>
          <w:p w14:paraId="4D8030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1168</w:t>
            </w:r>
          </w:p>
        </w:tc>
        <w:tc>
          <w:tcPr>
            <w:tcW w:w="905" w:type="pct"/>
            <w:vAlign w:val="center"/>
          </w:tcPr>
          <w:p w14:paraId="7DEBCA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CODcr</w:t>
            </w:r>
          </w:p>
        </w:tc>
        <w:tc>
          <w:tcPr>
            <w:tcW w:w="1089" w:type="pct"/>
            <w:vAlign w:val="center"/>
          </w:tcPr>
          <w:p w14:paraId="60CE686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400</w:t>
            </w:r>
          </w:p>
        </w:tc>
        <w:tc>
          <w:tcPr>
            <w:tcW w:w="1983" w:type="dxa"/>
            <w:vAlign w:val="center"/>
          </w:tcPr>
          <w:p w14:paraId="297040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0.4672 </w:t>
            </w:r>
          </w:p>
        </w:tc>
      </w:tr>
      <w:tr w14:paraId="557D7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continue"/>
            <w:tcBorders>
              <w:top w:val="nil"/>
              <w:bottom w:val="nil"/>
            </w:tcBorders>
            <w:vAlign w:val="center"/>
          </w:tcPr>
          <w:p w14:paraId="30871A6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bottom w:val="nil"/>
            </w:tcBorders>
            <w:vAlign w:val="center"/>
          </w:tcPr>
          <w:p w14:paraId="181DC59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0D86ACA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Times New Roman"/>
                <w:strike w:val="0"/>
                <w:dstrike w:val="0"/>
                <w:color w:val="auto"/>
                <w:spacing w:val="0"/>
                <w:position w:val="0"/>
                <w:sz w:val="21"/>
                <w:szCs w:val="21"/>
                <w:highlight w:val="none"/>
              </w:rPr>
              <w:t>BOD</w:t>
            </w:r>
            <w:r>
              <w:rPr>
                <w:rFonts w:ascii="Times New Roman" w:hAnsi="Times New Roman" w:eastAsia="宋体" w:cs="Times New Roman"/>
                <w:strike w:val="0"/>
                <w:dstrike w:val="0"/>
                <w:color w:val="auto"/>
                <w:spacing w:val="0"/>
                <w:position w:val="0"/>
                <w:sz w:val="21"/>
                <w:szCs w:val="14"/>
                <w:highlight w:val="none"/>
                <w:vertAlign w:val="subscript"/>
              </w:rPr>
              <w:t>5</w:t>
            </w:r>
          </w:p>
        </w:tc>
        <w:tc>
          <w:tcPr>
            <w:tcW w:w="1089" w:type="pct"/>
            <w:vAlign w:val="center"/>
          </w:tcPr>
          <w:p w14:paraId="638E10B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250</w:t>
            </w:r>
          </w:p>
        </w:tc>
        <w:tc>
          <w:tcPr>
            <w:tcW w:w="1983" w:type="dxa"/>
            <w:vAlign w:val="center"/>
          </w:tcPr>
          <w:p w14:paraId="0A98522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0.2920 </w:t>
            </w:r>
          </w:p>
        </w:tc>
      </w:tr>
      <w:tr w14:paraId="08026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continue"/>
            <w:tcBorders>
              <w:top w:val="nil"/>
              <w:bottom w:val="nil"/>
            </w:tcBorders>
            <w:vAlign w:val="center"/>
          </w:tcPr>
          <w:p w14:paraId="1BFA15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bottom w:val="nil"/>
            </w:tcBorders>
            <w:vAlign w:val="center"/>
          </w:tcPr>
          <w:p w14:paraId="7836DF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7B5C1A7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SS</w:t>
            </w:r>
          </w:p>
        </w:tc>
        <w:tc>
          <w:tcPr>
            <w:tcW w:w="1089" w:type="pct"/>
            <w:vAlign w:val="center"/>
          </w:tcPr>
          <w:p w14:paraId="13935CE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150</w:t>
            </w:r>
          </w:p>
        </w:tc>
        <w:tc>
          <w:tcPr>
            <w:tcW w:w="1983" w:type="dxa"/>
            <w:vAlign w:val="center"/>
          </w:tcPr>
          <w:p w14:paraId="010C0C6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0.1752 </w:t>
            </w:r>
          </w:p>
        </w:tc>
      </w:tr>
      <w:tr w14:paraId="3F7F8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08" w:type="pct"/>
            <w:vMerge w:val="continue"/>
            <w:tcBorders>
              <w:top w:val="nil"/>
            </w:tcBorders>
            <w:vAlign w:val="center"/>
          </w:tcPr>
          <w:p w14:paraId="68E08F3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tcBorders>
            <w:vAlign w:val="center"/>
          </w:tcPr>
          <w:p w14:paraId="5385540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558AD0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r>
              <w:rPr>
                <w:rFonts w:ascii="Times New Roman" w:hAnsi="Times New Roman" w:eastAsia="宋体" w:cs="Times New Roman"/>
                <w:strike w:val="0"/>
                <w:dstrike w:val="0"/>
                <w:color w:val="auto"/>
                <w:spacing w:val="0"/>
                <w:position w:val="0"/>
                <w:sz w:val="21"/>
                <w:szCs w:val="21"/>
                <w:highlight w:val="none"/>
              </w:rPr>
              <w:t>-N</w:t>
            </w:r>
          </w:p>
        </w:tc>
        <w:tc>
          <w:tcPr>
            <w:tcW w:w="1089" w:type="pct"/>
            <w:vAlign w:val="center"/>
          </w:tcPr>
          <w:p w14:paraId="6BC8C0C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50</w:t>
            </w:r>
          </w:p>
        </w:tc>
        <w:tc>
          <w:tcPr>
            <w:tcW w:w="1983" w:type="dxa"/>
            <w:vAlign w:val="center"/>
          </w:tcPr>
          <w:p w14:paraId="2724568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0.0584 </w:t>
            </w:r>
          </w:p>
        </w:tc>
      </w:tr>
    </w:tbl>
    <w:p w14:paraId="01981855">
      <w:pPr>
        <w:ind w:firstLine="480"/>
        <w:rPr>
          <w:rFonts w:hint="eastAsia" w:ascii="Times New Roman" w:hAnsi="Times New Roman" w:eastAsia="宋体" w:cs="宋体"/>
          <w:strike w:val="0"/>
          <w:dstrike w:val="0"/>
          <w:color w:val="auto"/>
          <w:spacing w:val="-6"/>
          <w:sz w:val="24"/>
          <w:szCs w:val="24"/>
          <w:highlight w:val="none"/>
          <w:lang w:eastAsia="zh-CN"/>
        </w:rPr>
      </w:pPr>
      <w:r>
        <w:rPr>
          <w:rFonts w:hint="eastAsia" w:ascii="Times New Roman" w:hAnsi="Times New Roman" w:eastAsia="宋体" w:cs="宋体"/>
          <w:strike w:val="0"/>
          <w:dstrike w:val="0"/>
          <w:color w:val="auto"/>
          <w:spacing w:val="-12"/>
          <w:sz w:val="24"/>
          <w:szCs w:val="24"/>
          <w:highlight w:val="none"/>
        </w:rPr>
        <w:t>生活污水经地下排污管道自流至舍外</w:t>
      </w:r>
      <w:r>
        <w:rPr>
          <w:rFonts w:hint="eastAsia" w:ascii="Times New Roman" w:hAnsi="Times New Roman" w:eastAsia="宋体" w:cs="宋体"/>
          <w:strike w:val="0"/>
          <w:dstrike w:val="0"/>
          <w:color w:val="auto"/>
          <w:spacing w:val="-12"/>
          <w:sz w:val="24"/>
          <w:szCs w:val="24"/>
          <w:highlight w:val="none"/>
          <w:lang w:val="en-US" w:eastAsia="zh-CN"/>
        </w:rPr>
        <w:t>黑膜池</w:t>
      </w:r>
      <w:r>
        <w:rPr>
          <w:rFonts w:hint="eastAsia" w:ascii="Times New Roman" w:hAnsi="Times New Roman" w:eastAsia="宋体" w:cs="宋体"/>
          <w:strike w:val="0"/>
          <w:dstrike w:val="0"/>
          <w:color w:val="auto"/>
          <w:spacing w:val="-12"/>
          <w:sz w:val="24"/>
          <w:szCs w:val="24"/>
          <w:highlight w:val="none"/>
        </w:rPr>
        <w:t>，</w:t>
      </w:r>
      <w:r>
        <w:rPr>
          <w:rFonts w:hint="eastAsia" w:ascii="Times New Roman" w:hAnsi="Times New Roman" w:eastAsia="宋体" w:cs="Times New Roman"/>
          <w:strike w:val="0"/>
          <w:dstrike w:val="0"/>
          <w:color w:val="auto"/>
          <w:kern w:val="0"/>
          <w:sz w:val="24"/>
          <w:szCs w:val="20"/>
          <w:lang w:val="en-US" w:eastAsia="zh-CN" w:bidi="ar-SA"/>
        </w:rPr>
        <w:t>发酵处理后用于项目区周边林带施肥</w:t>
      </w:r>
      <w:r>
        <w:rPr>
          <w:rFonts w:hint="eastAsia" w:ascii="Times New Roman" w:hAnsi="Times New Roman" w:eastAsia="宋体" w:cs="宋体"/>
          <w:strike w:val="0"/>
          <w:dstrike w:val="0"/>
          <w:color w:val="auto"/>
          <w:spacing w:val="-6"/>
          <w:sz w:val="24"/>
          <w:szCs w:val="24"/>
          <w:highlight w:val="none"/>
          <w:lang w:eastAsia="zh-CN"/>
        </w:rPr>
        <w:t>。</w:t>
      </w:r>
    </w:p>
    <w:p w14:paraId="636B0F10">
      <w:pPr>
        <w:ind w:firstLine="480"/>
        <w:rPr>
          <w:rFonts w:hint="eastAsia" w:ascii="Times New Roman" w:hAnsi="Times New Roman" w:eastAsia="宋体" w:cs="宋体"/>
          <w:strike w:val="0"/>
          <w:dstrike w:val="0"/>
          <w:color w:val="auto"/>
          <w:spacing w:val="-12"/>
          <w:sz w:val="24"/>
          <w:szCs w:val="24"/>
          <w:highlight w:val="none"/>
          <w:lang w:val="en-US" w:eastAsia="zh-CN"/>
        </w:rPr>
      </w:pPr>
      <w:r>
        <w:rPr>
          <w:rFonts w:hint="eastAsia" w:ascii="Times New Roman" w:hAnsi="Times New Roman" w:eastAsia="宋体" w:cs="宋体"/>
          <w:strike w:val="0"/>
          <w:dstrike w:val="0"/>
          <w:color w:val="auto"/>
          <w:spacing w:val="-12"/>
          <w:sz w:val="24"/>
          <w:szCs w:val="24"/>
          <w:highlight w:val="none"/>
          <w:lang w:val="en-US" w:eastAsia="zh-CN"/>
        </w:rPr>
        <w:t>（2）挤奶厅（待挤区）清洗废水</w:t>
      </w:r>
    </w:p>
    <w:p w14:paraId="17CCB33D">
      <w:pPr>
        <w:ind w:firstLine="480"/>
        <w:rPr>
          <w:rFonts w:hint="eastAsia" w:ascii="Times New Roman" w:hAnsi="Times New Roman" w:eastAsia="宋体" w:cs="宋体"/>
          <w:strike w:val="0"/>
          <w:dstrike w:val="0"/>
          <w:color w:val="auto"/>
          <w:spacing w:val="-12"/>
          <w:sz w:val="24"/>
          <w:szCs w:val="24"/>
          <w:highlight w:val="none"/>
          <w:lang w:eastAsia="zh-CN"/>
        </w:rPr>
      </w:pPr>
      <w:r>
        <w:rPr>
          <w:rFonts w:hint="default" w:ascii="Times New Roman" w:hAnsi="Times New Roman" w:eastAsia="宋体" w:cs="宋体"/>
          <w:strike w:val="0"/>
          <w:dstrike w:val="0"/>
          <w:color w:val="auto"/>
          <w:spacing w:val="-12"/>
          <w:sz w:val="24"/>
          <w:szCs w:val="24"/>
          <w:highlight w:val="none"/>
          <w:lang w:val="en-US" w:eastAsia="zh-CN"/>
        </w:rPr>
        <w:t>挤奶厅清洗废水按照用水量的80%计算，则挤奶厅清洗废水排放量约为</w:t>
      </w:r>
      <w:r>
        <w:rPr>
          <w:rFonts w:hint="eastAsia" w:ascii="Times New Roman" w:hAnsi="Times New Roman" w:eastAsia="宋体" w:cs="宋体"/>
          <w:strike w:val="0"/>
          <w:dstrike w:val="0"/>
          <w:color w:val="auto"/>
          <w:spacing w:val="-12"/>
          <w:sz w:val="24"/>
          <w:szCs w:val="24"/>
          <w:highlight w:val="none"/>
          <w:lang w:val="en-US" w:eastAsia="zh-CN"/>
        </w:rPr>
        <w:t>1226.4</w:t>
      </w:r>
      <w:r>
        <w:rPr>
          <w:rFonts w:hint="default" w:ascii="Times New Roman" w:hAnsi="Times New Roman" w:eastAsia="宋体" w:cs="宋体"/>
          <w:strike w:val="0"/>
          <w:dstrike w:val="0"/>
          <w:color w:val="auto"/>
          <w:spacing w:val="-12"/>
          <w:sz w:val="24"/>
          <w:szCs w:val="24"/>
          <w:highlight w:val="none"/>
          <w:lang w:val="en-US" w:eastAsia="zh-CN"/>
        </w:rPr>
        <w:t>m</w:t>
      </w:r>
      <w:r>
        <w:rPr>
          <w:rFonts w:hint="default" w:ascii="Times New Roman" w:hAnsi="Times New Roman" w:eastAsia="宋体" w:cs="宋体"/>
          <w:strike w:val="0"/>
          <w:dstrike w:val="0"/>
          <w:color w:val="auto"/>
          <w:spacing w:val="-12"/>
          <w:sz w:val="24"/>
          <w:szCs w:val="24"/>
          <w:highlight w:val="none"/>
          <w:vertAlign w:val="superscript"/>
          <w:lang w:val="en-US" w:eastAsia="zh-CN"/>
        </w:rPr>
        <w:t>3</w:t>
      </w:r>
      <w:r>
        <w:rPr>
          <w:rFonts w:hint="default" w:ascii="Times New Roman" w:hAnsi="Times New Roman" w:eastAsia="宋体" w:cs="宋体"/>
          <w:strike w:val="0"/>
          <w:dstrike w:val="0"/>
          <w:color w:val="auto"/>
          <w:spacing w:val="-12"/>
          <w:sz w:val="24"/>
          <w:szCs w:val="24"/>
          <w:highlight w:val="none"/>
          <w:lang w:val="en-US" w:eastAsia="zh-CN"/>
        </w:rPr>
        <w:t>/a</w:t>
      </w:r>
      <w:r>
        <w:rPr>
          <w:rFonts w:hint="eastAsia" w:ascii="Times New Roman" w:hAnsi="Times New Roman" w:eastAsia="宋体" w:cs="宋体"/>
          <w:strike w:val="0"/>
          <w:dstrike w:val="0"/>
          <w:color w:val="auto"/>
          <w:spacing w:val="-12"/>
          <w:sz w:val="24"/>
          <w:szCs w:val="24"/>
          <w:highlight w:val="none"/>
          <w:lang w:val="en-US" w:eastAsia="zh-CN"/>
        </w:rPr>
        <w:t>，主要污染物为</w:t>
      </w:r>
      <w:r>
        <w:rPr>
          <w:rFonts w:hint="eastAsia" w:ascii="Times New Roman" w:hAnsi="Times New Roman" w:eastAsia="宋体"/>
          <w:strike w:val="0"/>
          <w:dstrike w:val="0"/>
          <w:color w:val="auto"/>
          <w:highlight w:val="none"/>
        </w:rPr>
        <w:t>COD</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rPr>
        <w:t>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SS</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氨氮等，</w:t>
      </w:r>
      <w:r>
        <w:rPr>
          <w:rFonts w:hint="eastAsia" w:ascii="Times New Roman" w:hAnsi="Times New Roman" w:eastAsia="宋体" w:cs="宋体"/>
          <w:strike w:val="0"/>
          <w:dstrike w:val="0"/>
          <w:color w:val="auto"/>
          <w:spacing w:val="-12"/>
          <w:sz w:val="24"/>
          <w:szCs w:val="24"/>
          <w:highlight w:val="none"/>
        </w:rPr>
        <w:t>经地下排污管道自流至舍外黑膜池，发酵处理后用于项目区周边林带施肥</w:t>
      </w:r>
      <w:r>
        <w:rPr>
          <w:rFonts w:hint="eastAsia" w:ascii="Times New Roman" w:hAnsi="Times New Roman" w:eastAsia="宋体" w:cs="宋体"/>
          <w:strike w:val="0"/>
          <w:dstrike w:val="0"/>
          <w:color w:val="auto"/>
          <w:spacing w:val="-12"/>
          <w:sz w:val="24"/>
          <w:szCs w:val="24"/>
          <w:highlight w:val="none"/>
          <w:lang w:eastAsia="zh-CN"/>
        </w:rPr>
        <w:t>。</w:t>
      </w:r>
    </w:p>
    <w:p w14:paraId="646905A9">
      <w:pPr>
        <w:ind w:firstLine="480"/>
        <w:rPr>
          <w:rFonts w:hint="default" w:ascii="Times New Roman" w:hAnsi="Times New Roman" w:eastAsia="宋体" w:cs="宋体"/>
          <w:strike w:val="0"/>
          <w:dstrike w:val="0"/>
          <w:color w:val="auto"/>
          <w:spacing w:val="-12"/>
          <w:sz w:val="24"/>
          <w:szCs w:val="24"/>
          <w:highlight w:val="none"/>
          <w:lang w:val="en-US" w:eastAsia="zh-CN"/>
        </w:rPr>
      </w:pPr>
      <w:r>
        <w:rPr>
          <w:rFonts w:hint="eastAsia" w:ascii="Times New Roman" w:hAnsi="Times New Roman" w:eastAsia="宋体" w:cs="宋体"/>
          <w:strike w:val="0"/>
          <w:dstrike w:val="0"/>
          <w:color w:val="auto"/>
          <w:spacing w:val="-12"/>
          <w:sz w:val="24"/>
          <w:szCs w:val="24"/>
          <w:highlight w:val="none"/>
          <w:lang w:eastAsia="zh-CN"/>
        </w:rPr>
        <w:t>（</w:t>
      </w:r>
      <w:r>
        <w:rPr>
          <w:rFonts w:hint="eastAsia" w:ascii="Times New Roman" w:hAnsi="Times New Roman" w:eastAsia="宋体" w:cs="宋体"/>
          <w:strike w:val="0"/>
          <w:dstrike w:val="0"/>
          <w:color w:val="auto"/>
          <w:spacing w:val="-12"/>
          <w:sz w:val="24"/>
          <w:szCs w:val="24"/>
          <w:highlight w:val="none"/>
          <w:lang w:val="en-US" w:eastAsia="zh-CN"/>
        </w:rPr>
        <w:t>3</w:t>
      </w:r>
      <w:r>
        <w:rPr>
          <w:rFonts w:hint="eastAsia" w:ascii="Times New Roman" w:hAnsi="Times New Roman" w:eastAsia="宋体" w:cs="宋体"/>
          <w:strike w:val="0"/>
          <w:dstrike w:val="0"/>
          <w:color w:val="auto"/>
          <w:spacing w:val="-12"/>
          <w:sz w:val="24"/>
          <w:szCs w:val="24"/>
          <w:highlight w:val="none"/>
          <w:lang w:eastAsia="zh-CN"/>
        </w:rPr>
        <w:t>）</w:t>
      </w:r>
      <w:r>
        <w:rPr>
          <w:rFonts w:hint="eastAsia" w:ascii="Times New Roman" w:hAnsi="Times New Roman" w:eastAsia="宋体" w:cs="宋体"/>
          <w:strike w:val="0"/>
          <w:dstrike w:val="0"/>
          <w:color w:val="auto"/>
          <w:spacing w:val="-12"/>
          <w:sz w:val="24"/>
          <w:szCs w:val="24"/>
          <w:highlight w:val="none"/>
          <w:lang w:val="en-US" w:eastAsia="zh-CN"/>
        </w:rPr>
        <w:t>挤奶设备清洗用水</w:t>
      </w:r>
    </w:p>
    <w:p w14:paraId="1867495D">
      <w:pPr>
        <w:ind w:firstLine="480"/>
        <w:rPr>
          <w:rFonts w:hint="eastAsia" w:ascii="Times New Roman" w:hAnsi="Times New Roman" w:eastAsia="宋体" w:cs="宋体"/>
          <w:strike w:val="0"/>
          <w:dstrike w:val="0"/>
          <w:color w:val="auto"/>
          <w:spacing w:val="-12"/>
          <w:sz w:val="24"/>
          <w:szCs w:val="24"/>
          <w:highlight w:val="none"/>
          <w:lang w:eastAsia="zh-CN"/>
        </w:rPr>
      </w:pPr>
      <w:r>
        <w:rPr>
          <w:rFonts w:hint="default" w:ascii="Times New Roman" w:hAnsi="Times New Roman" w:eastAsia="宋体" w:cs="宋体"/>
          <w:strike w:val="0"/>
          <w:dstrike w:val="0"/>
          <w:color w:val="auto"/>
          <w:spacing w:val="-12"/>
          <w:sz w:val="24"/>
          <w:szCs w:val="24"/>
          <w:highlight w:val="none"/>
          <w:lang w:val="en-US" w:eastAsia="zh-CN"/>
        </w:rPr>
        <w:t>挤奶</w:t>
      </w:r>
      <w:r>
        <w:rPr>
          <w:rFonts w:hint="eastAsia" w:ascii="Times New Roman" w:hAnsi="Times New Roman" w:eastAsia="宋体" w:cs="宋体"/>
          <w:strike w:val="0"/>
          <w:dstrike w:val="0"/>
          <w:color w:val="auto"/>
          <w:spacing w:val="-12"/>
          <w:sz w:val="24"/>
          <w:szCs w:val="24"/>
          <w:highlight w:val="none"/>
          <w:lang w:val="en-US" w:eastAsia="zh-CN"/>
        </w:rPr>
        <w:t>设备</w:t>
      </w:r>
      <w:r>
        <w:rPr>
          <w:rFonts w:hint="default" w:ascii="Times New Roman" w:hAnsi="Times New Roman" w:eastAsia="宋体" w:cs="宋体"/>
          <w:strike w:val="0"/>
          <w:dstrike w:val="0"/>
          <w:color w:val="auto"/>
          <w:spacing w:val="-12"/>
          <w:sz w:val="24"/>
          <w:szCs w:val="24"/>
          <w:highlight w:val="none"/>
          <w:lang w:val="en-US" w:eastAsia="zh-CN"/>
        </w:rPr>
        <w:t>洗废水按照用水量的80%计算，则</w:t>
      </w:r>
      <w:r>
        <w:rPr>
          <w:rFonts w:hint="eastAsia" w:ascii="Times New Roman" w:hAnsi="Times New Roman" w:eastAsia="宋体" w:cs="宋体"/>
          <w:strike w:val="0"/>
          <w:dstrike w:val="0"/>
          <w:color w:val="auto"/>
          <w:spacing w:val="-12"/>
          <w:sz w:val="24"/>
          <w:szCs w:val="24"/>
          <w:highlight w:val="none"/>
          <w:lang w:val="en-US" w:eastAsia="zh-CN"/>
        </w:rPr>
        <w:t>设备</w:t>
      </w:r>
      <w:r>
        <w:rPr>
          <w:rFonts w:hint="default" w:ascii="Times New Roman" w:hAnsi="Times New Roman" w:eastAsia="宋体" w:cs="宋体"/>
          <w:strike w:val="0"/>
          <w:dstrike w:val="0"/>
          <w:color w:val="auto"/>
          <w:spacing w:val="-12"/>
          <w:sz w:val="24"/>
          <w:szCs w:val="24"/>
          <w:highlight w:val="none"/>
          <w:lang w:val="en-US" w:eastAsia="zh-CN"/>
        </w:rPr>
        <w:t>清洗废水排放量约为</w:t>
      </w:r>
      <w:r>
        <w:rPr>
          <w:rFonts w:hint="eastAsia" w:ascii="Times New Roman" w:hAnsi="Times New Roman" w:eastAsia="宋体" w:cs="宋体"/>
          <w:strike w:val="0"/>
          <w:dstrike w:val="0"/>
          <w:color w:val="auto"/>
          <w:spacing w:val="-12"/>
          <w:sz w:val="24"/>
          <w:szCs w:val="24"/>
          <w:highlight w:val="none"/>
          <w:lang w:val="en-US" w:eastAsia="zh-CN"/>
        </w:rPr>
        <w:t>116.8</w:t>
      </w:r>
      <w:r>
        <w:rPr>
          <w:rFonts w:hint="default" w:ascii="Times New Roman" w:hAnsi="Times New Roman" w:eastAsia="宋体" w:cs="宋体"/>
          <w:strike w:val="0"/>
          <w:dstrike w:val="0"/>
          <w:color w:val="auto"/>
          <w:spacing w:val="-12"/>
          <w:sz w:val="24"/>
          <w:szCs w:val="24"/>
          <w:highlight w:val="none"/>
          <w:lang w:val="en-US" w:eastAsia="zh-CN"/>
        </w:rPr>
        <w:t>m</w:t>
      </w:r>
      <w:r>
        <w:rPr>
          <w:rFonts w:hint="default" w:ascii="Times New Roman" w:hAnsi="Times New Roman" w:eastAsia="宋体" w:cs="宋体"/>
          <w:strike w:val="0"/>
          <w:dstrike w:val="0"/>
          <w:color w:val="auto"/>
          <w:spacing w:val="-12"/>
          <w:sz w:val="24"/>
          <w:szCs w:val="24"/>
          <w:highlight w:val="none"/>
          <w:vertAlign w:val="superscript"/>
          <w:lang w:val="en-US" w:eastAsia="zh-CN"/>
        </w:rPr>
        <w:t>3</w:t>
      </w:r>
      <w:r>
        <w:rPr>
          <w:rFonts w:hint="default" w:ascii="Times New Roman" w:hAnsi="Times New Roman" w:eastAsia="宋体" w:cs="宋体"/>
          <w:strike w:val="0"/>
          <w:dstrike w:val="0"/>
          <w:color w:val="auto"/>
          <w:spacing w:val="-12"/>
          <w:sz w:val="24"/>
          <w:szCs w:val="24"/>
          <w:highlight w:val="none"/>
          <w:lang w:val="en-US" w:eastAsia="zh-CN"/>
        </w:rPr>
        <w:t>/a</w:t>
      </w:r>
      <w:r>
        <w:rPr>
          <w:rFonts w:hint="eastAsia" w:ascii="Times New Roman" w:hAnsi="Times New Roman" w:eastAsia="宋体" w:cs="宋体"/>
          <w:strike w:val="0"/>
          <w:dstrike w:val="0"/>
          <w:color w:val="auto"/>
          <w:spacing w:val="-12"/>
          <w:sz w:val="24"/>
          <w:szCs w:val="24"/>
          <w:highlight w:val="none"/>
          <w:lang w:val="en-US" w:eastAsia="zh-CN"/>
        </w:rPr>
        <w:t>，主要污染物为</w:t>
      </w:r>
      <w:r>
        <w:rPr>
          <w:rFonts w:hint="eastAsia" w:ascii="Times New Roman" w:hAnsi="Times New Roman" w:eastAsia="宋体"/>
          <w:strike w:val="0"/>
          <w:dstrike w:val="0"/>
          <w:color w:val="auto"/>
          <w:highlight w:val="none"/>
        </w:rPr>
        <w:t>COD</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rPr>
        <w:t>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SS</w:t>
      </w:r>
      <w:r>
        <w:rPr>
          <w:rFonts w:hint="eastAsia" w:ascii="Times New Roman" w:hAnsi="Times New Roman" w:eastAsia="宋体"/>
          <w:strike w:val="0"/>
          <w:dstrike w:val="0"/>
          <w:color w:val="auto"/>
          <w:highlight w:val="none"/>
          <w:lang w:val="en-US" w:eastAsia="zh-CN"/>
        </w:rPr>
        <w:t>和动植物油等，</w:t>
      </w:r>
      <w:r>
        <w:rPr>
          <w:rFonts w:hint="eastAsia" w:ascii="Times New Roman" w:hAnsi="Times New Roman" w:eastAsia="宋体" w:cs="宋体"/>
          <w:strike w:val="0"/>
          <w:dstrike w:val="0"/>
          <w:color w:val="auto"/>
          <w:spacing w:val="-12"/>
          <w:sz w:val="24"/>
          <w:szCs w:val="24"/>
          <w:highlight w:val="none"/>
        </w:rPr>
        <w:t>经地下排污管道自流至舍外黑膜池，发酵处理后用于项目区周边林带施肥</w:t>
      </w:r>
      <w:r>
        <w:rPr>
          <w:rFonts w:hint="eastAsia" w:ascii="Times New Roman" w:hAnsi="Times New Roman" w:eastAsia="宋体" w:cs="宋体"/>
          <w:strike w:val="0"/>
          <w:dstrike w:val="0"/>
          <w:color w:val="auto"/>
          <w:spacing w:val="-12"/>
          <w:sz w:val="24"/>
          <w:szCs w:val="24"/>
          <w:highlight w:val="none"/>
          <w:lang w:eastAsia="zh-CN"/>
        </w:rPr>
        <w:t>。</w:t>
      </w:r>
    </w:p>
    <w:p w14:paraId="33EBD93C">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本项目生产废水及生活污水经黑膜池厌氧发酵处理后</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用于周边林带及厂区绿化施肥。</w:t>
      </w:r>
    </w:p>
    <w:p w14:paraId="6FB6CE85">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.2.3固废</w:t>
      </w:r>
    </w:p>
    <w:p w14:paraId="5F313065">
      <w:pPr>
        <w:keepNext w:val="0"/>
        <w:keepLines w:val="0"/>
        <w:pageBreakBefore w:val="0"/>
        <w:widowControl w:val="0"/>
        <w:kinsoku/>
        <w:wordWrap/>
        <w:overflowPunct/>
        <w:topLinePunct w:val="0"/>
        <w:autoSpaceDE/>
        <w:autoSpaceDN/>
        <w:bidi w:val="0"/>
        <w:adjustRightInd/>
        <w:snapToGrid/>
        <w:spacing w:line="480" w:lineRule="exact"/>
        <w:ind w:left="0" w:right="0" w:firstLine="477"/>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本项目产生的固体废物主要为</w:t>
      </w:r>
      <w:r>
        <w:rPr>
          <w:rFonts w:hint="eastAsia" w:ascii="Times New Roman" w:hAnsi="Times New Roman" w:eastAsia="宋体" w:cs="宋体"/>
          <w:strike w:val="0"/>
          <w:dstrike w:val="0"/>
          <w:color w:val="auto"/>
          <w:spacing w:val="0"/>
          <w:sz w:val="24"/>
          <w:szCs w:val="24"/>
          <w:highlight w:val="none"/>
          <w:lang w:eastAsia="zh-CN"/>
        </w:rPr>
        <w:t>骆驼粪便、病死骆驼、分娩废弃物（胎衣、死胎、胎盘附属物）、挤奶大厅废弃的一次性挤奶耗材、塑料奶管、废弃包装物、生活垃圾、医疗废物、黑膜池污泥。</w:t>
      </w:r>
    </w:p>
    <w:p w14:paraId="4A98EA81">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1</w:t>
      </w:r>
      <w:r>
        <w:rPr>
          <w:rFonts w:hint="eastAsia" w:ascii="Times New Roman" w:hAnsi="Times New Roman" w:eastAsia="宋体" w:cs="宋体"/>
          <w:strike w:val="0"/>
          <w:dstrike w:val="0"/>
          <w:color w:val="auto"/>
          <w:spacing w:val="0"/>
          <w:sz w:val="24"/>
          <w:szCs w:val="24"/>
          <w:highlight w:val="none"/>
          <w:lang w:eastAsia="zh-CN"/>
        </w:rPr>
        <w:t>）骆驼粪便</w:t>
      </w:r>
    </w:p>
    <w:p w14:paraId="49637F0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spacing w:val="0"/>
          <w:sz w:val="24"/>
          <w:szCs w:val="24"/>
          <w:highlight w:val="none"/>
          <w:lang w:val="en-US" w:eastAsia="zh-CN"/>
        </w:rPr>
      </w:pPr>
      <w:r>
        <w:rPr>
          <w:rFonts w:ascii="Times New Roman" w:hAnsi="Times New Roman" w:eastAsia="宋体" w:cs="宋体"/>
          <w:strike w:val="0"/>
          <w:dstrike w:val="0"/>
          <w:color w:val="auto"/>
          <w:spacing w:val="0"/>
          <w:sz w:val="24"/>
          <w:szCs w:val="24"/>
          <w:highlight w:val="none"/>
        </w:rPr>
        <w:t>根据《</w:t>
      </w:r>
      <w:r>
        <w:rPr>
          <w:rFonts w:ascii="Times New Roman" w:hAnsi="Times New Roman" w:eastAsia="宋体"/>
          <w:strike w:val="0"/>
          <w:dstrike w:val="0"/>
          <w:color w:val="auto"/>
          <w:spacing w:val="0"/>
          <w:sz w:val="24"/>
          <w:highlight w:val="none"/>
        </w:rPr>
        <w:fldChar w:fldCharType="begin"/>
      </w:r>
      <w:r>
        <w:rPr>
          <w:rFonts w:ascii="Times New Roman" w:hAnsi="Times New Roman" w:eastAsia="宋体"/>
          <w:strike w:val="0"/>
          <w:dstrike w:val="0"/>
          <w:color w:val="auto"/>
          <w:spacing w:val="0"/>
          <w:sz w:val="24"/>
          <w:highlight w:val="none"/>
        </w:rPr>
        <w:instrText xml:space="preserve"> HYPERLINK "http://www.mee.gov.cn/ywgz/fgbz/bz/bzwb/pwxk/201906/W020190620431392417623.pdf" </w:instrText>
      </w:r>
      <w:r>
        <w:rPr>
          <w:rFonts w:ascii="Times New Roman" w:hAnsi="Times New Roman" w:eastAsia="宋体"/>
          <w:strike w:val="0"/>
          <w:dstrike w:val="0"/>
          <w:color w:val="auto"/>
          <w:spacing w:val="0"/>
          <w:sz w:val="24"/>
          <w:highlight w:val="none"/>
        </w:rPr>
        <w:fldChar w:fldCharType="separate"/>
      </w:r>
      <w:r>
        <w:rPr>
          <w:rFonts w:ascii="Times New Roman" w:hAnsi="Times New Roman" w:eastAsia="宋体" w:cs="宋体"/>
          <w:strike w:val="0"/>
          <w:dstrike w:val="0"/>
          <w:color w:val="auto"/>
          <w:spacing w:val="0"/>
          <w:sz w:val="24"/>
          <w:szCs w:val="24"/>
          <w:highlight w:val="none"/>
        </w:rPr>
        <w:t>排污许可证申请与核发技术规范畜禽养殖行业</w:t>
      </w:r>
      <w:r>
        <w:rPr>
          <w:rFonts w:ascii="Times New Roman" w:hAnsi="Times New Roman" w:eastAsia="宋体" w:cs="宋体"/>
          <w:strike w:val="0"/>
          <w:dstrike w:val="0"/>
          <w:color w:val="auto"/>
          <w:spacing w:val="0"/>
          <w:sz w:val="24"/>
          <w:szCs w:val="24"/>
          <w:highlight w:val="none"/>
        </w:rPr>
        <w:fldChar w:fldCharType="end"/>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HJ1029-2019</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每头生猪每天产生粪便1.24kg。根据《畜禽养殖业污染物排放标准》（GB1859-2001）的规定，将骆驼的养殖量换算成猪的养殖量，换算比例为：1峰骆驼换算成9头猪，本项目骆驼存栏量1015峰，骆驼换算后的量为9135头猪，则本项目骆驼粪便产生量约为11.3274t/d，4134.501t/a。骆驼粪便定期清运至堆肥场，经过处理后作为有机肥外售。</w:t>
      </w:r>
    </w:p>
    <w:p w14:paraId="597A395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2</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病死</w:t>
      </w:r>
      <w:r>
        <w:rPr>
          <w:rFonts w:hint="eastAsia" w:ascii="Times New Roman" w:hAnsi="Times New Roman" w:eastAsia="宋体" w:cs="宋体"/>
          <w:strike w:val="0"/>
          <w:dstrike w:val="0"/>
          <w:color w:val="auto"/>
          <w:spacing w:val="0"/>
          <w:sz w:val="24"/>
          <w:szCs w:val="24"/>
          <w:highlight w:val="none"/>
          <w:lang w:eastAsia="zh-CN"/>
        </w:rPr>
        <w:t>骆驼、分娩废弃物（胎衣、死胎、胎盘附属物）</w:t>
      </w:r>
    </w:p>
    <w:p w14:paraId="65A6908A">
      <w:pPr>
        <w:keepNext w:val="0"/>
        <w:keepLines w:val="0"/>
        <w:widowControl/>
        <w:suppressLineNumbers w:val="0"/>
        <w:jc w:val="left"/>
        <w:rPr>
          <w:rFonts w:hint="eastAsia" w:ascii="Times New Roman" w:hAnsi="Times New Roman" w:eastAsia="宋体" w:cs="宋体"/>
          <w:strike w:val="0"/>
          <w:dstrike w:val="0"/>
          <w:color w:val="auto"/>
          <w:spacing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根据环办函〔2014〕789号文《关于病害动物无害化处理有关意见的复函》：“病害动物无害化处理项目由农业部门按照有关法律法规和技术规范进行监管，可以实现病害动物无害化处理和环境污染防控的目的，不宜再认定为危险废物集中处置项目。病害动物的无害化处理应执行《</w:t>
      </w:r>
      <w:r>
        <w:rPr>
          <w:rFonts w:hint="default" w:ascii="Times New Roman" w:hAnsi="Times New Roman" w:eastAsia="宋体" w:cs="Times New Roman"/>
          <w:strike w:val="0"/>
          <w:dstrike w:val="0"/>
          <w:color w:val="auto"/>
          <w:kern w:val="0"/>
          <w:sz w:val="24"/>
          <w:szCs w:val="20"/>
          <w:lang w:val="en-US" w:eastAsia="zh-CN" w:bidi="ar-SA"/>
        </w:rPr>
        <w:t>中华人民共和国动物防疫法</w:t>
      </w:r>
      <w:r>
        <w:rPr>
          <w:rFonts w:hint="eastAsia" w:ascii="Times New Roman" w:hAnsi="Times New Roman" w:eastAsia="宋体" w:cs="宋体"/>
          <w:strike w:val="0"/>
          <w:dstrike w:val="0"/>
          <w:color w:val="auto"/>
          <w:spacing w:val="0"/>
          <w:sz w:val="24"/>
          <w:szCs w:val="24"/>
          <w:highlight w:val="none"/>
          <w:lang w:val="en-US" w:eastAsia="zh-CN"/>
        </w:rPr>
        <w:t>》。”</w:t>
      </w:r>
    </w:p>
    <w:p w14:paraId="27A6BDC9">
      <w:pPr>
        <w:pStyle w:val="45"/>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cs="宋体"/>
          <w:strike w:val="0"/>
          <w:dstrike w:val="0"/>
          <w:color w:val="auto"/>
          <w:spacing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根据建设方提供的资料和以往养殖经验可知，骆驼繁殖成活率为99%，骆驼存栏量1015峰，则年死亡骆驼约11峰，每峰成年骆驼重约500kg，合计5.5t，根据建设单位提供资料本项目分娩废弃物（胎衣、死胎、胎盘附属物）年产生量合计0.5t。</w:t>
      </w:r>
    </w:p>
    <w:p w14:paraId="4EE99CB2">
      <w:pPr>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strike w:val="0"/>
          <w:dstrike w:val="0"/>
          <w:color w:val="auto"/>
          <w:sz w:val="24"/>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本项目场区内病死骆驼、分娩废弃物（胎衣、死胎、胎盘附属物）委托具有合法资质的无害化处理单位进行无害化处理。</w:t>
      </w:r>
    </w:p>
    <w:p w14:paraId="0C984A1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3</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w:t>
      </w:r>
    </w:p>
    <w:p w14:paraId="09A45FD4">
      <w:pPr>
        <w:keepNext w:val="0"/>
        <w:keepLines w:val="0"/>
        <w:pageBreakBefore w:val="0"/>
        <w:widowControl w:val="0"/>
        <w:kinsoku/>
        <w:wordWrap/>
        <w:overflowPunct/>
        <w:topLinePunct w:val="0"/>
        <w:autoSpaceDE/>
        <w:autoSpaceDN/>
        <w:bidi w:val="0"/>
        <w:adjustRightInd/>
        <w:snapToGrid/>
        <w:spacing w:line="480" w:lineRule="exact"/>
        <w:ind w:left="0" w:right="0" w:firstLine="478"/>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val="en-US" w:eastAsia="zh-CN"/>
        </w:rPr>
        <w:t>本项目挤奶过程中会产生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w:t>
      </w:r>
      <w:r>
        <w:rPr>
          <w:rFonts w:ascii="Times New Roman" w:hAnsi="Times New Roman" w:eastAsia="宋体" w:cs="宋体"/>
          <w:strike w:val="0"/>
          <w:dstrike w:val="0"/>
          <w:color w:val="auto"/>
          <w:spacing w:val="0"/>
          <w:sz w:val="24"/>
          <w:szCs w:val="24"/>
          <w:highlight w:val="none"/>
        </w:rPr>
        <w:t>根据类比同类企业，废弃包装物产生量约为</w:t>
      </w:r>
      <w:r>
        <w:rPr>
          <w:rFonts w:ascii="Times New Roman" w:hAnsi="Times New Roman" w:eastAsia="宋体" w:cs="Times New Roman"/>
          <w:strike w:val="0"/>
          <w:dstrike w:val="0"/>
          <w:color w:val="auto"/>
          <w:spacing w:val="0"/>
          <w:sz w:val="24"/>
          <w:szCs w:val="24"/>
          <w:highlight w:val="none"/>
        </w:rPr>
        <w:t>1.2t/a</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val="en-US" w:eastAsia="zh-CN"/>
        </w:rPr>
        <w:t>全部</w:t>
      </w:r>
      <w:r>
        <w:rPr>
          <w:rFonts w:ascii="Times New Roman" w:hAnsi="Times New Roman" w:eastAsia="宋体" w:cs="宋体"/>
          <w:strike w:val="0"/>
          <w:dstrike w:val="0"/>
          <w:color w:val="auto"/>
          <w:spacing w:val="0"/>
          <w:sz w:val="24"/>
          <w:szCs w:val="24"/>
          <w:highlight w:val="none"/>
        </w:rPr>
        <w:t>外售</w:t>
      </w:r>
      <w:r>
        <w:rPr>
          <w:rFonts w:hint="eastAsia" w:ascii="Times New Roman" w:hAnsi="Times New Roman" w:eastAsia="宋体" w:cs="宋体"/>
          <w:strike w:val="0"/>
          <w:dstrike w:val="0"/>
          <w:color w:val="auto"/>
          <w:spacing w:val="0"/>
          <w:sz w:val="24"/>
          <w:szCs w:val="24"/>
          <w:highlight w:val="none"/>
          <w:lang w:eastAsia="zh-CN"/>
        </w:rPr>
        <w:t>。</w:t>
      </w:r>
    </w:p>
    <w:p w14:paraId="735827AE">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4</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生活垃圾</w:t>
      </w:r>
    </w:p>
    <w:p w14:paraId="7DAF2977">
      <w:pPr>
        <w:keepNext w:val="0"/>
        <w:keepLines w:val="0"/>
        <w:pageBreakBefore w:val="0"/>
        <w:widowControl w:val="0"/>
        <w:kinsoku/>
        <w:wordWrap/>
        <w:overflowPunct/>
        <w:topLinePunct w:val="0"/>
        <w:autoSpaceDE/>
        <w:autoSpaceDN/>
        <w:bidi w:val="0"/>
        <w:adjustRightInd/>
        <w:snapToGrid/>
        <w:spacing w:line="480" w:lineRule="exact"/>
        <w:ind w:left="0" w:right="0" w:firstLine="479"/>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本项目职工人数为</w:t>
      </w:r>
      <w:r>
        <w:rPr>
          <w:rFonts w:hint="eastAsia" w:ascii="Times New Roman" w:hAnsi="Times New Roman" w:eastAsia="宋体" w:cs="Times New Roman"/>
          <w:strike w:val="0"/>
          <w:dstrike w:val="0"/>
          <w:color w:val="auto"/>
          <w:spacing w:val="0"/>
          <w:sz w:val="24"/>
          <w:szCs w:val="24"/>
          <w:highlight w:val="none"/>
          <w:lang w:val="en-US" w:eastAsia="zh-CN"/>
        </w:rPr>
        <w:t>50</w:t>
      </w:r>
      <w:r>
        <w:rPr>
          <w:rFonts w:ascii="Times New Roman" w:hAnsi="Times New Roman" w:eastAsia="宋体" w:cs="宋体"/>
          <w:strike w:val="0"/>
          <w:dstrike w:val="0"/>
          <w:color w:val="auto"/>
          <w:spacing w:val="0"/>
          <w:sz w:val="24"/>
          <w:szCs w:val="24"/>
          <w:highlight w:val="none"/>
        </w:rPr>
        <w:t>人，年工作</w:t>
      </w:r>
      <w:r>
        <w:rPr>
          <w:rFonts w:ascii="Times New Roman" w:hAnsi="Times New Roman" w:eastAsia="宋体" w:cs="Times New Roman"/>
          <w:strike w:val="0"/>
          <w:dstrike w:val="0"/>
          <w:color w:val="auto"/>
          <w:spacing w:val="0"/>
          <w:sz w:val="24"/>
          <w:szCs w:val="24"/>
          <w:highlight w:val="none"/>
        </w:rPr>
        <w:t>365</w:t>
      </w:r>
      <w:r>
        <w:rPr>
          <w:rFonts w:ascii="Times New Roman" w:hAnsi="Times New Roman" w:eastAsia="宋体" w:cs="宋体"/>
          <w:strike w:val="0"/>
          <w:dstrike w:val="0"/>
          <w:color w:val="auto"/>
          <w:spacing w:val="0"/>
          <w:sz w:val="24"/>
          <w:szCs w:val="24"/>
          <w:highlight w:val="none"/>
        </w:rPr>
        <w:t>天，生活垃圾按</w:t>
      </w:r>
      <w:r>
        <w:rPr>
          <w:rFonts w:ascii="Times New Roman" w:hAnsi="Times New Roman" w:eastAsia="宋体" w:cs="Times New Roman"/>
          <w:strike w:val="0"/>
          <w:dstrike w:val="0"/>
          <w:color w:val="auto"/>
          <w:spacing w:val="0"/>
          <w:sz w:val="24"/>
          <w:szCs w:val="24"/>
          <w:highlight w:val="none"/>
        </w:rPr>
        <w:t>0.5kg/</w:t>
      </w:r>
      <w:r>
        <w:rPr>
          <w:rFonts w:ascii="Times New Roman" w:hAnsi="Times New Roman" w:eastAsia="宋体" w:cs="宋体"/>
          <w:strike w:val="0"/>
          <w:dstrike w:val="0"/>
          <w:color w:val="auto"/>
          <w:spacing w:val="0"/>
          <w:sz w:val="24"/>
          <w:szCs w:val="24"/>
          <w:highlight w:val="none"/>
        </w:rPr>
        <w:t>人</w:t>
      </w:r>
      <w:r>
        <w:rPr>
          <w:rFonts w:ascii="Times New Roman" w:hAnsi="Times New Roman" w:eastAsia="宋体" w:cs="Times New Roman"/>
          <w:strike w:val="0"/>
          <w:dstrike w:val="0"/>
          <w:color w:val="auto"/>
          <w:spacing w:val="0"/>
          <w:sz w:val="24"/>
          <w:szCs w:val="24"/>
          <w:highlight w:val="none"/>
        </w:rPr>
        <w:t>·d</w:t>
      </w:r>
      <w:r>
        <w:rPr>
          <w:rFonts w:ascii="Times New Roman" w:hAnsi="Times New Roman" w:eastAsia="宋体" w:cs="宋体"/>
          <w:strike w:val="0"/>
          <w:dstrike w:val="0"/>
          <w:color w:val="auto"/>
          <w:spacing w:val="0"/>
          <w:sz w:val="24"/>
          <w:szCs w:val="24"/>
          <w:highlight w:val="none"/>
        </w:rPr>
        <w:t>计，生活垃圾产生量为</w:t>
      </w:r>
      <w:r>
        <w:rPr>
          <w:rFonts w:hint="eastAsia" w:ascii="Times New Roman" w:hAnsi="Times New Roman" w:eastAsia="宋体" w:cs="Times New Roman"/>
          <w:strike w:val="0"/>
          <w:dstrike w:val="0"/>
          <w:color w:val="auto"/>
          <w:spacing w:val="0"/>
          <w:sz w:val="24"/>
          <w:szCs w:val="24"/>
          <w:highlight w:val="none"/>
          <w:lang w:val="en-US" w:eastAsia="zh-CN"/>
        </w:rPr>
        <w:t>25</w:t>
      </w:r>
      <w:r>
        <w:rPr>
          <w:rFonts w:ascii="Times New Roman" w:hAnsi="Times New Roman" w:eastAsia="宋体" w:cs="Times New Roman"/>
          <w:strike w:val="0"/>
          <w:dstrike w:val="0"/>
          <w:color w:val="auto"/>
          <w:spacing w:val="0"/>
          <w:sz w:val="24"/>
          <w:szCs w:val="24"/>
          <w:highlight w:val="none"/>
        </w:rPr>
        <w:t>kg/d</w:t>
      </w:r>
      <w:r>
        <w:rPr>
          <w:rFonts w:ascii="Times New Roman" w:hAnsi="Times New Roman" w:eastAsia="宋体" w:cs="宋体"/>
          <w:strike w:val="0"/>
          <w:dstrike w:val="0"/>
          <w:color w:val="auto"/>
          <w:spacing w:val="0"/>
          <w:sz w:val="24"/>
          <w:szCs w:val="24"/>
          <w:highlight w:val="none"/>
        </w:rPr>
        <w:t>，即</w:t>
      </w:r>
      <w:r>
        <w:rPr>
          <w:rFonts w:hint="eastAsia" w:ascii="Times New Roman" w:hAnsi="Times New Roman" w:eastAsia="宋体" w:cs="Times New Roman"/>
          <w:strike w:val="0"/>
          <w:dstrike w:val="0"/>
          <w:color w:val="auto"/>
          <w:spacing w:val="0"/>
          <w:sz w:val="24"/>
          <w:szCs w:val="24"/>
          <w:highlight w:val="none"/>
          <w:lang w:val="en-US" w:eastAsia="zh-CN"/>
        </w:rPr>
        <w:t>9.125</w:t>
      </w:r>
      <w:r>
        <w:rPr>
          <w:rFonts w:ascii="Times New Roman" w:hAnsi="Times New Roman" w:eastAsia="宋体" w:cs="Times New Roman"/>
          <w:strike w:val="0"/>
          <w:dstrike w:val="0"/>
          <w:color w:val="auto"/>
          <w:spacing w:val="0"/>
          <w:sz w:val="24"/>
          <w:szCs w:val="24"/>
          <w:highlight w:val="none"/>
        </w:rPr>
        <w:t>t/a</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生活垃圾集中收集由当地环卫部门处置</w:t>
      </w:r>
      <w:r>
        <w:rPr>
          <w:rFonts w:hint="eastAsia" w:ascii="Times New Roman" w:hAnsi="Times New Roman" w:eastAsia="宋体" w:cs="宋体"/>
          <w:strike w:val="0"/>
          <w:dstrike w:val="0"/>
          <w:color w:val="auto"/>
          <w:spacing w:val="0"/>
          <w:sz w:val="24"/>
          <w:szCs w:val="24"/>
          <w:highlight w:val="none"/>
          <w:lang w:eastAsia="zh-CN"/>
        </w:rPr>
        <w:t>。</w:t>
      </w:r>
    </w:p>
    <w:p w14:paraId="532CDA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5</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p>
    <w:p w14:paraId="5CD2A8F8">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rPr>
      </w:pPr>
      <w:r>
        <w:rPr>
          <w:rFonts w:hint="eastAsia" w:ascii="Times New Roman" w:hAnsi="Times New Roman" w:eastAsia="宋体" w:cs="宋体"/>
          <w:color w:val="auto"/>
          <w:kern w:val="0"/>
          <w:sz w:val="24"/>
          <w:highlight w:val="none"/>
          <w:lang w:val="en-US" w:eastAsia="zh-CN" w:bidi="ar"/>
        </w:rPr>
        <w:t>本</w:t>
      </w:r>
      <w:r>
        <w:rPr>
          <w:rFonts w:hint="eastAsia" w:ascii="Times New Roman" w:hAnsi="Times New Roman" w:eastAsia="宋体" w:cs="宋体"/>
          <w:color w:val="auto"/>
          <w:kern w:val="0"/>
          <w:sz w:val="24"/>
          <w:highlight w:val="none"/>
          <w:lang w:bidi="ar"/>
        </w:rPr>
        <w:t>项目拟自建</w:t>
      </w:r>
      <w:r>
        <w:rPr>
          <w:rFonts w:hint="eastAsia" w:ascii="Times New Roman" w:hAnsi="Times New Roman" w:eastAsia="宋体"/>
          <w:color w:val="auto"/>
          <w:kern w:val="0"/>
          <w:sz w:val="24"/>
          <w:highlight w:val="none"/>
          <w:lang w:bidi="ar"/>
        </w:rPr>
        <w:t>1</w:t>
      </w:r>
      <w:r>
        <w:rPr>
          <w:rFonts w:hint="eastAsia" w:ascii="Times New Roman" w:hAnsi="Times New Roman" w:eastAsia="宋体" w:cs="宋体"/>
          <w:color w:val="auto"/>
          <w:kern w:val="0"/>
          <w:sz w:val="24"/>
          <w:highlight w:val="none"/>
          <w:lang w:bidi="ar"/>
        </w:rPr>
        <w:t>座黑膜池用于处理生产废水，正常工况下污水处理量为</w:t>
      </w:r>
      <w:r>
        <w:rPr>
          <w:rFonts w:hint="eastAsia" w:ascii="Times New Roman" w:hAnsi="Times New Roman" w:eastAsia="宋体"/>
          <w:color w:val="auto"/>
          <w:kern w:val="0"/>
          <w:sz w:val="24"/>
          <w:highlight w:val="none"/>
          <w:lang w:val="en-US" w:eastAsia="zh-CN" w:bidi="ar"/>
        </w:rPr>
        <w:t>2511.2</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bidi="ar"/>
        </w:rPr>
        <w:t>，污泥产生量按污水量的</w:t>
      </w:r>
      <w:r>
        <w:rPr>
          <w:rFonts w:ascii="Times New Roman" w:hAnsi="Times New Roman" w:eastAsia="宋体"/>
          <w:color w:val="auto"/>
          <w:kern w:val="0"/>
          <w:sz w:val="24"/>
          <w:highlight w:val="none"/>
          <w:lang w:bidi="ar"/>
        </w:rPr>
        <w:t>0.3‰</w:t>
      </w:r>
      <w:r>
        <w:rPr>
          <w:rFonts w:hint="eastAsia" w:ascii="Times New Roman" w:hAnsi="Times New Roman" w:eastAsia="宋体" w:cs="宋体"/>
          <w:color w:val="auto"/>
          <w:kern w:val="0"/>
          <w:sz w:val="24"/>
          <w:highlight w:val="none"/>
          <w:lang w:bidi="ar"/>
        </w:rPr>
        <w:t>核算（污水停留时间很长，大部分污泥已消化分解）</w:t>
      </w:r>
      <w:r>
        <w:rPr>
          <w:rFonts w:hint="eastAsia" w:ascii="Times New Roman" w:hAnsi="Times New Roman" w:eastAsia="宋体"/>
          <w:color w:val="auto"/>
          <w:kern w:val="0"/>
          <w:sz w:val="24"/>
          <w:highlight w:val="none"/>
          <w:lang w:eastAsia="zh-CN" w:bidi="ar"/>
        </w:rPr>
        <w:t>，污泥</w:t>
      </w:r>
      <w:r>
        <w:rPr>
          <w:rFonts w:hint="eastAsia" w:ascii="Times New Roman" w:hAnsi="Times New Roman" w:eastAsia="宋体"/>
          <w:color w:val="auto"/>
          <w:kern w:val="0"/>
          <w:sz w:val="24"/>
          <w:highlight w:val="none"/>
          <w:lang w:val="en-US" w:eastAsia="zh-CN" w:bidi="ar"/>
        </w:rPr>
        <w:t>产生量7.53</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eastAsia="zh-CN" w:bidi="ar"/>
        </w:rPr>
        <w:t>，</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lang w:bidi="ar"/>
        </w:rPr>
        <w:t>。</w:t>
      </w:r>
    </w:p>
    <w:p w14:paraId="18A20D2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6</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医疗废物</w:t>
      </w:r>
    </w:p>
    <w:p w14:paraId="38E8514A">
      <w:pPr>
        <w:keepNext w:val="0"/>
        <w:keepLines w:val="0"/>
        <w:pageBreakBefore w:val="0"/>
        <w:widowControl w:val="0"/>
        <w:kinsoku/>
        <w:wordWrap/>
        <w:overflowPunct/>
        <w:topLinePunct w:val="0"/>
        <w:autoSpaceDE/>
        <w:autoSpaceDN/>
        <w:bidi w:val="0"/>
        <w:adjustRightInd/>
        <w:snapToGrid/>
        <w:spacing w:line="480" w:lineRule="exact"/>
        <w:ind w:left="0" w:right="0" w:firstLine="24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本项目对</w:t>
      </w:r>
      <w:r>
        <w:rPr>
          <w:rFonts w:hint="eastAsia" w:ascii="Times New Roman" w:hAnsi="Times New Roman" w:eastAsia="宋体" w:cs="宋体"/>
          <w:strike w:val="0"/>
          <w:dstrike w:val="0"/>
          <w:color w:val="auto"/>
          <w:spacing w:val="0"/>
          <w:sz w:val="24"/>
          <w:szCs w:val="24"/>
          <w:highlight w:val="none"/>
          <w:lang w:val="en-US" w:eastAsia="zh-CN"/>
        </w:rPr>
        <w:t>骆驼</w:t>
      </w:r>
      <w:r>
        <w:rPr>
          <w:rFonts w:ascii="Times New Roman" w:hAnsi="Times New Roman" w:eastAsia="宋体" w:cs="宋体"/>
          <w:strike w:val="0"/>
          <w:dstrike w:val="0"/>
          <w:color w:val="auto"/>
          <w:spacing w:val="0"/>
          <w:sz w:val="24"/>
          <w:szCs w:val="24"/>
          <w:highlight w:val="none"/>
        </w:rPr>
        <w:t>进行防疫、治疗过程中产生少量废弃药品、废针管等，产生量约为</w:t>
      </w:r>
      <w:r>
        <w:rPr>
          <w:rFonts w:ascii="Times New Roman" w:hAnsi="Times New Roman" w:eastAsia="宋体" w:cs="Times New Roman"/>
          <w:strike w:val="0"/>
          <w:dstrike w:val="0"/>
          <w:color w:val="auto"/>
          <w:spacing w:val="0"/>
          <w:sz w:val="24"/>
          <w:szCs w:val="24"/>
          <w:highlight w:val="none"/>
        </w:rPr>
        <w:t>0.03t/a</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医疗垃圾属于</w:t>
      </w:r>
      <w:r>
        <w:rPr>
          <w:rFonts w:ascii="Times New Roman" w:hAnsi="Times New Roman" w:eastAsia="宋体" w:cs="Times New Roman"/>
          <w:strike w:val="0"/>
          <w:dstrike w:val="0"/>
          <w:color w:val="auto"/>
          <w:spacing w:val="0"/>
          <w:sz w:val="24"/>
          <w:szCs w:val="24"/>
          <w:highlight w:val="none"/>
        </w:rPr>
        <w:t>HW01</w:t>
      </w:r>
      <w:r>
        <w:rPr>
          <w:rFonts w:ascii="Times New Roman" w:hAnsi="Times New Roman" w:eastAsia="宋体" w:cs="宋体"/>
          <w:strike w:val="0"/>
          <w:dstrike w:val="0"/>
          <w:color w:val="auto"/>
          <w:spacing w:val="0"/>
          <w:sz w:val="24"/>
          <w:szCs w:val="24"/>
          <w:highlight w:val="none"/>
        </w:rPr>
        <w:t>类危险废物，储存于</w:t>
      </w:r>
      <w:r>
        <w:rPr>
          <w:rFonts w:hint="eastAsia" w:ascii="Times New Roman" w:hAnsi="Times New Roman" w:eastAsia="宋体" w:cs="宋体"/>
          <w:strike w:val="0"/>
          <w:dstrike w:val="0"/>
          <w:color w:val="auto"/>
          <w:spacing w:val="0"/>
          <w:sz w:val="24"/>
          <w:szCs w:val="24"/>
          <w:highlight w:val="none"/>
          <w:lang w:eastAsia="zh-CN"/>
        </w:rPr>
        <w:t>医疗废物暂存间</w:t>
      </w:r>
      <w:r>
        <w:rPr>
          <w:rFonts w:ascii="Times New Roman" w:hAnsi="Times New Roman" w:eastAsia="宋体" w:cs="宋体"/>
          <w:strike w:val="0"/>
          <w:dstrike w:val="0"/>
          <w:color w:val="auto"/>
          <w:spacing w:val="0"/>
          <w:sz w:val="24"/>
          <w:szCs w:val="24"/>
          <w:highlight w:val="none"/>
        </w:rPr>
        <w:t>，交由有资质的单位进行处理</w:t>
      </w:r>
      <w:r>
        <w:rPr>
          <w:rFonts w:hint="eastAsia" w:ascii="Times New Roman" w:hAnsi="Times New Roman" w:eastAsia="宋体" w:cs="宋体"/>
          <w:strike w:val="0"/>
          <w:dstrike w:val="0"/>
          <w:color w:val="auto"/>
          <w:spacing w:val="0"/>
          <w:sz w:val="24"/>
          <w:szCs w:val="24"/>
          <w:highlight w:val="none"/>
          <w:lang w:eastAsia="zh-CN"/>
        </w:rPr>
        <w:t>。</w:t>
      </w:r>
    </w:p>
    <w:p w14:paraId="7FD7C2A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本项目医疗废物分类见表</w:t>
      </w:r>
      <w:r>
        <w:rPr>
          <w:rFonts w:hint="eastAsia" w:ascii="Times New Roman" w:hAnsi="Times New Roman" w:eastAsia="宋体" w:cs="宋体"/>
          <w:strike w:val="0"/>
          <w:dstrike w:val="0"/>
          <w:color w:val="auto"/>
          <w:spacing w:val="0"/>
          <w:sz w:val="24"/>
          <w:szCs w:val="24"/>
          <w:highlight w:val="none"/>
          <w:lang w:val="en-US" w:eastAsia="zh-CN"/>
        </w:rPr>
        <w:t>3.3-8</w:t>
      </w:r>
      <w:r>
        <w:rPr>
          <w:rFonts w:hint="eastAsia" w:ascii="Times New Roman" w:hAnsi="Times New Roman" w:eastAsia="宋体" w:cs="宋体"/>
          <w:strike w:val="0"/>
          <w:dstrike w:val="0"/>
          <w:color w:val="auto"/>
          <w:spacing w:val="0"/>
          <w:sz w:val="24"/>
          <w:szCs w:val="24"/>
          <w:highlight w:val="none"/>
          <w:lang w:eastAsia="zh-CN"/>
        </w:rPr>
        <w:t>。</w:t>
      </w:r>
    </w:p>
    <w:p w14:paraId="331E1E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表3.3-8本项目医疗废物分类表</w:t>
      </w:r>
    </w:p>
    <w:p w14:paraId="6E204B59">
      <w:pPr>
        <w:spacing w:line="21" w:lineRule="exact"/>
        <w:rPr>
          <w:rFonts w:ascii="Times New Roman" w:hAnsi="Times New Roman" w:eastAsia="宋体"/>
          <w:strike w:val="0"/>
          <w:dstrike w:val="0"/>
          <w:color w:val="auto"/>
          <w:highlight w:val="none"/>
        </w:rPr>
      </w:pPr>
    </w:p>
    <w:tbl>
      <w:tblPr>
        <w:tblStyle w:val="183"/>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44"/>
        <w:gridCol w:w="1193"/>
        <w:gridCol w:w="1029"/>
        <w:gridCol w:w="2265"/>
        <w:gridCol w:w="2205"/>
        <w:gridCol w:w="853"/>
      </w:tblGrid>
      <w:tr w14:paraId="28B9B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jc w:val="center"/>
        </w:trPr>
        <w:tc>
          <w:tcPr>
            <w:tcW w:w="449" w:type="pct"/>
            <w:tcBorders>
              <w:top w:val="single" w:color="000000" w:sz="2" w:space="0"/>
              <w:bottom w:val="single" w:color="000000" w:sz="2" w:space="0"/>
            </w:tcBorders>
            <w:vAlign w:val="center"/>
          </w:tcPr>
          <w:p w14:paraId="73026E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序号</w:t>
            </w:r>
          </w:p>
        </w:tc>
        <w:tc>
          <w:tcPr>
            <w:tcW w:w="719" w:type="pct"/>
            <w:tcBorders>
              <w:top w:val="single" w:color="000000" w:sz="2" w:space="0"/>
              <w:bottom w:val="single" w:color="000000" w:sz="2" w:space="0"/>
            </w:tcBorders>
            <w:vAlign w:val="center"/>
          </w:tcPr>
          <w:p w14:paraId="3AAFF8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废物代码</w:t>
            </w:r>
          </w:p>
        </w:tc>
        <w:tc>
          <w:tcPr>
            <w:tcW w:w="620" w:type="pct"/>
            <w:tcBorders>
              <w:top w:val="single" w:color="000000" w:sz="2" w:space="0"/>
              <w:bottom w:val="single" w:color="000000" w:sz="2" w:space="0"/>
            </w:tcBorders>
            <w:vAlign w:val="center"/>
          </w:tcPr>
          <w:p w14:paraId="79DC88B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危险废物</w:t>
            </w:r>
          </w:p>
        </w:tc>
        <w:tc>
          <w:tcPr>
            <w:tcW w:w="1365" w:type="pct"/>
            <w:tcBorders>
              <w:top w:val="single" w:color="000000" w:sz="2" w:space="0"/>
              <w:bottom w:val="single" w:color="000000" w:sz="2" w:space="0"/>
            </w:tcBorders>
            <w:vAlign w:val="center"/>
          </w:tcPr>
          <w:p w14:paraId="0FC5E67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特征</w:t>
            </w:r>
          </w:p>
        </w:tc>
        <w:tc>
          <w:tcPr>
            <w:tcW w:w="1329" w:type="pct"/>
            <w:tcBorders>
              <w:top w:val="single" w:color="000000" w:sz="2" w:space="0"/>
              <w:bottom w:val="single" w:color="000000" w:sz="2" w:space="0"/>
            </w:tcBorders>
            <w:vAlign w:val="center"/>
          </w:tcPr>
          <w:p w14:paraId="49F28F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废物名称</w:t>
            </w:r>
          </w:p>
        </w:tc>
        <w:tc>
          <w:tcPr>
            <w:tcW w:w="514" w:type="pct"/>
            <w:tcBorders>
              <w:top w:val="single" w:color="000000" w:sz="2" w:space="0"/>
              <w:bottom w:val="single" w:color="000000" w:sz="2" w:space="0"/>
            </w:tcBorders>
            <w:vAlign w:val="center"/>
          </w:tcPr>
          <w:p w14:paraId="3E2EF4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产生量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F42E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jc w:val="center"/>
        </w:trPr>
        <w:tc>
          <w:tcPr>
            <w:tcW w:w="449" w:type="pct"/>
            <w:tcBorders>
              <w:top w:val="single" w:color="000000" w:sz="2" w:space="0"/>
              <w:bottom w:val="single" w:color="000000" w:sz="2" w:space="0"/>
            </w:tcBorders>
            <w:vAlign w:val="center"/>
          </w:tcPr>
          <w:p w14:paraId="22CC508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p>
        </w:tc>
        <w:tc>
          <w:tcPr>
            <w:tcW w:w="719" w:type="pct"/>
            <w:vMerge w:val="restart"/>
            <w:tcBorders>
              <w:top w:val="single" w:color="000000" w:sz="2" w:space="0"/>
              <w:bottom w:val="nil"/>
            </w:tcBorders>
            <w:vAlign w:val="center"/>
          </w:tcPr>
          <w:p w14:paraId="6B63DC1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900-001-01</w:t>
            </w:r>
          </w:p>
        </w:tc>
        <w:tc>
          <w:tcPr>
            <w:tcW w:w="620" w:type="pct"/>
            <w:tcBorders>
              <w:top w:val="single" w:color="000000" w:sz="2" w:space="0"/>
              <w:bottom w:val="single" w:color="000000" w:sz="2" w:space="0"/>
            </w:tcBorders>
            <w:vAlign w:val="center"/>
          </w:tcPr>
          <w:p w14:paraId="40CB8A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感染性废物</w:t>
            </w:r>
          </w:p>
        </w:tc>
        <w:tc>
          <w:tcPr>
            <w:tcW w:w="1365" w:type="pct"/>
            <w:tcBorders>
              <w:top w:val="single" w:color="000000" w:sz="2" w:space="0"/>
              <w:bottom w:val="single" w:color="000000" w:sz="2" w:space="0"/>
            </w:tcBorders>
            <w:vAlign w:val="center"/>
          </w:tcPr>
          <w:p w14:paraId="0E6F2C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携带病原微生物具有引发感染性疾病传播危险的医疗废物</w:t>
            </w:r>
          </w:p>
        </w:tc>
        <w:tc>
          <w:tcPr>
            <w:tcW w:w="1329" w:type="pct"/>
            <w:tcBorders>
              <w:top w:val="single" w:color="000000" w:sz="2" w:space="0"/>
              <w:bottom w:val="single" w:color="000000" w:sz="2" w:space="0"/>
            </w:tcBorders>
            <w:vAlign w:val="center"/>
          </w:tcPr>
          <w:p w14:paraId="18776E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主要是废弃的或一次性的注射器</w:t>
            </w:r>
          </w:p>
        </w:tc>
        <w:tc>
          <w:tcPr>
            <w:tcW w:w="514" w:type="pct"/>
            <w:tcBorders>
              <w:top w:val="single" w:color="000000" w:sz="2" w:space="0"/>
              <w:bottom w:val="single" w:color="000000" w:sz="2" w:space="0"/>
            </w:tcBorders>
            <w:vAlign w:val="center"/>
          </w:tcPr>
          <w:p w14:paraId="5B41ACD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0.01</w:t>
            </w:r>
          </w:p>
        </w:tc>
      </w:tr>
      <w:tr w14:paraId="18507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3" w:hRule="atLeast"/>
          <w:jc w:val="center"/>
        </w:trPr>
        <w:tc>
          <w:tcPr>
            <w:tcW w:w="449" w:type="pct"/>
            <w:tcBorders>
              <w:top w:val="single" w:color="000000" w:sz="2" w:space="0"/>
              <w:bottom w:val="single" w:color="000000" w:sz="2" w:space="0"/>
            </w:tcBorders>
            <w:vAlign w:val="center"/>
          </w:tcPr>
          <w:p w14:paraId="76B6A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w:t>
            </w:r>
          </w:p>
        </w:tc>
        <w:tc>
          <w:tcPr>
            <w:tcW w:w="719" w:type="pct"/>
            <w:vMerge w:val="continue"/>
            <w:tcBorders>
              <w:top w:val="nil"/>
              <w:bottom w:val="single" w:color="000000" w:sz="2" w:space="0"/>
            </w:tcBorders>
            <w:vAlign w:val="center"/>
          </w:tcPr>
          <w:p w14:paraId="182D87D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20" w:type="pct"/>
            <w:tcBorders>
              <w:top w:val="single" w:color="000000" w:sz="2" w:space="0"/>
              <w:bottom w:val="single" w:color="000000" w:sz="2" w:space="0"/>
            </w:tcBorders>
            <w:vAlign w:val="center"/>
          </w:tcPr>
          <w:p w14:paraId="32027D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药物性废物</w:t>
            </w:r>
          </w:p>
        </w:tc>
        <w:tc>
          <w:tcPr>
            <w:tcW w:w="1365" w:type="pct"/>
            <w:tcBorders>
              <w:top w:val="single" w:color="000000" w:sz="2" w:space="0"/>
              <w:bottom w:val="single" w:color="000000" w:sz="2" w:space="0"/>
            </w:tcBorders>
            <w:vAlign w:val="center"/>
          </w:tcPr>
          <w:p w14:paraId="7112BA9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过期、淘汰、变质或者被污染的废弃药品</w:t>
            </w:r>
          </w:p>
        </w:tc>
        <w:tc>
          <w:tcPr>
            <w:tcW w:w="1329" w:type="pct"/>
            <w:tcBorders>
              <w:top w:val="single" w:color="000000" w:sz="2" w:space="0"/>
              <w:bottom w:val="single" w:color="000000" w:sz="2" w:space="0"/>
            </w:tcBorders>
            <w:vAlign w:val="center"/>
          </w:tcPr>
          <w:p w14:paraId="7BE8E2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主要是过期的药品、废弃疫苗和血液制品等</w:t>
            </w:r>
          </w:p>
        </w:tc>
        <w:tc>
          <w:tcPr>
            <w:tcW w:w="514" w:type="pct"/>
            <w:tcBorders>
              <w:top w:val="single" w:color="000000" w:sz="2" w:space="0"/>
              <w:bottom w:val="single" w:color="000000" w:sz="2" w:space="0"/>
            </w:tcBorders>
            <w:vAlign w:val="center"/>
          </w:tcPr>
          <w:p w14:paraId="5A8498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0.02</w:t>
            </w:r>
          </w:p>
        </w:tc>
      </w:tr>
    </w:tbl>
    <w:p w14:paraId="46C0F681">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本项目固废产生量见表</w:t>
      </w:r>
      <w:r>
        <w:rPr>
          <w:rFonts w:hint="eastAsia" w:ascii="Times New Roman" w:hAnsi="Times New Roman" w:eastAsia="宋体" w:cs="宋体"/>
          <w:strike w:val="0"/>
          <w:dstrike w:val="0"/>
          <w:color w:val="auto"/>
          <w:spacing w:val="0"/>
          <w:sz w:val="24"/>
          <w:szCs w:val="24"/>
          <w:highlight w:val="none"/>
          <w:lang w:val="en-US" w:eastAsia="zh-CN"/>
        </w:rPr>
        <w:t>3.3-9</w:t>
      </w:r>
      <w:r>
        <w:rPr>
          <w:rFonts w:hint="eastAsia" w:ascii="Times New Roman" w:hAnsi="Times New Roman" w:eastAsia="宋体" w:cs="宋体"/>
          <w:strike w:val="0"/>
          <w:dstrike w:val="0"/>
          <w:color w:val="auto"/>
          <w:spacing w:val="0"/>
          <w:sz w:val="24"/>
          <w:szCs w:val="24"/>
          <w:highlight w:val="none"/>
          <w:lang w:eastAsia="zh-CN"/>
        </w:rPr>
        <w:t>。</w:t>
      </w:r>
    </w:p>
    <w:p w14:paraId="6C50CA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表3.3-9项目固体废弃物产生量</w:t>
      </w:r>
    </w:p>
    <w:p w14:paraId="7FA85A70">
      <w:pPr>
        <w:spacing w:line="19" w:lineRule="exact"/>
        <w:rPr>
          <w:rFonts w:ascii="Times New Roman" w:hAnsi="Times New Roman" w:eastAsia="宋体"/>
          <w:strike w:val="0"/>
          <w:dstrike w:val="0"/>
          <w:color w:val="auto"/>
          <w:highlight w:val="none"/>
        </w:rPr>
      </w:pPr>
    </w:p>
    <w:tbl>
      <w:tblPr>
        <w:tblStyle w:val="183"/>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05"/>
        <w:gridCol w:w="2469"/>
        <w:gridCol w:w="838"/>
        <w:gridCol w:w="933"/>
        <w:gridCol w:w="2824"/>
        <w:gridCol w:w="933"/>
      </w:tblGrid>
      <w:tr w14:paraId="1FB2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0" w:type="auto"/>
            <w:tcBorders>
              <w:tl2br w:val="nil"/>
              <w:tr2bl w:val="nil"/>
            </w:tcBorders>
            <w:vAlign w:val="center"/>
          </w:tcPr>
          <w:p w14:paraId="712237C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0" w:type="auto"/>
            <w:tcBorders>
              <w:tl2br w:val="nil"/>
              <w:tr2bl w:val="nil"/>
            </w:tcBorders>
            <w:vAlign w:val="center"/>
          </w:tcPr>
          <w:p w14:paraId="486956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名称</w:t>
            </w:r>
          </w:p>
        </w:tc>
        <w:tc>
          <w:tcPr>
            <w:tcW w:w="0" w:type="auto"/>
            <w:tcBorders>
              <w:tl2br w:val="nil"/>
              <w:tr2bl w:val="nil"/>
            </w:tcBorders>
            <w:vAlign w:val="center"/>
          </w:tcPr>
          <w:p w14:paraId="69B5D9F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属性</w:t>
            </w:r>
          </w:p>
        </w:tc>
        <w:tc>
          <w:tcPr>
            <w:tcW w:w="0" w:type="auto"/>
            <w:tcBorders>
              <w:tl2br w:val="nil"/>
              <w:tr2bl w:val="nil"/>
            </w:tcBorders>
            <w:vAlign w:val="center"/>
          </w:tcPr>
          <w:p w14:paraId="4E7BF68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产生量</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t/a</w:t>
            </w:r>
            <w:r>
              <w:rPr>
                <w:rFonts w:hint="eastAsia" w:ascii="Times New Roman" w:hAnsi="Times New Roman" w:eastAsia="宋体" w:cs="宋体"/>
                <w:strike w:val="0"/>
                <w:dstrike w:val="0"/>
                <w:color w:val="auto"/>
                <w:spacing w:val="0"/>
                <w:sz w:val="21"/>
                <w:szCs w:val="21"/>
                <w:highlight w:val="none"/>
                <w:lang w:eastAsia="zh-CN"/>
              </w:rPr>
              <w:t>）</w:t>
            </w:r>
          </w:p>
        </w:tc>
        <w:tc>
          <w:tcPr>
            <w:tcW w:w="0" w:type="auto"/>
            <w:tcBorders>
              <w:tl2br w:val="nil"/>
              <w:tr2bl w:val="nil"/>
            </w:tcBorders>
            <w:vAlign w:val="center"/>
          </w:tcPr>
          <w:p w14:paraId="12B1D79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拟采取的处置方式</w:t>
            </w:r>
          </w:p>
        </w:tc>
        <w:tc>
          <w:tcPr>
            <w:tcW w:w="0" w:type="auto"/>
            <w:tcBorders>
              <w:tl2br w:val="nil"/>
              <w:tr2bl w:val="nil"/>
            </w:tcBorders>
            <w:vAlign w:val="center"/>
          </w:tcPr>
          <w:p w14:paraId="7747ED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排放量</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t/a</w:t>
            </w:r>
            <w:r>
              <w:rPr>
                <w:rFonts w:hint="eastAsia" w:ascii="Times New Roman" w:hAnsi="Times New Roman" w:eastAsia="宋体" w:cs="宋体"/>
                <w:strike w:val="0"/>
                <w:dstrike w:val="0"/>
                <w:color w:val="auto"/>
                <w:spacing w:val="0"/>
                <w:sz w:val="21"/>
                <w:szCs w:val="21"/>
                <w:highlight w:val="none"/>
                <w:lang w:eastAsia="zh-CN"/>
              </w:rPr>
              <w:t>）</w:t>
            </w:r>
          </w:p>
        </w:tc>
      </w:tr>
      <w:tr w14:paraId="6A430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6D78A06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0" w:type="auto"/>
            <w:tcBorders>
              <w:tl2br w:val="nil"/>
              <w:tr2bl w:val="nil"/>
            </w:tcBorders>
            <w:vAlign w:val="center"/>
          </w:tcPr>
          <w:p w14:paraId="5E860BC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0" w:type="auto"/>
            <w:tcBorders>
              <w:tl2br w:val="nil"/>
              <w:tr2bl w:val="nil"/>
            </w:tcBorders>
            <w:vAlign w:val="center"/>
          </w:tcPr>
          <w:p w14:paraId="312BFF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5FFD731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4134.50</w:t>
            </w:r>
          </w:p>
        </w:tc>
        <w:tc>
          <w:tcPr>
            <w:tcW w:w="0" w:type="auto"/>
            <w:tcBorders>
              <w:tl2br w:val="nil"/>
              <w:tr2bl w:val="nil"/>
            </w:tcBorders>
            <w:vAlign w:val="center"/>
          </w:tcPr>
          <w:p w14:paraId="046068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宋体"/>
                <w:strike w:val="0"/>
                <w:dstrike w:val="0"/>
                <w:color w:val="auto"/>
                <w:spacing w:val="0"/>
                <w:sz w:val="21"/>
                <w:szCs w:val="21"/>
                <w:highlight w:val="none"/>
                <w:lang w:eastAsia="zh-CN"/>
              </w:rPr>
              <w:t>骆驼粪便</w:t>
            </w:r>
            <w:r>
              <w:rPr>
                <w:rFonts w:hint="eastAsia" w:ascii="Times New Roman" w:hAnsi="Times New Roman" w:eastAsia="宋体" w:cs="宋体"/>
                <w:strike w:val="0"/>
                <w:dstrike w:val="0"/>
                <w:color w:val="auto"/>
                <w:spacing w:val="0"/>
                <w:sz w:val="21"/>
                <w:szCs w:val="21"/>
                <w:highlight w:val="none"/>
                <w:lang w:val="en-US" w:eastAsia="zh-CN"/>
              </w:rPr>
              <w:t>清运至堆肥场，经处理后外售有机肥厂</w:t>
            </w:r>
          </w:p>
        </w:tc>
        <w:tc>
          <w:tcPr>
            <w:tcW w:w="0" w:type="auto"/>
            <w:tcBorders>
              <w:tl2br w:val="nil"/>
              <w:tr2bl w:val="nil"/>
            </w:tcBorders>
            <w:vAlign w:val="center"/>
          </w:tcPr>
          <w:p w14:paraId="287E46B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4134.50</w:t>
            </w:r>
          </w:p>
        </w:tc>
      </w:tr>
      <w:tr w14:paraId="483FB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14137A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w:t>
            </w:r>
          </w:p>
        </w:tc>
        <w:tc>
          <w:tcPr>
            <w:tcW w:w="0" w:type="auto"/>
            <w:tcBorders>
              <w:tl2br w:val="nil"/>
              <w:tr2bl w:val="nil"/>
            </w:tcBorders>
            <w:vAlign w:val="center"/>
          </w:tcPr>
          <w:p w14:paraId="4CE82F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0" w:type="auto"/>
            <w:tcBorders>
              <w:tl2br w:val="nil"/>
              <w:tr2bl w:val="nil"/>
            </w:tcBorders>
            <w:vAlign w:val="center"/>
          </w:tcPr>
          <w:p w14:paraId="6932D03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17264A7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p>
        </w:tc>
        <w:tc>
          <w:tcPr>
            <w:tcW w:w="0" w:type="auto"/>
            <w:vMerge w:val="restart"/>
            <w:tcBorders>
              <w:tl2br w:val="nil"/>
              <w:tr2bl w:val="nil"/>
            </w:tcBorders>
            <w:vAlign w:val="center"/>
          </w:tcPr>
          <w:p w14:paraId="2F34DA7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委托具有合法资质的无害化处理单位进行无害化处理</w:t>
            </w:r>
          </w:p>
        </w:tc>
        <w:tc>
          <w:tcPr>
            <w:tcW w:w="0" w:type="auto"/>
            <w:tcBorders>
              <w:tl2br w:val="nil"/>
              <w:tr2bl w:val="nil"/>
            </w:tcBorders>
            <w:vAlign w:val="center"/>
          </w:tcPr>
          <w:p w14:paraId="623A8CA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p>
        </w:tc>
      </w:tr>
      <w:tr w14:paraId="5155E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0C62D06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3</w:t>
            </w:r>
          </w:p>
        </w:tc>
        <w:tc>
          <w:tcPr>
            <w:tcW w:w="0" w:type="auto"/>
            <w:tcBorders>
              <w:tl2br w:val="nil"/>
              <w:tr2bl w:val="nil"/>
            </w:tcBorders>
            <w:vAlign w:val="center"/>
          </w:tcPr>
          <w:p w14:paraId="0E9CC17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eastAsia="zh-CN"/>
              </w:rPr>
              <w:t>分娩废弃物（胎衣、死胎、胎盘附属物）</w:t>
            </w:r>
          </w:p>
        </w:tc>
        <w:tc>
          <w:tcPr>
            <w:tcW w:w="0" w:type="auto"/>
            <w:tcBorders>
              <w:tl2br w:val="nil"/>
              <w:tr2bl w:val="nil"/>
            </w:tcBorders>
            <w:vAlign w:val="center"/>
          </w:tcPr>
          <w:p w14:paraId="1167C7E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08D2CBD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w:t>
            </w:r>
          </w:p>
        </w:tc>
        <w:tc>
          <w:tcPr>
            <w:tcW w:w="0" w:type="auto"/>
            <w:vMerge w:val="continue"/>
            <w:tcBorders>
              <w:tl2br w:val="nil"/>
              <w:tr2bl w:val="nil"/>
            </w:tcBorders>
            <w:vAlign w:val="center"/>
          </w:tcPr>
          <w:p w14:paraId="5C62B7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p>
        </w:tc>
        <w:tc>
          <w:tcPr>
            <w:tcW w:w="0" w:type="auto"/>
            <w:tcBorders>
              <w:tl2br w:val="nil"/>
              <w:tr2bl w:val="nil"/>
            </w:tcBorders>
            <w:vAlign w:val="center"/>
          </w:tcPr>
          <w:p w14:paraId="38F8ED1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w:t>
            </w:r>
          </w:p>
        </w:tc>
      </w:tr>
      <w:tr w14:paraId="33F8E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7FEBAA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w:t>
            </w:r>
          </w:p>
        </w:tc>
        <w:tc>
          <w:tcPr>
            <w:tcW w:w="0" w:type="auto"/>
            <w:tcBorders>
              <w:tl2br w:val="nil"/>
              <w:tr2bl w:val="nil"/>
            </w:tcBorders>
            <w:vAlign w:val="center"/>
          </w:tcPr>
          <w:p w14:paraId="095026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rPr>
              <w:t>挤奶大厅废弃的一次性挤奶耗材、塑料奶管、废弃包装物</w:t>
            </w:r>
          </w:p>
        </w:tc>
        <w:tc>
          <w:tcPr>
            <w:tcW w:w="0" w:type="auto"/>
            <w:tcBorders>
              <w:tl2br w:val="nil"/>
              <w:tr2bl w:val="nil"/>
            </w:tcBorders>
            <w:vAlign w:val="center"/>
          </w:tcPr>
          <w:p w14:paraId="7A2884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2068958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w:t>
            </w:r>
          </w:p>
        </w:tc>
        <w:tc>
          <w:tcPr>
            <w:tcW w:w="0" w:type="auto"/>
            <w:tcBorders>
              <w:tl2br w:val="nil"/>
              <w:tr2bl w:val="nil"/>
            </w:tcBorders>
            <w:vAlign w:val="center"/>
          </w:tcPr>
          <w:p w14:paraId="5DA2CB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外售</w:t>
            </w:r>
          </w:p>
        </w:tc>
        <w:tc>
          <w:tcPr>
            <w:tcW w:w="0" w:type="auto"/>
            <w:tcBorders>
              <w:tl2br w:val="nil"/>
              <w:tr2bl w:val="nil"/>
            </w:tcBorders>
            <w:vAlign w:val="center"/>
          </w:tcPr>
          <w:p w14:paraId="25F369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w:t>
            </w:r>
          </w:p>
        </w:tc>
      </w:tr>
      <w:tr w14:paraId="7375C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41AB16E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w:t>
            </w:r>
          </w:p>
        </w:tc>
        <w:tc>
          <w:tcPr>
            <w:tcW w:w="0" w:type="auto"/>
            <w:tcBorders>
              <w:tl2br w:val="nil"/>
              <w:tr2bl w:val="nil"/>
            </w:tcBorders>
            <w:vAlign w:val="center"/>
          </w:tcPr>
          <w:p w14:paraId="5D3319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生活垃圾</w:t>
            </w:r>
          </w:p>
        </w:tc>
        <w:tc>
          <w:tcPr>
            <w:tcW w:w="0" w:type="auto"/>
            <w:tcBorders>
              <w:tl2br w:val="nil"/>
              <w:tr2bl w:val="nil"/>
            </w:tcBorders>
            <w:vAlign w:val="center"/>
          </w:tcPr>
          <w:p w14:paraId="7D3787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2C3963B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9.125</w:t>
            </w:r>
          </w:p>
        </w:tc>
        <w:tc>
          <w:tcPr>
            <w:tcW w:w="0" w:type="auto"/>
            <w:tcBorders>
              <w:tl2br w:val="nil"/>
              <w:tr2bl w:val="nil"/>
            </w:tcBorders>
            <w:vAlign w:val="center"/>
          </w:tcPr>
          <w:p w14:paraId="301EF5B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经集中收集后当地环卫部门处置</w:t>
            </w:r>
          </w:p>
        </w:tc>
        <w:tc>
          <w:tcPr>
            <w:tcW w:w="0" w:type="auto"/>
            <w:tcBorders>
              <w:tl2br w:val="nil"/>
              <w:tr2bl w:val="nil"/>
            </w:tcBorders>
            <w:vAlign w:val="center"/>
          </w:tcPr>
          <w:p w14:paraId="567B9F7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9.125</w:t>
            </w:r>
          </w:p>
        </w:tc>
      </w:tr>
      <w:tr w14:paraId="0EC15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772E326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6</w:t>
            </w:r>
          </w:p>
        </w:tc>
        <w:tc>
          <w:tcPr>
            <w:tcW w:w="0" w:type="auto"/>
            <w:tcBorders>
              <w:tl2br w:val="nil"/>
              <w:tr2bl w:val="nil"/>
            </w:tcBorders>
            <w:vAlign w:val="center"/>
          </w:tcPr>
          <w:p w14:paraId="4C5923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黑膜池污泥</w:t>
            </w:r>
          </w:p>
        </w:tc>
        <w:tc>
          <w:tcPr>
            <w:tcW w:w="0" w:type="auto"/>
            <w:tcBorders>
              <w:tl2br w:val="nil"/>
              <w:tr2bl w:val="nil"/>
            </w:tcBorders>
            <w:vAlign w:val="center"/>
          </w:tcPr>
          <w:p w14:paraId="1DE4D74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1ED6C9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w:t>
            </w:r>
          </w:p>
        </w:tc>
        <w:tc>
          <w:tcPr>
            <w:tcW w:w="0" w:type="auto"/>
            <w:tcBorders>
              <w:tl2br w:val="nil"/>
              <w:tr2bl w:val="nil"/>
            </w:tcBorders>
            <w:vAlign w:val="center"/>
          </w:tcPr>
          <w:p w14:paraId="4B9C5C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定期运至堆肥场，经过处理后作为同骆驼粪便一同作为有机肥外售</w:t>
            </w:r>
          </w:p>
        </w:tc>
        <w:tc>
          <w:tcPr>
            <w:tcW w:w="0" w:type="auto"/>
            <w:tcBorders>
              <w:tl2br w:val="nil"/>
              <w:tr2bl w:val="nil"/>
            </w:tcBorders>
            <w:vAlign w:val="center"/>
          </w:tcPr>
          <w:p w14:paraId="3758835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w:t>
            </w:r>
          </w:p>
        </w:tc>
      </w:tr>
      <w:tr w14:paraId="0E355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0" w:type="auto"/>
            <w:tcBorders>
              <w:tl2br w:val="nil"/>
              <w:tr2bl w:val="nil"/>
            </w:tcBorders>
            <w:vAlign w:val="center"/>
          </w:tcPr>
          <w:p w14:paraId="08EB9D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pacing w:val="0"/>
                <w:sz w:val="21"/>
                <w:szCs w:val="21"/>
                <w:highlight w:val="none"/>
                <w:lang w:val="en-US" w:eastAsia="zh-CN"/>
              </w:rPr>
              <w:t>7</w:t>
            </w:r>
          </w:p>
        </w:tc>
        <w:tc>
          <w:tcPr>
            <w:tcW w:w="0" w:type="auto"/>
            <w:tcBorders>
              <w:tl2br w:val="nil"/>
              <w:tr2bl w:val="nil"/>
            </w:tcBorders>
            <w:vAlign w:val="center"/>
          </w:tcPr>
          <w:p w14:paraId="5F285DA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0" w:type="auto"/>
            <w:tcBorders>
              <w:tl2br w:val="nil"/>
              <w:tr2bl w:val="nil"/>
            </w:tcBorders>
            <w:vAlign w:val="center"/>
          </w:tcPr>
          <w:p w14:paraId="7209A1D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r>
              <w:rPr>
                <w:rFonts w:ascii="Times New Roman" w:hAnsi="Times New Roman" w:eastAsia="宋体" w:cs="宋体"/>
                <w:color w:val="auto"/>
                <w:sz w:val="21"/>
                <w:szCs w:val="21"/>
              </w:rPr>
              <w:t>危险废物</w:t>
            </w:r>
          </w:p>
        </w:tc>
        <w:tc>
          <w:tcPr>
            <w:tcW w:w="0" w:type="auto"/>
            <w:tcBorders>
              <w:tl2br w:val="nil"/>
              <w:tr2bl w:val="nil"/>
            </w:tcBorders>
            <w:vAlign w:val="center"/>
          </w:tcPr>
          <w:p w14:paraId="3C25A06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w:t>
            </w:r>
          </w:p>
        </w:tc>
        <w:tc>
          <w:tcPr>
            <w:tcW w:w="0" w:type="auto"/>
            <w:tcBorders>
              <w:tl2br w:val="nil"/>
              <w:tr2bl w:val="nil"/>
            </w:tcBorders>
            <w:vAlign w:val="center"/>
          </w:tcPr>
          <w:p w14:paraId="736AC5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有医疗垃圾处理资质的单位进行处置</w:t>
            </w:r>
          </w:p>
        </w:tc>
        <w:tc>
          <w:tcPr>
            <w:tcW w:w="0" w:type="auto"/>
            <w:tcBorders>
              <w:tl2br w:val="nil"/>
              <w:tr2bl w:val="nil"/>
            </w:tcBorders>
            <w:vAlign w:val="center"/>
          </w:tcPr>
          <w:p w14:paraId="03564C5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w:t>
            </w:r>
          </w:p>
        </w:tc>
      </w:tr>
    </w:tbl>
    <w:p w14:paraId="665ECA53">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.2.4噪声</w:t>
      </w:r>
    </w:p>
    <w:p w14:paraId="0982C3A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本项目在运营期间噪声主要来源于</w:t>
      </w:r>
      <w:r>
        <w:rPr>
          <w:rFonts w:hint="eastAsia" w:ascii="Times New Roman" w:hAnsi="Times New Roman" w:eastAsia="宋体"/>
          <w:strike w:val="0"/>
          <w:dstrike w:val="0"/>
          <w:color w:val="auto"/>
          <w:highlight w:val="none"/>
        </w:rPr>
        <w:t>排气扇</w:t>
      </w:r>
      <w:r>
        <w:rPr>
          <w:rFonts w:ascii="Times New Roman" w:hAnsi="Times New Roman" w:eastAsia="宋体"/>
          <w:strike w:val="0"/>
          <w:dstrike w:val="0"/>
          <w:color w:val="auto"/>
          <w:highlight w:val="none"/>
        </w:rPr>
        <w:t>等设备</w:t>
      </w:r>
      <w:r>
        <w:rPr>
          <w:rFonts w:hint="eastAsia" w:ascii="Times New Roman" w:hAnsi="Times New Roman" w:eastAsia="宋体"/>
          <w:strike w:val="0"/>
          <w:dstrike w:val="0"/>
          <w:color w:val="auto"/>
          <w:highlight w:val="none"/>
        </w:rPr>
        <w:t>产生的噪声，经过类比调查，</w:t>
      </w:r>
      <w:r>
        <w:rPr>
          <w:rFonts w:ascii="Times New Roman" w:hAnsi="Times New Roman" w:eastAsia="宋体"/>
          <w:strike w:val="0"/>
          <w:dstrike w:val="0"/>
          <w:color w:val="auto"/>
          <w:highlight w:val="none"/>
        </w:rPr>
        <w:t>本项目主要噪声源强见表3.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lang w:eastAsia="zh-CN"/>
        </w:rPr>
        <w:t>。</w:t>
      </w:r>
    </w:p>
    <w:p w14:paraId="37BD4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表3.3-10项目主要噪声源强表单位：dB（A）</w:t>
      </w:r>
    </w:p>
    <w:tbl>
      <w:tblPr>
        <w:tblStyle w:val="183"/>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78"/>
        <w:gridCol w:w="2073"/>
        <w:gridCol w:w="2074"/>
        <w:gridCol w:w="2079"/>
      </w:tblGrid>
      <w:tr w14:paraId="6244A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1251" w:type="pct"/>
            <w:vAlign w:val="center"/>
          </w:tcPr>
          <w:p w14:paraId="7CE641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生产单元</w:t>
            </w:r>
          </w:p>
        </w:tc>
        <w:tc>
          <w:tcPr>
            <w:tcW w:w="1248" w:type="pct"/>
            <w:vAlign w:val="center"/>
          </w:tcPr>
          <w:p w14:paraId="2C40D2E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设备名称</w:t>
            </w:r>
          </w:p>
        </w:tc>
        <w:tc>
          <w:tcPr>
            <w:tcW w:w="1248" w:type="pct"/>
            <w:vAlign w:val="center"/>
          </w:tcPr>
          <w:p w14:paraId="540D9E2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噪声值</w:t>
            </w:r>
          </w:p>
          <w:p w14:paraId="001BCB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Times New Roman"/>
                <w:strike w:val="0"/>
                <w:dstrike w:val="0"/>
                <w:color w:val="auto"/>
                <w:spacing w:val="0"/>
                <w:position w:val="0"/>
                <w:sz w:val="21"/>
                <w:szCs w:val="21"/>
                <w:highlight w:val="none"/>
              </w:rPr>
              <w:t>dB</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Times New Roman"/>
                <w:strike w:val="0"/>
                <w:dstrike w:val="0"/>
                <w:color w:val="auto"/>
                <w:spacing w:val="0"/>
                <w:position w:val="0"/>
                <w:sz w:val="21"/>
                <w:szCs w:val="21"/>
                <w:highlight w:val="none"/>
                <w:lang w:eastAsia="zh-CN"/>
              </w:rPr>
              <w:t>)</w:t>
            </w:r>
          </w:p>
        </w:tc>
        <w:tc>
          <w:tcPr>
            <w:tcW w:w="1251" w:type="pct"/>
            <w:vAlign w:val="center"/>
          </w:tcPr>
          <w:p w14:paraId="1256760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所在位置</w:t>
            </w:r>
          </w:p>
        </w:tc>
      </w:tr>
      <w:tr w14:paraId="1EB5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1251" w:type="pct"/>
            <w:vAlign w:val="center"/>
          </w:tcPr>
          <w:p w14:paraId="53398D5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1248" w:type="pct"/>
            <w:vAlign w:val="center"/>
          </w:tcPr>
          <w:p w14:paraId="2DFFDF6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排风扇</w:t>
            </w:r>
          </w:p>
        </w:tc>
        <w:tc>
          <w:tcPr>
            <w:tcW w:w="1248" w:type="pct"/>
            <w:vAlign w:val="center"/>
          </w:tcPr>
          <w:p w14:paraId="64E195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766E0FE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r>
      <w:tr w14:paraId="6390E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46F2AE6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w:t>
            </w:r>
          </w:p>
        </w:tc>
        <w:tc>
          <w:tcPr>
            <w:tcW w:w="1248" w:type="pct"/>
            <w:vAlign w:val="center"/>
          </w:tcPr>
          <w:p w14:paraId="6D60AD4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挤奶真空泵</w:t>
            </w:r>
          </w:p>
        </w:tc>
        <w:tc>
          <w:tcPr>
            <w:tcW w:w="1248" w:type="pct"/>
            <w:vAlign w:val="center"/>
          </w:tcPr>
          <w:p w14:paraId="226BA18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65~70</w:t>
            </w:r>
          </w:p>
        </w:tc>
        <w:tc>
          <w:tcPr>
            <w:tcW w:w="1251" w:type="pct"/>
            <w:vAlign w:val="center"/>
          </w:tcPr>
          <w:p w14:paraId="11B483F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挤奶厅</w:t>
            </w:r>
          </w:p>
        </w:tc>
      </w:tr>
      <w:tr w14:paraId="33D08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6134D5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bookmarkStart w:id="151" w:name="_Toc310503790"/>
            <w:bookmarkStart w:id="152" w:name="_Toc89619336"/>
            <w:bookmarkStart w:id="153" w:name="_Toc16418"/>
            <w:bookmarkStart w:id="154" w:name="_Toc321043910"/>
            <w:bookmarkStart w:id="155" w:name="_Toc291499394"/>
            <w:bookmarkStart w:id="156" w:name="_Toc10130"/>
            <w:bookmarkStart w:id="157" w:name="_Toc224388084"/>
            <w:bookmarkStart w:id="158" w:name="_Toc289360091"/>
            <w:r>
              <w:rPr>
                <w:rFonts w:hint="eastAsia" w:ascii="Times New Roman" w:hAnsi="Times New Roman" w:eastAsia="宋体" w:cs="Times New Roman"/>
                <w:strike w:val="0"/>
                <w:dstrike w:val="0"/>
                <w:color w:val="auto"/>
                <w:spacing w:val="0"/>
                <w:position w:val="0"/>
                <w:sz w:val="21"/>
                <w:szCs w:val="21"/>
                <w:highlight w:val="none"/>
                <w:lang w:val="en-US" w:eastAsia="zh-CN"/>
              </w:rPr>
              <w:t>3</w:t>
            </w:r>
          </w:p>
        </w:tc>
        <w:tc>
          <w:tcPr>
            <w:tcW w:w="1248" w:type="pct"/>
            <w:vAlign w:val="center"/>
          </w:tcPr>
          <w:p w14:paraId="2B0910B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清洗高压水泵</w:t>
            </w:r>
          </w:p>
        </w:tc>
        <w:tc>
          <w:tcPr>
            <w:tcW w:w="1248" w:type="pct"/>
            <w:vAlign w:val="center"/>
          </w:tcPr>
          <w:p w14:paraId="78B55DE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5B56615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挤奶厅</w:t>
            </w:r>
          </w:p>
        </w:tc>
      </w:tr>
      <w:tr w14:paraId="72FB6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3FAB27E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4</w:t>
            </w:r>
          </w:p>
        </w:tc>
        <w:tc>
          <w:tcPr>
            <w:tcW w:w="1248" w:type="pct"/>
            <w:vAlign w:val="center"/>
          </w:tcPr>
          <w:p w14:paraId="12A82DD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饲料粉碎机</w:t>
            </w:r>
          </w:p>
        </w:tc>
        <w:tc>
          <w:tcPr>
            <w:tcW w:w="1248" w:type="pct"/>
            <w:vAlign w:val="center"/>
          </w:tcPr>
          <w:p w14:paraId="7D3FAD4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8</w:t>
            </w:r>
            <w:r>
              <w:rPr>
                <w:rFonts w:ascii="Times New Roman" w:hAnsi="Times New Roman" w:eastAsia="宋体" w:cs="Times New Roman"/>
                <w:strike w:val="0"/>
                <w:dstrike w:val="0"/>
                <w:color w:val="auto"/>
                <w:spacing w:val="0"/>
                <w:position w:val="0"/>
                <w:sz w:val="21"/>
                <w:szCs w:val="21"/>
                <w:highlight w:val="none"/>
              </w:rPr>
              <w:t>0~</w:t>
            </w:r>
            <w:r>
              <w:rPr>
                <w:rFonts w:hint="eastAsia" w:ascii="Times New Roman" w:hAnsi="Times New Roman" w:eastAsia="宋体" w:cs="Times New Roman"/>
                <w:strike w:val="0"/>
                <w:dstrike w:val="0"/>
                <w:color w:val="auto"/>
                <w:spacing w:val="0"/>
                <w:position w:val="0"/>
                <w:sz w:val="21"/>
                <w:szCs w:val="21"/>
                <w:highlight w:val="none"/>
                <w:lang w:val="en-US" w:eastAsia="zh-CN"/>
              </w:rPr>
              <w:t>9</w:t>
            </w:r>
            <w:r>
              <w:rPr>
                <w:rFonts w:ascii="Times New Roman" w:hAnsi="Times New Roman" w:eastAsia="宋体" w:cs="Times New Roman"/>
                <w:strike w:val="0"/>
                <w:dstrike w:val="0"/>
                <w:color w:val="auto"/>
                <w:spacing w:val="0"/>
                <w:position w:val="0"/>
                <w:sz w:val="21"/>
                <w:szCs w:val="21"/>
                <w:highlight w:val="none"/>
              </w:rPr>
              <w:t>0</w:t>
            </w:r>
          </w:p>
        </w:tc>
        <w:tc>
          <w:tcPr>
            <w:tcW w:w="1251" w:type="pct"/>
            <w:vAlign w:val="center"/>
          </w:tcPr>
          <w:p w14:paraId="2967154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r>
      <w:tr w14:paraId="565F8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5D8E13E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1248" w:type="pct"/>
            <w:vAlign w:val="center"/>
          </w:tcPr>
          <w:p w14:paraId="588E073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饲料搅拌机</w:t>
            </w:r>
          </w:p>
        </w:tc>
        <w:tc>
          <w:tcPr>
            <w:tcW w:w="1248" w:type="pct"/>
            <w:vAlign w:val="center"/>
          </w:tcPr>
          <w:p w14:paraId="4748D8D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674E88E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r>
      <w:tr w14:paraId="24926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2F3DBFF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1248" w:type="pct"/>
            <w:vAlign w:val="center"/>
          </w:tcPr>
          <w:p w14:paraId="3403209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运输车辆噪声</w:t>
            </w:r>
          </w:p>
        </w:tc>
        <w:tc>
          <w:tcPr>
            <w:tcW w:w="1248" w:type="pct"/>
            <w:vAlign w:val="center"/>
          </w:tcPr>
          <w:p w14:paraId="0BB5A72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75~80</w:t>
            </w:r>
          </w:p>
        </w:tc>
        <w:tc>
          <w:tcPr>
            <w:tcW w:w="1251" w:type="pct"/>
            <w:vAlign w:val="center"/>
          </w:tcPr>
          <w:p w14:paraId="6BA89BB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厂区内</w:t>
            </w:r>
          </w:p>
        </w:tc>
      </w:tr>
    </w:tbl>
    <w:p w14:paraId="06EA2E0D">
      <w:pPr>
        <w:pStyle w:val="3"/>
        <w:rPr>
          <w:rFonts w:ascii="Times New Roman" w:hAnsi="Times New Roman" w:eastAsia="宋体"/>
          <w:strike w:val="0"/>
          <w:dstrike w:val="0"/>
          <w:color w:val="auto"/>
          <w:highlight w:val="none"/>
        </w:rPr>
      </w:pPr>
      <w:bookmarkStart w:id="159" w:name="_Toc31356"/>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排放</w:t>
      </w:r>
      <w:bookmarkEnd w:id="151"/>
      <w:bookmarkEnd w:id="152"/>
      <w:bookmarkEnd w:id="153"/>
      <w:bookmarkEnd w:id="154"/>
      <w:bookmarkEnd w:id="155"/>
      <w:bookmarkEnd w:id="156"/>
      <w:bookmarkEnd w:id="157"/>
      <w:bookmarkEnd w:id="158"/>
      <w:bookmarkEnd w:id="159"/>
    </w:p>
    <w:p w14:paraId="1A65F68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产生及排放统计见表3.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p>
    <w:p w14:paraId="18EDE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表3.4-1污染物“三废”产生及排放统计表</w:t>
      </w:r>
    </w:p>
    <w:tbl>
      <w:tblPr>
        <w:tblStyle w:val="183"/>
        <w:tblW w:w="505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6"/>
        <w:gridCol w:w="958"/>
        <w:gridCol w:w="1280"/>
        <w:gridCol w:w="1497"/>
        <w:gridCol w:w="3110"/>
        <w:gridCol w:w="1137"/>
      </w:tblGrid>
      <w:tr w14:paraId="2EC49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818" w:type="pct"/>
            <w:gridSpan w:val="2"/>
            <w:tcBorders>
              <w:tl2br w:val="nil"/>
              <w:tr2bl w:val="nil"/>
            </w:tcBorders>
            <w:vAlign w:val="center"/>
          </w:tcPr>
          <w:p w14:paraId="004F1AE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762" w:type="pct"/>
            <w:tcBorders>
              <w:tl2br w:val="nil"/>
              <w:tr2bl w:val="nil"/>
            </w:tcBorders>
            <w:vAlign w:val="center"/>
          </w:tcPr>
          <w:p w14:paraId="1E4D2E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主要污染物</w:t>
            </w:r>
          </w:p>
        </w:tc>
        <w:tc>
          <w:tcPr>
            <w:tcW w:w="891" w:type="pct"/>
            <w:tcBorders>
              <w:tl2br w:val="nil"/>
              <w:tr2bl w:val="nil"/>
            </w:tcBorders>
            <w:vAlign w:val="center"/>
          </w:tcPr>
          <w:p w14:paraId="1A88521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产生量</w:t>
            </w:r>
          </w:p>
        </w:tc>
        <w:tc>
          <w:tcPr>
            <w:tcW w:w="1851" w:type="pct"/>
            <w:tcBorders>
              <w:tl2br w:val="nil"/>
              <w:tr2bl w:val="nil"/>
            </w:tcBorders>
            <w:vAlign w:val="center"/>
          </w:tcPr>
          <w:p w14:paraId="110B789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处置措施</w:t>
            </w:r>
          </w:p>
        </w:tc>
        <w:tc>
          <w:tcPr>
            <w:tcW w:w="675" w:type="pct"/>
            <w:tcBorders>
              <w:tl2br w:val="nil"/>
              <w:tr2bl w:val="nil"/>
            </w:tcBorders>
            <w:vAlign w:val="center"/>
          </w:tcPr>
          <w:p w14:paraId="45E9818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排放量</w:t>
            </w:r>
          </w:p>
        </w:tc>
      </w:tr>
      <w:tr w14:paraId="190AC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restart"/>
            <w:tcBorders>
              <w:tl2br w:val="nil"/>
              <w:tr2bl w:val="nil"/>
            </w:tcBorders>
            <w:vAlign w:val="center"/>
          </w:tcPr>
          <w:p w14:paraId="6AF463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废气</w:t>
            </w:r>
          </w:p>
        </w:tc>
        <w:tc>
          <w:tcPr>
            <w:tcW w:w="570" w:type="pct"/>
            <w:vMerge w:val="restart"/>
            <w:tcBorders>
              <w:tl2br w:val="nil"/>
              <w:tr2bl w:val="nil"/>
            </w:tcBorders>
            <w:vAlign w:val="center"/>
          </w:tcPr>
          <w:p w14:paraId="42BBE3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骆驼圈舍</w:t>
            </w:r>
          </w:p>
        </w:tc>
        <w:tc>
          <w:tcPr>
            <w:tcW w:w="762" w:type="pct"/>
            <w:tcBorders>
              <w:tl2br w:val="nil"/>
              <w:tr2bl w:val="nil"/>
            </w:tcBorders>
            <w:vAlign w:val="center"/>
          </w:tcPr>
          <w:p w14:paraId="1464D2F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65DA437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red"/>
                <w:lang w:val="en-US"/>
              </w:rPr>
            </w:pPr>
            <w:r>
              <w:rPr>
                <w:rFonts w:hint="eastAsia" w:ascii="Times New Roman" w:hAnsi="Times New Roman" w:eastAsia="宋体" w:cs="Times New Roman"/>
                <w:strike w:val="0"/>
                <w:dstrike w:val="0"/>
                <w:color w:val="auto"/>
                <w:spacing w:val="0"/>
                <w:position w:val="0"/>
                <w:sz w:val="21"/>
                <w:szCs w:val="21"/>
                <w:highlight w:val="none"/>
                <w:lang w:val="en-US" w:eastAsia="zh-CN"/>
              </w:rPr>
              <w:t>943.599kg/a</w:t>
            </w:r>
          </w:p>
        </w:tc>
        <w:tc>
          <w:tcPr>
            <w:tcW w:w="1851" w:type="pct"/>
            <w:vMerge w:val="restart"/>
            <w:tcBorders>
              <w:tl2br w:val="nil"/>
              <w:tr2bl w:val="nil"/>
            </w:tcBorders>
            <w:vAlign w:val="center"/>
          </w:tcPr>
          <w:p w14:paraId="3BE739E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675" w:type="pct"/>
            <w:tcBorders>
              <w:tl2br w:val="nil"/>
              <w:tr2bl w:val="nil"/>
            </w:tcBorders>
            <w:vAlign w:val="center"/>
          </w:tcPr>
          <w:p w14:paraId="74037A4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141.54kg/a</w:t>
            </w:r>
          </w:p>
        </w:tc>
      </w:tr>
      <w:tr w14:paraId="4571F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3A55438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4F434E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5DF1C9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71A024D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red"/>
              </w:rPr>
            </w:pPr>
            <w:r>
              <w:rPr>
                <w:rFonts w:hint="eastAsia" w:ascii="Times New Roman" w:hAnsi="Times New Roman" w:eastAsia="宋体" w:cs="Times New Roman"/>
                <w:strike w:val="0"/>
                <w:dstrike w:val="0"/>
                <w:color w:val="auto"/>
                <w:spacing w:val="0"/>
                <w:position w:val="0"/>
                <w:sz w:val="21"/>
                <w:szCs w:val="21"/>
                <w:highlight w:val="none"/>
                <w:lang w:val="en-US" w:eastAsia="zh-CN"/>
              </w:rPr>
              <w:t>94.36kg/a</w:t>
            </w:r>
          </w:p>
        </w:tc>
        <w:tc>
          <w:tcPr>
            <w:tcW w:w="1851" w:type="pct"/>
            <w:vMerge w:val="continue"/>
            <w:tcBorders>
              <w:tl2br w:val="nil"/>
              <w:tr2bl w:val="nil"/>
            </w:tcBorders>
            <w:vAlign w:val="center"/>
          </w:tcPr>
          <w:p w14:paraId="7C338A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06D855C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14.154kg/a</w:t>
            </w:r>
          </w:p>
        </w:tc>
      </w:tr>
      <w:tr w14:paraId="255A2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7969D9A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425F28B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堆肥场</w:t>
            </w:r>
          </w:p>
        </w:tc>
        <w:tc>
          <w:tcPr>
            <w:tcW w:w="762" w:type="pct"/>
            <w:tcBorders>
              <w:tl2br w:val="nil"/>
              <w:tr2bl w:val="nil"/>
            </w:tcBorders>
            <w:vAlign w:val="center"/>
          </w:tcPr>
          <w:p w14:paraId="43E8B40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3D1FAA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22.8375</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restart"/>
            <w:tcBorders>
              <w:tl2br w:val="nil"/>
              <w:tr2bl w:val="nil"/>
            </w:tcBorders>
            <w:vAlign w:val="center"/>
          </w:tcPr>
          <w:p w14:paraId="2CFE426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675" w:type="pct"/>
            <w:tcBorders>
              <w:tl2br w:val="nil"/>
              <w:tr2bl w:val="nil"/>
            </w:tcBorders>
            <w:vAlign w:val="center"/>
          </w:tcPr>
          <w:p w14:paraId="60AF6B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9.1350</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4BF10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57F9BC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1F1FCD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4AE399C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667F9B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0.5481</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continue"/>
            <w:tcBorders>
              <w:tl2br w:val="nil"/>
              <w:tr2bl w:val="nil"/>
            </w:tcBorders>
            <w:vAlign w:val="center"/>
          </w:tcPr>
          <w:p w14:paraId="7FAF996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158F02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0.2192</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1C3D5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02FB9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6B16F7D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w:t>
            </w:r>
          </w:p>
        </w:tc>
        <w:tc>
          <w:tcPr>
            <w:tcW w:w="762" w:type="pct"/>
            <w:tcBorders>
              <w:tl2br w:val="nil"/>
              <w:tr2bl w:val="nil"/>
            </w:tcBorders>
            <w:vAlign w:val="center"/>
          </w:tcPr>
          <w:p w14:paraId="0262665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43C19C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4.8670</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restart"/>
            <w:tcBorders>
              <w:tl2br w:val="nil"/>
              <w:tr2bl w:val="nil"/>
            </w:tcBorders>
            <w:vAlign w:val="center"/>
          </w:tcPr>
          <w:p w14:paraId="016A9A3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r>
              <w:rPr>
                <w:rFonts w:hint="eastAsia" w:ascii="Times New Roman" w:hAnsi="Times New Roman" w:eastAsia="宋体" w:cs="宋体"/>
                <w:color w:val="auto"/>
                <w:kern w:val="0"/>
                <w:sz w:val="21"/>
                <w:szCs w:val="21"/>
                <w:lang w:bidi="ar"/>
              </w:rPr>
              <w:t>池体覆膜密闭，喷洒除臭剂、加强绿化</w:t>
            </w:r>
          </w:p>
        </w:tc>
        <w:tc>
          <w:tcPr>
            <w:tcW w:w="675" w:type="pct"/>
            <w:tcBorders>
              <w:tl2br w:val="nil"/>
              <w:tr2bl w:val="nil"/>
            </w:tcBorders>
            <w:vAlign w:val="center"/>
          </w:tcPr>
          <w:p w14:paraId="19A84B4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0.7301</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206C5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C5A36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74D39E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056CC64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11ABDF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ascii="Times New Roman" w:hAnsi="Times New Roman" w:eastAsia="宋体" w:cs="Times New Roman"/>
                <w:strike w:val="0"/>
                <w:dstrike w:val="0"/>
                <w:color w:val="auto"/>
                <w:spacing w:val="0"/>
                <w:sz w:val="21"/>
                <w:szCs w:val="21"/>
                <w:highlight w:val="none"/>
              </w:rPr>
              <w:t>0.</w:t>
            </w:r>
            <w:r>
              <w:rPr>
                <w:rFonts w:hint="eastAsia" w:ascii="Times New Roman" w:hAnsi="Times New Roman" w:eastAsia="宋体" w:cs="Times New Roman"/>
                <w:strike w:val="0"/>
                <w:dstrike w:val="0"/>
                <w:color w:val="auto"/>
                <w:spacing w:val="0"/>
                <w:sz w:val="21"/>
                <w:szCs w:val="21"/>
                <w:highlight w:val="none"/>
                <w:lang w:val="en-US" w:eastAsia="zh-CN"/>
              </w:rPr>
              <w:t>1884</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continue"/>
            <w:tcBorders>
              <w:tl2br w:val="nil"/>
              <w:tr2bl w:val="nil"/>
            </w:tcBorders>
            <w:vAlign w:val="center"/>
          </w:tcPr>
          <w:p w14:paraId="79EBF2B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6C7EA21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0.0283</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266BB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4DFBE31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废水</w:t>
            </w:r>
          </w:p>
        </w:tc>
        <w:tc>
          <w:tcPr>
            <w:tcW w:w="570" w:type="pct"/>
            <w:tcBorders>
              <w:tl2br w:val="nil"/>
              <w:tr2bl w:val="nil"/>
            </w:tcBorders>
            <w:vAlign w:val="center"/>
          </w:tcPr>
          <w:p w14:paraId="1394A0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005175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生活污水</w:t>
            </w:r>
          </w:p>
        </w:tc>
        <w:tc>
          <w:tcPr>
            <w:tcW w:w="891" w:type="pct"/>
            <w:tcBorders>
              <w:tl2br w:val="nil"/>
              <w:tr2bl w:val="nil"/>
            </w:tcBorders>
            <w:vAlign w:val="center"/>
          </w:tcPr>
          <w:p w14:paraId="0C3284A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restart"/>
            <w:tcBorders>
              <w:tl2br w:val="nil"/>
              <w:tr2bl w:val="nil"/>
            </w:tcBorders>
            <w:vAlign w:val="center"/>
          </w:tcPr>
          <w:p w14:paraId="3B5648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经地下排污管道自流至舍外黑膜池，发酵处理后定期外售有机肥厂</w:t>
            </w:r>
          </w:p>
        </w:tc>
        <w:tc>
          <w:tcPr>
            <w:tcW w:w="675" w:type="pct"/>
            <w:tcBorders>
              <w:tl2br w:val="nil"/>
              <w:tr2bl w:val="nil"/>
            </w:tcBorders>
            <w:vAlign w:val="center"/>
          </w:tcPr>
          <w:p w14:paraId="5E0C5DD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10754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continue"/>
            <w:tcBorders>
              <w:tl2br w:val="nil"/>
              <w:tr2bl w:val="nil"/>
            </w:tcBorders>
            <w:textDirection w:val="tbRlV"/>
            <w:vAlign w:val="center"/>
          </w:tcPr>
          <w:p w14:paraId="5A03D1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F69F5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挤奶厅</w:t>
            </w:r>
          </w:p>
        </w:tc>
        <w:tc>
          <w:tcPr>
            <w:tcW w:w="762" w:type="pct"/>
            <w:tcBorders>
              <w:tl2br w:val="nil"/>
              <w:tr2bl w:val="nil"/>
            </w:tcBorders>
            <w:vAlign w:val="center"/>
          </w:tcPr>
          <w:p w14:paraId="081C61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15D7FD7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1226.4m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41ECD92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rPr>
            </w:pPr>
          </w:p>
        </w:tc>
        <w:tc>
          <w:tcPr>
            <w:tcW w:w="675" w:type="pct"/>
            <w:tcBorders>
              <w:tl2br w:val="nil"/>
              <w:tr2bl w:val="nil"/>
            </w:tcBorders>
            <w:vAlign w:val="center"/>
          </w:tcPr>
          <w:p w14:paraId="742D5A8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1226.4m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37278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continue"/>
            <w:tcBorders>
              <w:tl2br w:val="nil"/>
              <w:tr2bl w:val="nil"/>
            </w:tcBorders>
            <w:textDirection w:val="tbRlV"/>
            <w:vAlign w:val="center"/>
          </w:tcPr>
          <w:p w14:paraId="63F4122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09916E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挤奶设备</w:t>
            </w:r>
          </w:p>
        </w:tc>
        <w:tc>
          <w:tcPr>
            <w:tcW w:w="762" w:type="pct"/>
            <w:tcBorders>
              <w:tl2br w:val="nil"/>
              <w:tr2bl w:val="nil"/>
            </w:tcBorders>
            <w:vAlign w:val="center"/>
          </w:tcPr>
          <w:p w14:paraId="0933D4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3E5A7F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04A15F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rPr>
            </w:pPr>
          </w:p>
        </w:tc>
        <w:tc>
          <w:tcPr>
            <w:tcW w:w="675" w:type="pct"/>
            <w:tcBorders>
              <w:tl2br w:val="nil"/>
              <w:tr2bl w:val="nil"/>
            </w:tcBorders>
            <w:vAlign w:val="center"/>
          </w:tcPr>
          <w:p w14:paraId="49F1DF3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04AFB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76A0978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固体废物</w:t>
            </w:r>
          </w:p>
        </w:tc>
        <w:tc>
          <w:tcPr>
            <w:tcW w:w="570" w:type="pct"/>
            <w:tcBorders>
              <w:tl2br w:val="nil"/>
              <w:tr2bl w:val="nil"/>
            </w:tcBorders>
            <w:vAlign w:val="center"/>
          </w:tcPr>
          <w:p w14:paraId="13B4F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堆肥场</w:t>
            </w:r>
          </w:p>
        </w:tc>
        <w:tc>
          <w:tcPr>
            <w:tcW w:w="762" w:type="pct"/>
            <w:tcBorders>
              <w:tl2br w:val="nil"/>
              <w:tr2bl w:val="nil"/>
            </w:tcBorders>
            <w:vAlign w:val="center"/>
          </w:tcPr>
          <w:p w14:paraId="16318DD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891" w:type="pct"/>
            <w:tcBorders>
              <w:tl2br w:val="nil"/>
              <w:tr2bl w:val="nil"/>
            </w:tcBorders>
            <w:vAlign w:val="center"/>
          </w:tcPr>
          <w:p w14:paraId="51182B5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c>
          <w:tcPr>
            <w:tcW w:w="1851" w:type="pct"/>
            <w:tcBorders>
              <w:tl2br w:val="nil"/>
              <w:tr2bl w:val="nil"/>
            </w:tcBorders>
            <w:vAlign w:val="center"/>
          </w:tcPr>
          <w:p w14:paraId="3F59A1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清理后外售作为有机肥使用</w:t>
            </w:r>
          </w:p>
        </w:tc>
        <w:tc>
          <w:tcPr>
            <w:tcW w:w="675" w:type="pct"/>
            <w:tcBorders>
              <w:tl2br w:val="nil"/>
              <w:tr2bl w:val="nil"/>
            </w:tcBorders>
            <w:vAlign w:val="center"/>
          </w:tcPr>
          <w:p w14:paraId="55BA2D4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r>
      <w:tr w14:paraId="08252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0BF5E8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666321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养殖区</w:t>
            </w:r>
          </w:p>
        </w:tc>
        <w:tc>
          <w:tcPr>
            <w:tcW w:w="762" w:type="pct"/>
            <w:tcBorders>
              <w:tl2br w:val="nil"/>
              <w:tr2bl w:val="nil"/>
            </w:tcBorders>
            <w:vAlign w:val="center"/>
          </w:tcPr>
          <w:p w14:paraId="451113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891" w:type="pct"/>
            <w:tcBorders>
              <w:tl2br w:val="nil"/>
              <w:tr2bl w:val="nil"/>
            </w:tcBorders>
            <w:vAlign w:val="center"/>
          </w:tcPr>
          <w:p w14:paraId="1BB45E7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c>
          <w:tcPr>
            <w:tcW w:w="1851" w:type="pct"/>
            <w:vMerge w:val="restart"/>
            <w:tcBorders>
              <w:tl2br w:val="nil"/>
              <w:tr2bl w:val="nil"/>
            </w:tcBorders>
            <w:vAlign w:val="center"/>
          </w:tcPr>
          <w:p w14:paraId="395F87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委托具有合法资质的无害化处理单位进行无害化处理</w:t>
            </w:r>
          </w:p>
        </w:tc>
        <w:tc>
          <w:tcPr>
            <w:tcW w:w="675" w:type="pct"/>
            <w:tcBorders>
              <w:tl2br w:val="nil"/>
              <w:tr2bl w:val="nil"/>
            </w:tcBorders>
            <w:vAlign w:val="center"/>
          </w:tcPr>
          <w:p w14:paraId="6EFFC44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r>
      <w:tr w14:paraId="38A72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58CD38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09DF54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孕驼舍</w:t>
            </w:r>
          </w:p>
        </w:tc>
        <w:tc>
          <w:tcPr>
            <w:tcW w:w="762" w:type="pct"/>
            <w:tcBorders>
              <w:tl2br w:val="nil"/>
              <w:tr2bl w:val="nil"/>
            </w:tcBorders>
            <w:vAlign w:val="center"/>
          </w:tcPr>
          <w:p w14:paraId="3D309DB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分娩废弃物（胎衣、死胎、胎盘附属物）</w:t>
            </w:r>
          </w:p>
        </w:tc>
        <w:tc>
          <w:tcPr>
            <w:tcW w:w="891" w:type="pct"/>
            <w:tcBorders>
              <w:tl2br w:val="nil"/>
              <w:tr2bl w:val="nil"/>
            </w:tcBorders>
            <w:vAlign w:val="center"/>
          </w:tcPr>
          <w:p w14:paraId="4F96477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0.5t/a</w:t>
            </w:r>
          </w:p>
        </w:tc>
        <w:tc>
          <w:tcPr>
            <w:tcW w:w="1851" w:type="pct"/>
            <w:vMerge w:val="continue"/>
            <w:tcBorders>
              <w:tl2br w:val="nil"/>
              <w:tr2bl w:val="nil"/>
            </w:tcBorders>
            <w:vAlign w:val="center"/>
          </w:tcPr>
          <w:p w14:paraId="15E3A4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p>
        </w:tc>
        <w:tc>
          <w:tcPr>
            <w:tcW w:w="675" w:type="pct"/>
            <w:tcBorders>
              <w:tl2br w:val="nil"/>
              <w:tr2bl w:val="nil"/>
            </w:tcBorders>
            <w:vAlign w:val="center"/>
          </w:tcPr>
          <w:p w14:paraId="0F38C1C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0.5t/a</w:t>
            </w:r>
          </w:p>
        </w:tc>
      </w:tr>
      <w:tr w14:paraId="6545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248" w:type="pct"/>
            <w:vMerge w:val="continue"/>
            <w:tcBorders>
              <w:tl2br w:val="nil"/>
              <w:tr2bl w:val="nil"/>
            </w:tcBorders>
            <w:textDirection w:val="tbRlV"/>
            <w:vAlign w:val="center"/>
          </w:tcPr>
          <w:p w14:paraId="06C02A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659531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兽医站</w:t>
            </w:r>
          </w:p>
        </w:tc>
        <w:tc>
          <w:tcPr>
            <w:tcW w:w="762" w:type="pct"/>
            <w:tcBorders>
              <w:tl2br w:val="nil"/>
              <w:tr2bl w:val="nil"/>
            </w:tcBorders>
            <w:vAlign w:val="center"/>
          </w:tcPr>
          <w:p w14:paraId="2D67A5D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891" w:type="pct"/>
            <w:tcBorders>
              <w:tl2br w:val="nil"/>
              <w:tr2bl w:val="nil"/>
            </w:tcBorders>
            <w:vAlign w:val="center"/>
          </w:tcPr>
          <w:p w14:paraId="7D9A4B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c>
          <w:tcPr>
            <w:tcW w:w="1851" w:type="pct"/>
            <w:tcBorders>
              <w:tl2br w:val="nil"/>
              <w:tr2bl w:val="nil"/>
            </w:tcBorders>
            <w:vAlign w:val="center"/>
          </w:tcPr>
          <w:p w14:paraId="30A3D32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设置</w:t>
            </w:r>
            <w:r>
              <w:rPr>
                <w:rFonts w:hint="eastAsia" w:ascii="Times New Roman" w:hAnsi="Times New Roman" w:eastAsia="宋体" w:cs="宋体"/>
                <w:strike w:val="0"/>
                <w:dstrike w:val="0"/>
                <w:color w:val="auto"/>
                <w:spacing w:val="0"/>
                <w:sz w:val="21"/>
                <w:szCs w:val="21"/>
                <w:highlight w:val="none"/>
                <w:lang w:eastAsia="zh-CN"/>
              </w:rPr>
              <w:t>医疗废物暂存间</w:t>
            </w:r>
            <w:r>
              <w:rPr>
                <w:rFonts w:ascii="Times New Roman" w:hAnsi="Times New Roman" w:eastAsia="宋体" w:cs="宋体"/>
                <w:strike w:val="0"/>
                <w:dstrike w:val="0"/>
                <w:color w:val="auto"/>
                <w:spacing w:val="0"/>
                <w:sz w:val="21"/>
                <w:szCs w:val="21"/>
                <w:highlight w:val="none"/>
              </w:rPr>
              <w:t>暂存后定期交由有资质单位处置</w:t>
            </w:r>
          </w:p>
        </w:tc>
        <w:tc>
          <w:tcPr>
            <w:tcW w:w="675" w:type="pct"/>
            <w:tcBorders>
              <w:tl2br w:val="nil"/>
              <w:tr2bl w:val="nil"/>
            </w:tcBorders>
            <w:vAlign w:val="center"/>
          </w:tcPr>
          <w:p w14:paraId="22B882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r>
      <w:tr w14:paraId="78A5B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49B9D4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4A8E659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挤奶大厅</w:t>
            </w:r>
          </w:p>
        </w:tc>
        <w:tc>
          <w:tcPr>
            <w:tcW w:w="762" w:type="pct"/>
            <w:tcBorders>
              <w:tl2br w:val="nil"/>
              <w:tr2bl w:val="nil"/>
            </w:tcBorders>
            <w:vAlign w:val="center"/>
          </w:tcPr>
          <w:p w14:paraId="6CEAE28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挤奶大厅废弃的一次性挤奶耗材、塑料奶管、废弃包装物</w:t>
            </w:r>
          </w:p>
        </w:tc>
        <w:tc>
          <w:tcPr>
            <w:tcW w:w="891" w:type="pct"/>
            <w:tcBorders>
              <w:tl2br w:val="nil"/>
              <w:tr2bl w:val="nil"/>
            </w:tcBorders>
            <w:vAlign w:val="center"/>
          </w:tcPr>
          <w:p w14:paraId="440BC4F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c>
          <w:tcPr>
            <w:tcW w:w="1851" w:type="pct"/>
            <w:tcBorders>
              <w:tl2br w:val="nil"/>
              <w:tr2bl w:val="nil"/>
            </w:tcBorders>
            <w:vAlign w:val="center"/>
          </w:tcPr>
          <w:p w14:paraId="3844B62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交由废物回收单位处置</w:t>
            </w:r>
          </w:p>
        </w:tc>
        <w:tc>
          <w:tcPr>
            <w:tcW w:w="675" w:type="pct"/>
            <w:tcBorders>
              <w:tl2br w:val="nil"/>
              <w:tr2bl w:val="nil"/>
            </w:tcBorders>
            <w:vAlign w:val="center"/>
          </w:tcPr>
          <w:p w14:paraId="6E6039C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r>
      <w:tr w14:paraId="66ABD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5F0E1C7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212A60E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黑膜池</w:t>
            </w:r>
          </w:p>
        </w:tc>
        <w:tc>
          <w:tcPr>
            <w:tcW w:w="762" w:type="pct"/>
            <w:tcBorders>
              <w:tl2br w:val="nil"/>
              <w:tr2bl w:val="nil"/>
            </w:tcBorders>
            <w:vAlign w:val="center"/>
          </w:tcPr>
          <w:p w14:paraId="46343BB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污泥</w:t>
            </w:r>
          </w:p>
        </w:tc>
        <w:tc>
          <w:tcPr>
            <w:tcW w:w="891" w:type="pct"/>
            <w:tcBorders>
              <w:tl2br w:val="nil"/>
              <w:tr2bl w:val="nil"/>
            </w:tcBorders>
            <w:vAlign w:val="center"/>
          </w:tcPr>
          <w:p w14:paraId="44E21FA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hint="eastAsia" w:ascii="Times New Roman" w:hAnsi="Times New Roman" w:eastAsia="宋体" w:cs="Times New Roman"/>
                <w:strike w:val="0"/>
                <w:dstrike w:val="0"/>
                <w:color w:val="auto"/>
                <w:spacing w:val="0"/>
                <w:sz w:val="21"/>
                <w:szCs w:val="21"/>
                <w:highlight w:val="none"/>
                <w:lang w:val="en-US" w:eastAsia="zh-CN"/>
              </w:rPr>
              <w:t>/a</w:t>
            </w:r>
          </w:p>
        </w:tc>
        <w:tc>
          <w:tcPr>
            <w:tcW w:w="1851" w:type="pct"/>
            <w:tcBorders>
              <w:tl2br w:val="nil"/>
              <w:tr2bl w:val="nil"/>
            </w:tcBorders>
            <w:vAlign w:val="center"/>
          </w:tcPr>
          <w:p w14:paraId="2D4D1EB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定期运至堆肥场，经过处理后作为同骆驼粪便一同作为有机肥外售</w:t>
            </w:r>
          </w:p>
        </w:tc>
        <w:tc>
          <w:tcPr>
            <w:tcW w:w="675" w:type="pct"/>
            <w:tcBorders>
              <w:tl2br w:val="nil"/>
              <w:tr2bl w:val="nil"/>
            </w:tcBorders>
            <w:vAlign w:val="center"/>
          </w:tcPr>
          <w:p w14:paraId="3F5788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7.53m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hint="eastAsia" w:ascii="Times New Roman" w:hAnsi="Times New Roman" w:eastAsia="宋体" w:cs="Times New Roman"/>
                <w:strike w:val="0"/>
                <w:dstrike w:val="0"/>
                <w:color w:val="auto"/>
                <w:spacing w:val="0"/>
                <w:sz w:val="21"/>
                <w:szCs w:val="21"/>
                <w:highlight w:val="none"/>
                <w:lang w:val="en-US" w:eastAsia="zh-CN"/>
              </w:rPr>
              <w:t>/a</w:t>
            </w:r>
          </w:p>
        </w:tc>
      </w:tr>
      <w:tr w14:paraId="76554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248" w:type="pct"/>
            <w:vMerge w:val="continue"/>
            <w:tcBorders>
              <w:tl2br w:val="nil"/>
              <w:tr2bl w:val="nil"/>
            </w:tcBorders>
            <w:textDirection w:val="tbRlV"/>
            <w:vAlign w:val="center"/>
          </w:tcPr>
          <w:p w14:paraId="7BEF31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03E1EE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52DAA5E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生活垃圾</w:t>
            </w:r>
          </w:p>
        </w:tc>
        <w:tc>
          <w:tcPr>
            <w:tcW w:w="891" w:type="pct"/>
            <w:tcBorders>
              <w:tl2br w:val="nil"/>
              <w:tr2bl w:val="nil"/>
            </w:tcBorders>
            <w:vAlign w:val="center"/>
          </w:tcPr>
          <w:p w14:paraId="6D6964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5198B0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由环卫部门运至垃圾填埋场</w:t>
            </w:r>
          </w:p>
        </w:tc>
        <w:tc>
          <w:tcPr>
            <w:tcW w:w="675" w:type="pct"/>
            <w:tcBorders>
              <w:tl2br w:val="nil"/>
              <w:tr2bl w:val="nil"/>
            </w:tcBorders>
            <w:vAlign w:val="center"/>
          </w:tcPr>
          <w:p w14:paraId="695969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r>
      <w:tr w14:paraId="49CCB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jc w:val="center"/>
        </w:trPr>
        <w:tc>
          <w:tcPr>
            <w:tcW w:w="248" w:type="pct"/>
            <w:tcBorders>
              <w:tl2br w:val="nil"/>
              <w:tr2bl w:val="nil"/>
            </w:tcBorders>
            <w:vAlign w:val="center"/>
          </w:tcPr>
          <w:p w14:paraId="38F6D25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噪声</w:t>
            </w:r>
          </w:p>
        </w:tc>
        <w:tc>
          <w:tcPr>
            <w:tcW w:w="1332" w:type="pct"/>
            <w:gridSpan w:val="2"/>
            <w:tcBorders>
              <w:tl2br w:val="nil"/>
              <w:tr2bl w:val="nil"/>
            </w:tcBorders>
            <w:vAlign w:val="center"/>
          </w:tcPr>
          <w:p w14:paraId="264A2E9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工艺设备运行噪声，声级在</w:t>
            </w:r>
            <w:r>
              <w:rPr>
                <w:rFonts w:ascii="Times New Roman" w:hAnsi="Times New Roman" w:eastAsia="宋体" w:cs="Times New Roman"/>
                <w:strike w:val="0"/>
                <w:dstrike w:val="0"/>
                <w:color w:val="auto"/>
                <w:spacing w:val="0"/>
                <w:sz w:val="21"/>
                <w:szCs w:val="21"/>
                <w:highlight w:val="none"/>
              </w:rPr>
              <w:t>75~95dB</w:t>
            </w:r>
          </w:p>
          <w:p w14:paraId="36A53E8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A</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之间</w:t>
            </w:r>
          </w:p>
        </w:tc>
        <w:tc>
          <w:tcPr>
            <w:tcW w:w="3419" w:type="pct"/>
            <w:gridSpan w:val="3"/>
            <w:tcBorders>
              <w:tl2br w:val="nil"/>
              <w:tr2bl w:val="nil"/>
            </w:tcBorders>
            <w:vAlign w:val="center"/>
          </w:tcPr>
          <w:p w14:paraId="71AC165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设备选用低噪声设备，在安装时采取降噪减震措施，全部安装于室内，使用时定期检修，做好设备保养，落实工作间防噪声劳动保护和管理，完善厂区绿化建设</w:t>
            </w:r>
            <w:r>
              <w:rPr>
                <w:rFonts w:hint="eastAsia" w:ascii="Times New Roman" w:hAnsi="Times New Roman" w:eastAsia="宋体" w:cs="宋体"/>
                <w:strike w:val="0"/>
                <w:dstrike w:val="0"/>
                <w:color w:val="auto"/>
                <w:spacing w:val="0"/>
                <w:sz w:val="21"/>
                <w:szCs w:val="21"/>
                <w:highlight w:val="none"/>
                <w:lang w:eastAsia="zh-CN"/>
              </w:rPr>
              <w:t>。</w:t>
            </w:r>
          </w:p>
        </w:tc>
      </w:tr>
    </w:tbl>
    <w:p w14:paraId="037A1870">
      <w:pPr>
        <w:pStyle w:val="3"/>
        <w:rPr>
          <w:rFonts w:ascii="Times New Roman" w:hAnsi="Times New Roman" w:eastAsia="宋体"/>
          <w:strike w:val="0"/>
          <w:dstrike w:val="0"/>
          <w:color w:val="auto"/>
          <w:highlight w:val="none"/>
        </w:rPr>
      </w:pPr>
      <w:bookmarkStart w:id="160" w:name="_Toc89619337"/>
      <w:bookmarkStart w:id="161" w:name="_Toc29336"/>
      <w:bookmarkStart w:id="162" w:name="_Toc13258"/>
      <w:bookmarkStart w:id="163" w:name="_Toc347242003"/>
      <w:bookmarkStart w:id="164" w:name="_Toc30919"/>
      <w:bookmarkStart w:id="165" w:name="_Toc117518268"/>
      <w:bookmarkStart w:id="166" w:name="_Toc117518102"/>
      <w:bookmarkStart w:id="167" w:name="_Toc117518348"/>
      <w:bookmarkStart w:id="168" w:name="_Toc117518183"/>
      <w:bookmarkStart w:id="169" w:name="_Toc117518553"/>
      <w:bookmarkStart w:id="170" w:name="_Toc117517838"/>
      <w:r>
        <w:rPr>
          <w:rFonts w:hint="eastAsia" w:ascii="Times New Roman" w:hAnsi="Times New Roman" w:eastAsia="宋体"/>
          <w:strike w:val="0"/>
          <w:dstrike w:val="0"/>
          <w:color w:val="auto"/>
          <w:highlight w:val="none"/>
        </w:rPr>
        <w:t>3.5总量控制</w:t>
      </w:r>
      <w:bookmarkEnd w:id="160"/>
      <w:bookmarkEnd w:id="161"/>
      <w:bookmarkEnd w:id="162"/>
    </w:p>
    <w:p w14:paraId="7B846EEE">
      <w:pPr>
        <w:ind w:firstLine="480"/>
        <w:rPr>
          <w:rFonts w:hint="eastAsia" w:ascii="Times New Roman" w:hAnsi="Times New Roman" w:eastAsia="宋体"/>
          <w:strike w:val="0"/>
          <w:dstrike w:val="0"/>
          <w:color w:val="auto"/>
          <w:highlight w:val="none"/>
          <w:lang w:eastAsia="zh-CN"/>
        </w:rPr>
      </w:pPr>
      <w:bookmarkStart w:id="171" w:name="_Toc27076"/>
      <w:r>
        <w:rPr>
          <w:rFonts w:ascii="Times New Roman" w:hAnsi="Times New Roman" w:eastAsia="宋体"/>
          <w:strike w:val="0"/>
          <w:dstrike w:val="0"/>
          <w:color w:val="auto"/>
          <w:highlight w:val="none"/>
        </w:rPr>
        <w:t>结合本项目的特征污染物，</w:t>
      </w:r>
      <w:bookmarkEnd w:id="171"/>
      <w:r>
        <w:rPr>
          <w:rFonts w:ascii="Times New Roman" w:hAnsi="Times New Roman" w:eastAsia="宋体"/>
          <w:strike w:val="0"/>
          <w:dstrike w:val="0"/>
          <w:color w:val="auto"/>
          <w:highlight w:val="none"/>
        </w:rPr>
        <w:t>本项目无建议总量控制指标</w:t>
      </w:r>
      <w:r>
        <w:rPr>
          <w:rFonts w:hint="eastAsia" w:ascii="Times New Roman" w:hAnsi="Times New Roman" w:eastAsia="宋体"/>
          <w:strike w:val="0"/>
          <w:dstrike w:val="0"/>
          <w:color w:val="auto"/>
          <w:highlight w:val="none"/>
          <w:lang w:eastAsia="zh-CN"/>
        </w:rPr>
        <w:t>。</w:t>
      </w:r>
    </w:p>
    <w:p w14:paraId="65BF3665">
      <w:pPr>
        <w:pStyle w:val="3"/>
        <w:rPr>
          <w:rFonts w:ascii="Times New Roman" w:hAnsi="Times New Roman" w:eastAsia="宋体"/>
          <w:strike w:val="0"/>
          <w:dstrike w:val="0"/>
          <w:color w:val="auto"/>
          <w:highlight w:val="none"/>
        </w:rPr>
      </w:pPr>
      <w:bookmarkStart w:id="172" w:name="_Toc14636"/>
      <w:bookmarkStart w:id="173" w:name="_Toc26725"/>
      <w:bookmarkStart w:id="174" w:name="_Toc89619338"/>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清洁生产概述</w:t>
      </w:r>
      <w:bookmarkEnd w:id="163"/>
      <w:bookmarkEnd w:id="164"/>
      <w:bookmarkEnd w:id="165"/>
      <w:bookmarkEnd w:id="166"/>
      <w:bookmarkEnd w:id="167"/>
      <w:bookmarkEnd w:id="168"/>
      <w:bookmarkEnd w:id="169"/>
      <w:bookmarkEnd w:id="170"/>
      <w:bookmarkEnd w:id="172"/>
      <w:bookmarkEnd w:id="173"/>
      <w:bookmarkEnd w:id="174"/>
    </w:p>
    <w:p w14:paraId="5DB0A3EA">
      <w:pPr>
        <w:pStyle w:val="4"/>
        <w:rPr>
          <w:rFonts w:ascii="Times New Roman" w:hAnsi="Times New Roman" w:eastAsia="宋体"/>
          <w:strike w:val="0"/>
          <w:dstrike w:val="0"/>
          <w:color w:val="auto"/>
          <w:highlight w:val="none"/>
        </w:rPr>
      </w:pPr>
      <w:bookmarkStart w:id="175" w:name="_Toc299381556"/>
      <w:bookmarkStart w:id="176" w:name="_Toc300831158"/>
      <w:bookmarkStart w:id="177" w:name="_Toc289360120"/>
      <w:bookmarkStart w:id="178" w:name="_Toc291499424"/>
      <w:bookmarkStart w:id="179" w:name="_Toc310503813"/>
      <w:bookmarkStart w:id="180" w:name="_Toc224388100"/>
      <w:bookmarkStart w:id="181" w:name="_Toc321043931"/>
      <w:bookmarkStart w:id="182" w:name="_Toc8869"/>
      <w:bookmarkStart w:id="183" w:name="_Toc106663476"/>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.1清洁生产</w:t>
      </w:r>
      <w:bookmarkEnd w:id="175"/>
      <w:bookmarkEnd w:id="176"/>
      <w:bookmarkEnd w:id="177"/>
      <w:bookmarkEnd w:id="178"/>
      <w:bookmarkEnd w:id="179"/>
      <w:bookmarkEnd w:id="180"/>
      <w:bookmarkEnd w:id="181"/>
      <w:r>
        <w:rPr>
          <w:rFonts w:hint="eastAsia" w:ascii="Times New Roman" w:hAnsi="Times New Roman" w:eastAsia="宋体"/>
          <w:strike w:val="0"/>
          <w:dstrike w:val="0"/>
          <w:color w:val="auto"/>
          <w:highlight w:val="none"/>
        </w:rPr>
        <w:t>的意义</w:t>
      </w:r>
      <w:bookmarkEnd w:id="182"/>
      <w:bookmarkEnd w:id="183"/>
    </w:p>
    <w:p w14:paraId="4DF9D55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清洁生产是贯彻可持续发展战略方针的重要举措</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清洁生产是指将综合预防的环境策略持续地应用于生产过程和产品中，以便减少对人类和环境的风险性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它主要包括生产过程和产品二个部分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生产过程而言，清洁生产包括节约原材料和能源，淘汰有毒原材料并在全部排放物和废物离开生产过程以前减少它的数量和毒性；对产品而言，清洁生产策略旨在减少产品在整个生产周期过程（包括从原料提炼到产品的最终处置）中对人类和环境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污染预防是当今世界也是我国政府提倡的环境保护政策</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实施清洁生产是可持续发展战略的要求，力求工业提高能效，开发更清洁的技术，更新、代替对环境有害的产品和原材料，实现环境和资源的保护和有效管理；实行清洁生产是控制环境污染的有效手段；实行清洁生产可大大降低末端处理的负担；实行清洁生产可提高企业的市场竞争力</w:t>
      </w:r>
      <w:r>
        <w:rPr>
          <w:rFonts w:hint="eastAsia" w:ascii="Times New Roman" w:hAnsi="Times New Roman" w:eastAsia="宋体"/>
          <w:strike w:val="0"/>
          <w:dstrike w:val="0"/>
          <w:color w:val="auto"/>
          <w:highlight w:val="none"/>
          <w:lang w:eastAsia="zh-CN"/>
        </w:rPr>
        <w:t>。</w:t>
      </w:r>
    </w:p>
    <w:p w14:paraId="63E7A4B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w:t>
      </w:r>
      <w:r>
        <w:rPr>
          <w:rFonts w:hint="eastAsia" w:ascii="Times New Roman" w:hAnsi="Times New Roman" w:eastAsia="宋体"/>
          <w:strike w:val="0"/>
          <w:dstrike w:val="0"/>
          <w:color w:val="auto"/>
          <w:highlight w:val="none"/>
          <w:lang w:eastAsia="zh-CN"/>
        </w:rPr>
        <w:t>骆驼养殖</w:t>
      </w:r>
      <w:r>
        <w:rPr>
          <w:rFonts w:ascii="Times New Roman" w:hAnsi="Times New Roman" w:eastAsia="宋体"/>
          <w:strike w:val="0"/>
          <w:dstrike w:val="0"/>
          <w:color w:val="auto"/>
          <w:highlight w:val="none"/>
        </w:rPr>
        <w:t>项目，本次评价清洁生产的思路是结合养殖场中废物产生的特点，提出清洁生产方案和循环经济措施，力争达到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节能、降耗、减污、增效</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的目的，从而降低生产成本，减少末端污染物的产生量和排放量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采用清洁生产和循环利用技术，要明显减降企业生产过程对环境的影响，提高原材料及能源的使用效率，减少资源的浪费，降低生产成本，减少污染物的产生量及排放量，促进企业的技术进步，提高企业的经济效益和管理水平</w:t>
      </w:r>
      <w:r>
        <w:rPr>
          <w:rFonts w:hint="eastAsia" w:ascii="Times New Roman" w:hAnsi="Times New Roman" w:eastAsia="宋体"/>
          <w:strike w:val="0"/>
          <w:dstrike w:val="0"/>
          <w:color w:val="auto"/>
          <w:highlight w:val="none"/>
          <w:lang w:eastAsia="zh-CN"/>
        </w:rPr>
        <w:t>。</w:t>
      </w:r>
    </w:p>
    <w:p w14:paraId="4C5130E0">
      <w:pPr>
        <w:pStyle w:val="4"/>
        <w:rPr>
          <w:rFonts w:ascii="Times New Roman" w:hAnsi="Times New Roman" w:eastAsia="宋体"/>
          <w:strike w:val="0"/>
          <w:dstrike w:val="0"/>
          <w:color w:val="auto"/>
          <w:highlight w:val="none"/>
        </w:rPr>
      </w:pPr>
      <w:bookmarkStart w:id="184" w:name="_Toc106663477"/>
      <w:bookmarkStart w:id="185" w:name="_Toc4305"/>
      <w:r>
        <w:rPr>
          <w:rFonts w:hint="eastAsia" w:ascii="Times New Roman" w:hAnsi="Times New Roman" w:eastAsia="宋体"/>
          <w:strike w:val="0"/>
          <w:dstrike w:val="0"/>
          <w:color w:val="auto"/>
          <w:highlight w:val="none"/>
        </w:rPr>
        <w:t>3.6.2清洁生产水平分析</w:t>
      </w:r>
      <w:bookmarkEnd w:id="184"/>
      <w:bookmarkEnd w:id="185"/>
    </w:p>
    <w:p w14:paraId="2DD2FCF6">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.1清洁生产定性评价指标</w:t>
      </w:r>
    </w:p>
    <w:p w14:paraId="57FBF9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1、养殖清洁性分析</w:t>
      </w:r>
    </w:p>
    <w:p w14:paraId="52E5E3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1</w:t>
      </w:r>
      <w:r>
        <w:rPr>
          <w:rFonts w:hint="eastAsia" w:ascii="Times New Roman" w:hAnsi="Times New Roman" w:eastAsia="宋体" w:cs="Times New Roman"/>
          <w:strike w:val="0"/>
          <w:dstrike w:val="0"/>
          <w:color w:val="auto"/>
          <w:kern w:val="0"/>
          <w:sz w:val="24"/>
          <w:szCs w:val="20"/>
          <w:lang w:val="en-US" w:eastAsia="zh-CN" w:bidi="ar-SA"/>
        </w:rPr>
        <w:t>）项目采取适度规模化养殖方式，有利于采用能耗物耗小、污染物排放量少的清洁生产工艺，提高经济效益，提高环境质量。</w:t>
      </w:r>
    </w:p>
    <w:p w14:paraId="6983E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2</w:t>
      </w:r>
      <w:r>
        <w:rPr>
          <w:rFonts w:hint="eastAsia" w:ascii="Times New Roman" w:hAnsi="Times New Roman" w:eastAsia="宋体" w:cs="Times New Roman"/>
          <w:strike w:val="0"/>
          <w:dstrike w:val="0"/>
          <w:color w:val="auto"/>
          <w:kern w:val="0"/>
          <w:sz w:val="24"/>
          <w:szCs w:val="20"/>
          <w:lang w:val="en-US" w:eastAsia="zh-CN" w:bidi="ar-SA"/>
        </w:rPr>
        <w:t>）项目养殖场设施完善，驼舍结构合理，设计和建设时将充分考虑环保的要求，骆驼粪便清运至堆肥场，经处理后外售有机肥厂，实现资源化消耗。</w:t>
      </w:r>
    </w:p>
    <w:p w14:paraId="0D439A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3</w:t>
      </w:r>
      <w:r>
        <w:rPr>
          <w:rFonts w:hint="eastAsia" w:ascii="Times New Roman" w:hAnsi="Times New Roman" w:eastAsia="宋体" w:cs="Times New Roman"/>
          <w:strike w:val="0"/>
          <w:dstrike w:val="0"/>
          <w:color w:val="auto"/>
          <w:kern w:val="0"/>
          <w:sz w:val="24"/>
          <w:szCs w:val="20"/>
          <w:lang w:val="en-US" w:eastAsia="zh-CN" w:bidi="ar-SA"/>
        </w:rPr>
        <w:t>）项目生活污水和生产废水经排污管道排放至舍外黑膜池，厌氧发酵处理后，用于周边林带及厂区绿化施肥。通过本项目的建设，养殖场内可达到真正意义上的“零排放”，很大程度上减轻了对环境的污染。</w:t>
      </w:r>
    </w:p>
    <w:p w14:paraId="4BF66E6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2、粪便处置方式清洁性分析</w:t>
      </w:r>
    </w:p>
    <w:p w14:paraId="218C5BDC">
      <w:pPr>
        <w:ind w:firstLine="480"/>
        <w:rPr>
          <w:rFonts w:ascii="Times New Roman" w:hAnsi="Times New Roman" w:eastAsia="宋体"/>
          <w:strike w:val="0"/>
          <w:dstrike w:val="0"/>
          <w:color w:val="auto"/>
          <w:highlight w:val="none"/>
        </w:rPr>
      </w:pPr>
      <w:r>
        <w:rPr>
          <w:rFonts w:hint="eastAsia" w:ascii="Times New Roman" w:hAnsi="Times New Roman" w:eastAsia="宋体" w:cs="Times New Roman"/>
          <w:strike w:val="0"/>
          <w:dstrike w:val="0"/>
          <w:color w:val="auto"/>
          <w:kern w:val="0"/>
          <w:sz w:val="24"/>
          <w:szCs w:val="20"/>
          <w:lang w:val="en-US" w:eastAsia="zh-CN" w:bidi="ar-SA"/>
        </w:rPr>
        <w:t>本项目骆驼粪便清运至堆肥场，经处理后外售有机肥厂，</w:t>
      </w:r>
      <w:r>
        <w:rPr>
          <w:rFonts w:hint="eastAsia" w:ascii="Times New Roman" w:hAnsi="Times New Roman" w:eastAsia="宋体"/>
          <w:strike w:val="0"/>
          <w:dstrike w:val="0"/>
          <w:color w:val="auto"/>
          <w:highlight w:val="none"/>
          <w:lang w:val="en-US" w:eastAsia="zh-CN"/>
        </w:rPr>
        <w:t>最终实现减量化、资源化、无害化，该工艺符合清洁生产的要求。</w:t>
      </w:r>
    </w:p>
    <w:p w14:paraId="4E64C0B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3、</w:t>
      </w:r>
      <w:r>
        <w:rPr>
          <w:rFonts w:ascii="Times New Roman" w:hAnsi="Times New Roman" w:eastAsia="宋体"/>
          <w:strike w:val="0"/>
          <w:dstrike w:val="0"/>
          <w:color w:val="auto"/>
          <w:highlight w:val="none"/>
          <w:lang w:val="en-US" w:eastAsia="zh-CN"/>
        </w:rPr>
        <w:t>生产过程及设备分析</w:t>
      </w:r>
    </w:p>
    <w:p w14:paraId="33CE07A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项目生产过程中，各工序分工明确，既便于管理，又能保证生产作业线连续、短捷、方便。另外，内外运输配合协调，避免因往返运输和作业线交叉而造成不必要的浪费，人货分流通畅，生产管理方便，符合清洁生产的要求。</w:t>
      </w:r>
    </w:p>
    <w:p w14:paraId="79201A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4</w:t>
      </w:r>
      <w:r>
        <w:rPr>
          <w:rFonts w:ascii="Times New Roman" w:hAnsi="Times New Roman" w:eastAsia="宋体"/>
          <w:strike w:val="0"/>
          <w:dstrike w:val="0"/>
          <w:color w:val="auto"/>
          <w:highlight w:val="none"/>
        </w:rPr>
        <w:t>、资源能源利用指标</w:t>
      </w:r>
    </w:p>
    <w:p w14:paraId="00D4B16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本项目所采取的节能措施如下：</w:t>
      </w:r>
    </w:p>
    <w:p w14:paraId="25931E7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val="en-US" w:eastAsia="zh-CN"/>
        </w:rPr>
        <w:t>）按生产流向，合理地布置设备，减少物料往返运送次数，从而节省能源；总图布置上力求紧凑，要求贮存和成品仓库等都要靠近生产车间，按物料流向布置，缩短原料及成品的输送距离，尽量避免产品大量二次倒运，从而节省能源。</w:t>
      </w:r>
    </w:p>
    <w:p w14:paraId="48725E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val="en-US" w:eastAsia="zh-CN"/>
        </w:rPr>
        <w:t>）选择节能型设备，如风机、水泵及节能的物料输送系统。</w:t>
      </w:r>
    </w:p>
    <w:p w14:paraId="29269C4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val="en-US" w:eastAsia="zh-CN"/>
        </w:rPr>
        <w:t>）全场供电系统均选用节能型变压器，选择合理的补偿方案，使功率因数保持在</w:t>
      </w:r>
      <w:r>
        <w:rPr>
          <w:rFonts w:hint="default" w:ascii="Times New Roman" w:hAnsi="Times New Roman" w:eastAsia="宋体"/>
          <w:strike w:val="0"/>
          <w:dstrike w:val="0"/>
          <w:color w:val="auto"/>
          <w:highlight w:val="none"/>
          <w:lang w:val="en-US" w:eastAsia="zh-CN"/>
        </w:rPr>
        <w:t>90%</w:t>
      </w:r>
      <w:r>
        <w:rPr>
          <w:rFonts w:hint="eastAsia" w:ascii="Times New Roman" w:hAnsi="Times New Roman" w:eastAsia="宋体"/>
          <w:strike w:val="0"/>
          <w:dstrike w:val="0"/>
          <w:color w:val="auto"/>
          <w:highlight w:val="none"/>
          <w:lang w:val="en-US" w:eastAsia="zh-CN"/>
        </w:rPr>
        <w:t>以上，选择节能型电机，选择最优的供电方案，力求降低电能的损耗。</w:t>
      </w:r>
    </w:p>
    <w:p w14:paraId="55C436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val="en-US" w:eastAsia="zh-CN"/>
        </w:rPr>
        <w:t>）养殖场为保护环境并对驼粪便进行资源化利用，</w:t>
      </w:r>
      <w:r>
        <w:rPr>
          <w:rFonts w:hint="eastAsia" w:ascii="Times New Roman" w:hAnsi="Times New Roman" w:eastAsia="宋体" w:cs="Times New Roman"/>
          <w:strike w:val="0"/>
          <w:dstrike w:val="0"/>
          <w:color w:val="auto"/>
          <w:kern w:val="0"/>
          <w:sz w:val="24"/>
          <w:szCs w:val="20"/>
          <w:lang w:val="en-US" w:eastAsia="zh-CN" w:bidi="ar-SA"/>
        </w:rPr>
        <w:t>将骆驼粪便清运至堆肥场，经处理后外售有机肥厂。</w:t>
      </w:r>
    </w:p>
    <w:p w14:paraId="70EF62C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综上所述，本项目通过采取了多项节能、降耗措施后，体现了清洁生产的要求。</w:t>
      </w:r>
    </w:p>
    <w:p w14:paraId="3C00E6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4、污染物产生和排放</w:t>
      </w:r>
    </w:p>
    <w:p w14:paraId="1BB8FE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项目生活污水和生产废水经排污管道排放至舍外黑膜池，厌氧发酵处理后，用于周边林带及厂区绿化施肥，废水不外排。</w:t>
      </w:r>
    </w:p>
    <w:p w14:paraId="558923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项目废气主要是无组织排放的废气，通过采取相应的治理措施后，均可达标排放。</w:t>
      </w:r>
    </w:p>
    <w:p w14:paraId="6C4CBB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粪便用于有机肥生产，其他固体废物全部得到综合利用与妥善处置，实现了废物零排放</w:t>
      </w:r>
    </w:p>
    <w:p w14:paraId="3057438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5、环境管理要求</w:t>
      </w:r>
    </w:p>
    <w:p w14:paraId="1BBEA7E0">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w:t>
      </w:r>
      <w:r>
        <w:rPr>
          <w:rFonts w:ascii="Times New Roman" w:hAnsi="Times New Roman" w:eastAsia="宋体" w:cs="微软雅黑"/>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）本项目的建设符合国家产业政策，选址、平面布置及污染防治措施符合《畜禽养殖业污染防治技术规范》（</w:t>
      </w:r>
      <w:r>
        <w:rPr>
          <w:rFonts w:hint="default" w:ascii="Times New Roman" w:hAnsi="Times New Roman" w:eastAsia="宋体" w:cs="Times New Roman"/>
          <w:strike w:val="0"/>
          <w:dstrike w:val="0"/>
          <w:color w:val="auto"/>
          <w:kern w:val="0"/>
          <w:sz w:val="24"/>
          <w:szCs w:val="24"/>
          <w:lang w:val="en-US" w:eastAsia="zh-CN" w:bidi="ar"/>
        </w:rPr>
        <w:t>HJ/T81-2001</w:t>
      </w:r>
      <w:r>
        <w:rPr>
          <w:rFonts w:hint="eastAsia" w:ascii="Times New Roman" w:hAnsi="Times New Roman" w:eastAsia="宋体" w:cs="宋体"/>
          <w:strike w:val="0"/>
          <w:dstrike w:val="0"/>
          <w:color w:val="auto"/>
          <w:kern w:val="0"/>
          <w:sz w:val="24"/>
          <w:szCs w:val="24"/>
          <w:lang w:val="en-US" w:eastAsia="zh-CN" w:bidi="ar"/>
        </w:rPr>
        <w:t>）、《畜禽规模养殖污染防治条例》、《畜禽养殖业污染治理工程技术规范》（HJ497-2009）、《畜禽粪便无害化处理技术规范》等技术文件的要求。</w:t>
      </w:r>
    </w:p>
    <w:p w14:paraId="7D2D875A">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项目建成后企业将设立健全的环境管理机构和专职管理人员，制订较完善环境管理制度，严格控制各种污染物的产生及排放，严格控制风险事故的发生。项目将配备必要的专业人员，配置必要的监测仪器设备，配合当地环境保护管理部门做好本厂的环境保护工作。</w:t>
      </w:r>
    </w:p>
    <w:p w14:paraId="4BCBD9C2">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2）本项目饲料提倡使用微生物制剂、酶制剂和植物提取液等活性物质，以减少污染物排放和恶臭气体的产生。这些微生物进入家畜体内后，能使肠内的有益细菌增殖，使肠的活动能力增强，从而达到抑制粪尿恶臭的目的。</w:t>
      </w:r>
    </w:p>
    <w:p w14:paraId="29175E84">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3）驼舍和有机肥生产区域的恶臭收集后采用《畜禽养殖业污染治理工程技术规范》（HJ497-2009）推荐的生物除臭法处理以尽可能消除对区域大气环境的影响。骆驼产生的粪便用于生产有机肥，从而实现废物的无害化和资源化。本项目生活污水和生产废水经排污管道排放至舍外黑膜池，厌氧发酵处理后，用于周边林带及厂区绿化施肥，驼尿自然风干，不涉及驼舍冲洗废水。病死骆驼的处置按照《畜禽养殖业污染治理工程技术规范》（HJ497-2009）要求进行处置。通过采取环保治理措施，项目废气、废水、噪声、固废等污染物能够做到达标排放。</w:t>
      </w:r>
    </w:p>
    <w:p w14:paraId="72741AA3">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项目在环境管理方面能够满足清洁生产的要求。</w:t>
      </w:r>
    </w:p>
    <w:p w14:paraId="696528DE">
      <w:pPr>
        <w:ind w:firstLine="482"/>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3.6.</w:t>
      </w:r>
      <w:r>
        <w:rPr>
          <w:rFonts w:hint="eastAsia" w:ascii="Times New Roman" w:hAnsi="Times New Roman" w:eastAsia="宋体"/>
          <w:b/>
          <w:bCs/>
          <w:strike w:val="0"/>
          <w:dstrike w:val="0"/>
          <w:color w:val="auto"/>
          <w:highlight w:val="none"/>
          <w:lang w:val="en-US" w:eastAsia="zh-CN"/>
        </w:rPr>
        <w:t>2.2清洁生产小结</w:t>
      </w:r>
    </w:p>
    <w:p w14:paraId="57C1A28E">
      <w:pPr>
        <w:keepNext w:val="0"/>
        <w:keepLines w:val="0"/>
        <w:pageBreakBefore w:val="0"/>
        <w:widowControl w:val="0"/>
        <w:kinsoku/>
        <w:wordWrap/>
        <w:overflowPunct/>
        <w:topLinePunct w:val="0"/>
        <w:autoSpaceDE/>
        <w:autoSpaceDN/>
        <w:bidi w:val="0"/>
        <w:adjustRightInd/>
        <w:snapToGrid/>
        <w:ind w:firstLine="482"/>
        <w:textAlignment w:val="auto"/>
        <w:rPr>
          <w:rFonts w:hint="eastAsia" w:ascii="Times New Roman" w:hAnsi="Times New Roman" w:eastAsia="宋体"/>
          <w:b w:val="0"/>
          <w:bCs w:val="0"/>
          <w:strike w:val="0"/>
          <w:dstrike w:val="0"/>
          <w:color w:val="auto"/>
          <w:highlight w:val="none"/>
        </w:rPr>
      </w:pPr>
      <w:r>
        <w:rPr>
          <w:rFonts w:hint="eastAsia" w:ascii="Times New Roman" w:hAnsi="Times New Roman" w:eastAsia="宋体"/>
          <w:b w:val="0"/>
          <w:bCs w:val="0"/>
          <w:strike w:val="0"/>
          <w:dstrike w:val="0"/>
          <w:color w:val="auto"/>
          <w:highlight w:val="none"/>
          <w:lang w:val="en-US" w:eastAsia="zh-CN"/>
        </w:rPr>
        <w:t>通过与其他畜禽养殖项目对比，本项目符合清洁生产要求。综合上述分析，项目无论从原料利用上还是废物资源化利用方面，均能够体现出本项目具有多样化的循环经济途径。因此，企业应积极开拓循环经济理念，实现废物多重化、最大化循环利用，同时可拉长产业链条，拓展企业产业化成长发展模式，本项目将骆驼养殖向规模化、现代化转变。</w:t>
      </w:r>
    </w:p>
    <w:p w14:paraId="71AF5D38">
      <w:pPr>
        <w:ind w:firstLine="482"/>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3.6.</w:t>
      </w:r>
      <w:r>
        <w:rPr>
          <w:rFonts w:hint="eastAsia" w:ascii="Times New Roman" w:hAnsi="Times New Roman" w:eastAsia="宋体"/>
          <w:b/>
          <w:bCs/>
          <w:strike w:val="0"/>
          <w:dstrike w:val="0"/>
          <w:color w:val="auto"/>
          <w:highlight w:val="none"/>
          <w:lang w:val="en-US" w:eastAsia="zh-CN"/>
        </w:rPr>
        <w:t>2.3清洁生产建议</w:t>
      </w:r>
    </w:p>
    <w:p w14:paraId="2394C9A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经分析，拟建项目虽然符合清洁生产的要求，但还有进一步加强清洁生产的潜力，为此提出如下建议：</w:t>
      </w:r>
    </w:p>
    <w:p w14:paraId="3C633D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注重生产现场技术管理，保证生产过程的连续性、比例性和协调性</w:t>
      </w:r>
      <w:r>
        <w:rPr>
          <w:rFonts w:hint="eastAsia" w:ascii="Times New Roman" w:hAnsi="Times New Roman" w:eastAsia="宋体"/>
          <w:strike w:val="0"/>
          <w:dstrike w:val="0"/>
          <w:color w:val="auto"/>
          <w:highlight w:val="none"/>
          <w:lang w:eastAsia="zh-CN"/>
        </w:rPr>
        <w:t>。</w:t>
      </w:r>
    </w:p>
    <w:p w14:paraId="17FCF84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生产过程中必须加强循环利用和再资源化，对排放物的有效处理和回收利用，既可创造经济效益，又可减少污染</w:t>
      </w:r>
      <w:r>
        <w:rPr>
          <w:rFonts w:hint="eastAsia" w:ascii="Times New Roman" w:hAnsi="Times New Roman" w:eastAsia="宋体"/>
          <w:strike w:val="0"/>
          <w:dstrike w:val="0"/>
          <w:color w:val="auto"/>
          <w:highlight w:val="none"/>
          <w:lang w:eastAsia="zh-CN"/>
        </w:rPr>
        <w:t>。</w:t>
      </w:r>
    </w:p>
    <w:p w14:paraId="0B36BBD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进一步降低电耗、水耗，降低单位产品消耗水平，从而降低产品成本，增强市场竞争力</w:t>
      </w:r>
      <w:r>
        <w:rPr>
          <w:rFonts w:hint="eastAsia" w:ascii="Times New Roman" w:hAnsi="Times New Roman" w:eastAsia="宋体"/>
          <w:strike w:val="0"/>
          <w:dstrike w:val="0"/>
          <w:color w:val="auto"/>
          <w:highlight w:val="none"/>
          <w:lang w:eastAsia="zh-CN"/>
        </w:rPr>
        <w:t>。</w:t>
      </w:r>
    </w:p>
    <w:p w14:paraId="01DA4EC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进一步减少生产过程中的跑、冒、滴、漏，降低对环境造成的危害</w:t>
      </w:r>
      <w:r>
        <w:rPr>
          <w:rFonts w:hint="eastAsia" w:ascii="Times New Roman" w:hAnsi="Times New Roman" w:eastAsia="宋体"/>
          <w:strike w:val="0"/>
          <w:dstrike w:val="0"/>
          <w:color w:val="auto"/>
          <w:highlight w:val="none"/>
          <w:lang w:eastAsia="zh-CN"/>
        </w:rPr>
        <w:t>。</w:t>
      </w:r>
    </w:p>
    <w:p w14:paraId="03D0AF6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落实环评报告书所提出的各项污染防治措施，加强污染防治设施的运行维护和管理，确保对周围环境影响的最小化</w:t>
      </w:r>
      <w:r>
        <w:rPr>
          <w:rFonts w:hint="eastAsia" w:ascii="Times New Roman" w:hAnsi="Times New Roman" w:eastAsia="宋体"/>
          <w:strike w:val="0"/>
          <w:dstrike w:val="0"/>
          <w:color w:val="auto"/>
          <w:highlight w:val="none"/>
          <w:lang w:eastAsia="zh-CN"/>
        </w:rPr>
        <w:t>。</w:t>
      </w:r>
    </w:p>
    <w:p w14:paraId="5C16D7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建立严格完善的生产管理制度，加强业务培训和宣传教育工作，使每个职工树立节能意识，环保意识，保障清洁生产的目的顺利实施</w:t>
      </w:r>
      <w:r>
        <w:rPr>
          <w:rFonts w:hint="eastAsia" w:ascii="Times New Roman" w:hAnsi="Times New Roman" w:eastAsia="宋体"/>
          <w:strike w:val="0"/>
          <w:dstrike w:val="0"/>
          <w:color w:val="auto"/>
          <w:highlight w:val="none"/>
          <w:lang w:eastAsia="zh-CN"/>
        </w:rPr>
        <w:t>。</w:t>
      </w:r>
    </w:p>
    <w:p w14:paraId="5C8EE7DD">
      <w:pPr>
        <w:ind w:firstLine="480"/>
        <w:rPr>
          <w:rFonts w:hint="eastAsia" w:ascii="Times New Roman" w:hAnsi="Times New Roman" w:eastAsia="宋体"/>
          <w:strike w:val="0"/>
          <w:dstrike w:val="0"/>
          <w:color w:val="auto"/>
          <w:highlight w:val="none"/>
          <w:lang w:eastAsia="zh-CN"/>
        </w:rPr>
        <w:sectPr>
          <w:headerReference r:id="rId15" w:type="default"/>
          <w:footerReference r:id="rId1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拟建项目应参照ISO14000标准的要求建立并运行环境管理体系，不断健全环境管理手册、程序文件及作业文件，进一步理顺全厂环境管理的关系，抓好企业环境管理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同时开展清洁生产审核，持续改进和提高企业环境管理水平</w:t>
      </w:r>
      <w:r>
        <w:rPr>
          <w:rFonts w:hint="eastAsia" w:ascii="Times New Roman" w:hAnsi="Times New Roman" w:eastAsia="宋体"/>
          <w:strike w:val="0"/>
          <w:dstrike w:val="0"/>
          <w:color w:val="auto"/>
          <w:highlight w:val="none"/>
          <w:lang w:eastAsia="zh-CN"/>
        </w:rPr>
        <w:t>。</w:t>
      </w:r>
    </w:p>
    <w:p w14:paraId="073A5D69">
      <w:pPr>
        <w:pStyle w:val="2"/>
        <w:rPr>
          <w:rFonts w:ascii="Times New Roman" w:hAnsi="Times New Roman" w:eastAsia="宋体"/>
          <w:strike w:val="0"/>
          <w:dstrike w:val="0"/>
          <w:color w:val="auto"/>
          <w:highlight w:val="none"/>
        </w:rPr>
      </w:pPr>
      <w:bookmarkStart w:id="186" w:name="_Toc89619339"/>
      <w:bookmarkStart w:id="187" w:name="_Toc24566"/>
      <w:r>
        <w:rPr>
          <w:rFonts w:hint="eastAsia" w:ascii="Times New Roman" w:hAnsi="Times New Roman" w:eastAsia="宋体"/>
          <w:strike w:val="0"/>
          <w:dstrike w:val="0"/>
          <w:color w:val="auto"/>
          <w:highlight w:val="none"/>
        </w:rPr>
        <w:t>4、环境现状调查与评价</w:t>
      </w:r>
      <w:bookmarkEnd w:id="186"/>
      <w:bookmarkEnd w:id="187"/>
    </w:p>
    <w:p w14:paraId="0E792B8B">
      <w:pPr>
        <w:pStyle w:val="3"/>
        <w:tabs>
          <w:tab w:val="left" w:pos="2400"/>
        </w:tabs>
        <w:rPr>
          <w:rFonts w:ascii="Times New Roman" w:hAnsi="Times New Roman" w:eastAsia="宋体"/>
          <w:strike w:val="0"/>
          <w:dstrike w:val="0"/>
          <w:color w:val="auto"/>
          <w:highlight w:val="none"/>
        </w:rPr>
      </w:pPr>
      <w:bookmarkStart w:id="188" w:name="_Toc89619340"/>
      <w:bookmarkStart w:id="189" w:name="_Toc6460"/>
      <w:r>
        <w:rPr>
          <w:rFonts w:hint="eastAsia" w:ascii="Times New Roman" w:hAnsi="Times New Roman" w:eastAsia="宋体"/>
          <w:strike w:val="0"/>
          <w:dstrike w:val="0"/>
          <w:color w:val="auto"/>
          <w:highlight w:val="none"/>
        </w:rPr>
        <w:t>4.1自然环境概况</w:t>
      </w:r>
      <w:bookmarkEnd w:id="188"/>
      <w:bookmarkEnd w:id="189"/>
    </w:p>
    <w:p w14:paraId="4A610B73">
      <w:pPr>
        <w:pStyle w:val="4"/>
        <w:rPr>
          <w:rFonts w:ascii="Times New Roman" w:hAnsi="Times New Roman" w:eastAsia="宋体"/>
          <w:strike w:val="0"/>
          <w:dstrike w:val="0"/>
          <w:color w:val="auto"/>
          <w:highlight w:val="none"/>
        </w:rPr>
      </w:pPr>
      <w:bookmarkStart w:id="190" w:name="_Toc106663480"/>
      <w:bookmarkStart w:id="191" w:name="_Toc24124"/>
      <w:r>
        <w:rPr>
          <w:rFonts w:hint="eastAsia" w:ascii="Times New Roman" w:hAnsi="Times New Roman" w:eastAsia="宋体"/>
          <w:strike w:val="0"/>
          <w:dstrike w:val="0"/>
          <w:color w:val="auto"/>
          <w:highlight w:val="none"/>
        </w:rPr>
        <w:t>4.1.1地理位置</w:t>
      </w:r>
      <w:bookmarkEnd w:id="190"/>
      <w:bookmarkEnd w:id="191"/>
    </w:p>
    <w:p w14:paraId="5C987E4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木垒哈萨克自治县是新疆维吾尔自治区昌吉回族自治州最东边的一个县，位于天山北麓，准噶尔盆地东南缘，奇台县以东，巴里坤县以西，南倚天山与鄯善县隔山相望，北与蒙古国交界，总面积22171km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4B27226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本项目位于昌吉木垒县博斯坦乡阿克卓勒村，项目北侧和南侧为空地、西侧为农田，东侧为无名道路</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项目中心地理坐标</w:t>
      </w:r>
      <w:r>
        <w:rPr>
          <w:rFonts w:hint="eastAsia" w:ascii="Times New Roman" w:hAnsi="Times New Roman" w:eastAsia="宋体"/>
          <w:strike w:val="0"/>
          <w:dstrike w:val="0"/>
          <w:color w:val="auto"/>
          <w:highlight w:val="none"/>
        </w:rPr>
        <w:t>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p>
    <w:p w14:paraId="7BF7F211">
      <w:pPr>
        <w:pStyle w:val="4"/>
        <w:rPr>
          <w:rFonts w:ascii="Times New Roman" w:hAnsi="Times New Roman" w:eastAsia="宋体"/>
          <w:strike w:val="0"/>
          <w:dstrike w:val="0"/>
          <w:color w:val="auto"/>
          <w:highlight w:val="none"/>
        </w:rPr>
      </w:pPr>
      <w:bookmarkStart w:id="192" w:name="_Toc106663481"/>
      <w:bookmarkStart w:id="193" w:name="_Toc19956"/>
      <w:r>
        <w:rPr>
          <w:rFonts w:hint="eastAsia" w:ascii="Times New Roman" w:hAnsi="Times New Roman" w:eastAsia="宋体"/>
          <w:strike w:val="0"/>
          <w:dstrike w:val="0"/>
          <w:color w:val="auto"/>
          <w:highlight w:val="none"/>
        </w:rPr>
        <w:t>4.1.2地形、地貌</w:t>
      </w:r>
      <w:bookmarkEnd w:id="192"/>
      <w:bookmarkEnd w:id="193"/>
    </w:p>
    <w:p w14:paraId="2A3901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木垒哈萨克自治县地处阿尔泰构造带，博格达构造带和准噶尔地块交汇处。木垒县地形地貌为三面环山，向西开阔的簸箕状地貌形态，南部博格达山区为天山山脉的东延部分，海拔绝大部分在3000m以下，位于本县西南边境的最高峰，海拔3482m；北部北塔山和大、小哈甫提克山系阿尔泰山向东延伸的余脉，海拔大部分在2000m以下；东部蒙罗克山向南延伸，与博格达山余脉衔接，海拔3105m以下，因此形成南、北、东三山相接围绕，中部低洼向西开口的半壁槽状盆地，山前丘陵延山体宽达20～30km。南部山前丘陵以下为冲洪积扇区，形成一望无垠的平原戈壁，盆地中部横卧着两道由西向东的沙梁，复杂的地形包括山地、丘陵、平原和沙漠四个不同的地貌单元。各单元地貌特征如下：</w:t>
      </w:r>
    </w:p>
    <w:p w14:paraId="31171B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南部山区：南部博格达山属天山东段末梢，海拔在3482～1700m，山势由西向东递减，最高峰位于西吉尔南部，海拔3482m，这段山体均由比较坚硬的古生代火山凝灰岩、泥页岩、板岩等组成，因而山势雄伟高峻。全县6条山水河流均分布于博斯坦河以西的山区，这一地区地形起伏相对高差大，坡陡谷窄，河谷发育，部分地区基岩裸露，形成悬崖陡壁。博斯坦河以东的山区，山势逐渐低缓，海拔多在2000m左右，山地低矮，岩石裸露，无常年性河流分布。</w:t>
      </w:r>
    </w:p>
    <w:p w14:paraId="0ABD00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山前丘陵区：南部山前丘陵海拔1200～1700m，由于地形的复杂多变，使东西部丘陵形成明显的差异，博斯坦河以西的山前丘陵分布有大小河沟33条，山前缓坡被冲刷切割成梁槽相间的缓坡浅丘，地层为厚层土砾石层，覆盖着较厚的黄土状细土，梁顶浑圆而坡缓，25度以下的山坡大多已被开垦为旱地，部分25度以上的山坡也已被开垦，这一地区是木垒县旱地作物的主要种植区。博斯坦河以东的山前丘陵由于降水较西部丘陵少，自西向东土层逐渐变薄，植被逐渐稀疏，山坡被风化岩石碎片覆盖，旱地种植较少。</w:t>
      </w:r>
    </w:p>
    <w:p w14:paraId="401CEC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中部平原区：自山前丘陵以北到中部沙漠以南为辽阔的平原戈壁，整个地貌属冲洪积平原，海拔700～1200m，地势平坦、坡度较小，覆盖有厚度不等的冲积－洪积黄土。博斯坦牧场以西的平原区，土层较厚，宜耕性好，是木垒县灌溉农业的主要种植区，新户乡和奇木公路一带，为河灌区，雀仁乡周边地段地下水位较高，为井灌区。博斯坦牧场以东的平原区，因降水少，河流发育差，无灌溉条件，农业耕地较少。</w:t>
      </w:r>
    </w:p>
    <w:p w14:paraId="30813A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北部沙漠、戈壁区：位于木垒县境内中北部，海拔600～800m，沙漠区属古尔班通古特沙漠的东段末梢，为东西走向的条带状，分两道沙梁横贯东西，多为固定和半固定垄状沙丘和平沙地，沙丘高约50～60m。二道沙梁以北的戈壁，土壤基质砾质化，由大面积的裸岩砾石地。</w:t>
      </w:r>
    </w:p>
    <w:p w14:paraId="2DDA66E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北部山区：主要指北塔山和大、小哈甫提克山地，海拔多在2000m以下，山体矮小，地形复杂，地质结构凌乱，山体走向不一，阳坡由于风化作用，地表多被风化石片覆盖。</w:t>
      </w:r>
    </w:p>
    <w:p w14:paraId="3C43516F">
      <w:pPr>
        <w:pStyle w:val="4"/>
        <w:rPr>
          <w:rFonts w:ascii="Times New Roman" w:hAnsi="Times New Roman" w:eastAsia="宋体"/>
          <w:strike w:val="0"/>
          <w:dstrike w:val="0"/>
          <w:color w:val="auto"/>
          <w:highlight w:val="none"/>
        </w:rPr>
      </w:pPr>
      <w:bookmarkStart w:id="194" w:name="_Toc20244"/>
      <w:bookmarkStart w:id="195" w:name="_Toc106663483"/>
      <w:r>
        <w:rPr>
          <w:rFonts w:hint="eastAsia" w:ascii="Times New Roman" w:hAnsi="Times New Roman" w:eastAsia="宋体"/>
          <w:strike w:val="0"/>
          <w:dstrike w:val="0"/>
          <w:color w:val="auto"/>
          <w:highlight w:val="none"/>
        </w:rPr>
        <w:t>4.1.3水文地质</w:t>
      </w:r>
      <w:bookmarkEnd w:id="194"/>
      <w:bookmarkEnd w:id="195"/>
    </w:p>
    <w:p w14:paraId="4B9E2016">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木垒县境内河流均属山溪性河流，皆发源于天山山脉博格达山北坡，源头海拔1500～3340m，共有英格堡河、水磨沟河、东城河、木垒河、白杨河、博斯塘河6条河流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6条河流均位于南部山区，呈东西向平行排列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6条河流中以木垒河的年径流量为最大，该河多年平均年径流量为0.4424×10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，年最大径流量为1984年的1.052×10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，年最小径流量为1974年的0.2066×10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；另5条河的多年平均年径流量均小于0.2×10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，具体数值分别为英格堡河0.0814×10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、水磨沟河0.0877×10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、东城河0.0795×10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、白杨河0.07307×10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、博斯塘河0.0801×10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6条河的集水面积分别为英格堡河60.6km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、水磨沟河89.5km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、东城河83.8km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、木垒河467km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、白杨河80km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、博斯塘河74.5km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64065B37">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除上述6条河流外，木垒县境内山区还分布有17条泉水沟和81处泉眼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17条泉水沟中有16条位于南部山区，这16条泉水沟分别为庙尔沟、菜籽沟、孙家沟、沈家沟、芦塘沟、响水河子、沙尔塞克、哈什湖、大浪沙、小浪沙、七城子、白石头沟、江湖里、乌宗布拉克、大石头沟及西地沟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16条泉水沟中小浪沙、七城子、白石头沟、江湖里、乌宗布拉克、大石头沟及西地沟等7条泉水沟集中分布在大石头乡一带；另9条泉水沟则散布于6条河流之间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还有1条泉水沟蒙勒克山泉水沟位于木垒境内东部山区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泉水沟年径流量为0.1224×10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81处泉眼则散布于南、北、东山区、年径流量共0.0676×10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总计山泉年径流量为0.1900×10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2CD56120">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因山小源近流程短，源头又无现代冰川补给，地表径流受降水控制和影响，年内和年际变化都较大</w:t>
      </w:r>
      <w:r>
        <w:rPr>
          <w:rFonts w:hint="eastAsia" w:ascii="Times New Roman" w:hAnsi="Times New Roman" w:eastAsia="宋体"/>
          <w:strike w:val="0"/>
          <w:dstrike w:val="0"/>
          <w:color w:val="auto"/>
          <w:highlight w:val="none"/>
          <w:lang w:eastAsia="zh-CN"/>
        </w:rPr>
        <w:t>。</w:t>
      </w:r>
    </w:p>
    <w:p w14:paraId="5B59C8C2">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全县共有16座拦蓄水库，其中中型水库1座，小（Ⅰ）型水库8座，小（Ⅱ）型水库7座，设计蓄水总库容达到4267万m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全县共有坎儿井17条；成井613眼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木垒县六条河流都建有引水工程，引水流量为0.5～15m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/s，共有各类渠道1341km，其中防渗渠道1287km</w:t>
      </w:r>
      <w:r>
        <w:rPr>
          <w:rFonts w:hint="eastAsia" w:ascii="Times New Roman" w:hAnsi="Times New Roman" w:eastAsia="宋体"/>
          <w:strike w:val="0"/>
          <w:dstrike w:val="0"/>
          <w:color w:val="auto"/>
          <w:highlight w:val="none"/>
          <w:lang w:eastAsia="zh-CN"/>
        </w:rPr>
        <w:t>。</w:t>
      </w:r>
    </w:p>
    <w:p w14:paraId="2A6B6BA9">
      <w:pPr>
        <w:pStyle w:val="4"/>
        <w:rPr>
          <w:rFonts w:ascii="Times New Roman" w:hAnsi="Times New Roman" w:eastAsia="宋体"/>
          <w:strike w:val="0"/>
          <w:dstrike w:val="0"/>
          <w:color w:val="auto"/>
          <w:highlight w:val="none"/>
        </w:rPr>
      </w:pPr>
      <w:bookmarkStart w:id="196" w:name="_Toc106663484"/>
      <w:bookmarkStart w:id="197" w:name="_Toc30095"/>
      <w:r>
        <w:rPr>
          <w:rFonts w:hint="eastAsia" w:ascii="Times New Roman" w:hAnsi="Times New Roman" w:eastAsia="宋体"/>
          <w:strike w:val="0"/>
          <w:dstrike w:val="0"/>
          <w:color w:val="auto"/>
          <w:highlight w:val="none"/>
        </w:rPr>
        <w:t>4.1.4气候、气象</w:t>
      </w:r>
      <w:bookmarkEnd w:id="196"/>
      <w:bookmarkEnd w:id="197"/>
    </w:p>
    <w:p w14:paraId="5958BD18">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地处欧亚大陆中心，远离海洋，只有西风气流把大西洋上空的湿润空气，经过长途跋涉带入我区，形成降水。从西伯利亚来的强冷空气，从西北方入侵县境，常造成大风和降温天气。由于木垒县所处地理位置和地形地貌的差异，大部分地区的气候特点是：冬季寒冷而漫长，夏季短而比较凉爽，光照充足，春、夏多风，降水少，属大陆性气候</w:t>
      </w:r>
    </w:p>
    <w:p w14:paraId="398A156B">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受地形地貌、植被的影响，地区差异性明显：平原小于山区，西部多于东部。沙漠区年降水量100～150mm，戈壁平原地带常年降水量150～250mm，山前丘陵区在照壁山以西为250mm～400mm，以东250mm左右。每年降水量主要集中在4～9月，占全年降水量的80%。</w:t>
      </w:r>
    </w:p>
    <w:p w14:paraId="7006C9A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木垒蒸发量存在垂直分带及水平分带性。木垒河以西山前丘陵蒸发量一般为200～2100mm，木垒河以东为2100～2200mm，戈壁平原及沙漠区为2200～2430mm。蒸发主要集中于每年的5～9月份，占全年蒸发量的72.3%。</w:t>
      </w:r>
    </w:p>
    <w:p w14:paraId="5BB77498">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木垒县由于地形地貌的不同，温度具有明显的差异：秋季和春季相差不大，冬季和夏季气温相差悬殊。</w:t>
      </w:r>
    </w:p>
    <w:p w14:paraId="711FEE3E">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各地风速除山区外，其余各地均较大，其中以大石头地区最大，其次为雀仁乡。春夏多西风，秋季西风、南风各半。</w:t>
      </w:r>
    </w:p>
    <w:p w14:paraId="7465783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木垒县近30年常规气候统计资料如下：</w:t>
      </w:r>
    </w:p>
    <w:p w14:paraId="5841002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年平均气温5.3℃</w:t>
      </w:r>
    </w:p>
    <w:p w14:paraId="79FAB749">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极端最高气温36.5℃</w:t>
      </w:r>
    </w:p>
    <w:p w14:paraId="50FFBA3F">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极端最低气温-31.0℃</w:t>
      </w:r>
    </w:p>
    <w:p w14:paraId="69B39AE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年平均本站气压875.3hPa</w:t>
      </w:r>
    </w:p>
    <w:p w14:paraId="58CAAEE6">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年平均水气压5.6</w:t>
      </w:r>
    </w:p>
    <w:p w14:paraId="5EA3E5B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年平均相对湿度55%</w:t>
      </w:r>
    </w:p>
    <w:p w14:paraId="2FC774EF">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最小相对湿度4%</w:t>
      </w:r>
    </w:p>
    <w:p w14:paraId="0BE0861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年平均风速3.8m/s</w:t>
      </w:r>
    </w:p>
    <w:p w14:paraId="66DD6C20">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主导风向SSW</w:t>
      </w:r>
    </w:p>
    <w:p w14:paraId="75E22C64">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十分钟平均最大风速3.16m/s</w:t>
      </w:r>
    </w:p>
    <w:p w14:paraId="177B7AB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年平均降水量326.4mm</w:t>
      </w:r>
    </w:p>
    <w:p w14:paraId="3ADCF8A5">
      <w:pPr>
        <w:keepNext w:val="0"/>
        <w:keepLines w:val="0"/>
        <w:pageBreakBefore w:val="0"/>
        <w:widowControl w:val="0"/>
        <w:kinsoku/>
        <w:wordWrap/>
        <w:overflowPunct/>
        <w:topLinePunct w:val="0"/>
        <w:autoSpaceDE/>
        <w:autoSpaceDN/>
        <w:bidi w:val="0"/>
        <w:snapToGrid/>
        <w:spacing w:line="480" w:lineRule="exact"/>
        <w:ind w:left="0" w:leftChars="0" w:right="0" w:rightChars="0" w:firstLine="0" w:firstLineChars="0"/>
        <w:jc w:val="both"/>
        <w:outlineLvl w:val="9"/>
        <w:rPr>
          <w:rFonts w:hint="eastAsia" w:ascii="Times New Roman" w:hAnsi="Times New Roman" w:eastAsia="宋体" w:cs="Times New Roman"/>
          <w:b/>
          <w:bCs/>
          <w:strike w:val="0"/>
          <w:dstrike w:val="0"/>
          <w:color w:val="auto"/>
          <w:sz w:val="28"/>
          <w:szCs w:val="32"/>
          <w:highlight w:val="none"/>
          <w:lang w:val="en-US" w:eastAsia="zh-CN" w:bidi="ar-SA"/>
        </w:rPr>
      </w:pPr>
      <w:r>
        <w:rPr>
          <w:rFonts w:hint="eastAsia" w:ascii="Times New Roman" w:hAnsi="Times New Roman" w:eastAsia="宋体" w:cs="Times New Roman"/>
          <w:b/>
          <w:bCs/>
          <w:strike w:val="0"/>
          <w:dstrike w:val="0"/>
          <w:color w:val="auto"/>
          <w:sz w:val="28"/>
          <w:szCs w:val="32"/>
          <w:highlight w:val="none"/>
          <w:lang w:val="en-US" w:eastAsia="zh-CN" w:bidi="ar-SA"/>
        </w:rPr>
        <w:t>4.1.5自然资源</w:t>
      </w:r>
    </w:p>
    <w:p w14:paraId="1A71915F">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1</w:t>
      </w:r>
      <w:r>
        <w:rPr>
          <w:rFonts w:hint="eastAsia" w:ascii="Times New Roman" w:hAnsi="Times New Roman" w:eastAsia="宋体" w:cs="宋体"/>
          <w:b w:val="0"/>
          <w:strike w:val="0"/>
          <w:dstrike w:val="0"/>
          <w:color w:val="auto"/>
          <w:spacing w:val="0"/>
          <w:position w:val="0"/>
          <w:sz w:val="24"/>
          <w:szCs w:val="24"/>
          <w:highlight w:val="none"/>
          <w:lang w:eastAsia="zh-CN"/>
        </w:rPr>
        <w:t>）土壤与植被</w:t>
      </w:r>
    </w:p>
    <w:p w14:paraId="5C2F78B1">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县南部山区主要土类为黑钙土、栗钙土和草甸土，土壤中有机质含量较高，大浪沙以西的山区由于地势高峻，受湿润气流的影响，植被垂直带发育较完整。海拔2700～3482m的山地，植被由苔草、蒿草、珠牙蓼、委陵菜、高山早熟禾、羊茅、火绒草等组成，草层高度4～8cm，盖度30%～80%。海拔1700～2700m的地带土壤肥沃，雨量充沛，植被种类丰富，在阴坡由高大的雪岭云杉、杨树、柳树、桦树等组成，阳坡沟谷林间空地由禾本科、菊科、牛儿苗科、豆科、莎草科、蔷薇科等植物组成不同群落，草层高度20～60m，植被盖度50%～80%。大浪沙以东至大石头地区，地形逐渐低缓，气候变干，植被种类由西部的旱生或中旱生为主逐渐转向以旱生和超旱生为主，种类和数量明显减少。</w:t>
      </w:r>
    </w:p>
    <w:p w14:paraId="6239585B">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山前丘陵带在大浪沙以西至英格堡一带主要土类以栗钙土和棕钙土为主，有少量灌耕土，有机质及养分含量高，土地肥沃，土层深厚，这一地区气候比较湿。润，植被以草甸草原为主，常见植物有铁杆蒿、灌木亚菊、糙苏、老观草、唇香花、蓬子菜、羊茅、早熟禾、苔草等，灌木有蔷薇、兔儿条、锦鸡儿等，草层高度10～25cm，总盖度20%～80%。大浪沙以东至大石头一带气候较干旱，降水较西部少，土壤为栗钙土、棕钙土和草甸土，土地贫瘠，有机质含量低，土层较薄，一般厚度30～50cm。植被主要以荒漠草原为主，油锦鸡儿、针茅、羊茅、冰草、沙生针茅、蒿子、沙葱、小蓬、地肤、苔草、驼绒黎、假木贼、麻黄等组成不同群落，这一地区干旱多风，地表常以砂砾石和风化碎石覆盖，草层高度一般在5～20cm，总盖度30%～40%。</w:t>
      </w:r>
    </w:p>
    <w:p w14:paraId="7A03951B">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中部平原南起山前丘陵下部，北至沙漠南缘，包括整个冲积、洪积平原，土壤主要有棕钙土、灰漠土、灌耕土、盐土、风沙土等。骆驼路以南为中上戈壁，为河灌区，土壤以棕钙土为主，并有部分灌耕土、灰漠土，土层厚度60～100cm，土壤质地板结，保水保肥性能差，有机质缺乏。骆驼路以北为下戈壁，属井灌区，土壤有灰漠土、盐土、风沙土，土层厚1～2m，土壤易板结，部分地区被风蚀、沙化明显，有机质含量低，pH值9～9.5，属碱性土壤。沙漠以南的广大平原区，植被主要以蒿子、地肤、驼绒黎和一年生植物叉毛蓬、角果黎、猪毛菜等组成的荒漠植被，草层高度5～20cm，植被盖度20%～40%。</w:t>
      </w:r>
    </w:p>
    <w:p w14:paraId="58B854C3">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北部沙漠、戈壁区南起平原北缘，北至北塔山南缘，土壤为风沙土、盐土和草甸土，沙漠区植被主要由梭梭、沙蒿、柽柳、盐节木、沙蒿、驼绒黎、琵琶柴、三芒草、曲尖麻黄、猪毛菜、沙米等组成，盖度一般在20%～45%。二道沙梁以北的地区，土壤基质均不同程度地出现砾质化，植被主要由超旱生灌木、半灌木组成，一年生草本逐渐消失，有曲尖麻黄、中麻黄、霸王、梭梭、猪毛菜、琵琶柴、假木贼、驼绒黎、戈壁针茅等灌木、半灌木及短命草本植物组成，草层高度10～20cm，植被盖度10%～30%。在北塔山盐池周围、哈依纳尔哈斯木托浪格等地有散生片状胡杨林，伴生有柽柳。</w:t>
      </w:r>
    </w:p>
    <w:p w14:paraId="766B8DCA">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北部山区山势较低，石质面积大，土壤为淡棕钙土、淡栗钙土，北坡沟谷处西伯利亚落叶松零星分布，阴坡沟槽有忍冬、绣线菊、圆柏、山楂树、锦鸡儿等灌木半灌木。该区水源缺乏，水草组合极差，植被有曲尖麻黄、中麻黄、假木贼、木本猪毛菜、驼绒黎和少量戈壁针茅、细柄茅等，草层高度10～20cm，盖度一般在20%～30%。</w:t>
      </w:r>
    </w:p>
    <w:p w14:paraId="6C3A39FF">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2</w:t>
      </w:r>
      <w:r>
        <w:rPr>
          <w:rFonts w:hint="eastAsia" w:ascii="Times New Roman" w:hAnsi="Times New Roman" w:eastAsia="宋体" w:cs="宋体"/>
          <w:b w:val="0"/>
          <w:strike w:val="0"/>
          <w:dstrike w:val="0"/>
          <w:color w:val="auto"/>
          <w:spacing w:val="0"/>
          <w:position w:val="0"/>
          <w:sz w:val="24"/>
          <w:szCs w:val="24"/>
          <w:highlight w:val="none"/>
          <w:lang w:eastAsia="zh-CN"/>
        </w:rPr>
        <w:t>）野生动物</w:t>
      </w:r>
    </w:p>
    <w:p w14:paraId="04FB4BAE">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哈萨克自治县主要分布各类脊椎动物26目，55科，178种；鸟类16目，36科，127种；兽类6目，12科，38种。国家一级保护动物5种，国家二级保护动物19种。其中鸟类一级有金雕、玉带海雕、波斑鸨等三种，二级15种，主要为隼形目和号鸟形目的种类；兽类一级有雪豹、北山羊等2种，二级有石貂、猞猁、盘羊、鹅喉羚等4种。</w:t>
      </w:r>
    </w:p>
    <w:p w14:paraId="47F6B563">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3</w:t>
      </w:r>
      <w:r>
        <w:rPr>
          <w:rFonts w:hint="eastAsia" w:ascii="Times New Roman" w:hAnsi="Times New Roman" w:eastAsia="宋体" w:cs="宋体"/>
          <w:b w:val="0"/>
          <w:strike w:val="0"/>
          <w:dstrike w:val="0"/>
          <w:color w:val="auto"/>
          <w:spacing w:val="0"/>
          <w:position w:val="0"/>
          <w:sz w:val="24"/>
          <w:szCs w:val="24"/>
          <w:highlight w:val="none"/>
          <w:lang w:eastAsia="zh-CN"/>
        </w:rPr>
        <w:t>）区域矿产资源概况</w:t>
      </w:r>
    </w:p>
    <w:p w14:paraId="09332FBD">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哈萨克自治县境内矿产资源主要有煤、铜、金、石灰石、菱铁矿、湖盐、沸石、辉绿岩、方解石、云母、石棉矿、石墨、黄铁矿、辉铜矿、滑石、石英矿、砂页岩、磁铁矿、赤铁矿、铅锌矿、钾盐等三十多种。</w:t>
      </w:r>
    </w:p>
    <w:p w14:paraId="4E232B01">
      <w:pPr>
        <w:pStyle w:val="3"/>
        <w:rPr>
          <w:rFonts w:ascii="Times New Roman" w:hAnsi="Times New Roman" w:eastAsia="宋体"/>
          <w:strike w:val="0"/>
          <w:dstrike w:val="0"/>
          <w:color w:val="auto"/>
          <w:highlight w:val="none"/>
        </w:rPr>
      </w:pPr>
      <w:bookmarkStart w:id="198" w:name="_Toc89619341"/>
      <w:bookmarkStart w:id="199" w:name="_Toc29819"/>
      <w:r>
        <w:rPr>
          <w:rFonts w:hint="eastAsia" w:ascii="Times New Roman" w:hAnsi="Times New Roman" w:eastAsia="宋体"/>
          <w:strike w:val="0"/>
          <w:dstrike w:val="0"/>
          <w:color w:val="auto"/>
          <w:highlight w:val="none"/>
        </w:rPr>
        <w:t>4.2环境质量现状调查与评价</w:t>
      </w:r>
      <w:bookmarkEnd w:id="198"/>
      <w:bookmarkEnd w:id="199"/>
    </w:p>
    <w:p w14:paraId="6B202A2B">
      <w:pPr>
        <w:pStyle w:val="4"/>
        <w:rPr>
          <w:rFonts w:ascii="Times New Roman" w:hAnsi="Times New Roman" w:eastAsia="宋体"/>
          <w:strike w:val="0"/>
          <w:dstrike w:val="0"/>
          <w:color w:val="auto"/>
          <w:highlight w:val="none"/>
        </w:rPr>
      </w:pPr>
      <w:bookmarkStart w:id="200" w:name="_Toc106663486"/>
      <w:bookmarkStart w:id="201" w:name="_Toc4301"/>
      <w:r>
        <w:rPr>
          <w:rFonts w:hint="eastAsia" w:ascii="Times New Roman" w:hAnsi="Times New Roman" w:eastAsia="宋体"/>
          <w:strike w:val="0"/>
          <w:dstrike w:val="0"/>
          <w:color w:val="auto"/>
          <w:highlight w:val="none"/>
        </w:rPr>
        <w:t>4.2.1大气环境现状调查与评价</w:t>
      </w:r>
      <w:bookmarkEnd w:id="200"/>
      <w:bookmarkEnd w:id="201"/>
    </w:p>
    <w:p w14:paraId="17B3024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4.2.1.1环境空气污染物基本项目</w:t>
      </w:r>
    </w:p>
    <w:p w14:paraId="6B625064">
      <w:pPr>
        <w:spacing w:line="500" w:lineRule="exact"/>
        <w:ind w:firstLine="480"/>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rPr>
        <w:t>根据《环境影响评价技术导则大气环境》（HJ2.2-2018）的要求，分别对基本污染物的环境质量现状进行评价</w:t>
      </w:r>
      <w:r>
        <w:rPr>
          <w:rFonts w:hint="eastAsia" w:ascii="Times New Roman" w:hAnsi="Times New Roman" w:eastAsia="宋体"/>
          <w:strike w:val="0"/>
          <w:dstrike w:val="0"/>
          <w:color w:val="auto"/>
          <w:szCs w:val="24"/>
          <w:highlight w:val="none"/>
          <w:lang w:eastAsia="zh-CN"/>
        </w:rPr>
        <w:t>。昌吉回族自治州2024年</w:t>
      </w:r>
      <w:r>
        <w:rPr>
          <w:rFonts w:hint="eastAsia" w:ascii="Times New Roman" w:hAnsi="Times New Roman" w:eastAsia="宋体"/>
          <w:strike w:val="0"/>
          <w:dstrike w:val="0"/>
          <w:color w:val="auto"/>
          <w:szCs w:val="24"/>
          <w:highlight w:val="none"/>
        </w:rPr>
        <w:t>SO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、NO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10</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rPr>
        <w:t>年均浓度分别为</w:t>
      </w:r>
      <w:r>
        <w:rPr>
          <w:rFonts w:hint="eastAsia" w:ascii="Times New Roman" w:hAnsi="Times New Roman" w:eastAsia="宋体"/>
          <w:strike w:val="0"/>
          <w:dstrike w:val="0"/>
          <w:color w:val="auto"/>
          <w:szCs w:val="24"/>
          <w:highlight w:val="none"/>
          <w:lang w:val="en-US" w:eastAsia="zh-CN"/>
        </w:rPr>
        <w:t>7</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30</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70</w:t>
      </w:r>
      <w:r>
        <w:rPr>
          <w:rFonts w:hint="eastAsia" w:ascii="Times New Roman" w:hAnsi="Times New Roman" w:eastAsia="宋体"/>
          <w:strike w:val="0"/>
          <w:dstrike w:val="0"/>
          <w:color w:val="auto"/>
          <w:szCs w:val="24"/>
          <w:highlight w:val="none"/>
        </w:rPr>
        <w:t>μ</w:t>
      </w:r>
      <w:r>
        <w:rPr>
          <w:rFonts w:ascii="Times New Roman" w:hAnsi="Times New Roman" w:eastAsia="宋体"/>
          <w:strike w:val="0"/>
          <w:dstrike w:val="0"/>
          <w:color w:val="auto"/>
          <w:szCs w:val="24"/>
          <w:highlight w:val="none"/>
        </w:rPr>
        <w:t>g</w:t>
      </w:r>
      <w:r>
        <w:rPr>
          <w:rFonts w:hint="eastAsia" w:ascii="Times New Roman" w:hAnsi="Times New Roman" w:eastAsia="宋体"/>
          <w:strike w:val="0"/>
          <w:dstrike w:val="0"/>
          <w:color w:val="auto"/>
          <w:szCs w:val="24"/>
          <w:highlight w:val="none"/>
        </w:rPr>
        <w:t>/m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40</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；CO24小时平均第95百分位数为</w:t>
      </w:r>
      <w:r>
        <w:rPr>
          <w:rFonts w:hint="eastAsia" w:ascii="Times New Roman" w:hAnsi="Times New Roman" w:eastAsia="宋体"/>
          <w:strike w:val="0"/>
          <w:dstrike w:val="0"/>
          <w:color w:val="auto"/>
          <w:szCs w:val="24"/>
          <w:highlight w:val="none"/>
          <w:lang w:val="en-US" w:eastAsia="zh-CN"/>
        </w:rPr>
        <w:t>1.8</w:t>
      </w:r>
      <w:r>
        <w:rPr>
          <w:rFonts w:hint="eastAsia" w:ascii="Times New Roman" w:hAnsi="Times New Roman" w:eastAsia="宋体"/>
          <w:strike w:val="0"/>
          <w:dstrike w:val="0"/>
          <w:color w:val="auto"/>
          <w:szCs w:val="24"/>
          <w:highlight w:val="none"/>
        </w:rPr>
        <w:t>mg/m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，O</w:t>
      </w:r>
      <w:r>
        <w:rPr>
          <w:rFonts w:hint="eastAsia" w:ascii="Times New Roman" w:hAnsi="Times New Roman" w:eastAsia="宋体"/>
          <w:strike w:val="0"/>
          <w:dstrike w:val="0"/>
          <w:color w:val="auto"/>
          <w:szCs w:val="24"/>
          <w:highlight w:val="none"/>
          <w:vertAlign w:val="subscript"/>
        </w:rPr>
        <w:t>3</w:t>
      </w:r>
      <w:r>
        <w:rPr>
          <w:rFonts w:hint="eastAsia" w:ascii="Times New Roman" w:hAnsi="Times New Roman" w:eastAsia="宋体"/>
          <w:strike w:val="0"/>
          <w:dstrike w:val="0"/>
          <w:color w:val="auto"/>
          <w:szCs w:val="24"/>
          <w:highlight w:val="none"/>
        </w:rPr>
        <w:t>日最大8小时平均第90百分位数为</w:t>
      </w:r>
      <w:r>
        <w:rPr>
          <w:rFonts w:hint="eastAsia" w:ascii="Times New Roman" w:hAnsi="Times New Roman" w:eastAsia="宋体"/>
          <w:strike w:val="0"/>
          <w:dstrike w:val="0"/>
          <w:color w:val="auto"/>
          <w:szCs w:val="24"/>
          <w:highlight w:val="none"/>
          <w:lang w:val="en-US" w:eastAsia="zh-CN"/>
        </w:rPr>
        <w:t>134</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；超过《环境空气质量标准》（GB3095-20</w:t>
      </w:r>
      <w:r>
        <w:rPr>
          <w:rFonts w:hint="eastAsia" w:ascii="Times New Roman" w:hAnsi="Times New Roman" w:eastAsia="宋体"/>
          <w:strike w:val="0"/>
          <w:dstrike w:val="0"/>
          <w:color w:val="auto"/>
          <w:szCs w:val="24"/>
          <w:highlight w:val="none"/>
          <w:lang w:val="en-US" w:eastAsia="zh-CN"/>
        </w:rPr>
        <w:t>26</w:t>
      </w:r>
      <w:r>
        <w:rPr>
          <w:rFonts w:hint="eastAsia" w:ascii="Times New Roman" w:hAnsi="Times New Roman" w:eastAsia="宋体"/>
          <w:strike w:val="0"/>
          <w:dstrike w:val="0"/>
          <w:color w:val="auto"/>
          <w:szCs w:val="24"/>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szCs w:val="24"/>
          <w:highlight w:val="none"/>
        </w:rPr>
        <w:t>二级标准限值的污染物为PM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lang w:eastAsia="zh-CN"/>
        </w:rPr>
        <w:t>。</w:t>
      </w:r>
    </w:p>
    <w:p w14:paraId="74E0F9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（1）数据来源</w:t>
      </w:r>
    </w:p>
    <w:p w14:paraId="675E453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大气环境》（HJ2.2-2018）对环境质量现状数据的要求，本次采用国家环境保护环境影响评价数值模拟重点实验室、生态环境部环境工程评估中心基于互联网的环境影响评价技术服务平台－环境空气质量模型技术支持服务系统中的昌吉回族自治州2024年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、NO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、CO、O</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、PM</w:t>
      </w:r>
      <w:r>
        <w:rPr>
          <w:rFonts w:hint="eastAsia" w:ascii="Times New Roman" w:hAnsi="Times New Roman" w:eastAsia="宋体"/>
          <w:strike w:val="0"/>
          <w:dstrike w:val="0"/>
          <w:color w:val="auto"/>
          <w:highlight w:val="none"/>
          <w:vertAlign w:val="subscript"/>
        </w:rPr>
        <w:t>10</w:t>
      </w:r>
      <w:r>
        <w:rPr>
          <w:rFonts w:hint="eastAsia" w:ascii="Times New Roman" w:hAnsi="Times New Roman" w:eastAsia="宋体"/>
          <w:strike w:val="0"/>
          <w:dstrike w:val="0"/>
          <w:color w:val="auto"/>
          <w:highlight w:val="none"/>
        </w:rPr>
        <w:t>、PM</w:t>
      </w:r>
      <w:r>
        <w:rPr>
          <w:rFonts w:hint="eastAsia" w:ascii="Times New Roman" w:hAnsi="Times New Roman" w:eastAsia="宋体"/>
          <w:strike w:val="0"/>
          <w:dstrike w:val="0"/>
          <w:color w:val="auto"/>
          <w:highlight w:val="none"/>
          <w:vertAlign w:val="subscript"/>
        </w:rPr>
        <w:t>2.5</w:t>
      </w:r>
      <w:r>
        <w:rPr>
          <w:rFonts w:hint="eastAsia" w:ascii="Times New Roman" w:hAnsi="Times New Roman" w:eastAsia="宋体"/>
          <w:strike w:val="0"/>
          <w:dstrike w:val="0"/>
          <w:color w:val="auto"/>
          <w:highlight w:val="none"/>
        </w:rPr>
        <w:t>年均浓度监测数据作为本项目环境空气现状评价基本污染物的数据来源</w:t>
      </w:r>
      <w:r>
        <w:rPr>
          <w:rFonts w:hint="eastAsia" w:ascii="Times New Roman" w:hAnsi="Times New Roman" w:eastAsia="宋体"/>
          <w:strike w:val="0"/>
          <w:dstrike w:val="0"/>
          <w:color w:val="auto"/>
          <w:highlight w:val="none"/>
          <w:lang w:eastAsia="zh-CN"/>
        </w:rPr>
        <w:t>。</w:t>
      </w:r>
    </w:p>
    <w:p w14:paraId="627E4A2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（2）评价标准</w:t>
      </w:r>
    </w:p>
    <w:p w14:paraId="1C9C155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项目所在区域环境空气质量执行《环境空气质量标准》（GB3095-20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环境空气质量标准限值见表4.2-1</w:t>
      </w:r>
      <w:r>
        <w:rPr>
          <w:rFonts w:hint="eastAsia" w:ascii="Times New Roman" w:hAnsi="Times New Roman" w:eastAsia="宋体"/>
          <w:strike w:val="0"/>
          <w:dstrike w:val="0"/>
          <w:color w:val="auto"/>
          <w:highlight w:val="none"/>
          <w:lang w:eastAsia="zh-CN"/>
        </w:rPr>
        <w:t>。</w:t>
      </w:r>
    </w:p>
    <w:p w14:paraId="3388D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表4.2-1环境空气污染物基本项目浓度限值</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27"/>
        <w:gridCol w:w="2616"/>
        <w:gridCol w:w="1282"/>
        <w:gridCol w:w="1146"/>
        <w:gridCol w:w="1103"/>
        <w:gridCol w:w="1219"/>
      </w:tblGrid>
      <w:tr w14:paraId="0F49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tcBorders>
              <w:tl2br w:val="nil"/>
            </w:tcBorders>
            <w:shd w:val="clear" w:color="auto" w:fill="auto"/>
            <w:noWrap w:val="0"/>
            <w:vAlign w:val="center"/>
          </w:tcPr>
          <w:p w14:paraId="51DA2203">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污染物</w:t>
            </w:r>
          </w:p>
        </w:tc>
        <w:tc>
          <w:tcPr>
            <w:tcW w:w="1577" w:type="pct"/>
            <w:shd w:val="clear" w:color="auto" w:fill="auto"/>
            <w:noWrap w:val="0"/>
            <w:vAlign w:val="center"/>
          </w:tcPr>
          <w:p w14:paraId="1EAED1B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年评价指标</w:t>
            </w:r>
          </w:p>
        </w:tc>
        <w:tc>
          <w:tcPr>
            <w:tcW w:w="773" w:type="pct"/>
            <w:shd w:val="clear" w:color="auto" w:fill="auto"/>
            <w:noWrap w:val="0"/>
            <w:vAlign w:val="center"/>
          </w:tcPr>
          <w:p w14:paraId="33AD15F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现状浓度</w:t>
            </w:r>
            <w:r>
              <w:rPr>
                <w:rStyle w:val="187"/>
                <w:rFonts w:hint="default" w:ascii="Times New Roman" w:hAnsi="Times New Roman" w:eastAsia="宋体" w:cs="Times New Roman"/>
                <w:b w:val="0"/>
                <w:bCs w:val="0"/>
                <w:strike w:val="0"/>
                <w:dstrike w:val="0"/>
                <w:color w:val="auto"/>
                <w:sz w:val="21"/>
                <w:szCs w:val="21"/>
                <w:highlight w:val="none"/>
              </w:rPr>
              <w:t>/</w:t>
            </w:r>
            <w:r>
              <w:rPr>
                <w:rFonts w:ascii="Times New Roman" w:hAnsi="Times New Roman" w:eastAsia="宋体"/>
                <w:b w:val="0"/>
                <w:bCs w:val="0"/>
                <w:strike w:val="0"/>
                <w:dstrike w:val="0"/>
                <w:color w:val="auto"/>
                <w:kern w:val="0"/>
                <w:szCs w:val="21"/>
                <w:highlight w:val="none"/>
              </w:rPr>
              <w:t>（</w:t>
            </w:r>
            <w:r>
              <w:rPr>
                <w:rStyle w:val="187"/>
                <w:rFonts w:hint="default" w:ascii="Times New Roman" w:hAnsi="Times New Roman" w:eastAsia="宋体" w:cs="Times New Roman"/>
                <w:b w:val="0"/>
                <w:bCs w:val="0"/>
                <w:strike w:val="0"/>
                <w:dstrike w:val="0"/>
                <w:color w:val="auto"/>
                <w:sz w:val="21"/>
                <w:szCs w:val="21"/>
                <w:highlight w:val="none"/>
              </w:rPr>
              <w:t>µg/m</w:t>
            </w:r>
            <w:r>
              <w:rPr>
                <w:rStyle w:val="188"/>
                <w:rFonts w:hint="default" w:ascii="Times New Roman" w:hAnsi="Times New Roman" w:eastAsia="宋体" w:cs="Times New Roman"/>
                <w:b w:val="0"/>
                <w:bCs w:val="0"/>
                <w:strike w:val="0"/>
                <w:dstrike w:val="0"/>
                <w:color w:val="auto"/>
                <w:sz w:val="21"/>
                <w:szCs w:val="21"/>
                <w:highlight w:val="none"/>
              </w:rPr>
              <w:t>3</w:t>
            </w:r>
            <w:r>
              <w:rPr>
                <w:rFonts w:ascii="Times New Roman" w:hAnsi="Times New Roman" w:eastAsia="宋体"/>
                <w:b w:val="0"/>
                <w:bCs w:val="0"/>
                <w:strike w:val="0"/>
                <w:dstrike w:val="0"/>
                <w:color w:val="auto"/>
                <w:kern w:val="0"/>
                <w:szCs w:val="21"/>
                <w:highlight w:val="none"/>
              </w:rPr>
              <w:t>）</w:t>
            </w:r>
          </w:p>
        </w:tc>
        <w:tc>
          <w:tcPr>
            <w:tcW w:w="691" w:type="pct"/>
            <w:shd w:val="clear" w:color="auto" w:fill="auto"/>
            <w:noWrap w:val="0"/>
            <w:vAlign w:val="center"/>
          </w:tcPr>
          <w:p w14:paraId="41025F2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标准值</w:t>
            </w:r>
            <w:r>
              <w:rPr>
                <w:rStyle w:val="187"/>
                <w:rFonts w:hint="default" w:ascii="Times New Roman" w:hAnsi="Times New Roman" w:eastAsia="宋体" w:cs="Times New Roman"/>
                <w:b w:val="0"/>
                <w:bCs w:val="0"/>
                <w:strike w:val="0"/>
                <w:dstrike w:val="0"/>
                <w:color w:val="auto"/>
                <w:sz w:val="21"/>
                <w:szCs w:val="21"/>
                <w:highlight w:val="none"/>
              </w:rPr>
              <w:t>/</w:t>
            </w:r>
            <w:r>
              <w:rPr>
                <w:rFonts w:ascii="Times New Roman" w:hAnsi="Times New Roman" w:eastAsia="宋体"/>
                <w:b w:val="0"/>
                <w:bCs w:val="0"/>
                <w:strike w:val="0"/>
                <w:dstrike w:val="0"/>
                <w:color w:val="auto"/>
                <w:kern w:val="0"/>
                <w:szCs w:val="21"/>
                <w:highlight w:val="none"/>
              </w:rPr>
              <w:t>（</w:t>
            </w:r>
            <w:r>
              <w:rPr>
                <w:rStyle w:val="187"/>
                <w:rFonts w:hint="default" w:ascii="Times New Roman" w:hAnsi="Times New Roman" w:eastAsia="宋体" w:cs="Times New Roman"/>
                <w:b w:val="0"/>
                <w:bCs w:val="0"/>
                <w:strike w:val="0"/>
                <w:dstrike w:val="0"/>
                <w:color w:val="auto"/>
                <w:sz w:val="21"/>
                <w:szCs w:val="21"/>
                <w:highlight w:val="none"/>
              </w:rPr>
              <w:t>µg/m</w:t>
            </w:r>
            <w:r>
              <w:rPr>
                <w:rStyle w:val="188"/>
                <w:rFonts w:hint="default" w:ascii="Times New Roman" w:hAnsi="Times New Roman" w:eastAsia="宋体" w:cs="Times New Roman"/>
                <w:b w:val="0"/>
                <w:bCs w:val="0"/>
                <w:strike w:val="0"/>
                <w:dstrike w:val="0"/>
                <w:color w:val="auto"/>
                <w:sz w:val="21"/>
                <w:szCs w:val="21"/>
                <w:highlight w:val="none"/>
              </w:rPr>
              <w:t>3</w:t>
            </w:r>
            <w:r>
              <w:rPr>
                <w:rFonts w:ascii="Times New Roman" w:hAnsi="Times New Roman" w:eastAsia="宋体"/>
                <w:b w:val="0"/>
                <w:bCs w:val="0"/>
                <w:strike w:val="0"/>
                <w:dstrike w:val="0"/>
                <w:color w:val="auto"/>
                <w:kern w:val="0"/>
                <w:szCs w:val="21"/>
                <w:highlight w:val="none"/>
              </w:rPr>
              <w:t>）</w:t>
            </w:r>
          </w:p>
        </w:tc>
        <w:tc>
          <w:tcPr>
            <w:tcW w:w="665" w:type="pct"/>
            <w:shd w:val="clear" w:color="auto" w:fill="auto"/>
            <w:noWrap w:val="0"/>
            <w:vAlign w:val="center"/>
          </w:tcPr>
          <w:p w14:paraId="2F37499A">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占标率</w:t>
            </w:r>
            <w:r>
              <w:rPr>
                <w:rStyle w:val="189"/>
                <w:rFonts w:hint="default" w:ascii="Times New Roman" w:hAnsi="Times New Roman" w:eastAsia="宋体" w:cs="Times New Roman"/>
                <w:b w:val="0"/>
                <w:bCs w:val="0"/>
                <w:strike w:val="0"/>
                <w:dstrike w:val="0"/>
                <w:color w:val="auto"/>
                <w:sz w:val="21"/>
                <w:szCs w:val="21"/>
                <w:highlight w:val="none"/>
              </w:rPr>
              <w:t>/%</w:t>
            </w:r>
          </w:p>
        </w:tc>
        <w:tc>
          <w:tcPr>
            <w:tcW w:w="735" w:type="pct"/>
            <w:shd w:val="clear" w:color="auto" w:fill="auto"/>
            <w:noWrap w:val="0"/>
            <w:vAlign w:val="center"/>
          </w:tcPr>
          <w:p w14:paraId="550CD6E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达标情况</w:t>
            </w:r>
          </w:p>
        </w:tc>
      </w:tr>
      <w:tr w14:paraId="3F0B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9414A6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SO</w:t>
            </w:r>
            <w:r>
              <w:rPr>
                <w:rFonts w:ascii="Times New Roman" w:hAnsi="Times New Roman" w:eastAsia="宋体"/>
                <w:b w:val="0"/>
                <w:strike w:val="0"/>
                <w:dstrike w:val="0"/>
                <w:color w:val="auto"/>
                <w:kern w:val="0"/>
                <w:szCs w:val="21"/>
                <w:highlight w:val="none"/>
                <w:vertAlign w:val="subscript"/>
              </w:rPr>
              <w:t>2</w:t>
            </w:r>
          </w:p>
        </w:tc>
        <w:tc>
          <w:tcPr>
            <w:tcW w:w="1577" w:type="pct"/>
            <w:shd w:val="clear" w:color="auto" w:fill="auto"/>
            <w:noWrap w:val="0"/>
            <w:vAlign w:val="center"/>
          </w:tcPr>
          <w:p w14:paraId="2CEFBBA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199D6A4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rPr>
            </w:pPr>
            <w:r>
              <w:rPr>
                <w:rFonts w:hint="eastAsia" w:ascii="Times New Roman" w:hAnsi="Times New Roman" w:eastAsia="宋体"/>
                <w:b w:val="0"/>
                <w:strike w:val="0"/>
                <w:dstrike w:val="0"/>
                <w:color w:val="auto"/>
                <w:kern w:val="0"/>
                <w:szCs w:val="21"/>
                <w:highlight w:val="none"/>
              </w:rPr>
              <w:t>7</w:t>
            </w:r>
          </w:p>
        </w:tc>
        <w:tc>
          <w:tcPr>
            <w:tcW w:w="691" w:type="pct"/>
            <w:shd w:val="clear" w:color="auto" w:fill="auto"/>
            <w:noWrap w:val="0"/>
            <w:vAlign w:val="center"/>
          </w:tcPr>
          <w:p w14:paraId="649DA949">
            <w:pPr>
              <w:keepNext w:val="0"/>
              <w:keepLines w:val="0"/>
              <w:pageBreakBefore w:val="0"/>
              <w:widowControl/>
              <w:kinsoku/>
              <w:wordWrap/>
              <w:overflowPunct/>
              <w:topLinePunct w:val="0"/>
              <w:autoSpaceDE/>
              <w:autoSpaceDN/>
              <w:bidi w:val="0"/>
              <w:adjustRightInd w:val="0"/>
              <w:snapToGrid w:val="0"/>
              <w:ind w:firstLine="0" w:firstLineChars="0"/>
              <w:jc w:val="center"/>
              <w:textAlignment w:val="bottom"/>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60</w:t>
            </w:r>
          </w:p>
        </w:tc>
        <w:tc>
          <w:tcPr>
            <w:tcW w:w="665" w:type="pct"/>
            <w:shd w:val="clear" w:color="auto" w:fill="auto"/>
            <w:noWrap w:val="0"/>
            <w:vAlign w:val="top"/>
          </w:tcPr>
          <w:p w14:paraId="5D3119A7">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8.33</w:t>
            </w:r>
          </w:p>
        </w:tc>
        <w:tc>
          <w:tcPr>
            <w:tcW w:w="735" w:type="pct"/>
            <w:shd w:val="clear" w:color="auto" w:fill="auto"/>
            <w:noWrap w:val="0"/>
            <w:vAlign w:val="center"/>
          </w:tcPr>
          <w:p w14:paraId="74A039C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690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7BC5074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NO</w:t>
            </w:r>
            <w:r>
              <w:rPr>
                <w:rFonts w:ascii="Times New Roman" w:hAnsi="Times New Roman" w:eastAsia="宋体"/>
                <w:b w:val="0"/>
                <w:strike w:val="0"/>
                <w:dstrike w:val="0"/>
                <w:color w:val="auto"/>
                <w:kern w:val="0"/>
                <w:szCs w:val="21"/>
                <w:highlight w:val="none"/>
                <w:vertAlign w:val="subscript"/>
              </w:rPr>
              <w:t>2</w:t>
            </w:r>
          </w:p>
        </w:tc>
        <w:tc>
          <w:tcPr>
            <w:tcW w:w="1577" w:type="pct"/>
            <w:shd w:val="clear" w:color="auto" w:fill="auto"/>
            <w:noWrap w:val="0"/>
            <w:vAlign w:val="center"/>
          </w:tcPr>
          <w:p w14:paraId="186A408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2C70A1F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30</w:t>
            </w:r>
          </w:p>
        </w:tc>
        <w:tc>
          <w:tcPr>
            <w:tcW w:w="691" w:type="pct"/>
            <w:shd w:val="clear" w:color="auto" w:fill="auto"/>
            <w:noWrap w:val="0"/>
            <w:vAlign w:val="center"/>
          </w:tcPr>
          <w:p w14:paraId="2D29A7F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40</w:t>
            </w:r>
          </w:p>
        </w:tc>
        <w:tc>
          <w:tcPr>
            <w:tcW w:w="665" w:type="pct"/>
            <w:shd w:val="clear" w:color="auto" w:fill="auto"/>
            <w:noWrap w:val="0"/>
            <w:vAlign w:val="top"/>
          </w:tcPr>
          <w:p w14:paraId="55A3535D">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75.00</w:t>
            </w:r>
          </w:p>
        </w:tc>
        <w:tc>
          <w:tcPr>
            <w:tcW w:w="735" w:type="pct"/>
            <w:shd w:val="clear" w:color="auto" w:fill="auto"/>
            <w:noWrap w:val="0"/>
            <w:vAlign w:val="center"/>
          </w:tcPr>
          <w:p w14:paraId="1C7AD68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5EFA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603B9DD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PM</w:t>
            </w:r>
            <w:r>
              <w:rPr>
                <w:rFonts w:ascii="Times New Roman" w:hAnsi="Times New Roman" w:eastAsia="宋体"/>
                <w:b w:val="0"/>
                <w:strike w:val="0"/>
                <w:dstrike w:val="0"/>
                <w:color w:val="auto"/>
                <w:kern w:val="0"/>
                <w:szCs w:val="21"/>
                <w:highlight w:val="none"/>
                <w:vertAlign w:val="subscript"/>
              </w:rPr>
              <w:t>10</w:t>
            </w:r>
          </w:p>
        </w:tc>
        <w:tc>
          <w:tcPr>
            <w:tcW w:w="1577" w:type="pct"/>
            <w:shd w:val="clear" w:color="auto" w:fill="auto"/>
            <w:noWrap w:val="0"/>
            <w:vAlign w:val="center"/>
          </w:tcPr>
          <w:p w14:paraId="2218D52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13223E2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70</w:t>
            </w:r>
          </w:p>
        </w:tc>
        <w:tc>
          <w:tcPr>
            <w:tcW w:w="691" w:type="pct"/>
            <w:shd w:val="clear" w:color="auto" w:fill="auto"/>
            <w:noWrap w:val="0"/>
            <w:vAlign w:val="center"/>
          </w:tcPr>
          <w:p w14:paraId="42AB4D66">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szCs w:val="21"/>
                <w:highlight w:val="none"/>
                <w:lang w:val="en-US" w:eastAsia="zh-CN"/>
              </w:rPr>
              <w:t>60</w:t>
            </w:r>
          </w:p>
        </w:tc>
        <w:tc>
          <w:tcPr>
            <w:tcW w:w="665" w:type="pct"/>
            <w:shd w:val="clear" w:color="auto" w:fill="auto"/>
            <w:noWrap w:val="0"/>
            <w:vAlign w:val="top"/>
          </w:tcPr>
          <w:p w14:paraId="0A91188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116.67</w:t>
            </w:r>
          </w:p>
        </w:tc>
        <w:tc>
          <w:tcPr>
            <w:tcW w:w="735" w:type="pct"/>
            <w:shd w:val="clear" w:color="auto" w:fill="auto"/>
            <w:noWrap w:val="0"/>
            <w:vAlign w:val="center"/>
          </w:tcPr>
          <w:p w14:paraId="5227C1F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hint="eastAsia" w:ascii="Times New Roman" w:hAnsi="Times New Roman" w:eastAsia="宋体"/>
                <w:b w:val="0"/>
                <w:strike w:val="0"/>
                <w:dstrike w:val="0"/>
                <w:color w:val="auto"/>
                <w:kern w:val="0"/>
                <w:szCs w:val="21"/>
                <w:highlight w:val="none"/>
                <w:lang w:val="en-US" w:eastAsia="zh-CN"/>
              </w:rPr>
              <w:t>不</w:t>
            </w:r>
            <w:r>
              <w:rPr>
                <w:rFonts w:ascii="Times New Roman" w:hAnsi="Times New Roman" w:eastAsia="宋体"/>
                <w:b w:val="0"/>
                <w:strike w:val="0"/>
                <w:dstrike w:val="0"/>
                <w:color w:val="auto"/>
                <w:kern w:val="0"/>
                <w:szCs w:val="21"/>
                <w:highlight w:val="none"/>
              </w:rPr>
              <w:t>达标</w:t>
            </w:r>
          </w:p>
        </w:tc>
      </w:tr>
      <w:tr w14:paraId="4279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8D8FA1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PM</w:t>
            </w:r>
            <w:r>
              <w:rPr>
                <w:rFonts w:ascii="Times New Roman" w:hAnsi="Times New Roman" w:eastAsia="宋体"/>
                <w:b w:val="0"/>
                <w:strike w:val="0"/>
                <w:dstrike w:val="0"/>
                <w:color w:val="auto"/>
                <w:kern w:val="0"/>
                <w:szCs w:val="21"/>
                <w:highlight w:val="none"/>
                <w:vertAlign w:val="subscript"/>
              </w:rPr>
              <w:t>2.5</w:t>
            </w:r>
          </w:p>
        </w:tc>
        <w:tc>
          <w:tcPr>
            <w:tcW w:w="1577" w:type="pct"/>
            <w:shd w:val="clear" w:color="auto" w:fill="auto"/>
            <w:noWrap w:val="0"/>
            <w:vAlign w:val="center"/>
          </w:tcPr>
          <w:p w14:paraId="06D8806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69AA145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40</w:t>
            </w:r>
          </w:p>
        </w:tc>
        <w:tc>
          <w:tcPr>
            <w:tcW w:w="691" w:type="pct"/>
            <w:shd w:val="clear" w:color="auto" w:fill="auto"/>
            <w:noWrap w:val="0"/>
            <w:vAlign w:val="center"/>
          </w:tcPr>
          <w:p w14:paraId="20BDA27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30</w:t>
            </w:r>
          </w:p>
        </w:tc>
        <w:tc>
          <w:tcPr>
            <w:tcW w:w="665" w:type="pct"/>
            <w:shd w:val="clear" w:color="auto" w:fill="auto"/>
            <w:noWrap w:val="0"/>
            <w:vAlign w:val="top"/>
          </w:tcPr>
          <w:p w14:paraId="44742E0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133.33</w:t>
            </w:r>
          </w:p>
        </w:tc>
        <w:tc>
          <w:tcPr>
            <w:tcW w:w="735" w:type="pct"/>
            <w:shd w:val="clear" w:color="auto" w:fill="auto"/>
            <w:noWrap w:val="0"/>
            <w:vAlign w:val="center"/>
          </w:tcPr>
          <w:p w14:paraId="035ACCA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不达标</w:t>
            </w:r>
          </w:p>
        </w:tc>
      </w:tr>
      <w:tr w14:paraId="558F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6147210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CO</w:t>
            </w:r>
          </w:p>
        </w:tc>
        <w:tc>
          <w:tcPr>
            <w:tcW w:w="1577" w:type="pct"/>
            <w:shd w:val="clear" w:color="auto" w:fill="auto"/>
            <w:noWrap w:val="0"/>
            <w:vAlign w:val="center"/>
          </w:tcPr>
          <w:p w14:paraId="0FBA711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eastAsia="zh-CN"/>
              </w:rPr>
            </w:pPr>
            <w:r>
              <w:rPr>
                <w:rFonts w:hint="eastAsia" w:ascii="Times New Roman" w:hAnsi="Times New Roman" w:eastAsia="宋体"/>
                <w:b w:val="0"/>
                <w:strike w:val="0"/>
                <w:dstrike w:val="0"/>
                <w:color w:val="auto"/>
                <w:kern w:val="0"/>
                <w:szCs w:val="21"/>
                <w:highlight w:val="none"/>
                <w:lang w:val="en-US" w:eastAsia="zh-CN"/>
              </w:rPr>
              <w:t>日平均</w:t>
            </w:r>
          </w:p>
        </w:tc>
        <w:tc>
          <w:tcPr>
            <w:tcW w:w="773" w:type="pct"/>
            <w:shd w:val="clear" w:color="auto" w:fill="auto"/>
            <w:noWrap w:val="0"/>
            <w:vAlign w:val="center"/>
          </w:tcPr>
          <w:p w14:paraId="14264B8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1.8mg/m</w:t>
            </w:r>
            <w:r>
              <w:rPr>
                <w:rFonts w:ascii="Times New Roman" w:hAnsi="Times New Roman" w:eastAsia="宋体"/>
                <w:b w:val="0"/>
                <w:strike w:val="0"/>
                <w:dstrike w:val="0"/>
                <w:color w:val="auto"/>
                <w:kern w:val="0"/>
                <w:szCs w:val="21"/>
                <w:highlight w:val="none"/>
                <w:vertAlign w:val="superscript"/>
              </w:rPr>
              <w:t>3</w:t>
            </w:r>
          </w:p>
        </w:tc>
        <w:tc>
          <w:tcPr>
            <w:tcW w:w="691" w:type="pct"/>
            <w:shd w:val="clear" w:color="auto" w:fill="auto"/>
            <w:noWrap w:val="0"/>
            <w:vAlign w:val="center"/>
          </w:tcPr>
          <w:p w14:paraId="4482162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vertAlign w:val="superscript"/>
              </w:rPr>
            </w:pPr>
            <w:r>
              <w:rPr>
                <w:rFonts w:ascii="Times New Roman" w:hAnsi="Times New Roman" w:eastAsia="宋体"/>
                <w:b w:val="0"/>
                <w:strike w:val="0"/>
                <w:dstrike w:val="0"/>
                <w:color w:val="auto"/>
                <w:kern w:val="0"/>
                <w:szCs w:val="21"/>
                <w:highlight w:val="none"/>
              </w:rPr>
              <w:t>4mg/m</w:t>
            </w:r>
            <w:r>
              <w:rPr>
                <w:rFonts w:ascii="Times New Roman" w:hAnsi="Times New Roman" w:eastAsia="宋体"/>
                <w:b w:val="0"/>
                <w:strike w:val="0"/>
                <w:dstrike w:val="0"/>
                <w:color w:val="auto"/>
                <w:kern w:val="0"/>
                <w:szCs w:val="21"/>
                <w:highlight w:val="none"/>
                <w:vertAlign w:val="superscript"/>
              </w:rPr>
              <w:t>3</w:t>
            </w:r>
          </w:p>
        </w:tc>
        <w:tc>
          <w:tcPr>
            <w:tcW w:w="665" w:type="pct"/>
            <w:shd w:val="clear" w:color="auto" w:fill="auto"/>
            <w:noWrap w:val="0"/>
            <w:vAlign w:val="center"/>
          </w:tcPr>
          <w:p w14:paraId="5397B83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val="en-US" w:eastAsia="zh-CN"/>
              </w:rPr>
            </w:pPr>
            <w:r>
              <w:rPr>
                <w:rFonts w:ascii="Times New Roman" w:hAnsi="Times New Roman" w:eastAsia="宋体"/>
                <w:b w:val="0"/>
                <w:strike w:val="0"/>
                <w:dstrike w:val="0"/>
                <w:color w:val="auto"/>
                <w:kern w:val="0"/>
                <w:szCs w:val="21"/>
                <w:highlight w:val="none"/>
              </w:rPr>
              <w:t>45.0</w:t>
            </w:r>
            <w:r>
              <w:rPr>
                <w:rFonts w:hint="eastAsia" w:ascii="Times New Roman" w:hAnsi="Times New Roman" w:eastAsia="宋体"/>
                <w:b w:val="0"/>
                <w:strike w:val="0"/>
                <w:dstrike w:val="0"/>
                <w:color w:val="auto"/>
                <w:kern w:val="0"/>
                <w:szCs w:val="21"/>
                <w:highlight w:val="none"/>
                <w:lang w:val="en-US" w:eastAsia="zh-CN"/>
              </w:rPr>
              <w:t>0</w:t>
            </w:r>
          </w:p>
        </w:tc>
        <w:tc>
          <w:tcPr>
            <w:tcW w:w="735" w:type="pct"/>
            <w:shd w:val="clear" w:color="auto" w:fill="auto"/>
            <w:noWrap w:val="0"/>
            <w:vAlign w:val="center"/>
          </w:tcPr>
          <w:p w14:paraId="54D61DE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57CC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B47105E">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O</w:t>
            </w:r>
            <w:r>
              <w:rPr>
                <w:rFonts w:ascii="Times New Roman" w:hAnsi="Times New Roman" w:eastAsia="宋体"/>
                <w:b w:val="0"/>
                <w:strike w:val="0"/>
                <w:dstrike w:val="0"/>
                <w:color w:val="auto"/>
                <w:kern w:val="0"/>
                <w:szCs w:val="21"/>
                <w:highlight w:val="none"/>
                <w:vertAlign w:val="subscript"/>
              </w:rPr>
              <w:t>3</w:t>
            </w:r>
          </w:p>
        </w:tc>
        <w:tc>
          <w:tcPr>
            <w:tcW w:w="1577" w:type="pct"/>
            <w:shd w:val="clear" w:color="auto" w:fill="auto"/>
            <w:noWrap w:val="0"/>
            <w:vAlign w:val="center"/>
          </w:tcPr>
          <w:p w14:paraId="3268D435">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szCs w:val="21"/>
                <w:highlight w:val="none"/>
              </w:rPr>
              <w:t>日最大8小时平均</w:t>
            </w:r>
          </w:p>
        </w:tc>
        <w:tc>
          <w:tcPr>
            <w:tcW w:w="773" w:type="pct"/>
            <w:shd w:val="clear" w:color="auto" w:fill="auto"/>
            <w:noWrap w:val="0"/>
            <w:vAlign w:val="center"/>
          </w:tcPr>
          <w:p w14:paraId="15E67A2E">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eastAsia="zh-CN"/>
              </w:rPr>
            </w:pPr>
            <w:r>
              <w:rPr>
                <w:rFonts w:hint="eastAsia" w:ascii="Times New Roman" w:hAnsi="Times New Roman" w:eastAsia="宋体"/>
                <w:b w:val="0"/>
                <w:strike w:val="0"/>
                <w:dstrike w:val="0"/>
                <w:color w:val="auto"/>
                <w:kern w:val="0"/>
                <w:szCs w:val="21"/>
                <w:highlight w:val="none"/>
              </w:rPr>
              <w:t>13</w:t>
            </w:r>
            <w:r>
              <w:rPr>
                <w:rFonts w:hint="eastAsia" w:ascii="Times New Roman" w:hAnsi="Times New Roman" w:eastAsia="宋体"/>
                <w:b w:val="0"/>
                <w:strike w:val="0"/>
                <w:dstrike w:val="0"/>
                <w:color w:val="auto"/>
                <w:kern w:val="0"/>
                <w:szCs w:val="21"/>
                <w:highlight w:val="none"/>
                <w:lang w:val="en-US" w:eastAsia="zh-CN"/>
              </w:rPr>
              <w:t>4</w:t>
            </w:r>
          </w:p>
        </w:tc>
        <w:tc>
          <w:tcPr>
            <w:tcW w:w="691" w:type="pct"/>
            <w:shd w:val="clear" w:color="auto" w:fill="auto"/>
            <w:noWrap w:val="0"/>
            <w:vAlign w:val="center"/>
          </w:tcPr>
          <w:p w14:paraId="46BF167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160</w:t>
            </w:r>
          </w:p>
        </w:tc>
        <w:tc>
          <w:tcPr>
            <w:tcW w:w="665" w:type="pct"/>
            <w:shd w:val="clear" w:color="auto" w:fill="auto"/>
            <w:noWrap w:val="0"/>
            <w:vAlign w:val="center"/>
          </w:tcPr>
          <w:p w14:paraId="76621DB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szCs w:val="21"/>
                <w:highlight w:val="none"/>
              </w:rPr>
              <w:t>8</w:t>
            </w:r>
            <w:r>
              <w:rPr>
                <w:rFonts w:hint="eastAsia" w:ascii="Times New Roman" w:hAnsi="Times New Roman" w:eastAsia="宋体"/>
                <w:b w:val="0"/>
                <w:strike w:val="0"/>
                <w:dstrike w:val="0"/>
                <w:color w:val="auto"/>
                <w:szCs w:val="21"/>
                <w:highlight w:val="none"/>
                <w:lang w:val="en-US" w:eastAsia="zh-CN"/>
              </w:rPr>
              <w:t>3.75</w:t>
            </w:r>
          </w:p>
        </w:tc>
        <w:tc>
          <w:tcPr>
            <w:tcW w:w="735" w:type="pct"/>
            <w:shd w:val="clear" w:color="auto" w:fill="auto"/>
            <w:noWrap w:val="0"/>
            <w:vAlign w:val="center"/>
          </w:tcPr>
          <w:p w14:paraId="1A72842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bl>
    <w:p w14:paraId="6449850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（3）评价方法</w:t>
      </w:r>
    </w:p>
    <w:p w14:paraId="2449FE2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采用标准指数法评价大气污染物在评价区域内的环境质量现状，计算公式如下：</w:t>
      </w:r>
    </w:p>
    <w:p w14:paraId="54ABB04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cs="宋体"/>
          <w:strike w:val="0"/>
          <w:dstrike w:val="0"/>
          <w:color w:val="auto"/>
          <w:szCs w:val="21"/>
          <w:highlight w:val="none"/>
        </w:rPr>
        <w:object>
          <v:shape id="_x0000_i1026" o:spt="75" type="#_x0000_t75" style="height:35.8pt;width:88.45pt;" o:ole="t" filled="f" o:preferrelative="t" stroked="f" coordsize="21600,21600">
            <v:path/>
            <v:fill on="f" focussize="0,0"/>
            <v:stroke on="f" joinstyle="miter"/>
            <v:imagedata r:id="rId29" o:title=""/>
            <o:lock v:ext="edit" aspectratio="t"/>
            <w10:wrap type="none"/>
            <w10:anchorlock/>
          </v:shape>
          <o:OLEObject Type="Embed" ProgID="Equation.AxMath" ShapeID="_x0000_i1026" DrawAspect="Content" ObjectID="_1468075726" r:id="rId33">
            <o:LockedField>false</o:LockedField>
          </o:OLEObject>
        </w:object>
      </w:r>
    </w:p>
    <w:p w14:paraId="2D04E0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——污染物i的单项污染指数，%；</w:t>
      </w:r>
    </w:p>
    <w:p w14:paraId="3B9C0374">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——污染物i的平均浓度值，</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5976569E">
      <w:pPr>
        <w:ind w:firstLine="1200" w:firstLineChars="50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——污染物i的环境空气质量浓度标准，</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5A4C11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≥1时，说明环境中i污染物含量超过标准值，当P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&lt;1时，则说明i污染物符合标准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某污染物的P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值越大，则污染相对越严重</w:t>
      </w:r>
      <w:r>
        <w:rPr>
          <w:rFonts w:hint="eastAsia" w:ascii="Times New Roman" w:hAnsi="Times New Roman" w:eastAsia="宋体"/>
          <w:strike w:val="0"/>
          <w:dstrike w:val="0"/>
          <w:color w:val="auto"/>
          <w:highlight w:val="none"/>
          <w:lang w:eastAsia="zh-CN"/>
        </w:rPr>
        <w:t>。</w:t>
      </w:r>
    </w:p>
    <w:p w14:paraId="5579882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（4）评价结果统计</w:t>
      </w:r>
    </w:p>
    <w:p w14:paraId="52BFC798">
      <w:pPr>
        <w:spacing w:line="500" w:lineRule="exact"/>
        <w:ind w:firstLine="480"/>
        <w:jc w:val="left"/>
        <w:rPr>
          <w:rFonts w:hint="eastAsia" w:ascii="Times New Roman" w:hAnsi="Times New Roman" w:eastAsia="宋体"/>
          <w:bCs/>
          <w:strike w:val="0"/>
          <w:dstrike w:val="0"/>
          <w:color w:val="auto"/>
          <w:highlight w:val="none"/>
          <w:lang w:eastAsia="zh-CN"/>
        </w:rPr>
      </w:pPr>
      <w:r>
        <w:rPr>
          <w:rFonts w:hint="eastAsia" w:ascii="Times New Roman" w:hAnsi="Times New Roman" w:eastAsia="宋体"/>
          <w:strike w:val="0"/>
          <w:dstrike w:val="0"/>
          <w:color w:val="auto"/>
          <w:szCs w:val="24"/>
          <w:highlight w:val="none"/>
        </w:rPr>
        <w:t>基本污染物：引用环境空气质量模型技术支持服务系统</w:t>
      </w:r>
      <w:r>
        <w:rPr>
          <w:rFonts w:hint="eastAsia" w:ascii="Times New Roman" w:hAnsi="Times New Roman" w:eastAsia="宋体"/>
          <w:strike w:val="0"/>
          <w:dstrike w:val="0"/>
          <w:color w:val="auto"/>
          <w:szCs w:val="24"/>
          <w:highlight w:val="none"/>
          <w:lang w:val="en-US" w:eastAsia="zh-CN"/>
        </w:rPr>
        <w:t>昌吉回族自治州</w:t>
      </w:r>
      <w:r>
        <w:rPr>
          <w:rFonts w:hint="eastAsia" w:ascii="Times New Roman" w:hAnsi="Times New Roman" w:eastAsia="宋体"/>
          <w:strike w:val="0"/>
          <w:dstrike w:val="0"/>
          <w:color w:val="auto"/>
          <w:szCs w:val="24"/>
          <w:highlight w:val="none"/>
        </w:rPr>
        <w:t>SO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、NO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10</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rPr>
        <w:t>、CO、O</w:t>
      </w:r>
      <w:r>
        <w:rPr>
          <w:rFonts w:hint="eastAsia" w:ascii="Times New Roman" w:hAnsi="Times New Roman" w:eastAsia="宋体"/>
          <w:strike w:val="0"/>
          <w:dstrike w:val="0"/>
          <w:color w:val="auto"/>
          <w:szCs w:val="24"/>
          <w:highlight w:val="none"/>
          <w:vertAlign w:val="subscript"/>
        </w:rPr>
        <w:t>3</w:t>
      </w:r>
      <w:r>
        <w:rPr>
          <w:rFonts w:hint="eastAsia" w:ascii="Times New Roman" w:hAnsi="Times New Roman" w:eastAsia="宋体"/>
          <w:strike w:val="0"/>
          <w:dstrike w:val="0"/>
          <w:color w:val="auto"/>
          <w:szCs w:val="24"/>
          <w:highlight w:val="none"/>
        </w:rPr>
        <w:t>六项基本污染物20</w:t>
      </w:r>
      <w:r>
        <w:rPr>
          <w:rFonts w:ascii="Times New Roman" w:hAnsi="Times New Roman" w:eastAsia="宋体"/>
          <w:strike w:val="0"/>
          <w:dstrike w:val="0"/>
          <w:color w:val="auto"/>
          <w:szCs w:val="24"/>
          <w:highlight w:val="none"/>
        </w:rPr>
        <w:t>2</w:t>
      </w:r>
      <w:r>
        <w:rPr>
          <w:rFonts w:hint="eastAsia" w:ascii="Times New Roman" w:hAnsi="Times New Roman" w:eastAsia="宋体"/>
          <w:strike w:val="0"/>
          <w:dstrike w:val="0"/>
          <w:color w:val="auto"/>
          <w:szCs w:val="24"/>
          <w:highlight w:val="none"/>
          <w:lang w:val="en-US" w:eastAsia="zh-CN"/>
        </w:rPr>
        <w:t>4</w:t>
      </w:r>
      <w:r>
        <w:rPr>
          <w:rFonts w:hint="eastAsia" w:ascii="Times New Roman" w:hAnsi="Times New Roman" w:eastAsia="宋体"/>
          <w:strike w:val="0"/>
          <w:dstrike w:val="0"/>
          <w:color w:val="auto"/>
          <w:szCs w:val="24"/>
          <w:highlight w:val="none"/>
        </w:rPr>
        <w:t>年的环境质量数据</w:t>
      </w:r>
      <w:r>
        <w:rPr>
          <w:rFonts w:hint="eastAsia" w:ascii="Times New Roman" w:hAnsi="Times New Roman" w:eastAsia="宋体"/>
          <w:strike w:val="0"/>
          <w:dstrike w:val="0"/>
          <w:color w:val="auto"/>
          <w:szCs w:val="24"/>
          <w:highlight w:val="none"/>
          <w:lang w:eastAsia="zh-CN"/>
        </w:rPr>
        <w:t>。</w:t>
      </w:r>
    </w:p>
    <w:p w14:paraId="7B0CCC19">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由表4.2-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可知，</w:t>
      </w:r>
      <w:bookmarkStart w:id="202" w:name="_Hlk88042713"/>
      <w:r>
        <w:rPr>
          <w:rFonts w:hint="eastAsia" w:ascii="Times New Roman" w:hAnsi="Times New Roman" w:eastAsia="宋体"/>
          <w:strike w:val="0"/>
          <w:dstrike w:val="0"/>
          <w:color w:val="auto"/>
          <w:highlight w:val="none"/>
        </w:rPr>
        <w:t>本次环境空气质量现状评价以报批期现行有效标准《环境空气质量标准》（GB3095-2026）作为达标判定依据，同时沿用GB3095-2012开展历史对比分析。</w:t>
      </w:r>
      <w:r>
        <w:rPr>
          <w:rFonts w:ascii="Times New Roman" w:hAnsi="Times New Roman" w:eastAsia="宋体"/>
          <w:strike w:val="0"/>
          <w:dstrike w:val="0"/>
          <w:color w:val="auto"/>
          <w:highlight w:val="none"/>
        </w:rPr>
        <w:t>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二级标准要求，本项目所在区域为</w:t>
      </w:r>
      <w:r>
        <w:rPr>
          <w:rFonts w:hint="eastAsia" w:ascii="Times New Roman" w:hAnsi="Times New Roman" w:eastAsia="宋体"/>
          <w:strike w:val="0"/>
          <w:dstrike w:val="0"/>
          <w:color w:val="auto"/>
          <w:highlight w:val="none"/>
        </w:rPr>
        <w:t>不</w:t>
      </w:r>
      <w:r>
        <w:rPr>
          <w:rFonts w:ascii="Times New Roman" w:hAnsi="Times New Roman" w:eastAsia="宋体"/>
          <w:strike w:val="0"/>
          <w:dstrike w:val="0"/>
          <w:color w:val="auto"/>
          <w:highlight w:val="none"/>
        </w:rPr>
        <w:t>达标区域</w:t>
      </w:r>
      <w:bookmarkEnd w:id="202"/>
      <w:r>
        <w:rPr>
          <w:rFonts w:hint="eastAsia" w:ascii="Times New Roman" w:hAnsi="Times New Roman" w:eastAsia="宋体"/>
          <w:strike w:val="0"/>
          <w:dstrike w:val="0"/>
          <w:color w:val="auto"/>
          <w:highlight w:val="none"/>
          <w:lang w:eastAsia="zh-CN"/>
        </w:rPr>
        <w:t>；对照《环境空气质量标准》（GB3095-2012）二级限值分析，仅PM</w:t>
      </w:r>
      <w:r>
        <w:rPr>
          <w:rFonts w:hint="eastAsia" w:ascii="Times New Roman" w:hAnsi="Times New Roman" w:eastAsia="宋体"/>
          <w:strike w:val="0"/>
          <w:dstrike w:val="0"/>
          <w:color w:val="auto"/>
          <w:highlight w:val="none"/>
          <w:vertAlign w:val="subscript"/>
          <w:lang w:val="en-US" w:eastAsia="zh-CN"/>
        </w:rPr>
        <w:t>2.5</w:t>
      </w:r>
      <w:r>
        <w:rPr>
          <w:rFonts w:hint="eastAsia" w:ascii="Times New Roman" w:hAnsi="Times New Roman" w:eastAsia="宋体"/>
          <w:strike w:val="0"/>
          <w:dstrike w:val="0"/>
          <w:color w:val="auto"/>
          <w:highlight w:val="none"/>
          <w:lang w:eastAsia="zh-CN"/>
        </w:rPr>
        <w:t>年均浓度出现小幅超标，其余污染物均可满足旧版环境质量标准。</w:t>
      </w:r>
    </w:p>
    <w:p w14:paraId="419986E7">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4.2.1.2环境空气特征污染物</w:t>
      </w:r>
    </w:p>
    <w:p w14:paraId="0910477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（1）数据来源</w:t>
      </w:r>
    </w:p>
    <w:p w14:paraId="412F98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本项目特征污染物环境空气质量现状评价数据委托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对项目所在进行了监测，</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lang w:val="en-US" w:eastAsia="zh-CN"/>
        </w:rPr>
        <w:t>和TSP</w:t>
      </w:r>
      <w:r>
        <w:rPr>
          <w:rFonts w:hint="eastAsia" w:ascii="Times New Roman" w:hAnsi="Times New Roman" w:eastAsia="宋体"/>
          <w:strike w:val="0"/>
          <w:dstrike w:val="0"/>
          <w:color w:val="auto"/>
          <w:highlight w:val="none"/>
        </w:rPr>
        <w:t>监测时间为20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13</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硫化氢、臭气浓度监测时间为</w:t>
      </w:r>
      <w:r>
        <w:rPr>
          <w:rFonts w:hint="eastAsia" w:ascii="Times New Roman" w:hAnsi="Times New Roman" w:eastAsia="宋体"/>
          <w:strike w:val="0"/>
          <w:dstrike w:val="0"/>
          <w:color w:val="auto"/>
          <w:highlight w:val="none"/>
        </w:rPr>
        <w:t>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06</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11</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06</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环境空气监测点位见附图4.2-1</w:t>
      </w:r>
      <w:r>
        <w:rPr>
          <w:rFonts w:hint="eastAsia" w:ascii="Times New Roman" w:hAnsi="Times New Roman" w:eastAsia="宋体"/>
          <w:strike w:val="0"/>
          <w:dstrike w:val="0"/>
          <w:color w:val="auto"/>
          <w:highlight w:val="none"/>
          <w:lang w:eastAsia="zh-CN"/>
        </w:rPr>
        <w:t>。</w:t>
      </w:r>
    </w:p>
    <w:p w14:paraId="03892256">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（2）监测项目及频率</w:t>
      </w:r>
    </w:p>
    <w:p w14:paraId="79D9BE2C">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监测点位：W1：项目区</w:t>
      </w:r>
      <w:r>
        <w:rPr>
          <w:rFonts w:hint="eastAsia" w:ascii="Times New Roman" w:hAnsi="Times New Roman" w:eastAsia="宋体"/>
          <w:strike w:val="0"/>
          <w:dstrike w:val="0"/>
          <w:color w:val="auto"/>
          <w:highlight w:val="none"/>
          <w:lang w:val="en-US" w:eastAsia="zh-CN"/>
        </w:rPr>
        <w:t>下风向</w:t>
      </w:r>
      <w:r>
        <w:rPr>
          <w:rFonts w:hint="eastAsia" w:ascii="Times New Roman" w:hAnsi="Times New Roman" w:eastAsia="宋体"/>
          <w:strike w:val="0"/>
          <w:dstrike w:val="0"/>
          <w:color w:val="auto"/>
          <w:highlight w:val="none"/>
        </w:rPr>
        <w:t>；</w:t>
      </w:r>
    </w:p>
    <w:p w14:paraId="2013CCC4">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监测项目：</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硫化氢、TSP、臭气浓度</w:t>
      </w:r>
      <w:r>
        <w:rPr>
          <w:rFonts w:hint="eastAsia" w:ascii="Times New Roman" w:hAnsi="Times New Roman" w:eastAsia="宋体"/>
          <w:strike w:val="0"/>
          <w:dstrike w:val="0"/>
          <w:color w:val="auto"/>
          <w:highlight w:val="none"/>
        </w:rPr>
        <w:t>；</w:t>
      </w:r>
    </w:p>
    <w:p w14:paraId="78C0B77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监测频率：连续采样7个有效天，每天采样4次，每次1小时</w:t>
      </w:r>
      <w:r>
        <w:rPr>
          <w:rFonts w:hint="eastAsia" w:ascii="Times New Roman" w:hAnsi="Times New Roman" w:eastAsia="宋体"/>
          <w:strike w:val="0"/>
          <w:dstrike w:val="0"/>
          <w:color w:val="auto"/>
          <w:highlight w:val="none"/>
          <w:lang w:eastAsia="zh-CN"/>
        </w:rPr>
        <w:t>。</w:t>
      </w:r>
    </w:p>
    <w:p w14:paraId="428DC3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（3）评价标准</w:t>
      </w:r>
    </w:p>
    <w:p w14:paraId="5A50187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项目区域属于环境空气功能区二类区，环境空气质量执行《环境空气质量标准》（GB3095-20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H</w:t>
      </w:r>
      <w:r>
        <w:rPr>
          <w:rFonts w:hint="eastAsia" w:ascii="Times New Roman" w:hAnsi="Times New Roman" w:eastAsia="宋体"/>
          <w:strike w:val="0"/>
          <w:dstrike w:val="0"/>
          <w:color w:val="auto"/>
          <w:highlight w:val="none"/>
          <w:vertAlign w:val="subscript"/>
          <w:lang w:val="en-US" w:eastAsia="zh-CN"/>
        </w:rPr>
        <w:t>2</w:t>
      </w:r>
      <w:r>
        <w:rPr>
          <w:rFonts w:hint="eastAsia" w:ascii="Times New Roman" w:hAnsi="Times New Roman" w:eastAsia="宋体"/>
          <w:strike w:val="0"/>
          <w:dstrike w:val="0"/>
          <w:color w:val="auto"/>
          <w:highlight w:val="none"/>
          <w:lang w:val="en-US" w:eastAsia="zh-CN"/>
        </w:rPr>
        <w:t>S</w:t>
      </w:r>
      <w:r>
        <w:rPr>
          <w:rFonts w:hint="eastAsia" w:ascii="Times New Roman" w:hAnsi="Times New Roman" w:eastAsia="宋体"/>
          <w:strike w:val="0"/>
          <w:dstrike w:val="0"/>
          <w:color w:val="auto"/>
          <w:highlight w:val="none"/>
        </w:rPr>
        <w:t>参照执行《环境影响评价技术导则大气环境》（HJ2.2-2018）附录D中的标准值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TSP</w:t>
      </w:r>
      <w:r>
        <w:rPr>
          <w:rFonts w:hint="eastAsia" w:ascii="Times New Roman" w:hAnsi="Times New Roman" w:eastAsia="宋体"/>
          <w:strike w:val="0"/>
          <w:dstrike w:val="0"/>
          <w:color w:val="auto"/>
          <w:highlight w:val="none"/>
        </w:rPr>
        <w:t>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）中表2环境空气污染物其他项目浓度限值</w:t>
      </w:r>
      <w:r>
        <w:rPr>
          <w:rFonts w:hint="eastAsia" w:ascii="Times New Roman" w:hAnsi="Times New Roman" w:eastAsia="宋体"/>
          <w:strike w:val="0"/>
          <w:dstrike w:val="0"/>
          <w:color w:val="auto"/>
          <w:highlight w:val="none"/>
          <w:lang w:val="en-US" w:eastAsia="zh-CN"/>
        </w:rPr>
        <w:t>二级标准；区域环境空气臭气浓度无专用质量国标，现状评价参照《恶臭污染物排放标准》（GB 14554-93）二级标准限值20（无量纲）进行评价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标准限值见表4.2-3</w:t>
      </w:r>
      <w:r>
        <w:rPr>
          <w:rFonts w:hint="eastAsia" w:ascii="Times New Roman" w:hAnsi="Times New Roman" w:eastAsia="宋体"/>
          <w:strike w:val="0"/>
          <w:dstrike w:val="0"/>
          <w:color w:val="auto"/>
          <w:highlight w:val="none"/>
          <w:lang w:eastAsia="zh-CN"/>
        </w:rPr>
        <w:t>。</w:t>
      </w:r>
    </w:p>
    <w:p w14:paraId="5A87B1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表4.2-3环境空气特征污染物浓度限值</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2898"/>
        <w:gridCol w:w="4327"/>
      </w:tblGrid>
      <w:tr w14:paraId="0695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3C69BE4F">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序号</w:t>
            </w:r>
          </w:p>
        </w:tc>
        <w:tc>
          <w:tcPr>
            <w:tcW w:w="1746" w:type="pct"/>
            <w:vAlign w:val="center"/>
          </w:tcPr>
          <w:p w14:paraId="5EA5C7FE">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污染物名称</w:t>
            </w:r>
          </w:p>
        </w:tc>
        <w:tc>
          <w:tcPr>
            <w:tcW w:w="2607" w:type="pct"/>
            <w:vAlign w:val="center"/>
          </w:tcPr>
          <w:p w14:paraId="3FCC7C49">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1h评价标准值（mg/m</w:t>
            </w:r>
            <w:r>
              <w:rPr>
                <w:rFonts w:hint="eastAsia" w:ascii="Times New Roman" w:hAnsi="Times New Roman" w:eastAsia="宋体"/>
                <w:strike w:val="0"/>
                <w:dstrike w:val="0"/>
                <w:color w:val="auto"/>
                <w:kern w:val="2"/>
                <w:sz w:val="21"/>
                <w:szCs w:val="21"/>
                <w:highlight w:val="none"/>
                <w:vertAlign w:val="superscript"/>
              </w:rPr>
              <w:t>3</w:t>
            </w:r>
            <w:r>
              <w:rPr>
                <w:rFonts w:hint="eastAsia" w:ascii="Times New Roman" w:hAnsi="Times New Roman" w:eastAsia="宋体"/>
                <w:strike w:val="0"/>
                <w:dstrike w:val="0"/>
                <w:color w:val="auto"/>
                <w:kern w:val="2"/>
                <w:sz w:val="21"/>
                <w:szCs w:val="21"/>
                <w:highlight w:val="none"/>
              </w:rPr>
              <w:t>）</w:t>
            </w:r>
          </w:p>
        </w:tc>
      </w:tr>
      <w:tr w14:paraId="15A5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pct"/>
            <w:vAlign w:val="center"/>
          </w:tcPr>
          <w:p w14:paraId="35A881B8">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val="en-US" w:eastAsia="zh-CN"/>
              </w:rPr>
              <w:t>1</w:t>
            </w:r>
          </w:p>
        </w:tc>
        <w:tc>
          <w:tcPr>
            <w:tcW w:w="1746" w:type="pct"/>
            <w:vAlign w:val="center"/>
          </w:tcPr>
          <w:p w14:paraId="1E1BCDCF">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NH</w:t>
            </w:r>
            <w:r>
              <w:rPr>
                <w:rFonts w:hint="eastAsia" w:ascii="Times New Roman" w:hAnsi="Times New Roman" w:eastAsia="宋体"/>
                <w:strike w:val="0"/>
                <w:dstrike w:val="0"/>
                <w:color w:val="auto"/>
                <w:kern w:val="2"/>
                <w:sz w:val="21"/>
                <w:szCs w:val="21"/>
                <w:highlight w:val="none"/>
                <w:vertAlign w:val="subscript"/>
              </w:rPr>
              <w:t>3</w:t>
            </w:r>
          </w:p>
        </w:tc>
        <w:tc>
          <w:tcPr>
            <w:tcW w:w="2607" w:type="pct"/>
            <w:vAlign w:val="center"/>
          </w:tcPr>
          <w:p w14:paraId="7FD09DC3">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w:t>
            </w:r>
          </w:p>
        </w:tc>
      </w:tr>
      <w:tr w14:paraId="3A38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2DB64DD2">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2</w:t>
            </w:r>
          </w:p>
        </w:tc>
        <w:tc>
          <w:tcPr>
            <w:tcW w:w="1746" w:type="pct"/>
            <w:vAlign w:val="center"/>
          </w:tcPr>
          <w:p w14:paraId="7804EB7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c>
          <w:tcPr>
            <w:tcW w:w="2607" w:type="pct"/>
            <w:vAlign w:val="center"/>
          </w:tcPr>
          <w:p w14:paraId="5C94329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0.01</w:t>
            </w:r>
          </w:p>
        </w:tc>
      </w:tr>
      <w:tr w14:paraId="48DB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2FC4551A">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3</w:t>
            </w:r>
          </w:p>
        </w:tc>
        <w:tc>
          <w:tcPr>
            <w:tcW w:w="1746" w:type="pct"/>
            <w:vAlign w:val="center"/>
          </w:tcPr>
          <w:p w14:paraId="6407D5F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TSP</w:t>
            </w:r>
          </w:p>
        </w:tc>
        <w:tc>
          <w:tcPr>
            <w:tcW w:w="2607" w:type="pct"/>
            <w:vAlign w:val="center"/>
          </w:tcPr>
          <w:p w14:paraId="7C950048">
            <w:pPr>
              <w:spacing w:line="240" w:lineRule="auto"/>
              <w:ind w:firstLine="0" w:firstLineChars="0"/>
              <w:jc w:val="center"/>
              <w:rPr>
                <w:rFonts w:hint="default" w:ascii="Times New Roman" w:hAnsi="Times New Roman" w:eastAsia="宋体"/>
                <w:strike w:val="0"/>
                <w:dstrike w:val="0"/>
                <w:color w:val="auto"/>
                <w:kern w:val="2"/>
                <w:sz w:val="21"/>
                <w:szCs w:val="21"/>
                <w:highlight w:val="none"/>
                <w:vertAlign w:val="superscript"/>
                <w:lang w:val="en-US" w:eastAsia="zh-CN"/>
              </w:rPr>
            </w:pPr>
            <w:r>
              <w:rPr>
                <w:rFonts w:hint="eastAsia" w:ascii="Times New Roman" w:hAnsi="Times New Roman" w:eastAsia="宋体"/>
                <w:strike w:val="0"/>
                <w:dstrike w:val="0"/>
                <w:color w:val="auto"/>
                <w:kern w:val="2"/>
                <w:sz w:val="21"/>
                <w:szCs w:val="21"/>
                <w:highlight w:val="none"/>
                <w:lang w:val="en-US" w:eastAsia="zh-CN"/>
              </w:rPr>
              <w:t>日均值0.3</w:t>
            </w:r>
          </w:p>
        </w:tc>
      </w:tr>
      <w:tr w14:paraId="4C46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07A6665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4</w:t>
            </w:r>
          </w:p>
        </w:tc>
        <w:tc>
          <w:tcPr>
            <w:tcW w:w="1746" w:type="pct"/>
            <w:vAlign w:val="center"/>
          </w:tcPr>
          <w:p w14:paraId="295D0D6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c>
          <w:tcPr>
            <w:tcW w:w="2607" w:type="pct"/>
            <w:vAlign w:val="center"/>
          </w:tcPr>
          <w:p w14:paraId="2F50095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20（无量纲）</w:t>
            </w:r>
          </w:p>
        </w:tc>
      </w:tr>
    </w:tbl>
    <w:p w14:paraId="179220F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（3）评价方法</w:t>
      </w:r>
    </w:p>
    <w:p w14:paraId="4B1BBA5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采用标准指数法评价大气污染物在评价区域内的环境质量现状，计算公式如下：</w:t>
      </w:r>
    </w:p>
    <w:p w14:paraId="25A1828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object>
          <v:shape id="_x0000_i1027" o:spt="75" type="#_x0000_t75" style="height:35.8pt;width:72pt;" o:ole="t" filled="f" o:preferrelative="t" stroked="f" coordsize="21600,21600">
            <v:path/>
            <v:fill on="f" focussize="0,0"/>
            <v:stroke on="f" joinstyle="miter"/>
            <v:imagedata r:id="rId35" o:title=""/>
            <o:lock v:ext="edit" aspectratio="t"/>
            <w10:wrap type="none"/>
            <w10:anchorlock/>
          </v:shape>
          <o:OLEObject Type="Embed" ProgID="Equation.AxMath" ShapeID="_x0000_i1027" DrawAspect="Content" ObjectID="_1468075727" r:id="rId34">
            <o:LockedField>false</o:LockedField>
          </o:OLEObject>
        </w:object>
      </w:r>
    </w:p>
    <w:p w14:paraId="18767A0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——污染物i的单项污染指数，%；</w:t>
      </w:r>
    </w:p>
    <w:p w14:paraId="1AA43854">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——污染物i的监测浓度值，</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4D8A3A51">
      <w:pPr>
        <w:ind w:firstLine="1200" w:firstLineChars="50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——污染物i的环境空气质量浓度标准，μg/m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389235D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≥1时，说明环境中i污染物含量超过标准值，当P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&lt;1时，则说明i污染物符合标准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某污染物的P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值越大，则污染相对越严重</w:t>
      </w:r>
      <w:r>
        <w:rPr>
          <w:rFonts w:hint="eastAsia" w:ascii="Times New Roman" w:hAnsi="Times New Roman" w:eastAsia="宋体"/>
          <w:strike w:val="0"/>
          <w:dstrike w:val="0"/>
          <w:color w:val="auto"/>
          <w:highlight w:val="none"/>
          <w:lang w:eastAsia="zh-CN"/>
        </w:rPr>
        <w:t>。</w:t>
      </w:r>
    </w:p>
    <w:p w14:paraId="53B4254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（4）监测结果分析及评价</w:t>
      </w:r>
    </w:p>
    <w:p w14:paraId="7A42226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NH</w:t>
      </w:r>
      <w:r>
        <w:rPr>
          <w:rFonts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vertAlign w:val="baseline"/>
          <w:lang w:val="en-US" w:eastAsia="zh-CN"/>
        </w:rPr>
        <w:t>TSP</w:t>
      </w:r>
      <w:r>
        <w:rPr>
          <w:rFonts w:hint="eastAsia" w:ascii="Times New Roman" w:hAnsi="Times New Roman" w:eastAsia="宋体"/>
          <w:strike w:val="0"/>
          <w:dstrike w:val="0"/>
          <w:color w:val="auto"/>
          <w:highlight w:val="none"/>
        </w:rPr>
        <w:t>监测结果见表4.2-4，</w:t>
      </w:r>
      <w:r>
        <w:rPr>
          <w:rFonts w:hint="eastAsia" w:ascii="Times New Roman" w:hAnsi="Times New Roman" w:eastAsia="宋体"/>
          <w:strike w:val="0"/>
          <w:dstrike w:val="0"/>
          <w:color w:val="auto"/>
          <w:highlight w:val="none"/>
          <w:lang w:val="en-US" w:eastAsia="zh-CN"/>
        </w:rPr>
        <w:t>硫化氢</w:t>
      </w:r>
      <w:r>
        <w:rPr>
          <w:rFonts w:hint="eastAsia" w:ascii="Times New Roman" w:hAnsi="Times New Roman" w:eastAsia="宋体"/>
          <w:strike w:val="0"/>
          <w:dstrike w:val="0"/>
          <w:color w:val="auto"/>
          <w:highlight w:val="none"/>
        </w:rPr>
        <w:t>评价结果见表4.2-5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臭气监测结果见表4.2-6</w:t>
      </w:r>
      <w:r>
        <w:rPr>
          <w:rFonts w:hint="eastAsia" w:ascii="Times New Roman" w:hAnsi="Times New Roman" w:eastAsia="宋体"/>
          <w:strike w:val="0"/>
          <w:dstrike w:val="0"/>
          <w:color w:val="auto"/>
          <w:highlight w:val="none"/>
          <w:lang w:eastAsia="zh-CN"/>
        </w:rPr>
        <w:t>。</w:t>
      </w:r>
    </w:p>
    <w:p w14:paraId="09FF2F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表4.2-4NH3</w:t>
      </w:r>
      <w:bookmarkStart w:id="203" w:name="_Hlk106060003"/>
      <w:r>
        <w:rPr>
          <w:rFonts w:hint="eastAsia" w:ascii="Times New Roman" w:hAnsi="Times New Roman" w:eastAsia="宋体"/>
          <w:b/>
          <w:bCs/>
          <w:strike w:val="0"/>
          <w:dstrike w:val="0"/>
          <w:color w:val="auto"/>
          <w:highlight w:val="none"/>
          <w:lang w:val="en-US" w:eastAsia="zh-CN"/>
        </w:rPr>
        <w:t>、TSP</w:t>
      </w:r>
      <w:bookmarkEnd w:id="203"/>
      <w:r>
        <w:rPr>
          <w:rFonts w:hint="eastAsia" w:ascii="Times New Roman" w:hAnsi="Times New Roman" w:eastAsia="宋体"/>
          <w:b/>
          <w:bCs/>
          <w:strike w:val="0"/>
          <w:dstrike w:val="0"/>
          <w:color w:val="auto"/>
          <w:highlight w:val="none"/>
          <w:lang w:val="en-US" w:eastAsia="zh-CN"/>
        </w:rPr>
        <w:t>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616"/>
        <w:gridCol w:w="1750"/>
        <w:gridCol w:w="1374"/>
        <w:gridCol w:w="1185"/>
      </w:tblGrid>
      <w:tr w14:paraId="6BF5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4E93F7B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1632197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75D8BC9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gridSpan w:val="2"/>
            <w:vAlign w:val="center"/>
          </w:tcPr>
          <w:p w14:paraId="312C166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检测项目（mg/m</w:t>
            </w:r>
            <w:r>
              <w:rPr>
                <w:rFonts w:ascii="Times New Roman" w:hAnsi="Times New Roman" w:eastAsia="宋体"/>
                <w:strike w:val="0"/>
                <w:dstrike w:val="0"/>
                <w:color w:val="auto"/>
                <w:kern w:val="2"/>
                <w:sz w:val="21"/>
                <w:szCs w:val="21"/>
                <w:highlight w:val="none"/>
                <w:vertAlign w:val="superscript"/>
              </w:rPr>
              <w:t>3</w:t>
            </w:r>
            <w:r>
              <w:rPr>
                <w:rFonts w:ascii="Times New Roman" w:hAnsi="Times New Roman" w:eastAsia="宋体"/>
                <w:strike w:val="0"/>
                <w:dstrike w:val="0"/>
                <w:color w:val="auto"/>
                <w:kern w:val="2"/>
                <w:sz w:val="21"/>
                <w:szCs w:val="21"/>
                <w:highlight w:val="none"/>
              </w:rPr>
              <w:t>）</w:t>
            </w:r>
          </w:p>
        </w:tc>
      </w:tr>
      <w:tr w14:paraId="50A0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0C1097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B478B8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08F91C7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828" w:type="pct"/>
            <w:vAlign w:val="center"/>
          </w:tcPr>
          <w:p w14:paraId="5F8093F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lang w:val="en-US" w:eastAsia="zh-CN"/>
              </w:rPr>
              <w:t>NH</w:t>
            </w:r>
            <w:r>
              <w:rPr>
                <w:rFonts w:hint="eastAsia" w:ascii="Times New Roman" w:hAnsi="Times New Roman" w:eastAsia="宋体"/>
                <w:strike w:val="0"/>
                <w:dstrike w:val="0"/>
                <w:color w:val="auto"/>
                <w:sz w:val="21"/>
                <w:szCs w:val="21"/>
                <w:highlight w:val="none"/>
                <w:vertAlign w:val="subscript"/>
                <w:lang w:val="en-US" w:eastAsia="zh-CN"/>
              </w:rPr>
              <w:t>3</w:t>
            </w:r>
          </w:p>
        </w:tc>
        <w:tc>
          <w:tcPr>
            <w:tcW w:w="714" w:type="pct"/>
            <w:vAlign w:val="center"/>
          </w:tcPr>
          <w:p w14:paraId="3CFE41C7">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vertAlign w:val="superscript"/>
                <w:lang w:val="en-US" w:eastAsia="zh-CN"/>
              </w:rPr>
            </w:pPr>
            <w:r>
              <w:rPr>
                <w:rFonts w:hint="eastAsia" w:ascii="Times New Roman" w:hAnsi="Times New Roman" w:eastAsia="宋体"/>
                <w:strike w:val="0"/>
                <w:dstrike w:val="0"/>
                <w:color w:val="auto"/>
                <w:kern w:val="2"/>
                <w:sz w:val="21"/>
                <w:szCs w:val="21"/>
                <w:highlight w:val="none"/>
                <w:lang w:val="en-US" w:eastAsia="zh-CN"/>
              </w:rPr>
              <w:t>TSP</w:t>
            </w:r>
            <w:r>
              <w:rPr>
                <w:rFonts w:hint="eastAsia" w:ascii="Times New Roman" w:hAnsi="Times New Roman" w:eastAsia="宋体" w:cs="Times New Roman"/>
                <w:strike w:val="0"/>
                <w:dstrike w:val="0"/>
                <w:color w:val="auto"/>
                <w:kern w:val="0"/>
                <w:szCs w:val="21"/>
                <w:lang w:val="en-US" w:eastAsia="zh-CN" w:bidi="ar"/>
              </w:rPr>
              <w:t>m</w:t>
            </w:r>
            <w:r>
              <w:rPr>
                <w:rFonts w:hint="default" w:ascii="Times New Roman" w:hAnsi="Times New Roman" w:eastAsia="宋体" w:cs="Times New Roman"/>
                <w:strike w:val="0"/>
                <w:dstrike w:val="0"/>
                <w:color w:val="auto"/>
                <w:kern w:val="0"/>
                <w:szCs w:val="21"/>
                <w:lang w:bidi="ar"/>
              </w:rPr>
              <w:t>g/m</w:t>
            </w:r>
            <w:r>
              <w:rPr>
                <w:rFonts w:hint="default" w:ascii="Times New Roman" w:hAnsi="Times New Roman" w:eastAsia="宋体" w:cs="Times New Roman"/>
                <w:strike w:val="0"/>
                <w:dstrike w:val="0"/>
                <w:color w:val="auto"/>
                <w:kern w:val="0"/>
                <w:szCs w:val="21"/>
                <w:vertAlign w:val="superscript"/>
                <w:lang w:bidi="ar"/>
              </w:rPr>
              <w:t>3</w:t>
            </w:r>
          </w:p>
        </w:tc>
      </w:tr>
      <w:tr w14:paraId="4CA1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7DE149C2">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6C468B3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2026.05.13</w:t>
            </w:r>
          </w:p>
          <w:p w14:paraId="650C6D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-2026.05.14</w:t>
            </w:r>
          </w:p>
        </w:tc>
        <w:tc>
          <w:tcPr>
            <w:tcW w:w="1055" w:type="pct"/>
            <w:vAlign w:val="center"/>
          </w:tcPr>
          <w:p w14:paraId="58CA007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14:00-15:00</w:t>
            </w:r>
          </w:p>
        </w:tc>
        <w:tc>
          <w:tcPr>
            <w:tcW w:w="828" w:type="pct"/>
            <w:vAlign w:val="center"/>
          </w:tcPr>
          <w:p w14:paraId="3F31AC8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restart"/>
            <w:vAlign w:val="center"/>
          </w:tcPr>
          <w:p w14:paraId="7CFA023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0.208</w:t>
            </w:r>
          </w:p>
        </w:tc>
      </w:tr>
      <w:tr w14:paraId="2BE0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128D4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8A37F9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DFEF2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20:00-21:00</w:t>
            </w:r>
          </w:p>
        </w:tc>
        <w:tc>
          <w:tcPr>
            <w:tcW w:w="828" w:type="pct"/>
            <w:vAlign w:val="center"/>
          </w:tcPr>
          <w:p w14:paraId="0E15762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362EC54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ED2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8EF34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B18953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0A3137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02:00-03:00</w:t>
            </w:r>
          </w:p>
        </w:tc>
        <w:tc>
          <w:tcPr>
            <w:tcW w:w="828" w:type="pct"/>
            <w:vAlign w:val="center"/>
          </w:tcPr>
          <w:p w14:paraId="677C3A5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2EA60D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CB2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B96EC1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CD9BBF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E8CA5E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08:00-09:00</w:t>
            </w:r>
          </w:p>
        </w:tc>
        <w:tc>
          <w:tcPr>
            <w:tcW w:w="828" w:type="pct"/>
            <w:vAlign w:val="center"/>
          </w:tcPr>
          <w:p w14:paraId="579EFF7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0.08</w:t>
            </w:r>
          </w:p>
        </w:tc>
        <w:tc>
          <w:tcPr>
            <w:tcW w:w="714" w:type="pct"/>
            <w:vMerge w:val="continue"/>
            <w:vAlign w:val="center"/>
          </w:tcPr>
          <w:p w14:paraId="1F6B9C2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6A1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F5B087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31A2C20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2026.05.14</w:t>
            </w:r>
          </w:p>
          <w:p w14:paraId="16596AE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-2026.05.15</w:t>
            </w:r>
          </w:p>
        </w:tc>
        <w:tc>
          <w:tcPr>
            <w:tcW w:w="1055" w:type="pct"/>
            <w:vAlign w:val="center"/>
          </w:tcPr>
          <w:p w14:paraId="474479C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14:05-15:05</w:t>
            </w:r>
          </w:p>
        </w:tc>
        <w:tc>
          <w:tcPr>
            <w:tcW w:w="828" w:type="pct"/>
            <w:vAlign w:val="center"/>
          </w:tcPr>
          <w:p w14:paraId="2B90669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restart"/>
            <w:vAlign w:val="center"/>
          </w:tcPr>
          <w:p w14:paraId="4817862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0.210</w:t>
            </w:r>
          </w:p>
        </w:tc>
      </w:tr>
      <w:tr w14:paraId="7E6C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342EB6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A01E5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25E186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20:05-21:05</w:t>
            </w:r>
          </w:p>
        </w:tc>
        <w:tc>
          <w:tcPr>
            <w:tcW w:w="828" w:type="pct"/>
            <w:vAlign w:val="center"/>
          </w:tcPr>
          <w:p w14:paraId="2F97B83A">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359005E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71F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21AEBE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6E3B75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88AAE1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02:05-03:05</w:t>
            </w:r>
          </w:p>
        </w:tc>
        <w:tc>
          <w:tcPr>
            <w:tcW w:w="828" w:type="pct"/>
            <w:vAlign w:val="center"/>
          </w:tcPr>
          <w:p w14:paraId="210742E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556DA97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12C4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8229C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029A8F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4CB110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08:05-09:05</w:t>
            </w:r>
          </w:p>
        </w:tc>
        <w:tc>
          <w:tcPr>
            <w:tcW w:w="828" w:type="pct"/>
            <w:vAlign w:val="center"/>
          </w:tcPr>
          <w:p w14:paraId="62A2CAE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1BFBC0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F91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607DCD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57809E7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2026.05.15</w:t>
            </w:r>
          </w:p>
          <w:p w14:paraId="2F72A7C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-2026.05.16</w:t>
            </w:r>
          </w:p>
        </w:tc>
        <w:tc>
          <w:tcPr>
            <w:tcW w:w="1055" w:type="pct"/>
            <w:vAlign w:val="center"/>
          </w:tcPr>
          <w:p w14:paraId="3D498B4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14:07-15:07</w:t>
            </w:r>
          </w:p>
        </w:tc>
        <w:tc>
          <w:tcPr>
            <w:tcW w:w="828" w:type="pct"/>
            <w:vAlign w:val="center"/>
          </w:tcPr>
          <w:p w14:paraId="6DC909C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73545AE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0.188</w:t>
            </w:r>
          </w:p>
        </w:tc>
      </w:tr>
      <w:tr w14:paraId="4DD8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BDB669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1F7BD7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F3705F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20:07-21:07</w:t>
            </w:r>
          </w:p>
        </w:tc>
        <w:tc>
          <w:tcPr>
            <w:tcW w:w="828" w:type="pct"/>
            <w:vAlign w:val="center"/>
          </w:tcPr>
          <w:p w14:paraId="7CBAB5E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756DAE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1539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2D0A82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0A6D67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F23EDA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02:07-03:07</w:t>
            </w:r>
          </w:p>
        </w:tc>
        <w:tc>
          <w:tcPr>
            <w:tcW w:w="828" w:type="pct"/>
            <w:vAlign w:val="center"/>
          </w:tcPr>
          <w:p w14:paraId="76A0176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04A5EE1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2F49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4AD912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9B9C9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6D1F1C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08:07-09:07</w:t>
            </w:r>
          </w:p>
        </w:tc>
        <w:tc>
          <w:tcPr>
            <w:tcW w:w="828" w:type="pct"/>
            <w:vAlign w:val="center"/>
          </w:tcPr>
          <w:p w14:paraId="5F68FFF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5EA0232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6A40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CF4E6C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1A10D7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2026.05.16</w:t>
            </w:r>
          </w:p>
          <w:p w14:paraId="4E50B7F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-2026.05.17</w:t>
            </w:r>
          </w:p>
        </w:tc>
        <w:tc>
          <w:tcPr>
            <w:tcW w:w="1055" w:type="pct"/>
            <w:vAlign w:val="center"/>
          </w:tcPr>
          <w:p w14:paraId="6DF4B04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14:10-15:10</w:t>
            </w:r>
          </w:p>
        </w:tc>
        <w:tc>
          <w:tcPr>
            <w:tcW w:w="828" w:type="pct"/>
            <w:vAlign w:val="center"/>
          </w:tcPr>
          <w:p w14:paraId="65FA7F0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restart"/>
            <w:vAlign w:val="center"/>
          </w:tcPr>
          <w:p w14:paraId="2E214E6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0.199</w:t>
            </w:r>
          </w:p>
        </w:tc>
      </w:tr>
      <w:tr w14:paraId="5816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AEB1BA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893C2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9496A3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20:10-21:10</w:t>
            </w:r>
          </w:p>
        </w:tc>
        <w:tc>
          <w:tcPr>
            <w:tcW w:w="828" w:type="pct"/>
            <w:vAlign w:val="center"/>
          </w:tcPr>
          <w:p w14:paraId="3CA5F4E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02F569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1D3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BC965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116BF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298318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02:10-03:10</w:t>
            </w:r>
          </w:p>
        </w:tc>
        <w:tc>
          <w:tcPr>
            <w:tcW w:w="828" w:type="pct"/>
            <w:vAlign w:val="center"/>
          </w:tcPr>
          <w:p w14:paraId="6449967F">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37FA4E4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2E6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D87D5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BBC30D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9EB5CE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08:10-09:10</w:t>
            </w:r>
          </w:p>
        </w:tc>
        <w:tc>
          <w:tcPr>
            <w:tcW w:w="828" w:type="pct"/>
            <w:vAlign w:val="center"/>
          </w:tcPr>
          <w:p w14:paraId="6F7B6FC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45B6D79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22F7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2F5587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20977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2026.05.17</w:t>
            </w:r>
          </w:p>
          <w:p w14:paraId="633CE19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-2026.05.18</w:t>
            </w:r>
          </w:p>
        </w:tc>
        <w:tc>
          <w:tcPr>
            <w:tcW w:w="1055" w:type="pct"/>
            <w:vAlign w:val="center"/>
          </w:tcPr>
          <w:p w14:paraId="15DD18F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14:13-15:13</w:t>
            </w:r>
          </w:p>
        </w:tc>
        <w:tc>
          <w:tcPr>
            <w:tcW w:w="828" w:type="pct"/>
            <w:vAlign w:val="center"/>
          </w:tcPr>
          <w:p w14:paraId="079492A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0.03</w:t>
            </w:r>
          </w:p>
        </w:tc>
        <w:tc>
          <w:tcPr>
            <w:tcW w:w="714" w:type="pct"/>
            <w:vMerge w:val="restart"/>
            <w:vAlign w:val="center"/>
          </w:tcPr>
          <w:p w14:paraId="27E37E1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0.199</w:t>
            </w:r>
          </w:p>
        </w:tc>
      </w:tr>
      <w:tr w14:paraId="7663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920308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A8024A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637BC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20:13-21:13</w:t>
            </w:r>
          </w:p>
        </w:tc>
        <w:tc>
          <w:tcPr>
            <w:tcW w:w="828" w:type="pct"/>
            <w:vAlign w:val="center"/>
          </w:tcPr>
          <w:p w14:paraId="0200C66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2FC1DD1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A72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4E6970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2FDF93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7E68B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02:13-03:13</w:t>
            </w:r>
          </w:p>
        </w:tc>
        <w:tc>
          <w:tcPr>
            <w:tcW w:w="828" w:type="pct"/>
            <w:vAlign w:val="center"/>
          </w:tcPr>
          <w:p w14:paraId="3E41A407">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662A3D1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3075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F1CB61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5DF9D9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1664F6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08:13-09:13</w:t>
            </w:r>
          </w:p>
        </w:tc>
        <w:tc>
          <w:tcPr>
            <w:tcW w:w="828" w:type="pct"/>
            <w:vAlign w:val="center"/>
          </w:tcPr>
          <w:p w14:paraId="14851180">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056D7A1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7A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8E748E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8D7337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2026.05.18</w:t>
            </w:r>
          </w:p>
          <w:p w14:paraId="382C931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-2026.05.19</w:t>
            </w:r>
          </w:p>
        </w:tc>
        <w:tc>
          <w:tcPr>
            <w:tcW w:w="1055" w:type="pct"/>
            <w:vAlign w:val="center"/>
          </w:tcPr>
          <w:p w14:paraId="4FD63E5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14:15-15:15</w:t>
            </w:r>
          </w:p>
        </w:tc>
        <w:tc>
          <w:tcPr>
            <w:tcW w:w="828" w:type="pct"/>
            <w:vAlign w:val="center"/>
          </w:tcPr>
          <w:p w14:paraId="408EB36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7677872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0.111</w:t>
            </w:r>
          </w:p>
        </w:tc>
      </w:tr>
      <w:tr w14:paraId="0CD2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D33A6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3AF65D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370C25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20:15-21:15</w:t>
            </w:r>
          </w:p>
        </w:tc>
        <w:tc>
          <w:tcPr>
            <w:tcW w:w="828" w:type="pct"/>
            <w:vAlign w:val="center"/>
          </w:tcPr>
          <w:p w14:paraId="468CFDD2">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07C34FF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347E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7C0902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D49CFF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8915A7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02:15-03:15</w:t>
            </w:r>
          </w:p>
        </w:tc>
        <w:tc>
          <w:tcPr>
            <w:tcW w:w="828" w:type="pct"/>
            <w:vAlign w:val="center"/>
          </w:tcPr>
          <w:p w14:paraId="2C5E968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57502BE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283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A99FB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6B17D4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96D26D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08:15-09:15</w:t>
            </w:r>
          </w:p>
        </w:tc>
        <w:tc>
          <w:tcPr>
            <w:tcW w:w="828" w:type="pct"/>
            <w:vAlign w:val="center"/>
          </w:tcPr>
          <w:p w14:paraId="75E5C91F">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6EAB01E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76A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5F02BA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E4748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2026.05.19</w:t>
            </w:r>
          </w:p>
          <w:p w14:paraId="3E322C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-2026.05.20</w:t>
            </w:r>
          </w:p>
        </w:tc>
        <w:tc>
          <w:tcPr>
            <w:tcW w:w="1055" w:type="pct"/>
            <w:vAlign w:val="center"/>
          </w:tcPr>
          <w:p w14:paraId="4AF5E4C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14:19-15:19</w:t>
            </w:r>
          </w:p>
        </w:tc>
        <w:tc>
          <w:tcPr>
            <w:tcW w:w="828" w:type="pct"/>
            <w:vAlign w:val="center"/>
          </w:tcPr>
          <w:p w14:paraId="5827547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37F1DDC0">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0.201</w:t>
            </w:r>
          </w:p>
        </w:tc>
      </w:tr>
      <w:tr w14:paraId="0AF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0888E7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14671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7975F32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20:19-21:19</w:t>
            </w:r>
          </w:p>
        </w:tc>
        <w:tc>
          <w:tcPr>
            <w:tcW w:w="828" w:type="pct"/>
            <w:vAlign w:val="center"/>
          </w:tcPr>
          <w:p w14:paraId="01F2B0A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276C3A9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r w14:paraId="4F2F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F5898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ACA31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5601138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02:19-03:19</w:t>
            </w:r>
          </w:p>
        </w:tc>
        <w:tc>
          <w:tcPr>
            <w:tcW w:w="828" w:type="pct"/>
            <w:vAlign w:val="center"/>
          </w:tcPr>
          <w:p w14:paraId="11F128FC">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6D91474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r w14:paraId="2908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30B73C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2764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001E96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08:19-09:19</w:t>
            </w:r>
          </w:p>
        </w:tc>
        <w:tc>
          <w:tcPr>
            <w:tcW w:w="828" w:type="pct"/>
            <w:vAlign w:val="center"/>
          </w:tcPr>
          <w:p w14:paraId="45D58D9C">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3C0F3CA1">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bl>
    <w:p w14:paraId="1D9E0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表4.2-5硫化氢监测结果表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616"/>
        <w:gridCol w:w="1750"/>
        <w:gridCol w:w="2558"/>
      </w:tblGrid>
      <w:tr w14:paraId="297B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12C2A65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7E1358E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6FF55E5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vAlign w:val="center"/>
          </w:tcPr>
          <w:p w14:paraId="4B8CF40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检测项目（mg/m</w:t>
            </w:r>
            <w:r>
              <w:rPr>
                <w:rFonts w:ascii="Times New Roman" w:hAnsi="Times New Roman" w:eastAsia="宋体"/>
                <w:strike w:val="0"/>
                <w:dstrike w:val="0"/>
                <w:color w:val="auto"/>
                <w:kern w:val="2"/>
                <w:sz w:val="21"/>
                <w:szCs w:val="21"/>
                <w:highlight w:val="none"/>
                <w:vertAlign w:val="superscript"/>
              </w:rPr>
              <w:t>3</w:t>
            </w:r>
            <w:r>
              <w:rPr>
                <w:rFonts w:ascii="Times New Roman" w:hAnsi="Times New Roman" w:eastAsia="宋体"/>
                <w:strike w:val="0"/>
                <w:dstrike w:val="0"/>
                <w:color w:val="auto"/>
                <w:kern w:val="2"/>
                <w:sz w:val="21"/>
                <w:szCs w:val="21"/>
                <w:highlight w:val="none"/>
              </w:rPr>
              <w:t>）</w:t>
            </w:r>
          </w:p>
        </w:tc>
      </w:tr>
      <w:tr w14:paraId="4319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12E1A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FB62D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649FAF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42" w:type="pct"/>
            <w:vAlign w:val="center"/>
          </w:tcPr>
          <w:p w14:paraId="73265E9E">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r>
      <w:tr w14:paraId="7D3B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1B3E175C">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15E6141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2026.06.11</w:t>
            </w:r>
          </w:p>
          <w:p w14:paraId="5341852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rPr>
            </w:pPr>
            <w:r>
              <w:rPr>
                <w:rFonts w:hint="eastAsia" w:ascii="Times New Roman" w:hAnsi="Times New Roman" w:eastAsia="宋体" w:cs="Times New Roman"/>
                <w:strike w:val="0"/>
                <w:dstrike w:val="0"/>
                <w:color w:val="auto"/>
                <w:kern w:val="2"/>
                <w:sz w:val="21"/>
                <w:szCs w:val="21"/>
                <w:highlight w:val="none"/>
                <w:lang w:val="en-US" w:eastAsia="zh-CN"/>
              </w:rPr>
              <w:t>-2026.06.12</w:t>
            </w:r>
          </w:p>
        </w:tc>
        <w:tc>
          <w:tcPr>
            <w:tcW w:w="1055" w:type="pct"/>
            <w:vAlign w:val="center"/>
          </w:tcPr>
          <w:p w14:paraId="61E8E1B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14:01-14:03</w:t>
            </w:r>
          </w:p>
        </w:tc>
        <w:tc>
          <w:tcPr>
            <w:tcW w:w="1542" w:type="pct"/>
            <w:vAlign w:val="center"/>
          </w:tcPr>
          <w:p w14:paraId="24948EAD">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851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C953A8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CDA8D5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BFCFC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20:02-20:04</w:t>
            </w:r>
          </w:p>
        </w:tc>
        <w:tc>
          <w:tcPr>
            <w:tcW w:w="1542" w:type="pct"/>
            <w:vAlign w:val="center"/>
          </w:tcPr>
          <w:p w14:paraId="4857F54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742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0E3740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936712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11D749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02:04-02:06</w:t>
            </w:r>
          </w:p>
        </w:tc>
        <w:tc>
          <w:tcPr>
            <w:tcW w:w="1542" w:type="pct"/>
            <w:vAlign w:val="center"/>
          </w:tcPr>
          <w:p w14:paraId="5C937F7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85A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976C4F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46AE34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4F76A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08:05-08:07</w:t>
            </w:r>
          </w:p>
        </w:tc>
        <w:tc>
          <w:tcPr>
            <w:tcW w:w="1542" w:type="pct"/>
            <w:vAlign w:val="center"/>
          </w:tcPr>
          <w:p w14:paraId="7378EEE2">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366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4B44CC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C66E75A">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2026.06.12</w:t>
            </w:r>
          </w:p>
          <w:p w14:paraId="090ACCD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-2026.06.13</w:t>
            </w:r>
          </w:p>
        </w:tc>
        <w:tc>
          <w:tcPr>
            <w:tcW w:w="1055" w:type="pct"/>
            <w:vAlign w:val="center"/>
          </w:tcPr>
          <w:p w14:paraId="45FC62C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7FF44415">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F8D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69C6C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6CA65D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720DCC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20:06-20:08</w:t>
            </w:r>
          </w:p>
        </w:tc>
        <w:tc>
          <w:tcPr>
            <w:tcW w:w="1542" w:type="pct"/>
            <w:vAlign w:val="center"/>
          </w:tcPr>
          <w:p w14:paraId="35A9E07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7535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7DBED9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E1FFE5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05D06B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02:00-02:02</w:t>
            </w:r>
          </w:p>
        </w:tc>
        <w:tc>
          <w:tcPr>
            <w:tcW w:w="1542" w:type="pct"/>
            <w:vAlign w:val="center"/>
          </w:tcPr>
          <w:p w14:paraId="2BD62BA5">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8A9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73F080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0C5B0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4195ED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08:03-08:05</w:t>
            </w:r>
          </w:p>
        </w:tc>
        <w:tc>
          <w:tcPr>
            <w:tcW w:w="1542" w:type="pct"/>
            <w:vAlign w:val="center"/>
          </w:tcPr>
          <w:p w14:paraId="7C56B32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002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69C340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3403947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2026.06.13</w:t>
            </w:r>
          </w:p>
          <w:p w14:paraId="35A0E71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-2026.06.14</w:t>
            </w:r>
          </w:p>
        </w:tc>
        <w:tc>
          <w:tcPr>
            <w:tcW w:w="1055" w:type="pct"/>
            <w:vAlign w:val="center"/>
          </w:tcPr>
          <w:p w14:paraId="5D4471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6C40F87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B7B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05E71C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C75ED7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A0F986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20:03-20:05</w:t>
            </w:r>
          </w:p>
        </w:tc>
        <w:tc>
          <w:tcPr>
            <w:tcW w:w="1542" w:type="pct"/>
            <w:vAlign w:val="center"/>
          </w:tcPr>
          <w:p w14:paraId="753E55E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B99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55402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E1FDF4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CA969A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02:04-02:06</w:t>
            </w:r>
          </w:p>
        </w:tc>
        <w:tc>
          <w:tcPr>
            <w:tcW w:w="1542" w:type="pct"/>
            <w:vAlign w:val="center"/>
          </w:tcPr>
          <w:p w14:paraId="668D940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259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8149FB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AB5996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DF7EA0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08:04-08:06</w:t>
            </w:r>
          </w:p>
        </w:tc>
        <w:tc>
          <w:tcPr>
            <w:tcW w:w="1542" w:type="pct"/>
            <w:vAlign w:val="center"/>
          </w:tcPr>
          <w:p w14:paraId="5B42B7E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394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12CAC8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6378E6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2026.06.14</w:t>
            </w:r>
          </w:p>
          <w:p w14:paraId="5CC9B46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-2026.06.15</w:t>
            </w:r>
          </w:p>
        </w:tc>
        <w:tc>
          <w:tcPr>
            <w:tcW w:w="1055" w:type="pct"/>
            <w:vAlign w:val="center"/>
          </w:tcPr>
          <w:p w14:paraId="583262C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14:03-14:05</w:t>
            </w:r>
          </w:p>
        </w:tc>
        <w:tc>
          <w:tcPr>
            <w:tcW w:w="1542" w:type="pct"/>
            <w:vAlign w:val="center"/>
          </w:tcPr>
          <w:p w14:paraId="6FE0F523">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DD9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A9D518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7B057E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8E86A6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20:04-20:06</w:t>
            </w:r>
          </w:p>
        </w:tc>
        <w:tc>
          <w:tcPr>
            <w:tcW w:w="1542" w:type="pct"/>
            <w:vAlign w:val="center"/>
          </w:tcPr>
          <w:p w14:paraId="17688A3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3C1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4446CD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CB38E5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ED6541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02:02-02:04</w:t>
            </w:r>
          </w:p>
        </w:tc>
        <w:tc>
          <w:tcPr>
            <w:tcW w:w="1542" w:type="pct"/>
            <w:vAlign w:val="center"/>
          </w:tcPr>
          <w:p w14:paraId="4364CFF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BCD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E6CE65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560332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55DFA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08:01-08:03</w:t>
            </w:r>
          </w:p>
        </w:tc>
        <w:tc>
          <w:tcPr>
            <w:tcW w:w="1542" w:type="pct"/>
            <w:vAlign w:val="center"/>
          </w:tcPr>
          <w:p w14:paraId="2277D04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0C62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6E362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D33399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2026.06.15</w:t>
            </w:r>
          </w:p>
          <w:p w14:paraId="5C9B50C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-2026.06.16</w:t>
            </w:r>
          </w:p>
        </w:tc>
        <w:tc>
          <w:tcPr>
            <w:tcW w:w="1055" w:type="pct"/>
            <w:vAlign w:val="center"/>
          </w:tcPr>
          <w:p w14:paraId="7656270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14:03-14:05</w:t>
            </w:r>
          </w:p>
        </w:tc>
        <w:tc>
          <w:tcPr>
            <w:tcW w:w="1542" w:type="pct"/>
            <w:vAlign w:val="center"/>
          </w:tcPr>
          <w:p w14:paraId="7D88AAC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0BAE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F3EF13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911E6C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5AFE66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20:02-20:04</w:t>
            </w:r>
          </w:p>
        </w:tc>
        <w:tc>
          <w:tcPr>
            <w:tcW w:w="1542" w:type="pct"/>
            <w:vAlign w:val="center"/>
          </w:tcPr>
          <w:p w14:paraId="681CD5F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386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B670E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8C03EA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82FC4A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02:02-02:04</w:t>
            </w:r>
          </w:p>
        </w:tc>
        <w:tc>
          <w:tcPr>
            <w:tcW w:w="1542" w:type="pct"/>
            <w:vAlign w:val="center"/>
          </w:tcPr>
          <w:p w14:paraId="58F512D8">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B54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0B77ED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4AE44F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8179AC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08:01-08:03</w:t>
            </w:r>
          </w:p>
        </w:tc>
        <w:tc>
          <w:tcPr>
            <w:tcW w:w="1542" w:type="pct"/>
            <w:vAlign w:val="center"/>
          </w:tcPr>
          <w:p w14:paraId="267EDC4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27EF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2B086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B95939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2026.06.16</w:t>
            </w:r>
          </w:p>
          <w:p w14:paraId="1DD5D07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-2026.06.17</w:t>
            </w:r>
          </w:p>
        </w:tc>
        <w:tc>
          <w:tcPr>
            <w:tcW w:w="1055" w:type="pct"/>
            <w:vAlign w:val="center"/>
          </w:tcPr>
          <w:p w14:paraId="2EADDE5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14:01-14:03</w:t>
            </w:r>
          </w:p>
        </w:tc>
        <w:tc>
          <w:tcPr>
            <w:tcW w:w="1542" w:type="pct"/>
            <w:vAlign w:val="center"/>
          </w:tcPr>
          <w:p w14:paraId="2BCA4667">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79A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F93E84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338892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058BE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20:07-20:09</w:t>
            </w:r>
          </w:p>
        </w:tc>
        <w:tc>
          <w:tcPr>
            <w:tcW w:w="1542" w:type="pct"/>
            <w:vAlign w:val="center"/>
          </w:tcPr>
          <w:p w14:paraId="53554209">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E2E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FFA8B0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0DFFAF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EE76B2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02:05-02:07</w:t>
            </w:r>
          </w:p>
        </w:tc>
        <w:tc>
          <w:tcPr>
            <w:tcW w:w="1542" w:type="pct"/>
            <w:vAlign w:val="center"/>
          </w:tcPr>
          <w:p w14:paraId="51C4632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760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FF3716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D37F61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00749D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08:04-08:06</w:t>
            </w:r>
          </w:p>
        </w:tc>
        <w:tc>
          <w:tcPr>
            <w:tcW w:w="1542" w:type="pct"/>
            <w:vAlign w:val="center"/>
          </w:tcPr>
          <w:p w14:paraId="69BB3EBA">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14F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0CEB45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339738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2026.06.17</w:t>
            </w:r>
          </w:p>
          <w:p w14:paraId="1B18C00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-2026.06.18</w:t>
            </w:r>
          </w:p>
        </w:tc>
        <w:tc>
          <w:tcPr>
            <w:tcW w:w="1055" w:type="pct"/>
            <w:vAlign w:val="center"/>
          </w:tcPr>
          <w:p w14:paraId="7B7A7B1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4272D03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4A5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5AF1BE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FE3FE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6AA579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20:01-20:03</w:t>
            </w:r>
          </w:p>
        </w:tc>
        <w:tc>
          <w:tcPr>
            <w:tcW w:w="1542" w:type="pct"/>
            <w:vAlign w:val="center"/>
          </w:tcPr>
          <w:p w14:paraId="09496CB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83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410F14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90869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4D33E70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02:03-02:05</w:t>
            </w:r>
          </w:p>
        </w:tc>
        <w:tc>
          <w:tcPr>
            <w:tcW w:w="1542" w:type="pct"/>
            <w:vAlign w:val="center"/>
          </w:tcPr>
          <w:p w14:paraId="2C7006EE">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2744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99EEE0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95340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1A04F5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08:06-08:08</w:t>
            </w:r>
          </w:p>
        </w:tc>
        <w:tc>
          <w:tcPr>
            <w:tcW w:w="1542" w:type="pct"/>
            <w:vAlign w:val="center"/>
          </w:tcPr>
          <w:p w14:paraId="438624F0">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bl>
    <w:p w14:paraId="4A947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表4.2-6臭气浓度监测结果表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616"/>
        <w:gridCol w:w="1750"/>
        <w:gridCol w:w="2558"/>
      </w:tblGrid>
      <w:tr w14:paraId="3B46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4A4EF04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323F9D4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12CF997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vAlign w:val="center"/>
          </w:tcPr>
          <w:p w14:paraId="56661E7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w:t>
            </w:r>
            <w:r>
              <w:rPr>
                <w:rFonts w:hint="eastAsia" w:ascii="Times New Roman" w:hAnsi="Times New Roman" w:eastAsia="宋体"/>
                <w:strike w:val="0"/>
                <w:dstrike w:val="0"/>
                <w:color w:val="auto"/>
                <w:kern w:val="2"/>
                <w:sz w:val="21"/>
                <w:szCs w:val="21"/>
                <w:highlight w:val="none"/>
                <w:lang w:val="en-US" w:eastAsia="zh-CN"/>
              </w:rPr>
              <w:t>无量纲</w:t>
            </w:r>
            <w:r>
              <w:rPr>
                <w:rFonts w:ascii="Times New Roman" w:hAnsi="Times New Roman" w:eastAsia="宋体"/>
                <w:strike w:val="0"/>
                <w:dstrike w:val="0"/>
                <w:color w:val="auto"/>
                <w:kern w:val="2"/>
                <w:sz w:val="21"/>
                <w:szCs w:val="21"/>
                <w:highlight w:val="none"/>
              </w:rPr>
              <w:t>）</w:t>
            </w:r>
          </w:p>
        </w:tc>
      </w:tr>
      <w:tr w14:paraId="7879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7D86F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655F02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62BADD1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42" w:type="pct"/>
            <w:vAlign w:val="center"/>
          </w:tcPr>
          <w:p w14:paraId="0729BE75">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r>
      <w:tr w14:paraId="21CE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63A800C1">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290D485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2026.06.11</w:t>
            </w:r>
          </w:p>
          <w:p w14:paraId="3B6AA7E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rPr>
            </w:pPr>
            <w:r>
              <w:rPr>
                <w:rFonts w:hint="eastAsia" w:ascii="Times New Roman" w:hAnsi="Times New Roman" w:eastAsia="宋体" w:cs="Times New Roman"/>
                <w:strike w:val="0"/>
                <w:dstrike w:val="0"/>
                <w:color w:val="auto"/>
                <w:kern w:val="2"/>
                <w:sz w:val="21"/>
                <w:szCs w:val="21"/>
                <w:highlight w:val="none"/>
                <w:lang w:val="en-US" w:eastAsia="zh-CN"/>
              </w:rPr>
              <w:t>-2026.06.12</w:t>
            </w:r>
          </w:p>
        </w:tc>
        <w:tc>
          <w:tcPr>
            <w:tcW w:w="1798" w:type="dxa"/>
            <w:vAlign w:val="center"/>
          </w:tcPr>
          <w:p w14:paraId="4DF7D0E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14:05-14:10</w:t>
            </w:r>
          </w:p>
        </w:tc>
        <w:tc>
          <w:tcPr>
            <w:tcW w:w="1542" w:type="pct"/>
            <w:vAlign w:val="center"/>
          </w:tcPr>
          <w:p w14:paraId="62020812">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6D6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C96C8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E598C4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7893F1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20:06-20:11</w:t>
            </w:r>
          </w:p>
        </w:tc>
        <w:tc>
          <w:tcPr>
            <w:tcW w:w="1542" w:type="pct"/>
            <w:vAlign w:val="center"/>
          </w:tcPr>
          <w:p w14:paraId="54DD1120">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E8E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FAFDB8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387F21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3EAF586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02:07-02:12</w:t>
            </w:r>
          </w:p>
        </w:tc>
        <w:tc>
          <w:tcPr>
            <w:tcW w:w="1542" w:type="pct"/>
            <w:vAlign w:val="center"/>
          </w:tcPr>
          <w:p w14:paraId="51CFEE2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7B1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D82FDF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3BA370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57A1B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08:18-08:23</w:t>
            </w:r>
          </w:p>
        </w:tc>
        <w:tc>
          <w:tcPr>
            <w:tcW w:w="1542" w:type="pct"/>
            <w:vAlign w:val="center"/>
          </w:tcPr>
          <w:p w14:paraId="240B06D5">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9FA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191C9E7">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EF8429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2026.06.12</w:t>
            </w:r>
          </w:p>
          <w:p w14:paraId="16CB27B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-2026.06.13</w:t>
            </w:r>
          </w:p>
        </w:tc>
        <w:tc>
          <w:tcPr>
            <w:tcW w:w="1798" w:type="dxa"/>
            <w:vAlign w:val="center"/>
          </w:tcPr>
          <w:p w14:paraId="2DF4002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14:06-14:11</w:t>
            </w:r>
          </w:p>
        </w:tc>
        <w:tc>
          <w:tcPr>
            <w:tcW w:w="1542" w:type="pct"/>
            <w:vAlign w:val="center"/>
          </w:tcPr>
          <w:p w14:paraId="1040179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BF3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29A706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94F27A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F6888E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20:10-20:15</w:t>
            </w:r>
          </w:p>
        </w:tc>
        <w:tc>
          <w:tcPr>
            <w:tcW w:w="1542" w:type="pct"/>
            <w:vAlign w:val="center"/>
          </w:tcPr>
          <w:p w14:paraId="3F3466C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527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DD8FC1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75007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29FC1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02:04-02:09</w:t>
            </w:r>
          </w:p>
        </w:tc>
        <w:tc>
          <w:tcPr>
            <w:tcW w:w="1542" w:type="pct"/>
            <w:vAlign w:val="center"/>
          </w:tcPr>
          <w:p w14:paraId="2E3D2E6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AF5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DB4356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5350D3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63CACA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08:06-08:11</w:t>
            </w:r>
          </w:p>
        </w:tc>
        <w:tc>
          <w:tcPr>
            <w:tcW w:w="1542" w:type="pct"/>
            <w:vAlign w:val="center"/>
          </w:tcPr>
          <w:p w14:paraId="7FBB140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5221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2347AD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4B2C36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2026.06.13</w:t>
            </w:r>
          </w:p>
          <w:p w14:paraId="52EFB8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-2026.06.14</w:t>
            </w:r>
          </w:p>
        </w:tc>
        <w:tc>
          <w:tcPr>
            <w:tcW w:w="1798" w:type="dxa"/>
            <w:vAlign w:val="center"/>
          </w:tcPr>
          <w:p w14:paraId="2C1F07B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5C6B11C6">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B6C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60FF4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A667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5AB17D8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20:15-20:20</w:t>
            </w:r>
          </w:p>
        </w:tc>
        <w:tc>
          <w:tcPr>
            <w:tcW w:w="1542" w:type="pct"/>
            <w:vAlign w:val="center"/>
          </w:tcPr>
          <w:p w14:paraId="4A2F249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A16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0D830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8A6E2E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3652229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02:11-02:16</w:t>
            </w:r>
          </w:p>
        </w:tc>
        <w:tc>
          <w:tcPr>
            <w:tcW w:w="1542" w:type="pct"/>
            <w:vAlign w:val="center"/>
          </w:tcPr>
          <w:p w14:paraId="1BC49BE9">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C97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807A6E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9F8FCE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5E2FBD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08:08-08:13</w:t>
            </w:r>
          </w:p>
        </w:tc>
        <w:tc>
          <w:tcPr>
            <w:tcW w:w="1542" w:type="pct"/>
            <w:vAlign w:val="center"/>
          </w:tcPr>
          <w:p w14:paraId="6829CE0F">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A2E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7D7D57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1DEB3C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2026.06.14</w:t>
            </w:r>
          </w:p>
          <w:p w14:paraId="7434658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-2026.06.15</w:t>
            </w:r>
          </w:p>
        </w:tc>
        <w:tc>
          <w:tcPr>
            <w:tcW w:w="1798" w:type="dxa"/>
            <w:vAlign w:val="center"/>
          </w:tcPr>
          <w:p w14:paraId="0430834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335E20FC">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A2F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FB048F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D2710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BDECB0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20:08-20:13</w:t>
            </w:r>
          </w:p>
        </w:tc>
        <w:tc>
          <w:tcPr>
            <w:tcW w:w="1542" w:type="pct"/>
            <w:vAlign w:val="center"/>
          </w:tcPr>
          <w:p w14:paraId="02583CDE">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63C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3AA2F7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21BD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341C45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02:06-02:11</w:t>
            </w:r>
          </w:p>
        </w:tc>
        <w:tc>
          <w:tcPr>
            <w:tcW w:w="1542" w:type="pct"/>
            <w:vAlign w:val="center"/>
          </w:tcPr>
          <w:p w14:paraId="007566B8">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6A3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1F2DBB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73EA8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60AB8E7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08:05-08:10</w:t>
            </w:r>
          </w:p>
        </w:tc>
        <w:tc>
          <w:tcPr>
            <w:tcW w:w="1542" w:type="pct"/>
            <w:vAlign w:val="center"/>
          </w:tcPr>
          <w:p w14:paraId="7CE5088F">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10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79576F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BD6DA9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2026.06.15</w:t>
            </w:r>
          </w:p>
          <w:p w14:paraId="73E4FA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-2026.06.16</w:t>
            </w:r>
          </w:p>
        </w:tc>
        <w:tc>
          <w:tcPr>
            <w:tcW w:w="1798" w:type="dxa"/>
            <w:vAlign w:val="center"/>
          </w:tcPr>
          <w:p w14:paraId="256C17B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5BC4643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80E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AA765C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462F81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A0EFA1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20:06-20:11</w:t>
            </w:r>
          </w:p>
        </w:tc>
        <w:tc>
          <w:tcPr>
            <w:tcW w:w="1542" w:type="pct"/>
            <w:vAlign w:val="center"/>
          </w:tcPr>
          <w:p w14:paraId="16F2EACE">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35C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8A344C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B9367E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ABA47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02:06-02:11</w:t>
            </w:r>
          </w:p>
        </w:tc>
        <w:tc>
          <w:tcPr>
            <w:tcW w:w="1542" w:type="pct"/>
            <w:vAlign w:val="center"/>
          </w:tcPr>
          <w:p w14:paraId="6DE52D40">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C60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7D7D5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656EF8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52A0D4E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08:05-08:10</w:t>
            </w:r>
          </w:p>
        </w:tc>
        <w:tc>
          <w:tcPr>
            <w:tcW w:w="1542" w:type="pct"/>
            <w:vAlign w:val="center"/>
          </w:tcPr>
          <w:p w14:paraId="20BC4E3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919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EC35EA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CDF305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2026.06.16</w:t>
            </w:r>
          </w:p>
          <w:p w14:paraId="0F297F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-2026.06.17</w:t>
            </w:r>
          </w:p>
        </w:tc>
        <w:tc>
          <w:tcPr>
            <w:tcW w:w="1798" w:type="dxa"/>
            <w:vAlign w:val="center"/>
          </w:tcPr>
          <w:p w14:paraId="1926BAF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14:05-14:10</w:t>
            </w:r>
          </w:p>
        </w:tc>
        <w:tc>
          <w:tcPr>
            <w:tcW w:w="1542" w:type="pct"/>
            <w:vAlign w:val="center"/>
          </w:tcPr>
          <w:p w14:paraId="3F726A0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E00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5FE706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E41F8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70629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20:10-20:15</w:t>
            </w:r>
          </w:p>
        </w:tc>
        <w:tc>
          <w:tcPr>
            <w:tcW w:w="1542" w:type="pct"/>
            <w:vAlign w:val="center"/>
          </w:tcPr>
          <w:p w14:paraId="67DFBBEC">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5ED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576C1B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F855D1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D90DEC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02:08-02:13</w:t>
            </w:r>
          </w:p>
        </w:tc>
        <w:tc>
          <w:tcPr>
            <w:tcW w:w="1542" w:type="pct"/>
            <w:vAlign w:val="center"/>
          </w:tcPr>
          <w:p w14:paraId="1F8ACC5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5C41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7FAF3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03FDCB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5EE2D9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08:08-08:13</w:t>
            </w:r>
          </w:p>
        </w:tc>
        <w:tc>
          <w:tcPr>
            <w:tcW w:w="1542" w:type="pct"/>
            <w:vAlign w:val="center"/>
          </w:tcPr>
          <w:p w14:paraId="1243992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7D8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C4D40D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FA2CAE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2026.06.17</w:t>
            </w:r>
          </w:p>
          <w:p w14:paraId="7BED591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-2026.06.18</w:t>
            </w:r>
          </w:p>
        </w:tc>
        <w:tc>
          <w:tcPr>
            <w:tcW w:w="1798" w:type="dxa"/>
            <w:vAlign w:val="center"/>
          </w:tcPr>
          <w:p w14:paraId="1F25350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14:06-14:11</w:t>
            </w:r>
          </w:p>
        </w:tc>
        <w:tc>
          <w:tcPr>
            <w:tcW w:w="1542" w:type="pct"/>
            <w:vAlign w:val="center"/>
          </w:tcPr>
          <w:p w14:paraId="1C0B24C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7B0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AA5755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3EDDD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07D20AF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20:05-20:10</w:t>
            </w:r>
          </w:p>
        </w:tc>
        <w:tc>
          <w:tcPr>
            <w:tcW w:w="1542" w:type="pct"/>
            <w:vAlign w:val="center"/>
          </w:tcPr>
          <w:p w14:paraId="12FD844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r w14:paraId="1176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2FF43F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0DFD7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408C5C5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02:07-02:12</w:t>
            </w:r>
          </w:p>
        </w:tc>
        <w:tc>
          <w:tcPr>
            <w:tcW w:w="1542" w:type="pct"/>
            <w:vAlign w:val="center"/>
          </w:tcPr>
          <w:p w14:paraId="581A1A10">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r w14:paraId="7473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63B531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03682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74BEA6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08:10-08:15</w:t>
            </w:r>
          </w:p>
        </w:tc>
        <w:tc>
          <w:tcPr>
            <w:tcW w:w="1542" w:type="pct"/>
            <w:vAlign w:val="center"/>
          </w:tcPr>
          <w:p w14:paraId="532FBD0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bl>
    <w:p w14:paraId="405C34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表4.2-7 NH3、TSP、硫化氢、臭气浓度评价结果表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638"/>
        <w:gridCol w:w="1401"/>
        <w:gridCol w:w="1403"/>
        <w:gridCol w:w="1403"/>
        <w:gridCol w:w="1403"/>
      </w:tblGrid>
      <w:tr w14:paraId="5B45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Align w:val="center"/>
          </w:tcPr>
          <w:p w14:paraId="6F110212">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监测点</w:t>
            </w:r>
          </w:p>
        </w:tc>
        <w:tc>
          <w:tcPr>
            <w:tcW w:w="987" w:type="pct"/>
            <w:vAlign w:val="center"/>
          </w:tcPr>
          <w:p w14:paraId="2BD39A8B">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项目</w:t>
            </w:r>
          </w:p>
        </w:tc>
        <w:tc>
          <w:tcPr>
            <w:tcW w:w="844" w:type="pct"/>
            <w:vAlign w:val="center"/>
          </w:tcPr>
          <w:p w14:paraId="1F6EABE4">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lang w:val="en-US" w:eastAsia="zh-CN"/>
              </w:rPr>
              <w:t>NH</w:t>
            </w:r>
            <w:r>
              <w:rPr>
                <w:rFonts w:hint="eastAsia" w:ascii="Times New Roman" w:hAnsi="Times New Roman" w:eastAsia="宋体"/>
                <w:strike w:val="0"/>
                <w:dstrike w:val="0"/>
                <w:color w:val="auto"/>
                <w:sz w:val="21"/>
                <w:szCs w:val="21"/>
                <w:highlight w:val="none"/>
                <w:vertAlign w:val="subscript"/>
                <w:lang w:val="en-US" w:eastAsia="zh-CN"/>
              </w:rPr>
              <w:t>3</w:t>
            </w:r>
          </w:p>
        </w:tc>
        <w:tc>
          <w:tcPr>
            <w:tcW w:w="845" w:type="pct"/>
            <w:vAlign w:val="center"/>
          </w:tcPr>
          <w:p w14:paraId="42EFA65A">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TSP</w:t>
            </w:r>
          </w:p>
        </w:tc>
        <w:tc>
          <w:tcPr>
            <w:tcW w:w="845" w:type="pct"/>
            <w:vAlign w:val="center"/>
          </w:tcPr>
          <w:p w14:paraId="06AB2461">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c>
          <w:tcPr>
            <w:tcW w:w="845" w:type="pct"/>
            <w:vAlign w:val="center"/>
          </w:tcPr>
          <w:p w14:paraId="1DB18A7F">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r>
      <w:tr w14:paraId="32BC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restart"/>
            <w:vAlign w:val="center"/>
          </w:tcPr>
          <w:p w14:paraId="7E11F9D6">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rPr>
              <w:t>W1：</w:t>
            </w:r>
            <w:r>
              <w:rPr>
                <w:rFonts w:hint="eastAsia" w:ascii="Times New Roman" w:hAnsi="Times New Roman" w:eastAsia="宋体"/>
                <w:strike w:val="0"/>
                <w:dstrike w:val="0"/>
                <w:color w:val="auto"/>
                <w:kern w:val="2"/>
                <w:sz w:val="21"/>
                <w:szCs w:val="21"/>
                <w:highlight w:val="none"/>
                <w:lang w:val="en-US" w:eastAsia="zh-CN"/>
              </w:rPr>
              <w:t>下风向</w:t>
            </w:r>
          </w:p>
        </w:tc>
        <w:tc>
          <w:tcPr>
            <w:tcW w:w="987" w:type="pct"/>
            <w:vAlign w:val="center"/>
          </w:tcPr>
          <w:p w14:paraId="050F1F77">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有效日数</w:t>
            </w:r>
          </w:p>
        </w:tc>
        <w:tc>
          <w:tcPr>
            <w:tcW w:w="844" w:type="pct"/>
            <w:vAlign w:val="center"/>
          </w:tcPr>
          <w:p w14:paraId="0E748950">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7</w:t>
            </w:r>
          </w:p>
        </w:tc>
        <w:tc>
          <w:tcPr>
            <w:tcW w:w="845" w:type="pct"/>
            <w:vAlign w:val="center"/>
          </w:tcPr>
          <w:p w14:paraId="0911A711">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c>
          <w:tcPr>
            <w:tcW w:w="845" w:type="pct"/>
            <w:vAlign w:val="center"/>
          </w:tcPr>
          <w:p w14:paraId="65548695">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c>
          <w:tcPr>
            <w:tcW w:w="845" w:type="pct"/>
            <w:vAlign w:val="center"/>
          </w:tcPr>
          <w:p w14:paraId="4842F9FC">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r>
      <w:tr w14:paraId="38AA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37177CF9">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0741A2D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浓度范围（mg/m</w:t>
            </w:r>
            <w:r>
              <w:rPr>
                <w:rFonts w:hint="eastAsia" w:ascii="Times New Roman" w:hAnsi="Times New Roman" w:eastAsia="宋体"/>
                <w:strike w:val="0"/>
                <w:dstrike w:val="0"/>
                <w:color w:val="auto"/>
                <w:kern w:val="2"/>
                <w:sz w:val="21"/>
                <w:szCs w:val="21"/>
                <w:highlight w:val="none"/>
                <w:vertAlign w:val="superscript"/>
              </w:rPr>
              <w:t>3</w:t>
            </w:r>
            <w:r>
              <w:rPr>
                <w:rFonts w:hint="eastAsia" w:ascii="Times New Roman" w:hAnsi="Times New Roman" w:eastAsia="宋体"/>
                <w:strike w:val="0"/>
                <w:dstrike w:val="0"/>
                <w:color w:val="auto"/>
                <w:kern w:val="2"/>
                <w:sz w:val="21"/>
                <w:szCs w:val="21"/>
                <w:highlight w:val="none"/>
              </w:rPr>
              <w:t>）</w:t>
            </w:r>
          </w:p>
        </w:tc>
        <w:tc>
          <w:tcPr>
            <w:tcW w:w="844" w:type="pct"/>
            <w:vAlign w:val="center"/>
          </w:tcPr>
          <w:p w14:paraId="687CCDEF">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ascii="Times New Roman" w:hAnsi="Times New Roman" w:eastAsia="宋体"/>
                <w:strike w:val="0"/>
                <w:dstrike w:val="0"/>
                <w:color w:val="auto"/>
                <w:kern w:val="2"/>
                <w:sz w:val="21"/>
                <w:szCs w:val="21"/>
                <w:highlight w:val="none"/>
              </w:rPr>
              <w:t>0</w:t>
            </w:r>
            <w:r>
              <w:rPr>
                <w:rFonts w:hint="eastAsia" w:ascii="Times New Roman" w:hAnsi="Times New Roman" w:eastAsia="宋体"/>
                <w:strike w:val="0"/>
                <w:dstrike w:val="0"/>
                <w:color w:val="auto"/>
                <w:kern w:val="2"/>
                <w:sz w:val="21"/>
                <w:szCs w:val="21"/>
                <w:highlight w:val="none"/>
                <w:lang w:val="en-US" w:eastAsia="zh-CN"/>
              </w:rPr>
              <w:t>.04</w:t>
            </w:r>
            <w:r>
              <w:rPr>
                <w:rFonts w:ascii="Times New Roman" w:hAnsi="Times New Roman" w:eastAsia="宋体"/>
                <w:strike w:val="0"/>
                <w:dstrike w:val="0"/>
                <w:color w:val="auto"/>
                <w:kern w:val="2"/>
                <w:sz w:val="21"/>
                <w:szCs w:val="21"/>
                <w:highlight w:val="none"/>
              </w:rPr>
              <w:t>-0.</w:t>
            </w:r>
            <w:r>
              <w:rPr>
                <w:rFonts w:hint="eastAsia" w:ascii="Times New Roman" w:hAnsi="Times New Roman" w:eastAsia="宋体"/>
                <w:strike w:val="0"/>
                <w:dstrike w:val="0"/>
                <w:color w:val="auto"/>
                <w:kern w:val="2"/>
                <w:sz w:val="21"/>
                <w:szCs w:val="21"/>
                <w:highlight w:val="none"/>
                <w:lang w:val="en-US" w:eastAsia="zh-CN"/>
              </w:rPr>
              <w:t>08</w:t>
            </w:r>
          </w:p>
        </w:tc>
        <w:tc>
          <w:tcPr>
            <w:tcW w:w="845" w:type="pct"/>
            <w:vAlign w:val="center"/>
          </w:tcPr>
          <w:p w14:paraId="5D6E1E1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0.111-0.210</w:t>
            </w:r>
          </w:p>
        </w:tc>
        <w:tc>
          <w:tcPr>
            <w:tcW w:w="845" w:type="pct"/>
            <w:vAlign w:val="center"/>
          </w:tcPr>
          <w:p w14:paraId="41F3FCAD">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c>
          <w:tcPr>
            <w:tcW w:w="845" w:type="pct"/>
            <w:vAlign w:val="center"/>
          </w:tcPr>
          <w:p w14:paraId="3B2AEFE0">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3872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8BB3420">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3CE15A78">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超标率（%）</w:t>
            </w:r>
          </w:p>
        </w:tc>
        <w:tc>
          <w:tcPr>
            <w:tcW w:w="844" w:type="pct"/>
            <w:vAlign w:val="center"/>
          </w:tcPr>
          <w:p w14:paraId="170E4543">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w:t>
            </w:r>
          </w:p>
        </w:tc>
        <w:tc>
          <w:tcPr>
            <w:tcW w:w="845" w:type="pct"/>
            <w:vAlign w:val="center"/>
          </w:tcPr>
          <w:p w14:paraId="1DB94677">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3F87B2E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6C16F44E">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r>
      <w:tr w14:paraId="3791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85A24FF">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7946EC0B">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最大超标倍数</w:t>
            </w:r>
          </w:p>
        </w:tc>
        <w:tc>
          <w:tcPr>
            <w:tcW w:w="844" w:type="pct"/>
            <w:vAlign w:val="center"/>
          </w:tcPr>
          <w:p w14:paraId="5991104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w:t>
            </w:r>
          </w:p>
        </w:tc>
        <w:tc>
          <w:tcPr>
            <w:tcW w:w="845" w:type="pct"/>
            <w:vAlign w:val="center"/>
          </w:tcPr>
          <w:p w14:paraId="5803419E">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12016307">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71C3942B">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r>
      <w:tr w14:paraId="344A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9FA5DC1">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46F8999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P</w:t>
            </w:r>
            <w:r>
              <w:rPr>
                <w:rFonts w:hint="eastAsia" w:ascii="Times New Roman" w:hAnsi="Times New Roman" w:eastAsia="宋体"/>
                <w:strike w:val="0"/>
                <w:dstrike w:val="0"/>
                <w:color w:val="auto"/>
                <w:kern w:val="2"/>
                <w:sz w:val="21"/>
                <w:szCs w:val="21"/>
                <w:highlight w:val="none"/>
                <w:vertAlign w:val="subscript"/>
              </w:rPr>
              <w:t>i</w:t>
            </w:r>
          </w:p>
        </w:tc>
        <w:tc>
          <w:tcPr>
            <w:tcW w:w="844" w:type="pct"/>
            <w:vAlign w:val="center"/>
          </w:tcPr>
          <w:p w14:paraId="78C8BC81">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lang w:val="en-US" w:eastAsia="zh-CN"/>
              </w:rPr>
              <w:t>20%～40%</w:t>
            </w:r>
          </w:p>
        </w:tc>
        <w:tc>
          <w:tcPr>
            <w:tcW w:w="845" w:type="pct"/>
            <w:vAlign w:val="center"/>
          </w:tcPr>
          <w:p w14:paraId="5499565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37%～70%</w:t>
            </w:r>
          </w:p>
        </w:tc>
        <w:tc>
          <w:tcPr>
            <w:tcW w:w="845" w:type="pct"/>
            <w:vAlign w:val="center"/>
          </w:tcPr>
          <w:p w14:paraId="4BEC6A5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&lt;20%</w:t>
            </w:r>
          </w:p>
        </w:tc>
        <w:tc>
          <w:tcPr>
            <w:tcW w:w="845" w:type="pct"/>
            <w:vAlign w:val="center"/>
          </w:tcPr>
          <w:p w14:paraId="68995868">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&lt;50%</w:t>
            </w:r>
          </w:p>
        </w:tc>
      </w:tr>
    </w:tbl>
    <w:p w14:paraId="52570C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根据监测结果，特征污染物</w:t>
      </w:r>
      <w:r>
        <w:rPr>
          <w:rFonts w:hint="eastAsia" w:ascii="Times New Roman" w:hAnsi="Times New Roman" w:eastAsia="宋体"/>
          <w:strike w:val="0"/>
          <w:dstrike w:val="0"/>
          <w:color w:val="auto"/>
          <w:highlight w:val="none"/>
          <w:lang w:val="en-US" w:eastAsia="zh-CN"/>
        </w:rPr>
        <w:t>TSP满足</w:t>
      </w:r>
      <w:r>
        <w:rPr>
          <w:rFonts w:hint="eastAsia" w:ascii="Times New Roman" w:hAnsi="Times New Roman" w:eastAsia="宋体"/>
          <w:strike w:val="0"/>
          <w:dstrike w:val="0"/>
          <w:color w:val="auto"/>
          <w:highlight w:val="none"/>
        </w:rPr>
        <w:t>《环境空气质量标准》（GB3095-20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表2环境空气污染物其他项目浓度限值二级标准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在监测时段内浓度值满足《环境影响评价技术导则大气环境》（HJ2.2-2018）附录D中的标准值，</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在监测时段内达标，区域内硫化氢和氨空气质量现状良好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臭气浓度满足《恶臭污染物排放标准》（GB 14554-93）二级标准限值</w:t>
      </w:r>
      <w:r>
        <w:rPr>
          <w:rFonts w:hint="eastAsia" w:ascii="Times New Roman" w:hAnsi="Times New Roman" w:eastAsia="宋体"/>
          <w:strike w:val="0"/>
          <w:dstrike w:val="0"/>
          <w:color w:val="auto"/>
          <w:highlight w:val="none"/>
          <w:lang w:eastAsia="zh-CN"/>
        </w:rPr>
        <w:t>。</w:t>
      </w:r>
    </w:p>
    <w:p w14:paraId="21A49310">
      <w:pPr>
        <w:pStyle w:val="4"/>
        <w:rPr>
          <w:rFonts w:ascii="Times New Roman" w:hAnsi="Times New Roman" w:eastAsia="宋体"/>
          <w:strike w:val="0"/>
          <w:dstrike w:val="0"/>
          <w:color w:val="auto"/>
          <w:highlight w:val="none"/>
        </w:rPr>
      </w:pPr>
      <w:bookmarkStart w:id="204" w:name="_Toc24583"/>
      <w:bookmarkStart w:id="205" w:name="_Toc106663487"/>
      <w:r>
        <w:rPr>
          <w:rFonts w:hint="eastAsia" w:ascii="Times New Roman" w:hAnsi="Times New Roman" w:eastAsia="宋体"/>
          <w:strike w:val="0"/>
          <w:dstrike w:val="0"/>
          <w:color w:val="auto"/>
          <w:highlight w:val="none"/>
        </w:rPr>
        <w:t>4.2.2地表水环境质量现状评价</w:t>
      </w:r>
      <w:bookmarkEnd w:id="204"/>
      <w:bookmarkEnd w:id="205"/>
    </w:p>
    <w:p w14:paraId="2DC29E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根据《环境影响评价技术导则地表水环境》（HJ2.3-2018），项目地表水评价等级判定为三级B，结合本项目工程特点，运营期废水</w:t>
      </w:r>
      <w:r>
        <w:rPr>
          <w:rFonts w:hint="eastAsia" w:ascii="Times New Roman" w:hAnsi="Times New Roman" w:eastAsia="宋体"/>
          <w:strike w:val="0"/>
          <w:dstrike w:val="0"/>
          <w:color w:val="auto"/>
          <w:highlight w:val="none"/>
          <w:lang w:val="en-US" w:eastAsia="zh-CN"/>
        </w:rPr>
        <w:t>不外排，</w:t>
      </w:r>
      <w:r>
        <w:rPr>
          <w:rFonts w:hint="eastAsia" w:ascii="Times New Roman" w:hAnsi="Times New Roman" w:eastAsia="宋体"/>
          <w:strike w:val="0"/>
          <w:dstrike w:val="0"/>
          <w:color w:val="auto"/>
          <w:highlight w:val="none"/>
        </w:rPr>
        <w:t>因此不对本项目地表水进行现状评价</w:t>
      </w:r>
      <w:r>
        <w:rPr>
          <w:rFonts w:hint="eastAsia" w:ascii="Times New Roman" w:hAnsi="Times New Roman" w:eastAsia="宋体"/>
          <w:strike w:val="0"/>
          <w:dstrike w:val="0"/>
          <w:color w:val="auto"/>
          <w:highlight w:val="none"/>
          <w:lang w:eastAsia="zh-CN"/>
        </w:rPr>
        <w:t>。</w:t>
      </w:r>
    </w:p>
    <w:p w14:paraId="0AA8DAAE">
      <w:pPr>
        <w:pStyle w:val="4"/>
        <w:rPr>
          <w:rFonts w:ascii="Times New Roman" w:hAnsi="Times New Roman" w:eastAsia="宋体"/>
          <w:strike w:val="0"/>
          <w:dstrike w:val="0"/>
          <w:color w:val="auto"/>
          <w:highlight w:val="none"/>
        </w:rPr>
      </w:pPr>
      <w:bookmarkStart w:id="206" w:name="_Toc30582"/>
      <w:bookmarkStart w:id="207" w:name="_Toc106663488"/>
      <w:r>
        <w:rPr>
          <w:rFonts w:hint="eastAsia" w:ascii="Times New Roman" w:hAnsi="Times New Roman" w:eastAsia="宋体"/>
          <w:strike w:val="0"/>
          <w:dstrike w:val="0"/>
          <w:color w:val="auto"/>
          <w:highlight w:val="none"/>
        </w:rPr>
        <w:t>4.2.3地下水环境现状调查与评价</w:t>
      </w:r>
      <w:bookmarkEnd w:id="206"/>
      <w:bookmarkEnd w:id="207"/>
    </w:p>
    <w:p w14:paraId="24D8E84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4.2.3.1数据来源</w:t>
      </w:r>
    </w:p>
    <w:p w14:paraId="654A4372">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本项目地下水环境现状调查数据委托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进行现场监测，</w:t>
      </w:r>
      <w:r>
        <w:rPr>
          <w:rFonts w:hint="eastAsia" w:ascii="Times New Roman" w:hAnsi="Times New Roman" w:eastAsia="宋体"/>
          <w:strike w:val="0"/>
          <w:dstrike w:val="0"/>
          <w:color w:val="auto"/>
          <w:highlight w:val="none"/>
          <w:lang w:val="en-US" w:eastAsia="zh-CN"/>
        </w:rPr>
        <w:t>取样水井为灌溉井。</w:t>
      </w:r>
      <w:r>
        <w:rPr>
          <w:rFonts w:hint="eastAsia" w:ascii="Times New Roman" w:hAnsi="Times New Roman" w:eastAsia="宋体"/>
          <w:strike w:val="0"/>
          <w:dstrike w:val="0"/>
          <w:color w:val="auto"/>
          <w:highlight w:val="none"/>
        </w:rPr>
        <w:t>监测时间</w:t>
      </w:r>
      <w:r>
        <w:rPr>
          <w:rFonts w:hint="eastAsia" w:ascii="Times New Roman" w:hAnsi="Times New Roman" w:eastAsia="宋体"/>
          <w:strike w:val="0"/>
          <w:dstrike w:val="0"/>
          <w:color w:val="auto"/>
          <w:highlight w:val="none"/>
          <w:lang w:eastAsia="zh-CN"/>
        </w:rPr>
        <w:t>202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年0</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监测点基本情况见表4.2-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地下水监测点位见附图4.2-2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木垒县地下水位数据引用木垒县2021年地下水动态监测国控点数据，具体情况见图4.2-1；</w:t>
      </w:r>
    </w:p>
    <w:p w14:paraId="41B0FE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表4.2-8地下水环境质量现状监测点位表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4"/>
        <w:gridCol w:w="4302"/>
      </w:tblGrid>
      <w:tr w14:paraId="3452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407" w:type="pct"/>
            <w:vAlign w:val="center"/>
          </w:tcPr>
          <w:p w14:paraId="5C34BA7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w:t>
            </w:r>
          </w:p>
        </w:tc>
        <w:tc>
          <w:tcPr>
            <w:tcW w:w="2593" w:type="pct"/>
            <w:vAlign w:val="center"/>
          </w:tcPr>
          <w:p w14:paraId="50654C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坐标</w:t>
            </w:r>
          </w:p>
        </w:tc>
      </w:tr>
      <w:tr w14:paraId="6377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106683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1</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w:t>
            </w:r>
            <w:r>
              <w:rPr>
                <w:rFonts w:hint="eastAsia" w:ascii="Times New Roman" w:hAnsi="Times New Roman" w:eastAsia="宋体"/>
                <w:strike w:val="0"/>
                <w:dstrike w:val="0"/>
                <w:color w:val="auto"/>
                <w:sz w:val="21"/>
                <w:szCs w:val="21"/>
                <w:highlight w:val="none"/>
                <w:lang w:val="en-US" w:eastAsia="zh-CN"/>
              </w:rPr>
              <w:t>附近</w:t>
            </w:r>
            <w:r>
              <w:rPr>
                <w:rFonts w:hint="eastAsia" w:ascii="Times New Roman" w:hAnsi="Times New Roman" w:eastAsia="宋体"/>
                <w:strike w:val="0"/>
                <w:dstrike w:val="0"/>
                <w:color w:val="auto"/>
                <w:sz w:val="21"/>
                <w:szCs w:val="21"/>
                <w:highlight w:val="none"/>
              </w:rPr>
              <w:t>地下水井</w:t>
            </w:r>
          </w:p>
        </w:tc>
        <w:tc>
          <w:tcPr>
            <w:tcW w:w="2593" w:type="pct"/>
            <w:vAlign w:val="center"/>
          </w:tcPr>
          <w:p w14:paraId="59F53930">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36</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26.71</w:t>
            </w:r>
            <w:r>
              <w:rPr>
                <w:rFonts w:hint="default"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val="en-US" w:eastAsia="zh-CN"/>
              </w:rPr>
              <w:t>:43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42</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00.40</w:t>
            </w:r>
            <w:r>
              <w:rPr>
                <w:rFonts w:hint="default" w:ascii="Times New Roman" w:hAnsi="Times New Roman" w:eastAsia="宋体"/>
                <w:strike w:val="0"/>
                <w:dstrike w:val="0"/>
                <w:color w:val="auto"/>
                <w:sz w:val="21"/>
                <w:szCs w:val="21"/>
                <w:highlight w:val="none"/>
                <w:lang w:val="en-US" w:eastAsia="zh-CN"/>
              </w:rPr>
              <w:t>″</w:t>
            </w:r>
          </w:p>
        </w:tc>
      </w:tr>
      <w:tr w14:paraId="5619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6CF0EAF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：项目区上游地下水井</w:t>
            </w:r>
          </w:p>
        </w:tc>
        <w:tc>
          <w:tcPr>
            <w:tcW w:w="2593" w:type="pct"/>
            <w:vAlign w:val="center"/>
          </w:tcPr>
          <w:p w14:paraId="59D5BB33">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39</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22.87</w:t>
            </w:r>
            <w:r>
              <w:rPr>
                <w:rFonts w:hint="default"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41</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51.16</w:t>
            </w:r>
            <w:r>
              <w:rPr>
                <w:rFonts w:hint="default" w:ascii="Times New Roman" w:hAnsi="Times New Roman" w:eastAsia="宋体"/>
                <w:strike w:val="0"/>
                <w:dstrike w:val="0"/>
                <w:color w:val="auto"/>
                <w:sz w:val="21"/>
                <w:szCs w:val="21"/>
                <w:highlight w:val="none"/>
                <w:lang w:val="en-US" w:eastAsia="zh-CN"/>
              </w:rPr>
              <w:t>″</w:t>
            </w:r>
          </w:p>
        </w:tc>
      </w:tr>
      <w:tr w14:paraId="11C5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6D480B0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3</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：项目区下游地下水井</w:t>
            </w:r>
          </w:p>
        </w:tc>
        <w:tc>
          <w:tcPr>
            <w:tcW w:w="2593" w:type="pct"/>
            <w:vAlign w:val="center"/>
          </w:tcPr>
          <w:p w14:paraId="34E28DC2">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41</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11.13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eastAsia="zh-CN"/>
              </w:rPr>
              <w:t>4</w:t>
            </w:r>
            <w:r>
              <w:rPr>
                <w:rFonts w:hint="eastAsia" w:ascii="Times New Roman" w:hAnsi="Times New Roman" w:eastAsia="宋体"/>
                <w:strike w:val="0"/>
                <w:dstrike w:val="0"/>
                <w:color w:val="auto"/>
                <w:sz w:val="21"/>
                <w:szCs w:val="21"/>
                <w:highlight w:val="none"/>
                <w:lang w:val="en-US" w:eastAsia="zh-CN"/>
              </w:rPr>
              <w:t>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44</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15.52</w:t>
            </w:r>
            <w:r>
              <w:rPr>
                <w:rFonts w:hint="default" w:ascii="Times New Roman" w:hAnsi="Times New Roman" w:eastAsia="宋体"/>
                <w:strike w:val="0"/>
                <w:dstrike w:val="0"/>
                <w:color w:val="auto"/>
                <w:sz w:val="21"/>
                <w:szCs w:val="21"/>
                <w:highlight w:val="none"/>
                <w:lang w:val="en-US" w:eastAsia="zh-CN"/>
              </w:rPr>
              <w:t>″</w:t>
            </w:r>
          </w:p>
        </w:tc>
      </w:tr>
    </w:tbl>
    <w:p w14:paraId="4E058F15">
      <w:pPr>
        <w:keepNext/>
        <w:keepLines/>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drawing>
          <wp:inline distT="0" distB="0" distL="114300" distR="114300">
            <wp:extent cx="5269230" cy="4150995"/>
            <wp:effectExtent l="0" t="0" r="7620" b="1905"/>
            <wp:docPr id="78" name="图片 78" descr="1607e5605096d91204f14c9dfedaff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607e5605096d91204f14c9dfedaff23"/>
                    <pic:cNvPicPr>
                      <a:picLocks noChangeAspect="1"/>
                    </pic:cNvPicPr>
                  </pic:nvPicPr>
                  <pic:blipFill>
                    <a:blip r:embed="rId36"/>
                    <a:stretch>
                      <a:fillRect/>
                    </a:stretch>
                  </pic:blipFill>
                  <pic:spPr>
                    <a:xfrm>
                      <a:off x="0" y="0"/>
                      <a:ext cx="5269230" cy="4150995"/>
                    </a:xfrm>
                    <a:prstGeom prst="rect">
                      <a:avLst/>
                    </a:prstGeom>
                  </pic:spPr>
                </pic:pic>
              </a:graphicData>
            </a:graphic>
          </wp:inline>
        </w:drawing>
      </w:r>
    </w:p>
    <w:p w14:paraId="5F221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图4.2-1 木垒县2021年地下水位埋深数据</w:t>
      </w:r>
    </w:p>
    <w:p w14:paraId="0039A300">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4.2.3.2监测项目及分析方法</w:t>
      </w:r>
    </w:p>
    <w:p w14:paraId="30CF37D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监测项目：pH、耗氧量、溶解性总固体、挥发性酚类、阴离子表面活性剂、氯化物、硫化物、石油类、汞、镉、砷、六价铬、铅、总大肠菌群、菌落总数</w:t>
      </w:r>
      <w:r>
        <w:rPr>
          <w:rFonts w:hint="eastAsia" w:ascii="Times New Roman" w:hAnsi="Times New Roman" w:eastAsia="宋体"/>
          <w:strike w:val="0"/>
          <w:dstrike w:val="0"/>
          <w:color w:val="auto"/>
          <w:highlight w:val="none"/>
          <w:lang w:eastAsia="zh-CN"/>
        </w:rPr>
        <w:t>。</w:t>
      </w:r>
    </w:p>
    <w:p w14:paraId="228E516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本次环评水质现状监测、采样及分析方法按《地下水环境监测技术规范》（HJ/T164-2004）、《环境水质监测质量保证手册》及《水和废水监测分析方法》有关规定和要求执行</w:t>
      </w:r>
      <w:r>
        <w:rPr>
          <w:rFonts w:hint="eastAsia" w:ascii="Times New Roman" w:hAnsi="Times New Roman" w:eastAsia="宋体"/>
          <w:strike w:val="0"/>
          <w:dstrike w:val="0"/>
          <w:color w:val="auto"/>
          <w:highlight w:val="none"/>
          <w:lang w:eastAsia="zh-CN"/>
        </w:rPr>
        <w:t>。</w:t>
      </w:r>
    </w:p>
    <w:p w14:paraId="4BD7235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4.2.3.3评价标准及方法</w:t>
      </w:r>
    </w:p>
    <w:p w14:paraId="0109444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ascii="Times New Roman" w:hAnsi="Times New Roman" w:eastAsia="宋体"/>
          <w:strike w:val="0"/>
          <w:dstrike w:val="0"/>
          <w:color w:val="auto"/>
          <w:highlight w:val="none"/>
        </w:rPr>
        <w:t>评价标准</w:t>
      </w:r>
    </w:p>
    <w:p w14:paraId="6147CB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采用《地下水质量标准》（GB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T14848-2017）</w:t>
      </w:r>
      <w:r>
        <w:rPr>
          <w:rFonts w:hint="eastAsia" w:ascii="Times New Roman" w:hAnsi="Times New Roman" w:eastAsia="宋体" w:cs="宋体"/>
          <w:strike w:val="0"/>
          <w:dstrike w:val="0"/>
          <w:color w:val="auto"/>
          <w:highlight w:val="none"/>
        </w:rPr>
        <w:t>Ⅲ</w:t>
      </w:r>
      <w:r>
        <w:rPr>
          <w:rFonts w:ascii="Times New Roman" w:hAnsi="Times New Roman" w:eastAsia="宋体"/>
          <w:strike w:val="0"/>
          <w:dstrike w:val="0"/>
          <w:color w:val="auto"/>
          <w:highlight w:val="none"/>
        </w:rPr>
        <w:t>类标准对各监测点位地下水水质进行评价</w:t>
      </w:r>
      <w:r>
        <w:rPr>
          <w:rFonts w:hint="eastAsia" w:ascii="Times New Roman" w:hAnsi="Times New Roman" w:eastAsia="宋体"/>
          <w:strike w:val="0"/>
          <w:dstrike w:val="0"/>
          <w:color w:val="auto"/>
          <w:highlight w:val="none"/>
          <w:lang w:eastAsia="zh-CN"/>
        </w:rPr>
        <w:t>。</w:t>
      </w:r>
    </w:p>
    <w:p w14:paraId="1CC23C8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（2）评价方法</w:t>
      </w:r>
    </w:p>
    <w:p w14:paraId="36349C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采用单项标准指数法对地下水进行评价</w:t>
      </w:r>
      <w:r>
        <w:rPr>
          <w:rFonts w:hint="eastAsia" w:ascii="Times New Roman" w:hAnsi="Times New Roman" w:eastAsia="宋体"/>
          <w:strike w:val="0"/>
          <w:dstrike w:val="0"/>
          <w:color w:val="auto"/>
          <w:highlight w:val="none"/>
          <w:lang w:eastAsia="zh-CN"/>
        </w:rPr>
        <w:t>。</w:t>
      </w:r>
    </w:p>
    <w:p w14:paraId="3C1EE267">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28" o:spt="75" type="#_x0000_t75" style="height:38.4pt;width:39.85pt;" o:ole="t" filled="f" o:preferrelative="t" stroked="f" coordsize="21600,21600">
            <v:path/>
            <v:fill on="f" focussize="0,0"/>
            <v:stroke on="f" joinstyle="miter"/>
            <v:imagedata r:id="rId38" o:title=""/>
            <o:lock v:ext="edit" aspectratio="t"/>
            <w10:wrap type="none"/>
            <w10:anchorlock/>
          </v:shape>
          <o:OLEObject Type="Embed" ProgID="Equation.AxMath" ShapeID="_x0000_i1028" DrawAspect="Content" ObjectID="_1468075728" r:id="rId37">
            <o:LockedField>false</o:LockedField>
          </o:OLEObject>
        </w:object>
      </w:r>
    </w:p>
    <w:p w14:paraId="73E1F94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——第i个水质因子的标准指数，无量纲；</w:t>
      </w:r>
    </w:p>
    <w:p w14:paraId="1A10CF51">
      <w:pPr>
        <w:ind w:firstLine="1320" w:firstLineChars="55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——第i个水质因子的监测浓度值，mg/L；</w:t>
      </w:r>
    </w:p>
    <w:p w14:paraId="4CADA1F4">
      <w:pPr>
        <w:ind w:firstLine="1320" w:firstLineChars="55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si</w:t>
      </w:r>
      <w:r>
        <w:rPr>
          <w:rFonts w:hint="eastAsia" w:ascii="Times New Roman" w:hAnsi="Times New Roman" w:eastAsia="宋体"/>
          <w:strike w:val="0"/>
          <w:dstrike w:val="0"/>
          <w:color w:val="auto"/>
          <w:highlight w:val="none"/>
        </w:rPr>
        <w:t>——第i个水质因子的标准浓度值，mg/L</w:t>
      </w:r>
      <w:r>
        <w:rPr>
          <w:rFonts w:hint="eastAsia" w:ascii="Times New Roman" w:hAnsi="Times New Roman" w:eastAsia="宋体"/>
          <w:strike w:val="0"/>
          <w:dstrike w:val="0"/>
          <w:color w:val="auto"/>
          <w:highlight w:val="none"/>
          <w:lang w:eastAsia="zh-CN"/>
        </w:rPr>
        <w:t>。</w:t>
      </w:r>
    </w:p>
    <w:p w14:paraId="60B3CE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pH的标准指数为：</w:t>
      </w:r>
    </w:p>
    <w:p w14:paraId="1F7CEB3D">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29" o:spt="75" type="#_x0000_t75" style="height:39.85pt;width:159.35pt;" o:ole="t" filled="f" o:preferrelative="t" stroked="f" coordsize="21600,21600">
            <v:path/>
            <v:fill on="f" focussize="0,0"/>
            <v:stroke on="f" joinstyle="miter"/>
            <v:imagedata r:id="rId40" o:title=""/>
            <o:lock v:ext="edit" aspectratio="t"/>
            <w10:wrap type="none"/>
            <w10:anchorlock/>
          </v:shape>
          <o:OLEObject Type="Embed" ProgID="Equation.AxMath" ShapeID="_x0000_i1029" DrawAspect="Content" ObjectID="_1468075729" r:id="rId39">
            <o:LockedField>false</o:LockedField>
          </o:OLEObject>
        </w:object>
      </w:r>
    </w:p>
    <w:p w14:paraId="602BBB61">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30" o:spt="75" type="#_x0000_t75" style="height:38.9pt;width:156.95pt;" o:ole="t" filled="f" o:preferrelative="t" stroked="f" coordsize="21600,21600">
            <v:path/>
            <v:fill on="f" focussize="0,0"/>
            <v:stroke on="f" joinstyle="miter"/>
            <v:imagedata r:id="rId42" o:title=""/>
            <o:lock v:ext="edit" aspectratio="t"/>
            <w10:wrap type="none"/>
            <w10:anchorlock/>
          </v:shape>
          <o:OLEObject Type="Embed" ProgID="Equation.AxMath" ShapeID="_x0000_i1030" DrawAspect="Content" ObjectID="_1468075730" r:id="rId41">
            <o:LockedField>false</o:LockedField>
          </o:OLEObject>
        </w:object>
      </w:r>
    </w:p>
    <w:p w14:paraId="0BD3F3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——pH的标准指数，无量纲；</w:t>
      </w:r>
    </w:p>
    <w:p w14:paraId="4DF2D4CB">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pH—pH监测值；</w:t>
      </w:r>
    </w:p>
    <w:p w14:paraId="49927C65">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w:t>
      </w:r>
      <w:r>
        <w:rPr>
          <w:rFonts w:hint="eastAsia" w:ascii="Times New Roman" w:hAnsi="Times New Roman" w:eastAsia="宋体"/>
          <w:strike w:val="0"/>
          <w:dstrike w:val="0"/>
          <w:color w:val="auto"/>
          <w:highlight w:val="none"/>
          <w:vertAlign w:val="subscript"/>
        </w:rPr>
        <w:t>su</w:t>
      </w:r>
      <w:r>
        <w:rPr>
          <w:rFonts w:hint="eastAsia" w:ascii="Times New Roman" w:hAnsi="Times New Roman" w:eastAsia="宋体"/>
          <w:strike w:val="0"/>
          <w:dstrike w:val="0"/>
          <w:color w:val="auto"/>
          <w:highlight w:val="none"/>
        </w:rPr>
        <w:t>——标准中pH的上限值；</w:t>
      </w:r>
    </w:p>
    <w:p w14:paraId="7C528863">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w:t>
      </w:r>
      <w:r>
        <w:rPr>
          <w:rFonts w:hint="eastAsia" w:ascii="Times New Roman" w:hAnsi="Times New Roman" w:eastAsia="宋体"/>
          <w:strike w:val="0"/>
          <w:dstrike w:val="0"/>
          <w:color w:val="auto"/>
          <w:highlight w:val="none"/>
          <w:vertAlign w:val="subscript"/>
        </w:rPr>
        <w:t>sd</w:t>
      </w:r>
      <w:r>
        <w:rPr>
          <w:rFonts w:hint="eastAsia" w:ascii="Times New Roman" w:hAnsi="Times New Roman" w:eastAsia="宋体"/>
          <w:strike w:val="0"/>
          <w:dstrike w:val="0"/>
          <w:color w:val="auto"/>
          <w:highlight w:val="none"/>
        </w:rPr>
        <w:t>——标准中pH的下限值；</w:t>
      </w:r>
    </w:p>
    <w:p w14:paraId="37D8E2F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＞1时，表明该水质参数超过了规定的水质标准，P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＜1时，说明该水质可以达到规定的水质标准</w:t>
      </w:r>
      <w:r>
        <w:rPr>
          <w:rFonts w:hint="eastAsia" w:ascii="Times New Roman" w:hAnsi="Times New Roman" w:eastAsia="宋体"/>
          <w:strike w:val="0"/>
          <w:dstrike w:val="0"/>
          <w:color w:val="auto"/>
          <w:highlight w:val="none"/>
          <w:lang w:eastAsia="zh-CN"/>
        </w:rPr>
        <w:t>。</w:t>
      </w:r>
    </w:p>
    <w:p w14:paraId="4264E9ED">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4.2.3.4评价结果</w:t>
      </w:r>
    </w:p>
    <w:p w14:paraId="394B1BE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地下水现状评价结果见表4.2-</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lang w:eastAsia="zh-CN"/>
        </w:rPr>
        <w:t>。</w:t>
      </w:r>
    </w:p>
    <w:p w14:paraId="403587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表4.2-9地下水现状评价结果</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
        <w:gridCol w:w="1021"/>
        <w:gridCol w:w="1229"/>
        <w:gridCol w:w="1055"/>
        <w:gridCol w:w="1286"/>
        <w:gridCol w:w="1171"/>
        <w:gridCol w:w="1259"/>
        <w:gridCol w:w="833"/>
      </w:tblGrid>
      <w:tr w14:paraId="3D7D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 w:type="pct"/>
            <w:vMerge w:val="restart"/>
            <w:vAlign w:val="center"/>
          </w:tcPr>
          <w:p w14:paraId="20B7B3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序号</w:t>
            </w:r>
          </w:p>
        </w:tc>
        <w:tc>
          <w:tcPr>
            <w:tcW w:w="618" w:type="pct"/>
            <w:vMerge w:val="restart"/>
            <w:vAlign w:val="center"/>
          </w:tcPr>
          <w:p w14:paraId="4B0488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检测项目</w:t>
            </w:r>
          </w:p>
        </w:tc>
        <w:tc>
          <w:tcPr>
            <w:tcW w:w="743" w:type="pct"/>
            <w:vMerge w:val="restart"/>
            <w:vAlign w:val="center"/>
          </w:tcPr>
          <w:p w14:paraId="389F40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单位</w:t>
            </w:r>
          </w:p>
        </w:tc>
        <w:tc>
          <w:tcPr>
            <w:tcW w:w="2123" w:type="pct"/>
            <w:gridSpan w:val="3"/>
            <w:vAlign w:val="center"/>
          </w:tcPr>
          <w:p w14:paraId="6FE7C2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检测结果</w:t>
            </w:r>
          </w:p>
        </w:tc>
        <w:tc>
          <w:tcPr>
            <w:tcW w:w="1244" w:type="pct"/>
            <w:gridSpan w:val="2"/>
            <w:vAlign w:val="center"/>
          </w:tcPr>
          <w:p w14:paraId="4C2D88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评价结果</w:t>
            </w:r>
          </w:p>
        </w:tc>
      </w:tr>
      <w:tr w14:paraId="5666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563ACB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18" w:type="pct"/>
            <w:vMerge w:val="continue"/>
            <w:vAlign w:val="center"/>
          </w:tcPr>
          <w:p w14:paraId="1E125B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743" w:type="pct"/>
            <w:vMerge w:val="continue"/>
            <w:vAlign w:val="center"/>
          </w:tcPr>
          <w:p w14:paraId="173284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38" w:type="pct"/>
            <w:vAlign w:val="center"/>
          </w:tcPr>
          <w:p w14:paraId="7275D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1</w:t>
            </w:r>
            <w:r>
              <w:rPr>
                <w:rFonts w:ascii="Times New Roman" w:hAnsi="Times New Roman" w:eastAsia="宋体"/>
                <w:strike w:val="0"/>
                <w:dstrike w:val="0"/>
                <w:color w:val="auto"/>
                <w:kern w:val="0"/>
                <w:sz w:val="21"/>
                <w:szCs w:val="21"/>
                <w:highlight w:val="none"/>
              </w:rPr>
              <w:t>#</w:t>
            </w:r>
          </w:p>
          <w:p w14:paraId="03D828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77" w:type="pct"/>
            <w:vAlign w:val="center"/>
          </w:tcPr>
          <w:p w14:paraId="6CA67DE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2</w:t>
            </w:r>
            <w:r>
              <w:rPr>
                <w:rFonts w:ascii="Times New Roman" w:hAnsi="Times New Roman" w:eastAsia="宋体"/>
                <w:strike w:val="0"/>
                <w:dstrike w:val="0"/>
                <w:color w:val="auto"/>
                <w:kern w:val="0"/>
                <w:sz w:val="21"/>
                <w:szCs w:val="21"/>
                <w:highlight w:val="none"/>
              </w:rPr>
              <w:t>#</w:t>
            </w:r>
          </w:p>
          <w:p w14:paraId="221C79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08" w:type="pct"/>
            <w:vAlign w:val="center"/>
          </w:tcPr>
          <w:p w14:paraId="1D4066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3</w:t>
            </w:r>
            <w:r>
              <w:rPr>
                <w:rFonts w:ascii="Times New Roman" w:hAnsi="Times New Roman" w:eastAsia="宋体"/>
                <w:strike w:val="0"/>
                <w:dstrike w:val="0"/>
                <w:color w:val="auto"/>
                <w:kern w:val="0"/>
                <w:sz w:val="21"/>
                <w:szCs w:val="21"/>
                <w:highlight w:val="none"/>
              </w:rPr>
              <w:t>#</w:t>
            </w:r>
          </w:p>
          <w:p w14:paraId="0F4065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40" w:type="pct"/>
            <w:vAlign w:val="center"/>
          </w:tcPr>
          <w:p w14:paraId="4F6A55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标准限值</w:t>
            </w:r>
          </w:p>
          <w:p w14:paraId="2266E8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eastAsia="zh-CN"/>
              </w:rPr>
              <w:t>(</w:t>
            </w:r>
            <w:r>
              <w:rPr>
                <w:rFonts w:hint="eastAsia" w:ascii="Times New Roman" w:hAnsi="Times New Roman" w:eastAsia="宋体"/>
                <w:strike w:val="0"/>
                <w:dstrike w:val="0"/>
                <w:color w:val="auto"/>
                <w:kern w:val="0"/>
                <w:sz w:val="21"/>
                <w:szCs w:val="21"/>
                <w:highlight w:val="none"/>
              </w:rPr>
              <w:t>mg/L</w:t>
            </w:r>
            <w:r>
              <w:rPr>
                <w:rFonts w:hint="eastAsia" w:ascii="Times New Roman" w:hAnsi="Times New Roman" w:eastAsia="宋体"/>
                <w:strike w:val="0"/>
                <w:dstrike w:val="0"/>
                <w:color w:val="auto"/>
                <w:kern w:val="0"/>
                <w:sz w:val="21"/>
                <w:szCs w:val="21"/>
                <w:highlight w:val="none"/>
                <w:lang w:eastAsia="zh-CN"/>
              </w:rPr>
              <w:t>)</w:t>
            </w:r>
          </w:p>
        </w:tc>
        <w:tc>
          <w:tcPr>
            <w:tcW w:w="503" w:type="pct"/>
            <w:vAlign w:val="center"/>
          </w:tcPr>
          <w:p w14:paraId="303F77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是否合格</w:t>
            </w:r>
          </w:p>
        </w:tc>
      </w:tr>
      <w:tr w14:paraId="2C35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239C01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w:t>
            </w:r>
          </w:p>
        </w:tc>
        <w:tc>
          <w:tcPr>
            <w:tcW w:w="618" w:type="pct"/>
            <w:vAlign w:val="center"/>
          </w:tcPr>
          <w:p w14:paraId="0BFB62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pH值</w:t>
            </w:r>
          </w:p>
        </w:tc>
        <w:tc>
          <w:tcPr>
            <w:tcW w:w="743" w:type="pct"/>
            <w:vAlign w:val="center"/>
          </w:tcPr>
          <w:p w14:paraId="29CDBE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无量纲</w:t>
            </w:r>
          </w:p>
        </w:tc>
        <w:tc>
          <w:tcPr>
            <w:tcW w:w="638" w:type="pct"/>
            <w:vAlign w:val="center"/>
          </w:tcPr>
          <w:p w14:paraId="2A6C6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 xml:space="preserve"> 7.8</w:t>
            </w:r>
          </w:p>
        </w:tc>
        <w:tc>
          <w:tcPr>
            <w:tcW w:w="777" w:type="pct"/>
            <w:vAlign w:val="center"/>
          </w:tcPr>
          <w:p w14:paraId="64E56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7.9</w:t>
            </w:r>
          </w:p>
        </w:tc>
        <w:tc>
          <w:tcPr>
            <w:tcW w:w="708" w:type="pct"/>
            <w:vAlign w:val="center"/>
          </w:tcPr>
          <w:p w14:paraId="48A40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7.6</w:t>
            </w:r>
          </w:p>
        </w:tc>
        <w:tc>
          <w:tcPr>
            <w:tcW w:w="740" w:type="pct"/>
            <w:vAlign w:val="center"/>
          </w:tcPr>
          <w:p w14:paraId="3CFC09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6.5~8.5</w:t>
            </w:r>
          </w:p>
        </w:tc>
        <w:tc>
          <w:tcPr>
            <w:tcW w:w="503" w:type="pct"/>
            <w:vAlign w:val="center"/>
          </w:tcPr>
          <w:p w14:paraId="36645A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7FA8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753971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2</w:t>
            </w:r>
          </w:p>
        </w:tc>
        <w:tc>
          <w:tcPr>
            <w:tcW w:w="618" w:type="pct"/>
            <w:vAlign w:val="center"/>
          </w:tcPr>
          <w:p w14:paraId="115C0A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strike w:val="0"/>
                <w:dstrike w:val="0"/>
                <w:color w:val="auto"/>
                <w:kern w:val="2"/>
                <w:sz w:val="21"/>
                <w:szCs w:val="24"/>
                <w:highlight w:val="none"/>
                <w:lang w:val="en-US" w:eastAsia="zh-CN" w:bidi="ar-SA"/>
              </w:rPr>
              <w:t>水温</w:t>
            </w:r>
          </w:p>
        </w:tc>
        <w:tc>
          <w:tcPr>
            <w:tcW w:w="743" w:type="pct"/>
            <w:vAlign w:val="center"/>
          </w:tcPr>
          <w:p w14:paraId="18525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w:t>
            </w:r>
          </w:p>
        </w:tc>
        <w:tc>
          <w:tcPr>
            <w:tcW w:w="638" w:type="pct"/>
            <w:vAlign w:val="center"/>
          </w:tcPr>
          <w:p w14:paraId="6ED15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12.4</w:t>
            </w:r>
          </w:p>
        </w:tc>
        <w:tc>
          <w:tcPr>
            <w:tcW w:w="777" w:type="pct"/>
            <w:vAlign w:val="center"/>
          </w:tcPr>
          <w:p w14:paraId="7441BE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12.6</w:t>
            </w:r>
          </w:p>
        </w:tc>
        <w:tc>
          <w:tcPr>
            <w:tcW w:w="708" w:type="pct"/>
            <w:vAlign w:val="center"/>
          </w:tcPr>
          <w:p w14:paraId="1FD8B5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13.1</w:t>
            </w:r>
          </w:p>
        </w:tc>
        <w:tc>
          <w:tcPr>
            <w:tcW w:w="740" w:type="pct"/>
            <w:vAlign w:val="center"/>
          </w:tcPr>
          <w:p w14:paraId="188476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0.002</w:t>
            </w:r>
            <w:r>
              <w:rPr>
                <w:rFonts w:ascii="Times New Roman" w:hAnsi="Times New Roman" w:eastAsia="宋体"/>
                <w:strike w:val="0"/>
                <w:dstrike w:val="0"/>
                <w:color w:val="auto"/>
                <w:kern w:val="0"/>
                <w:sz w:val="21"/>
                <w:szCs w:val="21"/>
                <w:highlight w:val="none"/>
              </w:rPr>
              <w:t>mg/L</w:t>
            </w:r>
          </w:p>
        </w:tc>
        <w:tc>
          <w:tcPr>
            <w:tcW w:w="503" w:type="pct"/>
            <w:vAlign w:val="center"/>
          </w:tcPr>
          <w:p w14:paraId="216EE2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0931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3E8287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3</w:t>
            </w:r>
          </w:p>
        </w:tc>
        <w:tc>
          <w:tcPr>
            <w:tcW w:w="618" w:type="pct"/>
            <w:vAlign w:val="center"/>
          </w:tcPr>
          <w:p w14:paraId="274F8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溶解性总固体</w:t>
            </w:r>
          </w:p>
        </w:tc>
        <w:tc>
          <w:tcPr>
            <w:tcW w:w="743" w:type="pct"/>
            <w:vAlign w:val="center"/>
          </w:tcPr>
          <w:p w14:paraId="3FFDD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7A4A9D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698</w:t>
            </w:r>
          </w:p>
        </w:tc>
        <w:tc>
          <w:tcPr>
            <w:tcW w:w="777" w:type="pct"/>
            <w:vAlign w:val="center"/>
          </w:tcPr>
          <w:p w14:paraId="151D8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883</w:t>
            </w:r>
          </w:p>
        </w:tc>
        <w:tc>
          <w:tcPr>
            <w:tcW w:w="708" w:type="pct"/>
            <w:vAlign w:val="center"/>
          </w:tcPr>
          <w:p w14:paraId="5C2270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824</w:t>
            </w:r>
          </w:p>
        </w:tc>
        <w:tc>
          <w:tcPr>
            <w:tcW w:w="740" w:type="pct"/>
            <w:vAlign w:val="center"/>
          </w:tcPr>
          <w:p w14:paraId="297A1D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1000</w:t>
            </w:r>
            <w:r>
              <w:rPr>
                <w:rFonts w:ascii="Times New Roman" w:hAnsi="Times New Roman" w:eastAsia="宋体"/>
                <w:strike w:val="0"/>
                <w:dstrike w:val="0"/>
                <w:color w:val="auto"/>
                <w:kern w:val="0"/>
                <w:sz w:val="21"/>
                <w:szCs w:val="21"/>
                <w:highlight w:val="none"/>
              </w:rPr>
              <w:t>mg/L</w:t>
            </w:r>
          </w:p>
        </w:tc>
        <w:tc>
          <w:tcPr>
            <w:tcW w:w="503" w:type="pct"/>
            <w:vAlign w:val="center"/>
          </w:tcPr>
          <w:p w14:paraId="7F5F41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4166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2BB030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4</w:t>
            </w:r>
          </w:p>
        </w:tc>
        <w:tc>
          <w:tcPr>
            <w:tcW w:w="618" w:type="pct"/>
            <w:vAlign w:val="center"/>
          </w:tcPr>
          <w:p w14:paraId="5AFE4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高锰酸盐指数</w:t>
            </w:r>
          </w:p>
        </w:tc>
        <w:tc>
          <w:tcPr>
            <w:tcW w:w="743" w:type="pct"/>
            <w:vAlign w:val="center"/>
          </w:tcPr>
          <w:p w14:paraId="2D165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566EB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0.74</w:t>
            </w:r>
          </w:p>
        </w:tc>
        <w:tc>
          <w:tcPr>
            <w:tcW w:w="777" w:type="pct"/>
            <w:vAlign w:val="center"/>
          </w:tcPr>
          <w:p w14:paraId="4A4D3A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0.82</w:t>
            </w:r>
          </w:p>
        </w:tc>
        <w:tc>
          <w:tcPr>
            <w:tcW w:w="708" w:type="pct"/>
            <w:vAlign w:val="center"/>
          </w:tcPr>
          <w:p w14:paraId="3B0A78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0.72</w:t>
            </w:r>
          </w:p>
        </w:tc>
        <w:tc>
          <w:tcPr>
            <w:tcW w:w="740" w:type="pct"/>
            <w:vAlign w:val="center"/>
          </w:tcPr>
          <w:p w14:paraId="136028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3</w:t>
            </w:r>
            <w:r>
              <w:rPr>
                <w:rFonts w:ascii="Times New Roman" w:hAnsi="Times New Roman" w:eastAsia="宋体"/>
                <w:strike w:val="0"/>
                <w:dstrike w:val="0"/>
                <w:color w:val="auto"/>
                <w:kern w:val="0"/>
                <w:sz w:val="21"/>
                <w:szCs w:val="21"/>
                <w:highlight w:val="none"/>
              </w:rPr>
              <w:t>mg/L</w:t>
            </w:r>
          </w:p>
        </w:tc>
        <w:tc>
          <w:tcPr>
            <w:tcW w:w="503" w:type="pct"/>
            <w:vAlign w:val="center"/>
          </w:tcPr>
          <w:p w14:paraId="52D732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0703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438CE6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5</w:t>
            </w:r>
          </w:p>
        </w:tc>
        <w:tc>
          <w:tcPr>
            <w:tcW w:w="618" w:type="pct"/>
            <w:vAlign w:val="center"/>
          </w:tcPr>
          <w:p w14:paraId="1FC5A3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挥发酚</w:t>
            </w:r>
          </w:p>
        </w:tc>
        <w:tc>
          <w:tcPr>
            <w:tcW w:w="743" w:type="pct"/>
            <w:vAlign w:val="center"/>
          </w:tcPr>
          <w:p w14:paraId="73A4F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6048B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77" w:type="pct"/>
            <w:vAlign w:val="center"/>
          </w:tcPr>
          <w:p w14:paraId="31E925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08" w:type="pct"/>
            <w:vAlign w:val="center"/>
          </w:tcPr>
          <w:p w14:paraId="60EE1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40" w:type="pct"/>
            <w:vAlign w:val="center"/>
          </w:tcPr>
          <w:p w14:paraId="1E3CE35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0.002</w:t>
            </w:r>
            <w:r>
              <w:rPr>
                <w:rFonts w:ascii="Times New Roman" w:hAnsi="Times New Roman" w:eastAsia="宋体"/>
                <w:strike w:val="0"/>
                <w:dstrike w:val="0"/>
                <w:color w:val="auto"/>
                <w:kern w:val="0"/>
                <w:sz w:val="21"/>
                <w:szCs w:val="21"/>
                <w:highlight w:val="none"/>
              </w:rPr>
              <w:t>mg/L</w:t>
            </w:r>
          </w:p>
        </w:tc>
        <w:tc>
          <w:tcPr>
            <w:tcW w:w="503" w:type="pct"/>
            <w:vAlign w:val="center"/>
          </w:tcPr>
          <w:p w14:paraId="6882D7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6EE3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6D4FA9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6</w:t>
            </w:r>
          </w:p>
        </w:tc>
        <w:tc>
          <w:tcPr>
            <w:tcW w:w="618" w:type="pct"/>
            <w:vAlign w:val="center"/>
          </w:tcPr>
          <w:p w14:paraId="5C3F8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阴离子合成洗涤剂</w:t>
            </w:r>
          </w:p>
        </w:tc>
        <w:tc>
          <w:tcPr>
            <w:tcW w:w="743" w:type="pct"/>
            <w:vAlign w:val="center"/>
          </w:tcPr>
          <w:p w14:paraId="7AA39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21A557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77" w:type="pct"/>
            <w:vAlign w:val="center"/>
          </w:tcPr>
          <w:p w14:paraId="2DBE51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08" w:type="pct"/>
            <w:vAlign w:val="center"/>
          </w:tcPr>
          <w:p w14:paraId="499239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40" w:type="pct"/>
            <w:vAlign w:val="center"/>
          </w:tcPr>
          <w:p w14:paraId="78E9A7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0.3</w:t>
            </w:r>
            <w:r>
              <w:rPr>
                <w:rFonts w:ascii="Times New Roman" w:hAnsi="Times New Roman" w:eastAsia="宋体"/>
                <w:strike w:val="0"/>
                <w:dstrike w:val="0"/>
                <w:color w:val="auto"/>
                <w:kern w:val="0"/>
                <w:sz w:val="21"/>
                <w:szCs w:val="21"/>
                <w:highlight w:val="none"/>
              </w:rPr>
              <w:t>mg/L</w:t>
            </w:r>
          </w:p>
        </w:tc>
        <w:tc>
          <w:tcPr>
            <w:tcW w:w="503" w:type="pct"/>
            <w:vAlign w:val="center"/>
          </w:tcPr>
          <w:p w14:paraId="2C0552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798E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C6060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7</w:t>
            </w:r>
          </w:p>
        </w:tc>
        <w:tc>
          <w:tcPr>
            <w:tcW w:w="618" w:type="pct"/>
            <w:vAlign w:val="center"/>
          </w:tcPr>
          <w:p w14:paraId="26BC3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氯化物</w:t>
            </w:r>
          </w:p>
        </w:tc>
        <w:tc>
          <w:tcPr>
            <w:tcW w:w="743" w:type="pct"/>
            <w:vAlign w:val="center"/>
          </w:tcPr>
          <w:p w14:paraId="26F78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4AE3FA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61</w:t>
            </w:r>
          </w:p>
        </w:tc>
        <w:tc>
          <w:tcPr>
            <w:tcW w:w="777" w:type="pct"/>
            <w:vAlign w:val="center"/>
          </w:tcPr>
          <w:p w14:paraId="64FA2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59</w:t>
            </w:r>
          </w:p>
        </w:tc>
        <w:tc>
          <w:tcPr>
            <w:tcW w:w="708" w:type="pct"/>
            <w:vAlign w:val="center"/>
          </w:tcPr>
          <w:p w14:paraId="4715C3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58</w:t>
            </w:r>
          </w:p>
        </w:tc>
        <w:tc>
          <w:tcPr>
            <w:tcW w:w="740" w:type="pct"/>
            <w:vAlign w:val="center"/>
          </w:tcPr>
          <w:p w14:paraId="7892BF6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250</w:t>
            </w:r>
            <w:r>
              <w:rPr>
                <w:rFonts w:ascii="Times New Roman" w:hAnsi="Times New Roman" w:eastAsia="宋体"/>
                <w:strike w:val="0"/>
                <w:dstrike w:val="0"/>
                <w:color w:val="auto"/>
                <w:kern w:val="0"/>
                <w:sz w:val="21"/>
                <w:szCs w:val="21"/>
                <w:highlight w:val="none"/>
              </w:rPr>
              <w:t>mg/L</w:t>
            </w:r>
          </w:p>
        </w:tc>
        <w:tc>
          <w:tcPr>
            <w:tcW w:w="503" w:type="pct"/>
            <w:vAlign w:val="center"/>
          </w:tcPr>
          <w:p w14:paraId="075D4D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6EDB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9C94F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8</w:t>
            </w:r>
          </w:p>
        </w:tc>
        <w:tc>
          <w:tcPr>
            <w:tcW w:w="618" w:type="pct"/>
            <w:vAlign w:val="center"/>
          </w:tcPr>
          <w:p w14:paraId="5A59C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硫化物</w:t>
            </w:r>
          </w:p>
        </w:tc>
        <w:tc>
          <w:tcPr>
            <w:tcW w:w="743" w:type="pct"/>
            <w:vAlign w:val="center"/>
          </w:tcPr>
          <w:p w14:paraId="6569FA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58A7A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77" w:type="pct"/>
            <w:vAlign w:val="center"/>
          </w:tcPr>
          <w:p w14:paraId="079602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08" w:type="pct"/>
            <w:vAlign w:val="center"/>
          </w:tcPr>
          <w:p w14:paraId="3A4FC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40" w:type="pct"/>
            <w:vAlign w:val="center"/>
          </w:tcPr>
          <w:p w14:paraId="0A4604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0.02</w:t>
            </w:r>
            <w:r>
              <w:rPr>
                <w:rFonts w:ascii="Times New Roman" w:hAnsi="Times New Roman" w:eastAsia="宋体"/>
                <w:strike w:val="0"/>
                <w:dstrike w:val="0"/>
                <w:color w:val="auto"/>
                <w:kern w:val="0"/>
                <w:sz w:val="21"/>
                <w:szCs w:val="21"/>
                <w:highlight w:val="none"/>
              </w:rPr>
              <w:t>mg/L</w:t>
            </w:r>
          </w:p>
        </w:tc>
        <w:tc>
          <w:tcPr>
            <w:tcW w:w="503" w:type="pct"/>
            <w:vAlign w:val="center"/>
          </w:tcPr>
          <w:p w14:paraId="25E36C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3E0C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0E8E4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9</w:t>
            </w:r>
          </w:p>
        </w:tc>
        <w:tc>
          <w:tcPr>
            <w:tcW w:w="618" w:type="pct"/>
            <w:vAlign w:val="center"/>
          </w:tcPr>
          <w:p w14:paraId="3CA6B8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汞</w:t>
            </w:r>
          </w:p>
        </w:tc>
        <w:tc>
          <w:tcPr>
            <w:tcW w:w="743" w:type="pct"/>
            <w:vAlign w:val="center"/>
          </w:tcPr>
          <w:p w14:paraId="0E849E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2DE4E5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77" w:type="pct"/>
            <w:vAlign w:val="center"/>
          </w:tcPr>
          <w:p w14:paraId="6D360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08" w:type="pct"/>
            <w:vAlign w:val="center"/>
          </w:tcPr>
          <w:p w14:paraId="585D7B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40" w:type="pct"/>
            <w:vAlign w:val="center"/>
          </w:tcPr>
          <w:p w14:paraId="2D4CED3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0.001</w:t>
            </w:r>
            <w:r>
              <w:rPr>
                <w:rFonts w:ascii="Times New Roman" w:hAnsi="Times New Roman" w:eastAsia="宋体"/>
                <w:strike w:val="0"/>
                <w:dstrike w:val="0"/>
                <w:color w:val="auto"/>
                <w:kern w:val="0"/>
                <w:sz w:val="21"/>
                <w:szCs w:val="21"/>
                <w:highlight w:val="none"/>
              </w:rPr>
              <w:t>mg/L</w:t>
            </w:r>
          </w:p>
        </w:tc>
        <w:tc>
          <w:tcPr>
            <w:tcW w:w="503" w:type="pct"/>
            <w:vAlign w:val="center"/>
          </w:tcPr>
          <w:p w14:paraId="31CCF1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52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49E13C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10</w:t>
            </w:r>
          </w:p>
        </w:tc>
        <w:tc>
          <w:tcPr>
            <w:tcW w:w="618" w:type="pct"/>
            <w:vAlign w:val="center"/>
          </w:tcPr>
          <w:p w14:paraId="0601E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砷</w:t>
            </w:r>
          </w:p>
        </w:tc>
        <w:tc>
          <w:tcPr>
            <w:tcW w:w="743" w:type="pct"/>
            <w:vAlign w:val="center"/>
          </w:tcPr>
          <w:p w14:paraId="707661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2F95F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0.4</w:t>
            </w:r>
          </w:p>
        </w:tc>
        <w:tc>
          <w:tcPr>
            <w:tcW w:w="777" w:type="pct"/>
            <w:vAlign w:val="center"/>
          </w:tcPr>
          <w:p w14:paraId="5C6A94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0.6</w:t>
            </w:r>
          </w:p>
        </w:tc>
        <w:tc>
          <w:tcPr>
            <w:tcW w:w="708" w:type="pct"/>
            <w:vAlign w:val="center"/>
          </w:tcPr>
          <w:p w14:paraId="10780D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0.5</w:t>
            </w:r>
          </w:p>
        </w:tc>
        <w:tc>
          <w:tcPr>
            <w:tcW w:w="740" w:type="pct"/>
            <w:vAlign w:val="center"/>
          </w:tcPr>
          <w:p w14:paraId="2773EA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1.00</w:t>
            </w:r>
            <w:r>
              <w:rPr>
                <w:rFonts w:ascii="Times New Roman" w:hAnsi="Times New Roman" w:eastAsia="宋体"/>
                <w:strike w:val="0"/>
                <w:dstrike w:val="0"/>
                <w:color w:val="auto"/>
                <w:kern w:val="0"/>
                <w:sz w:val="21"/>
                <w:szCs w:val="21"/>
                <w:highlight w:val="none"/>
              </w:rPr>
              <w:t>mg/L</w:t>
            </w:r>
          </w:p>
        </w:tc>
        <w:tc>
          <w:tcPr>
            <w:tcW w:w="503" w:type="pct"/>
            <w:vAlign w:val="center"/>
          </w:tcPr>
          <w:p w14:paraId="53686A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37CB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227A46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11</w:t>
            </w:r>
          </w:p>
        </w:tc>
        <w:tc>
          <w:tcPr>
            <w:tcW w:w="618" w:type="pct"/>
            <w:vAlign w:val="center"/>
          </w:tcPr>
          <w:p w14:paraId="4B717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镉</w:t>
            </w:r>
          </w:p>
        </w:tc>
        <w:tc>
          <w:tcPr>
            <w:tcW w:w="743" w:type="pct"/>
            <w:vAlign w:val="center"/>
          </w:tcPr>
          <w:p w14:paraId="1ACE9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300F56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77" w:type="pct"/>
            <w:vAlign w:val="center"/>
          </w:tcPr>
          <w:p w14:paraId="1B6D8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08" w:type="pct"/>
            <w:vAlign w:val="center"/>
          </w:tcPr>
          <w:p w14:paraId="591E51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40" w:type="pct"/>
            <w:vAlign w:val="center"/>
          </w:tcPr>
          <w:p w14:paraId="25E82D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0.01</w:t>
            </w:r>
            <w:r>
              <w:rPr>
                <w:rFonts w:ascii="Times New Roman" w:hAnsi="Times New Roman" w:eastAsia="宋体"/>
                <w:strike w:val="0"/>
                <w:dstrike w:val="0"/>
                <w:color w:val="auto"/>
                <w:kern w:val="0"/>
                <w:sz w:val="21"/>
                <w:szCs w:val="21"/>
                <w:highlight w:val="none"/>
              </w:rPr>
              <w:t>mg/L</w:t>
            </w:r>
          </w:p>
        </w:tc>
        <w:tc>
          <w:tcPr>
            <w:tcW w:w="503" w:type="pct"/>
            <w:vAlign w:val="center"/>
          </w:tcPr>
          <w:p w14:paraId="7BE2F7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1562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6E4035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12</w:t>
            </w:r>
          </w:p>
        </w:tc>
        <w:tc>
          <w:tcPr>
            <w:tcW w:w="618" w:type="pct"/>
            <w:vAlign w:val="center"/>
          </w:tcPr>
          <w:p w14:paraId="3ED36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铅</w:t>
            </w:r>
          </w:p>
        </w:tc>
        <w:tc>
          <w:tcPr>
            <w:tcW w:w="743" w:type="pct"/>
            <w:vAlign w:val="center"/>
          </w:tcPr>
          <w:p w14:paraId="7591E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6CD13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77" w:type="pct"/>
            <w:vAlign w:val="center"/>
          </w:tcPr>
          <w:p w14:paraId="46258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08" w:type="pct"/>
            <w:vAlign w:val="center"/>
          </w:tcPr>
          <w:p w14:paraId="7016D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40" w:type="pct"/>
            <w:vAlign w:val="center"/>
          </w:tcPr>
          <w:p w14:paraId="74F860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0.01</w:t>
            </w:r>
            <w:r>
              <w:rPr>
                <w:rFonts w:ascii="Times New Roman" w:hAnsi="Times New Roman" w:eastAsia="宋体"/>
                <w:strike w:val="0"/>
                <w:dstrike w:val="0"/>
                <w:color w:val="auto"/>
                <w:kern w:val="0"/>
                <w:sz w:val="21"/>
                <w:szCs w:val="21"/>
                <w:highlight w:val="none"/>
              </w:rPr>
              <w:t>mg/L</w:t>
            </w:r>
          </w:p>
        </w:tc>
        <w:tc>
          <w:tcPr>
            <w:tcW w:w="503" w:type="pct"/>
            <w:vAlign w:val="center"/>
          </w:tcPr>
          <w:p w14:paraId="4FD670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1D88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10B880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13</w:t>
            </w:r>
          </w:p>
        </w:tc>
        <w:tc>
          <w:tcPr>
            <w:tcW w:w="618" w:type="pct"/>
            <w:vAlign w:val="center"/>
          </w:tcPr>
          <w:p w14:paraId="5245C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六价铬</w:t>
            </w:r>
          </w:p>
        </w:tc>
        <w:tc>
          <w:tcPr>
            <w:tcW w:w="743" w:type="pct"/>
            <w:vAlign w:val="center"/>
          </w:tcPr>
          <w:p w14:paraId="2E957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29584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77" w:type="pct"/>
            <w:vAlign w:val="center"/>
          </w:tcPr>
          <w:p w14:paraId="4C0FA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08" w:type="pct"/>
            <w:vAlign w:val="center"/>
          </w:tcPr>
          <w:p w14:paraId="6B79D2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40" w:type="pct"/>
            <w:vAlign w:val="center"/>
          </w:tcPr>
          <w:p w14:paraId="07666DD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0.05</w:t>
            </w:r>
            <w:r>
              <w:rPr>
                <w:rFonts w:ascii="Times New Roman" w:hAnsi="Times New Roman" w:eastAsia="宋体"/>
                <w:strike w:val="0"/>
                <w:dstrike w:val="0"/>
                <w:color w:val="auto"/>
                <w:kern w:val="0"/>
                <w:sz w:val="21"/>
                <w:szCs w:val="21"/>
                <w:highlight w:val="none"/>
              </w:rPr>
              <w:t>mg/L</w:t>
            </w:r>
          </w:p>
        </w:tc>
        <w:tc>
          <w:tcPr>
            <w:tcW w:w="503" w:type="pct"/>
            <w:vAlign w:val="center"/>
          </w:tcPr>
          <w:p w14:paraId="32D605F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2E4C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1CFCB8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14</w:t>
            </w:r>
          </w:p>
        </w:tc>
        <w:tc>
          <w:tcPr>
            <w:tcW w:w="618" w:type="pct"/>
            <w:vAlign w:val="center"/>
          </w:tcPr>
          <w:p w14:paraId="73864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rPr>
            </w:pPr>
            <w:r>
              <w:rPr>
                <w:rFonts w:hint="eastAsia" w:ascii="Times New Roman" w:hAnsi="Times New Roman" w:eastAsia="宋体" w:cs="Times New Roman"/>
                <w:bCs/>
                <w:strike w:val="0"/>
                <w:dstrike w:val="0"/>
                <w:color w:val="auto"/>
                <w:kern w:val="2"/>
                <w:sz w:val="21"/>
                <w:szCs w:val="21"/>
                <w:highlight w:val="none"/>
                <w:lang w:val="en-US" w:eastAsia="zh-CN" w:bidi="ar-SA"/>
              </w:rPr>
              <w:t>总大肠菌数</w:t>
            </w:r>
          </w:p>
        </w:tc>
        <w:tc>
          <w:tcPr>
            <w:tcW w:w="743" w:type="pct"/>
            <w:vAlign w:val="center"/>
          </w:tcPr>
          <w:p w14:paraId="7B978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MPN</w:t>
            </w:r>
          </w:p>
          <w:p w14:paraId="2CE76C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/100mL</w:t>
            </w:r>
          </w:p>
        </w:tc>
        <w:tc>
          <w:tcPr>
            <w:tcW w:w="638" w:type="pct"/>
            <w:vAlign w:val="center"/>
          </w:tcPr>
          <w:p w14:paraId="02E2A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77" w:type="pct"/>
            <w:vAlign w:val="center"/>
          </w:tcPr>
          <w:p w14:paraId="1068A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08" w:type="pct"/>
            <w:vAlign w:val="center"/>
          </w:tcPr>
          <w:p w14:paraId="7BA125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40" w:type="pct"/>
            <w:vAlign w:val="center"/>
          </w:tcPr>
          <w:p w14:paraId="6DA82C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≤3.0</w:t>
            </w:r>
          </w:p>
        </w:tc>
        <w:tc>
          <w:tcPr>
            <w:tcW w:w="503" w:type="pct"/>
            <w:vAlign w:val="center"/>
          </w:tcPr>
          <w:p w14:paraId="2948E2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合格</w:t>
            </w:r>
          </w:p>
        </w:tc>
      </w:tr>
    </w:tbl>
    <w:p w14:paraId="00FF59F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由上表看出，各监测点均满足</w:t>
      </w:r>
      <w:r>
        <w:rPr>
          <w:rFonts w:hint="eastAsia" w:ascii="Times New Roman" w:hAnsi="Times New Roman" w:eastAsia="宋体"/>
          <w:strike w:val="0"/>
          <w:dstrike w:val="0"/>
          <w:color w:val="auto"/>
          <w:spacing w:val="-2"/>
          <w:szCs w:val="24"/>
          <w:highlight w:val="none"/>
          <w:lang w:val="zh-CN"/>
        </w:rPr>
        <w:t>《地下水质量标准》（GB/T14848-2017）中Ⅲ类标准，地下水环境质量现状良好。</w:t>
      </w:r>
    </w:p>
    <w:p w14:paraId="47DD40FB">
      <w:pPr>
        <w:pStyle w:val="4"/>
        <w:rPr>
          <w:rFonts w:ascii="Times New Roman" w:hAnsi="Times New Roman" w:eastAsia="宋体"/>
          <w:strike w:val="0"/>
          <w:dstrike w:val="0"/>
          <w:color w:val="auto"/>
          <w:highlight w:val="none"/>
        </w:rPr>
      </w:pPr>
      <w:bookmarkStart w:id="208" w:name="_Toc106663489"/>
      <w:bookmarkStart w:id="209" w:name="_Toc3263"/>
      <w:r>
        <w:rPr>
          <w:rFonts w:hint="eastAsia" w:ascii="Times New Roman" w:hAnsi="Times New Roman" w:eastAsia="宋体"/>
          <w:strike w:val="0"/>
          <w:dstrike w:val="0"/>
          <w:color w:val="auto"/>
          <w:highlight w:val="none"/>
        </w:rPr>
        <w:t>4.2.4声环境质量现状调查与评价</w:t>
      </w:r>
      <w:bookmarkEnd w:id="208"/>
      <w:bookmarkEnd w:id="209"/>
    </w:p>
    <w:p w14:paraId="7981A11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本次声环境质量现状评价委托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对项目所在地声环境质量现状进行了监测，监测时间为</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19</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653E786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（1）监测点位</w:t>
      </w:r>
    </w:p>
    <w:p w14:paraId="3A53231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本项目在厂址四周设置四个监测点位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监测点位示意图见附图4.2-1</w:t>
      </w:r>
      <w:r>
        <w:rPr>
          <w:rFonts w:hint="eastAsia" w:ascii="Times New Roman" w:hAnsi="Times New Roman" w:eastAsia="宋体"/>
          <w:strike w:val="0"/>
          <w:dstrike w:val="0"/>
          <w:color w:val="auto"/>
          <w:highlight w:val="none"/>
          <w:lang w:eastAsia="zh-CN"/>
        </w:rPr>
        <w:t>。</w:t>
      </w:r>
    </w:p>
    <w:p w14:paraId="299C2BE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（2）评价标准</w:t>
      </w:r>
    </w:p>
    <w:p w14:paraId="50B094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根据《声环境质量标准》（GB3096-2008）适用区域划分规定，项目所在地区域属于</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类标准适用区，执行《声环境质量标准》（GB3096-2008）中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类标准限值，即昼间</w:t>
      </w:r>
      <w:r>
        <w:rPr>
          <w:rFonts w:hint="eastAsia" w:ascii="Times New Roman" w:hAnsi="Times New Roman" w:eastAsia="宋体"/>
          <w:strike w:val="0"/>
          <w:dstrike w:val="0"/>
          <w:color w:val="auto"/>
          <w:highlight w:val="none"/>
          <w:lang w:val="en-US" w:eastAsia="zh-CN"/>
        </w:rPr>
        <w:t>60</w:t>
      </w:r>
      <w:r>
        <w:rPr>
          <w:rFonts w:hint="eastAsia" w:ascii="Times New Roman" w:hAnsi="Times New Roman" w:eastAsia="宋体"/>
          <w:strike w:val="0"/>
          <w:dstrike w:val="0"/>
          <w:color w:val="auto"/>
          <w:highlight w:val="none"/>
        </w:rPr>
        <w:t>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，夜间</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p>
    <w:p w14:paraId="26A6ED4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（3）监测数据及评价结果</w:t>
      </w:r>
    </w:p>
    <w:p w14:paraId="5921B4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项目区噪声监测结果见表4.2-</w:t>
      </w:r>
      <w:r>
        <w:rPr>
          <w:rFonts w:hint="eastAsia" w:ascii="Times New Roman" w:hAnsi="Times New Roman" w:eastAsia="宋体"/>
          <w:strike w:val="0"/>
          <w:dstrike w:val="0"/>
          <w:color w:val="auto"/>
          <w:highlight w:val="none"/>
          <w:lang w:val="en-US" w:eastAsia="zh-CN"/>
        </w:rPr>
        <w:t>10</w:t>
      </w:r>
      <w:r>
        <w:rPr>
          <w:rFonts w:hint="eastAsia" w:ascii="Times New Roman" w:hAnsi="Times New Roman" w:eastAsia="宋体"/>
          <w:strike w:val="0"/>
          <w:dstrike w:val="0"/>
          <w:color w:val="auto"/>
          <w:highlight w:val="none"/>
          <w:lang w:eastAsia="zh-CN"/>
        </w:rPr>
        <w:t>。</w:t>
      </w:r>
    </w:p>
    <w:p w14:paraId="4C6FA0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表4.2-10噪声监测结果单位：dB（A）</w:t>
      </w:r>
    </w:p>
    <w:tbl>
      <w:tblPr>
        <w:tblStyle w:val="39"/>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164"/>
        <w:gridCol w:w="1265"/>
        <w:gridCol w:w="1363"/>
        <w:gridCol w:w="730"/>
        <w:gridCol w:w="1083"/>
        <w:gridCol w:w="1095"/>
        <w:gridCol w:w="1124"/>
      </w:tblGrid>
      <w:tr w14:paraId="72A0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57" w:type="dxa"/>
            <w:vMerge w:val="restart"/>
            <w:noWrap w:val="0"/>
            <w:vAlign w:val="center"/>
          </w:tcPr>
          <w:p w14:paraId="2AA6A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测点编号</w:t>
            </w:r>
          </w:p>
        </w:tc>
        <w:tc>
          <w:tcPr>
            <w:tcW w:w="1196" w:type="dxa"/>
            <w:vMerge w:val="restart"/>
            <w:noWrap w:val="0"/>
            <w:vAlign w:val="center"/>
          </w:tcPr>
          <w:p w14:paraId="05E3A2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测点位置</w:t>
            </w:r>
          </w:p>
        </w:tc>
        <w:tc>
          <w:tcPr>
            <w:tcW w:w="2700" w:type="dxa"/>
            <w:gridSpan w:val="2"/>
            <w:vMerge w:val="restart"/>
            <w:noWrap w:val="0"/>
            <w:vAlign w:val="center"/>
          </w:tcPr>
          <w:p w14:paraId="52093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Cs w:val="21"/>
              </w:rPr>
            </w:pPr>
            <w:r>
              <w:rPr>
                <w:rFonts w:hint="default" w:ascii="Times New Roman" w:hAnsi="Times New Roman" w:eastAsia="宋体" w:cs="Times New Roman"/>
                <w:strike w:val="0"/>
                <w:dstrike w:val="0"/>
                <w:color w:val="auto"/>
                <w:kern w:val="0"/>
                <w:szCs w:val="21"/>
              </w:rPr>
              <w:t>测量时间</w:t>
            </w:r>
          </w:p>
        </w:tc>
        <w:tc>
          <w:tcPr>
            <w:tcW w:w="750" w:type="dxa"/>
            <w:vMerge w:val="restart"/>
            <w:noWrap w:val="0"/>
            <w:vAlign w:val="center"/>
          </w:tcPr>
          <w:p w14:paraId="2213E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主要声源</w:t>
            </w:r>
          </w:p>
        </w:tc>
        <w:tc>
          <w:tcPr>
            <w:tcW w:w="1113" w:type="dxa"/>
            <w:vMerge w:val="restart"/>
            <w:noWrap w:val="0"/>
            <w:vAlign w:val="center"/>
          </w:tcPr>
          <w:p w14:paraId="772494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测量结果</w:t>
            </w:r>
          </w:p>
          <w:p w14:paraId="0053A0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strike w:val="0"/>
                <w:dstrike w:val="0"/>
                <w:color w:val="auto"/>
                <w:szCs w:val="21"/>
              </w:rPr>
              <w:t>[Leq:dB(A)]</w:t>
            </w:r>
          </w:p>
        </w:tc>
        <w:tc>
          <w:tcPr>
            <w:tcW w:w="2280" w:type="dxa"/>
            <w:gridSpan w:val="2"/>
            <w:noWrap w:val="0"/>
            <w:vAlign w:val="center"/>
          </w:tcPr>
          <w:p w14:paraId="4F710E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szCs w:val="21"/>
              </w:rPr>
            </w:pPr>
            <w:r>
              <w:rPr>
                <w:rFonts w:hint="eastAsia" w:ascii="Times New Roman" w:hAnsi="Times New Roman" w:eastAsia="宋体"/>
                <w:strike w:val="0"/>
                <w:dstrike w:val="0"/>
                <w:color w:val="auto"/>
                <w:kern w:val="0"/>
                <w:sz w:val="21"/>
                <w:szCs w:val="21"/>
                <w:highlight w:val="none"/>
              </w:rPr>
              <w:t>评价结果</w:t>
            </w:r>
          </w:p>
        </w:tc>
      </w:tr>
      <w:tr w14:paraId="3B00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57" w:type="dxa"/>
            <w:vMerge w:val="continue"/>
            <w:noWrap w:val="0"/>
            <w:vAlign w:val="center"/>
          </w:tcPr>
          <w:p w14:paraId="6B1A1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96" w:type="dxa"/>
            <w:vMerge w:val="continue"/>
            <w:noWrap w:val="0"/>
            <w:vAlign w:val="center"/>
          </w:tcPr>
          <w:p w14:paraId="26A3A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2700" w:type="dxa"/>
            <w:gridSpan w:val="2"/>
            <w:vMerge w:val="continue"/>
            <w:noWrap w:val="0"/>
            <w:vAlign w:val="center"/>
          </w:tcPr>
          <w:p w14:paraId="35929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750" w:type="dxa"/>
            <w:vMerge w:val="continue"/>
            <w:noWrap w:val="0"/>
            <w:vAlign w:val="center"/>
          </w:tcPr>
          <w:p w14:paraId="5E434E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13" w:type="dxa"/>
            <w:vMerge w:val="continue"/>
            <w:noWrap w:val="0"/>
            <w:vAlign w:val="center"/>
          </w:tcPr>
          <w:p w14:paraId="1B330C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25" w:type="dxa"/>
            <w:noWrap w:val="0"/>
            <w:vAlign w:val="center"/>
          </w:tcPr>
          <w:p w14:paraId="13FE6D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rPr>
            </w:pPr>
            <w:r>
              <w:rPr>
                <w:rFonts w:hint="eastAsia" w:ascii="Times New Roman" w:hAnsi="Times New Roman" w:eastAsia="宋体"/>
                <w:strike w:val="0"/>
                <w:dstrike w:val="0"/>
                <w:color w:val="auto"/>
                <w:kern w:val="0"/>
                <w:sz w:val="21"/>
                <w:szCs w:val="21"/>
                <w:highlight w:val="none"/>
              </w:rPr>
              <w:t>标准限值</w:t>
            </w:r>
          </w:p>
        </w:tc>
        <w:tc>
          <w:tcPr>
            <w:tcW w:w="1155" w:type="dxa"/>
            <w:noWrap w:val="0"/>
            <w:vAlign w:val="center"/>
          </w:tcPr>
          <w:p w14:paraId="0DADB2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rPr>
            </w:pPr>
            <w:r>
              <w:rPr>
                <w:rFonts w:hint="eastAsia" w:ascii="Times New Roman" w:hAnsi="Times New Roman" w:eastAsia="宋体"/>
                <w:strike w:val="0"/>
                <w:dstrike w:val="0"/>
                <w:color w:val="auto"/>
                <w:kern w:val="0"/>
                <w:sz w:val="21"/>
                <w:szCs w:val="21"/>
                <w:highlight w:val="none"/>
              </w:rPr>
              <w:t>是否合格</w:t>
            </w:r>
          </w:p>
        </w:tc>
      </w:tr>
      <w:tr w14:paraId="5C39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142ECB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1#</w:t>
            </w:r>
          </w:p>
        </w:tc>
        <w:tc>
          <w:tcPr>
            <w:tcW w:w="1196" w:type="dxa"/>
            <w:vMerge w:val="restart"/>
            <w:noWrap w:val="0"/>
            <w:vAlign w:val="center"/>
          </w:tcPr>
          <w:p w14:paraId="602C9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厂界西侧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3F7E8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20F9EF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17:26-17:31</w:t>
            </w:r>
          </w:p>
        </w:tc>
        <w:tc>
          <w:tcPr>
            <w:tcW w:w="750" w:type="dxa"/>
            <w:noWrap w:val="0"/>
            <w:vAlign w:val="center"/>
          </w:tcPr>
          <w:p w14:paraId="603E8E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5AB21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49</w:t>
            </w:r>
          </w:p>
        </w:tc>
        <w:tc>
          <w:tcPr>
            <w:tcW w:w="1125" w:type="dxa"/>
            <w:noWrap w:val="0"/>
            <w:vAlign w:val="center"/>
          </w:tcPr>
          <w:p w14:paraId="34F3B3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6F200D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75C6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D652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31335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5BB934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25651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00:01-00:06</w:t>
            </w:r>
          </w:p>
        </w:tc>
        <w:tc>
          <w:tcPr>
            <w:tcW w:w="750" w:type="dxa"/>
            <w:noWrap w:val="0"/>
            <w:vAlign w:val="center"/>
          </w:tcPr>
          <w:p w14:paraId="78D7B2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048340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42</w:t>
            </w:r>
          </w:p>
        </w:tc>
        <w:tc>
          <w:tcPr>
            <w:tcW w:w="1125" w:type="dxa"/>
            <w:noWrap w:val="0"/>
            <w:vAlign w:val="center"/>
          </w:tcPr>
          <w:p w14:paraId="2C482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469E95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6536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5991E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2#</w:t>
            </w:r>
          </w:p>
        </w:tc>
        <w:tc>
          <w:tcPr>
            <w:tcW w:w="1196" w:type="dxa"/>
            <w:vMerge w:val="restart"/>
            <w:noWrap w:val="0"/>
            <w:vAlign w:val="center"/>
          </w:tcPr>
          <w:p w14:paraId="7CF33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厂界南侧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6CBF9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4DFA1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17:34-17:39</w:t>
            </w:r>
          </w:p>
        </w:tc>
        <w:tc>
          <w:tcPr>
            <w:tcW w:w="750" w:type="dxa"/>
            <w:noWrap w:val="0"/>
            <w:vAlign w:val="center"/>
          </w:tcPr>
          <w:p w14:paraId="7B18CA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39A315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25" w:type="dxa"/>
            <w:noWrap w:val="0"/>
            <w:vAlign w:val="center"/>
          </w:tcPr>
          <w:p w14:paraId="4D8C5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0E604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058A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661BA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78E03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7739FA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C802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00:10-00:15</w:t>
            </w:r>
          </w:p>
        </w:tc>
        <w:tc>
          <w:tcPr>
            <w:tcW w:w="750" w:type="dxa"/>
            <w:noWrap w:val="0"/>
            <w:vAlign w:val="center"/>
          </w:tcPr>
          <w:p w14:paraId="75E586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516F38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43</w:t>
            </w:r>
          </w:p>
        </w:tc>
        <w:tc>
          <w:tcPr>
            <w:tcW w:w="1125" w:type="dxa"/>
            <w:noWrap w:val="0"/>
            <w:vAlign w:val="center"/>
          </w:tcPr>
          <w:p w14:paraId="40A6E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6FDED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5892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5BB83C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3#</w:t>
            </w:r>
          </w:p>
        </w:tc>
        <w:tc>
          <w:tcPr>
            <w:tcW w:w="1196" w:type="dxa"/>
            <w:vMerge w:val="restart"/>
            <w:noWrap w:val="0"/>
            <w:vAlign w:val="center"/>
          </w:tcPr>
          <w:p w14:paraId="2951F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厂界东侧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4B6D5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7E5DD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17:45-17:50</w:t>
            </w:r>
          </w:p>
        </w:tc>
        <w:tc>
          <w:tcPr>
            <w:tcW w:w="750" w:type="dxa"/>
            <w:noWrap w:val="0"/>
            <w:vAlign w:val="center"/>
          </w:tcPr>
          <w:p w14:paraId="3467D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132E8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25" w:type="dxa"/>
            <w:noWrap w:val="0"/>
            <w:vAlign w:val="center"/>
          </w:tcPr>
          <w:p w14:paraId="15B340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6476FD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1399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CC7C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38019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33C07C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804D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00:18-00:23</w:t>
            </w:r>
          </w:p>
        </w:tc>
        <w:tc>
          <w:tcPr>
            <w:tcW w:w="750" w:type="dxa"/>
            <w:noWrap w:val="0"/>
            <w:vAlign w:val="center"/>
          </w:tcPr>
          <w:p w14:paraId="1715A0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3F48B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43</w:t>
            </w:r>
          </w:p>
        </w:tc>
        <w:tc>
          <w:tcPr>
            <w:tcW w:w="1125" w:type="dxa"/>
            <w:noWrap w:val="0"/>
            <w:vAlign w:val="center"/>
          </w:tcPr>
          <w:p w14:paraId="69398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1CF782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1EF2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756AF7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4#</w:t>
            </w:r>
          </w:p>
        </w:tc>
        <w:tc>
          <w:tcPr>
            <w:tcW w:w="1196" w:type="dxa"/>
            <w:vMerge w:val="restart"/>
            <w:noWrap w:val="0"/>
            <w:vAlign w:val="center"/>
          </w:tcPr>
          <w:p w14:paraId="7DDC5A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厂界北侧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r>
              <w:rPr>
                <w:rFonts w:hint="eastAsia" w:ascii="Times New Roman" w:hAnsi="Times New Roman" w:eastAsia="宋体" w:cs="Times New Roman"/>
                <w:strike w:val="0"/>
                <w:dstrike w:val="0"/>
                <w:color w:val="auto"/>
                <w:szCs w:val="21"/>
                <w:highlight w:val="none"/>
                <w:lang w:val="en-US" w:eastAsia="zh-CN"/>
              </w:rPr>
              <w:t>54</w:t>
            </w:r>
            <w:r>
              <w:rPr>
                <w:rFonts w:hint="default" w:ascii="Times New Roman" w:hAnsi="Times New Roman" w:eastAsia="宋体" w:cs="Times New Roman"/>
                <w:strike w:val="0"/>
                <w:dstrike w:val="0"/>
                <w:color w:val="auto"/>
                <w:szCs w:val="21"/>
                <w:highlight w:val="none"/>
                <w:lang w:val="en-US" w:eastAsia="zh-CN"/>
              </w:rPr>
              <w:t>″）</w:t>
            </w:r>
          </w:p>
        </w:tc>
        <w:tc>
          <w:tcPr>
            <w:tcW w:w="1300" w:type="dxa"/>
            <w:noWrap w:val="0"/>
            <w:vAlign w:val="center"/>
          </w:tcPr>
          <w:p w14:paraId="59F44E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5ECCD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17:55-18:00</w:t>
            </w:r>
          </w:p>
        </w:tc>
        <w:tc>
          <w:tcPr>
            <w:tcW w:w="750" w:type="dxa"/>
            <w:noWrap w:val="0"/>
            <w:vAlign w:val="center"/>
          </w:tcPr>
          <w:p w14:paraId="7A0F17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6903F5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52</w:t>
            </w:r>
          </w:p>
        </w:tc>
        <w:tc>
          <w:tcPr>
            <w:tcW w:w="1125" w:type="dxa"/>
            <w:noWrap w:val="0"/>
            <w:vAlign w:val="center"/>
          </w:tcPr>
          <w:p w14:paraId="3C0C0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08057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358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0C53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1B8D2D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093A2B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E461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00:25-00:30</w:t>
            </w:r>
          </w:p>
        </w:tc>
        <w:tc>
          <w:tcPr>
            <w:tcW w:w="750" w:type="dxa"/>
            <w:noWrap w:val="0"/>
            <w:vAlign w:val="center"/>
          </w:tcPr>
          <w:p w14:paraId="5C8A8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66190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44</w:t>
            </w:r>
          </w:p>
        </w:tc>
        <w:tc>
          <w:tcPr>
            <w:tcW w:w="1125" w:type="dxa"/>
            <w:noWrap w:val="0"/>
            <w:vAlign w:val="center"/>
          </w:tcPr>
          <w:p w14:paraId="3B1EF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49B36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bl>
    <w:p w14:paraId="443688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根据噪声监测结果可知，项目区厂界噪声值较低，厂界四周环境噪声均未超过《声环境质量标准》（GB3096-2008）中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类标准的限值，均能达到声环境质量标准的要求</w:t>
      </w:r>
      <w:r>
        <w:rPr>
          <w:rFonts w:hint="eastAsia" w:ascii="Times New Roman" w:hAnsi="Times New Roman" w:eastAsia="宋体"/>
          <w:strike w:val="0"/>
          <w:dstrike w:val="0"/>
          <w:color w:val="auto"/>
          <w:highlight w:val="none"/>
          <w:lang w:eastAsia="zh-CN"/>
        </w:rPr>
        <w:t>。</w:t>
      </w:r>
    </w:p>
    <w:p w14:paraId="393CCC8E">
      <w:pPr>
        <w:pStyle w:val="4"/>
        <w:rPr>
          <w:rFonts w:ascii="Times New Roman" w:hAnsi="Times New Roman" w:eastAsia="宋体"/>
          <w:strike w:val="0"/>
          <w:dstrike w:val="0"/>
          <w:color w:val="auto"/>
          <w:highlight w:val="none"/>
        </w:rPr>
      </w:pPr>
      <w:bookmarkStart w:id="210" w:name="_Toc14674"/>
      <w:bookmarkStart w:id="211" w:name="_Toc106663490"/>
      <w:r>
        <w:rPr>
          <w:rFonts w:hint="eastAsia" w:ascii="Times New Roman" w:hAnsi="Times New Roman" w:eastAsia="宋体"/>
          <w:strike w:val="0"/>
          <w:dstrike w:val="0"/>
          <w:color w:val="auto"/>
          <w:highlight w:val="none"/>
        </w:rPr>
        <w:t>4.2.5土壤环境质量现状调查与评价</w:t>
      </w:r>
      <w:bookmarkEnd w:id="210"/>
      <w:bookmarkEnd w:id="211"/>
    </w:p>
    <w:p w14:paraId="677CC0B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本次土壤环境质量现状监测委托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对项目区土壤环境进行监测，监测时间为</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6DDE98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（1）监测布点</w:t>
      </w:r>
    </w:p>
    <w:p w14:paraId="7F3875E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根据《环境影响评价技术导则土壤环境（试行）》（HJ964-2018），本次土壤现状监测在占地范围内布设三个表层样点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监测点位信息见表4.2-</w:t>
      </w:r>
      <w:r>
        <w:rPr>
          <w:rFonts w:hint="eastAsia" w:ascii="Times New Roman" w:hAnsi="Times New Roman" w:eastAsia="宋体"/>
          <w:strike w:val="0"/>
          <w:dstrike w:val="0"/>
          <w:color w:val="auto"/>
          <w:highlight w:val="none"/>
          <w:lang w:val="en-US" w:eastAsia="zh-CN"/>
        </w:rPr>
        <w: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监测点位示意图见附图4.2-1</w:t>
      </w:r>
      <w:r>
        <w:rPr>
          <w:rFonts w:hint="eastAsia" w:ascii="Times New Roman" w:hAnsi="Times New Roman" w:eastAsia="宋体"/>
          <w:strike w:val="0"/>
          <w:dstrike w:val="0"/>
          <w:color w:val="auto"/>
          <w:highlight w:val="none"/>
          <w:lang w:eastAsia="zh-CN"/>
        </w:rPr>
        <w:t>。</w:t>
      </w:r>
    </w:p>
    <w:p w14:paraId="63EE02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表4.2-10土壤现状监测信息一览表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3755"/>
        <w:gridCol w:w="3056"/>
      </w:tblGrid>
      <w:tr w14:paraId="2CA3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vAlign w:val="center"/>
          </w:tcPr>
          <w:p w14:paraId="3B2D65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监测点位</w:t>
            </w:r>
          </w:p>
        </w:tc>
        <w:tc>
          <w:tcPr>
            <w:tcW w:w="2263" w:type="pct"/>
            <w:vAlign w:val="center"/>
          </w:tcPr>
          <w:p w14:paraId="22FE94F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编号</w:t>
            </w:r>
          </w:p>
        </w:tc>
        <w:tc>
          <w:tcPr>
            <w:tcW w:w="1842" w:type="pct"/>
            <w:vAlign w:val="center"/>
          </w:tcPr>
          <w:p w14:paraId="4C4AA6C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监测点坐标</w:t>
            </w:r>
          </w:p>
        </w:tc>
      </w:tr>
      <w:tr w14:paraId="1E1C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restart"/>
            <w:vAlign w:val="center"/>
          </w:tcPr>
          <w:p w14:paraId="3FCA97D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项目区内</w:t>
            </w:r>
          </w:p>
        </w:tc>
        <w:tc>
          <w:tcPr>
            <w:tcW w:w="2263" w:type="pct"/>
            <w:vAlign w:val="center"/>
          </w:tcPr>
          <w:p w14:paraId="6D9ED75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1</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3485A0E0">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cs="Times New Roman"/>
                <w:strike w:val="0"/>
                <w:dstrike w:val="0"/>
                <w:color w:val="auto"/>
                <w:sz w:val="21"/>
                <w:szCs w:val="21"/>
                <w:highlight w:val="none"/>
                <w:lang w:val="en-US" w:eastAsia="zh-CN"/>
              </w:rPr>
              <w:t>N:4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53.36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08.42</w:t>
            </w:r>
            <w:r>
              <w:rPr>
                <w:rFonts w:hint="default" w:ascii="Times New Roman" w:hAnsi="Times New Roman" w:eastAsia="宋体" w:cs="Times New Roman"/>
                <w:strike w:val="0"/>
                <w:dstrike w:val="0"/>
                <w:color w:val="auto"/>
                <w:sz w:val="21"/>
                <w:szCs w:val="21"/>
                <w:highlight w:val="none"/>
                <w:lang w:val="en-US" w:eastAsia="zh-CN"/>
              </w:rPr>
              <w:t>″</w:t>
            </w:r>
          </w:p>
        </w:tc>
      </w:tr>
      <w:tr w14:paraId="2F7E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continue"/>
            <w:vAlign w:val="center"/>
          </w:tcPr>
          <w:p w14:paraId="4C9B83F7">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63" w:type="pct"/>
            <w:vAlign w:val="center"/>
          </w:tcPr>
          <w:p w14:paraId="6C5404E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554D0ED8">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cs="Times New Roman"/>
                <w:strike w:val="0"/>
                <w:dstrike w:val="0"/>
                <w:color w:val="auto"/>
                <w:sz w:val="21"/>
                <w:szCs w:val="21"/>
                <w:highlight w:val="none"/>
                <w:lang w:val="en-US" w:eastAsia="zh-CN"/>
              </w:rPr>
              <w:t>N:4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52.37</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08.18</w:t>
            </w:r>
            <w:r>
              <w:rPr>
                <w:rFonts w:hint="default" w:ascii="Times New Roman" w:hAnsi="Times New Roman" w:eastAsia="宋体" w:cs="Times New Roman"/>
                <w:strike w:val="0"/>
                <w:dstrike w:val="0"/>
                <w:color w:val="auto"/>
                <w:sz w:val="21"/>
                <w:szCs w:val="21"/>
                <w:highlight w:val="none"/>
                <w:lang w:val="en-US" w:eastAsia="zh-CN"/>
              </w:rPr>
              <w:t>″</w:t>
            </w:r>
          </w:p>
        </w:tc>
      </w:tr>
      <w:tr w14:paraId="69D1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continue"/>
            <w:vAlign w:val="center"/>
          </w:tcPr>
          <w:p w14:paraId="58BC267C">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63" w:type="pct"/>
            <w:vAlign w:val="center"/>
          </w:tcPr>
          <w:p w14:paraId="2F738A9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3</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7741C0F1">
            <w:pPr>
              <w:spacing w:line="240" w:lineRule="auto"/>
              <w:ind w:firstLine="0" w:firstLineChars="0"/>
              <w:jc w:val="center"/>
              <w:rPr>
                <w:rFonts w:ascii="Times New Roman" w:hAnsi="Times New Roman" w:eastAsia="宋体"/>
                <w:strike w:val="0"/>
                <w:dstrike w:val="0"/>
                <w:color w:val="auto"/>
                <w:sz w:val="21"/>
                <w:szCs w:val="21"/>
                <w:highlight w:val="red"/>
              </w:rPr>
            </w:pPr>
            <w:r>
              <w:rPr>
                <w:rFonts w:hint="eastAsia" w:ascii="Times New Roman" w:hAnsi="Times New Roman" w:eastAsia="宋体" w:cs="Times New Roman"/>
                <w:strike w:val="0"/>
                <w:dstrike w:val="0"/>
                <w:color w:val="auto"/>
                <w:sz w:val="21"/>
                <w:szCs w:val="21"/>
                <w:highlight w:val="none"/>
                <w:lang w:val="en-US" w:eastAsia="zh-CN"/>
              </w:rPr>
              <w:t>N:</w:t>
            </w:r>
            <w:r>
              <w:rPr>
                <w:rFonts w:hint="default" w:ascii="Times New Roman" w:hAnsi="Times New Roman" w:eastAsia="宋体" w:cs="Times New Roman"/>
                <w:strike w:val="0"/>
                <w:dstrike w:val="0"/>
                <w:color w:val="auto"/>
                <w:sz w:val="21"/>
                <w:szCs w:val="21"/>
                <w:highlight w:val="none"/>
                <w:lang w:val="en-US" w:eastAsia="zh-CN"/>
              </w:rPr>
              <w:t>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55.01</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09.27</w:t>
            </w:r>
            <w:r>
              <w:rPr>
                <w:rFonts w:hint="default" w:ascii="Times New Roman" w:hAnsi="Times New Roman" w:eastAsia="宋体" w:cs="Times New Roman"/>
                <w:strike w:val="0"/>
                <w:dstrike w:val="0"/>
                <w:color w:val="auto"/>
                <w:sz w:val="21"/>
                <w:szCs w:val="21"/>
                <w:highlight w:val="none"/>
                <w:lang w:val="en-US" w:eastAsia="zh-CN"/>
              </w:rPr>
              <w:t>″</w:t>
            </w:r>
          </w:p>
        </w:tc>
      </w:tr>
    </w:tbl>
    <w:p w14:paraId="4B53076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（2）监测项目</w:t>
      </w:r>
    </w:p>
    <w:p w14:paraId="166119C6">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cs="Times New Roman"/>
          <w:bCs/>
          <w:strike w:val="0"/>
          <w:dstrike w:val="0"/>
          <w:color w:val="auto"/>
          <w:kern w:val="0"/>
          <w:szCs w:val="24"/>
          <w:highlight w:val="none"/>
          <w:lang w:val="en-US" w:eastAsia="zh-CN"/>
        </w:rPr>
        <w:t>pH、镉、砷、汞、铜、铅、镍、铬、锌。</w:t>
      </w:r>
    </w:p>
    <w:p w14:paraId="6BF160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（3）评价标准</w:t>
      </w:r>
    </w:p>
    <w:p w14:paraId="46D8A57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根据《畜禽规模养殖污染防治条例》第二十七条“畜禽养殖用地按农用地管理，并按照国家有关规定确定生产设施用地和必要的污染防治等附属设施用地”，因此项目土壤环境质量执行《土壤环境质量 农用地土壤污染风险管控标准（试行）》（GB15618-2018）中对应pH值范围内风险筛选值</w:t>
      </w:r>
      <w:r>
        <w:rPr>
          <w:rFonts w:hint="eastAsia" w:ascii="Times New Roman" w:hAnsi="Times New Roman" w:eastAsia="宋体"/>
          <w:strike w:val="0"/>
          <w:dstrike w:val="0"/>
          <w:color w:val="auto"/>
          <w:highlight w:val="none"/>
          <w:lang w:eastAsia="zh-CN"/>
        </w:rPr>
        <w:t>。</w:t>
      </w:r>
    </w:p>
    <w:p w14:paraId="79630AA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（4）监测数据及评价结果</w:t>
      </w:r>
    </w:p>
    <w:p w14:paraId="3C6B5C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监测数据及评价结果见表4.2-1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73F53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表4.2-11土壤环境质量现状监测结果</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911"/>
        <w:gridCol w:w="1200"/>
        <w:gridCol w:w="1137"/>
        <w:gridCol w:w="1087"/>
        <w:gridCol w:w="1089"/>
        <w:gridCol w:w="1473"/>
        <w:gridCol w:w="647"/>
      </w:tblGrid>
      <w:tr w14:paraId="3843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53" w:type="pct"/>
            <w:vMerge w:val="restart"/>
            <w:tcBorders>
              <w:tl2br w:val="nil"/>
              <w:tr2bl w:val="nil"/>
            </w:tcBorders>
            <w:shd w:val="clear" w:color="auto" w:fill="auto"/>
            <w:vAlign w:val="center"/>
          </w:tcPr>
          <w:p w14:paraId="02990B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采样点位</w:t>
            </w:r>
          </w:p>
        </w:tc>
        <w:tc>
          <w:tcPr>
            <w:tcW w:w="549" w:type="pct"/>
            <w:vMerge w:val="restart"/>
            <w:tcBorders>
              <w:tl2br w:val="nil"/>
              <w:tr2bl w:val="nil"/>
            </w:tcBorders>
            <w:shd w:val="clear" w:color="auto" w:fill="auto"/>
            <w:vAlign w:val="center"/>
          </w:tcPr>
          <w:p w14:paraId="328C26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监测项目</w:t>
            </w:r>
          </w:p>
        </w:tc>
        <w:tc>
          <w:tcPr>
            <w:tcW w:w="723" w:type="pct"/>
            <w:vMerge w:val="restart"/>
            <w:tcBorders>
              <w:tl2br w:val="nil"/>
              <w:tr2bl w:val="nil"/>
            </w:tcBorders>
            <w:shd w:val="clear" w:color="auto" w:fill="auto"/>
            <w:vAlign w:val="center"/>
          </w:tcPr>
          <w:p w14:paraId="7517C32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单位</w:t>
            </w:r>
          </w:p>
        </w:tc>
        <w:tc>
          <w:tcPr>
            <w:tcW w:w="1996" w:type="pct"/>
            <w:gridSpan w:val="3"/>
            <w:tcBorders>
              <w:tl2br w:val="nil"/>
              <w:tr2bl w:val="nil"/>
            </w:tcBorders>
            <w:shd w:val="clear" w:color="auto" w:fill="auto"/>
            <w:vAlign w:val="center"/>
          </w:tcPr>
          <w:p w14:paraId="1A345A6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检测结果</w:t>
            </w:r>
          </w:p>
        </w:tc>
        <w:tc>
          <w:tcPr>
            <w:tcW w:w="887" w:type="pct"/>
            <w:vMerge w:val="restart"/>
            <w:tcBorders>
              <w:tl2br w:val="nil"/>
              <w:tr2bl w:val="nil"/>
            </w:tcBorders>
            <w:shd w:val="clear" w:color="auto" w:fill="auto"/>
            <w:vAlign w:val="center"/>
          </w:tcPr>
          <w:p w14:paraId="2C39537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标准限值（</w:t>
            </w:r>
            <w:r>
              <w:rPr>
                <w:rFonts w:ascii="Times New Roman" w:hAnsi="Times New Roman" w:eastAsia="宋体"/>
                <w:strike w:val="0"/>
                <w:dstrike w:val="0"/>
                <w:color w:val="auto"/>
                <w:kern w:val="0"/>
                <w:sz w:val="21"/>
                <w:szCs w:val="21"/>
                <w:highlight w:val="none"/>
              </w:rPr>
              <w:t>mg/kg</w:t>
            </w:r>
            <w:r>
              <w:rPr>
                <w:rFonts w:hint="eastAsia" w:ascii="Times New Roman" w:hAnsi="Times New Roman" w:eastAsia="宋体"/>
                <w:strike w:val="0"/>
                <w:dstrike w:val="0"/>
                <w:color w:val="auto"/>
                <w:kern w:val="0"/>
                <w:sz w:val="21"/>
                <w:szCs w:val="21"/>
                <w:highlight w:val="none"/>
              </w:rPr>
              <w:t>）</w:t>
            </w:r>
          </w:p>
        </w:tc>
        <w:tc>
          <w:tcPr>
            <w:tcW w:w="389" w:type="pct"/>
            <w:vMerge w:val="restart"/>
            <w:tcBorders>
              <w:tl2br w:val="nil"/>
              <w:tr2bl w:val="nil"/>
            </w:tcBorders>
            <w:shd w:val="clear" w:color="auto" w:fill="auto"/>
            <w:vAlign w:val="center"/>
          </w:tcPr>
          <w:p w14:paraId="185E12B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达标情况</w:t>
            </w:r>
          </w:p>
        </w:tc>
      </w:tr>
      <w:tr w14:paraId="4816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3AC85F9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549" w:type="pct"/>
            <w:vMerge w:val="continue"/>
            <w:tcBorders>
              <w:tl2br w:val="nil"/>
              <w:tr2bl w:val="nil"/>
            </w:tcBorders>
            <w:shd w:val="clear" w:color="auto" w:fill="auto"/>
            <w:vAlign w:val="center"/>
          </w:tcPr>
          <w:p w14:paraId="4146E02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723" w:type="pct"/>
            <w:vMerge w:val="continue"/>
            <w:tcBorders>
              <w:tl2br w:val="nil"/>
              <w:tr2bl w:val="nil"/>
            </w:tcBorders>
            <w:shd w:val="clear" w:color="auto" w:fill="auto"/>
            <w:vAlign w:val="center"/>
          </w:tcPr>
          <w:p w14:paraId="18B355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85" w:type="pct"/>
            <w:tcBorders>
              <w:tl2br w:val="nil"/>
              <w:tr2bl w:val="nil"/>
            </w:tcBorders>
            <w:shd w:val="clear" w:color="auto" w:fill="auto"/>
            <w:vAlign w:val="center"/>
          </w:tcPr>
          <w:p w14:paraId="349375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1</w:t>
            </w:r>
            <w:r>
              <w:rPr>
                <w:rFonts w:hint="eastAsia" w:ascii="Times New Roman" w:hAnsi="Times New Roman" w:eastAsia="宋体"/>
                <w:strike w:val="0"/>
                <w:dstrike w:val="0"/>
                <w:color w:val="auto"/>
                <w:kern w:val="0"/>
                <w:sz w:val="21"/>
                <w:szCs w:val="21"/>
                <w:highlight w:val="none"/>
              </w:rPr>
              <w:t>#</w:t>
            </w:r>
          </w:p>
        </w:tc>
        <w:tc>
          <w:tcPr>
            <w:tcW w:w="655" w:type="pct"/>
            <w:tcBorders>
              <w:tl2br w:val="nil"/>
              <w:tr2bl w:val="nil"/>
            </w:tcBorders>
            <w:shd w:val="clear" w:color="auto" w:fill="auto"/>
            <w:vAlign w:val="center"/>
          </w:tcPr>
          <w:p w14:paraId="357D945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2</w:t>
            </w:r>
            <w:r>
              <w:rPr>
                <w:rFonts w:hint="eastAsia" w:ascii="Times New Roman" w:hAnsi="Times New Roman" w:eastAsia="宋体"/>
                <w:strike w:val="0"/>
                <w:dstrike w:val="0"/>
                <w:color w:val="auto"/>
                <w:kern w:val="0"/>
                <w:sz w:val="21"/>
                <w:szCs w:val="21"/>
                <w:highlight w:val="none"/>
              </w:rPr>
              <w:t>#</w:t>
            </w:r>
          </w:p>
        </w:tc>
        <w:tc>
          <w:tcPr>
            <w:tcW w:w="655" w:type="pct"/>
            <w:tcBorders>
              <w:tl2br w:val="nil"/>
              <w:tr2bl w:val="nil"/>
            </w:tcBorders>
            <w:shd w:val="clear" w:color="auto" w:fill="auto"/>
            <w:vAlign w:val="center"/>
          </w:tcPr>
          <w:p w14:paraId="74666BA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3</w:t>
            </w:r>
            <w:r>
              <w:rPr>
                <w:rFonts w:hint="eastAsia" w:ascii="Times New Roman" w:hAnsi="Times New Roman" w:eastAsia="宋体"/>
                <w:strike w:val="0"/>
                <w:dstrike w:val="0"/>
                <w:color w:val="auto"/>
                <w:kern w:val="0"/>
                <w:sz w:val="21"/>
                <w:szCs w:val="21"/>
                <w:highlight w:val="none"/>
              </w:rPr>
              <w:t>#</w:t>
            </w:r>
          </w:p>
        </w:tc>
        <w:tc>
          <w:tcPr>
            <w:tcW w:w="887" w:type="pct"/>
            <w:vMerge w:val="continue"/>
            <w:tcBorders>
              <w:tl2br w:val="nil"/>
              <w:tr2bl w:val="nil"/>
            </w:tcBorders>
            <w:shd w:val="clear" w:color="auto" w:fill="auto"/>
            <w:vAlign w:val="center"/>
          </w:tcPr>
          <w:p w14:paraId="42356E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389" w:type="pct"/>
            <w:vMerge w:val="continue"/>
            <w:tcBorders>
              <w:tl2br w:val="nil"/>
              <w:tr2bl w:val="nil"/>
            </w:tcBorders>
            <w:shd w:val="clear" w:color="auto" w:fill="auto"/>
            <w:vAlign w:val="center"/>
          </w:tcPr>
          <w:p w14:paraId="507B05C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r>
      <w:tr w14:paraId="14B5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restart"/>
            <w:tcBorders>
              <w:tl2br w:val="nil"/>
              <w:tr2bl w:val="nil"/>
            </w:tcBorders>
            <w:shd w:val="clear" w:color="auto" w:fill="auto"/>
            <w:vAlign w:val="center"/>
          </w:tcPr>
          <w:p w14:paraId="7B3F4A9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项目区区内</w:t>
            </w:r>
          </w:p>
        </w:tc>
        <w:tc>
          <w:tcPr>
            <w:tcW w:w="549" w:type="pct"/>
            <w:tcBorders>
              <w:tl2br w:val="nil"/>
              <w:tr2bl w:val="nil"/>
            </w:tcBorders>
            <w:shd w:val="clear" w:color="auto" w:fill="auto"/>
            <w:vAlign w:val="center"/>
          </w:tcPr>
          <w:p w14:paraId="6856BD31">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pH</w:t>
            </w:r>
          </w:p>
        </w:tc>
        <w:tc>
          <w:tcPr>
            <w:tcW w:w="723" w:type="pct"/>
            <w:tcBorders>
              <w:tl2br w:val="nil"/>
              <w:tr2bl w:val="nil"/>
            </w:tcBorders>
            <w:shd w:val="clear" w:color="auto" w:fill="auto"/>
            <w:vAlign w:val="center"/>
          </w:tcPr>
          <w:p w14:paraId="40BBAF2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无量纲</w:t>
            </w:r>
          </w:p>
        </w:tc>
        <w:tc>
          <w:tcPr>
            <w:tcW w:w="685" w:type="pct"/>
            <w:tcBorders>
              <w:tl2br w:val="nil"/>
              <w:tr2bl w:val="nil"/>
            </w:tcBorders>
            <w:shd w:val="clear" w:color="auto" w:fill="auto"/>
            <w:vAlign w:val="center"/>
          </w:tcPr>
          <w:p w14:paraId="19AB687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8.14</w:t>
            </w:r>
          </w:p>
        </w:tc>
        <w:tc>
          <w:tcPr>
            <w:tcW w:w="655" w:type="pct"/>
            <w:tcBorders>
              <w:tl2br w:val="nil"/>
              <w:tr2bl w:val="nil"/>
            </w:tcBorders>
            <w:shd w:val="clear" w:color="auto" w:fill="auto"/>
            <w:vAlign w:val="center"/>
          </w:tcPr>
          <w:p w14:paraId="5E319B0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8.22</w:t>
            </w:r>
          </w:p>
        </w:tc>
        <w:tc>
          <w:tcPr>
            <w:tcW w:w="655" w:type="pct"/>
            <w:tcBorders>
              <w:tl2br w:val="nil"/>
              <w:tr2bl w:val="nil"/>
            </w:tcBorders>
            <w:shd w:val="clear" w:color="auto" w:fill="auto"/>
            <w:vAlign w:val="center"/>
          </w:tcPr>
          <w:p w14:paraId="1807F685">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8.34</w:t>
            </w:r>
          </w:p>
        </w:tc>
        <w:tc>
          <w:tcPr>
            <w:tcW w:w="887" w:type="pct"/>
            <w:tcBorders>
              <w:tl2br w:val="nil"/>
              <w:tr2bl w:val="nil"/>
            </w:tcBorders>
            <w:shd w:val="clear" w:color="auto" w:fill="auto"/>
            <w:vAlign w:val="center"/>
          </w:tcPr>
          <w:p w14:paraId="4D3B6D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w:t>
            </w:r>
          </w:p>
        </w:tc>
        <w:tc>
          <w:tcPr>
            <w:tcW w:w="389" w:type="pct"/>
            <w:tcBorders>
              <w:tl2br w:val="nil"/>
              <w:tr2bl w:val="nil"/>
            </w:tcBorders>
            <w:shd w:val="clear" w:color="auto" w:fill="auto"/>
            <w:vAlign w:val="center"/>
          </w:tcPr>
          <w:p w14:paraId="7DD0E8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w:t>
            </w:r>
          </w:p>
        </w:tc>
      </w:tr>
      <w:tr w14:paraId="5800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5A650B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430EBE3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砷</w:t>
            </w:r>
          </w:p>
        </w:tc>
        <w:tc>
          <w:tcPr>
            <w:tcW w:w="723" w:type="pct"/>
            <w:tcBorders>
              <w:tl2br w:val="nil"/>
              <w:tr2bl w:val="nil"/>
            </w:tcBorders>
            <w:shd w:val="clear" w:color="auto" w:fill="auto"/>
            <w:vAlign w:val="center"/>
          </w:tcPr>
          <w:p w14:paraId="5BE2B82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8F34F8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8.48</w:t>
            </w:r>
          </w:p>
        </w:tc>
        <w:tc>
          <w:tcPr>
            <w:tcW w:w="1117" w:type="dxa"/>
            <w:tcBorders>
              <w:tl2br w:val="nil"/>
              <w:tr2bl w:val="nil"/>
            </w:tcBorders>
            <w:shd w:val="clear" w:color="auto" w:fill="auto"/>
            <w:vAlign w:val="center"/>
          </w:tcPr>
          <w:p w14:paraId="31268BA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8.42</w:t>
            </w:r>
          </w:p>
        </w:tc>
        <w:tc>
          <w:tcPr>
            <w:tcW w:w="1117" w:type="dxa"/>
            <w:tcBorders>
              <w:tl2br w:val="nil"/>
              <w:tr2bl w:val="nil"/>
            </w:tcBorders>
            <w:shd w:val="clear" w:color="auto" w:fill="auto"/>
            <w:vAlign w:val="center"/>
          </w:tcPr>
          <w:p w14:paraId="29644B65">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8.56</w:t>
            </w:r>
          </w:p>
        </w:tc>
        <w:tc>
          <w:tcPr>
            <w:tcW w:w="887" w:type="pct"/>
            <w:tcBorders>
              <w:tl2br w:val="nil"/>
              <w:tr2bl w:val="nil"/>
            </w:tcBorders>
            <w:shd w:val="clear" w:color="auto" w:fill="auto"/>
            <w:vAlign w:val="center"/>
          </w:tcPr>
          <w:p w14:paraId="5622B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25</w:t>
            </w:r>
          </w:p>
        </w:tc>
        <w:tc>
          <w:tcPr>
            <w:tcW w:w="389" w:type="pct"/>
            <w:tcBorders>
              <w:tl2br w:val="nil"/>
              <w:tr2bl w:val="nil"/>
            </w:tcBorders>
            <w:shd w:val="clear" w:color="auto" w:fill="auto"/>
            <w:vAlign w:val="center"/>
          </w:tcPr>
          <w:p w14:paraId="5262A8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达标</w:t>
            </w:r>
          </w:p>
        </w:tc>
      </w:tr>
      <w:tr w14:paraId="0EB5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5BEA61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64A292F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镉</w:t>
            </w:r>
          </w:p>
        </w:tc>
        <w:tc>
          <w:tcPr>
            <w:tcW w:w="723" w:type="pct"/>
            <w:tcBorders>
              <w:tl2br w:val="nil"/>
              <w:tr2bl w:val="nil"/>
            </w:tcBorders>
            <w:shd w:val="clear" w:color="auto" w:fill="auto"/>
            <w:vAlign w:val="center"/>
          </w:tcPr>
          <w:p w14:paraId="18B702C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32E8771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0.45</w:t>
            </w:r>
          </w:p>
        </w:tc>
        <w:tc>
          <w:tcPr>
            <w:tcW w:w="1117" w:type="dxa"/>
            <w:tcBorders>
              <w:tl2br w:val="nil"/>
              <w:tr2bl w:val="nil"/>
            </w:tcBorders>
            <w:shd w:val="clear" w:color="auto" w:fill="auto"/>
            <w:vAlign w:val="center"/>
          </w:tcPr>
          <w:p w14:paraId="788B2DC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0.51</w:t>
            </w:r>
          </w:p>
        </w:tc>
        <w:tc>
          <w:tcPr>
            <w:tcW w:w="1117" w:type="dxa"/>
            <w:tcBorders>
              <w:tl2br w:val="nil"/>
              <w:tr2bl w:val="nil"/>
            </w:tcBorders>
            <w:shd w:val="clear" w:color="auto" w:fill="auto"/>
            <w:vAlign w:val="center"/>
          </w:tcPr>
          <w:p w14:paraId="5896357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0.40</w:t>
            </w:r>
          </w:p>
        </w:tc>
        <w:tc>
          <w:tcPr>
            <w:tcW w:w="887" w:type="pct"/>
            <w:tcBorders>
              <w:tl2br w:val="nil"/>
              <w:tr2bl w:val="nil"/>
            </w:tcBorders>
            <w:shd w:val="clear" w:color="auto" w:fill="auto"/>
            <w:vAlign w:val="center"/>
          </w:tcPr>
          <w:p w14:paraId="5EE7D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0.6</w:t>
            </w:r>
          </w:p>
        </w:tc>
        <w:tc>
          <w:tcPr>
            <w:tcW w:w="389" w:type="pct"/>
            <w:tcBorders>
              <w:tl2br w:val="nil"/>
              <w:tr2bl w:val="nil"/>
            </w:tcBorders>
            <w:shd w:val="clear" w:color="auto" w:fill="auto"/>
            <w:vAlign w:val="center"/>
          </w:tcPr>
          <w:p w14:paraId="318834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2F7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04B304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1506E311">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铜</w:t>
            </w:r>
          </w:p>
        </w:tc>
        <w:tc>
          <w:tcPr>
            <w:tcW w:w="723" w:type="pct"/>
            <w:tcBorders>
              <w:tl2br w:val="nil"/>
              <w:tr2bl w:val="nil"/>
            </w:tcBorders>
            <w:shd w:val="clear" w:color="auto" w:fill="auto"/>
            <w:vAlign w:val="center"/>
          </w:tcPr>
          <w:p w14:paraId="2EB25FB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DE472D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26</w:t>
            </w:r>
          </w:p>
        </w:tc>
        <w:tc>
          <w:tcPr>
            <w:tcW w:w="1117" w:type="dxa"/>
            <w:tcBorders>
              <w:tl2br w:val="nil"/>
              <w:tr2bl w:val="nil"/>
            </w:tcBorders>
            <w:shd w:val="clear" w:color="auto" w:fill="auto"/>
            <w:vAlign w:val="center"/>
          </w:tcPr>
          <w:p w14:paraId="4F4E834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30</w:t>
            </w:r>
          </w:p>
        </w:tc>
        <w:tc>
          <w:tcPr>
            <w:tcW w:w="1117" w:type="dxa"/>
            <w:tcBorders>
              <w:tl2br w:val="nil"/>
              <w:tr2bl w:val="nil"/>
            </w:tcBorders>
            <w:shd w:val="clear" w:color="auto" w:fill="auto"/>
            <w:vAlign w:val="center"/>
          </w:tcPr>
          <w:p w14:paraId="0CDC493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29</w:t>
            </w:r>
          </w:p>
        </w:tc>
        <w:tc>
          <w:tcPr>
            <w:tcW w:w="887" w:type="pct"/>
            <w:tcBorders>
              <w:tl2br w:val="nil"/>
              <w:tr2bl w:val="nil"/>
            </w:tcBorders>
            <w:shd w:val="clear" w:color="auto" w:fill="auto"/>
            <w:vAlign w:val="center"/>
          </w:tcPr>
          <w:p w14:paraId="63DF4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100</w:t>
            </w:r>
          </w:p>
        </w:tc>
        <w:tc>
          <w:tcPr>
            <w:tcW w:w="389" w:type="pct"/>
            <w:tcBorders>
              <w:tl2br w:val="nil"/>
              <w:tr2bl w:val="nil"/>
            </w:tcBorders>
            <w:shd w:val="clear" w:color="auto" w:fill="auto"/>
            <w:vAlign w:val="center"/>
          </w:tcPr>
          <w:p w14:paraId="34DD57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40F9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24C22A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353B14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铅</w:t>
            </w:r>
          </w:p>
        </w:tc>
        <w:tc>
          <w:tcPr>
            <w:tcW w:w="723" w:type="pct"/>
            <w:tcBorders>
              <w:tl2br w:val="nil"/>
              <w:tr2bl w:val="nil"/>
            </w:tcBorders>
            <w:shd w:val="clear" w:color="auto" w:fill="auto"/>
            <w:vAlign w:val="center"/>
          </w:tcPr>
          <w:p w14:paraId="0F53861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2E8DD61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56</w:t>
            </w:r>
          </w:p>
        </w:tc>
        <w:tc>
          <w:tcPr>
            <w:tcW w:w="1117" w:type="dxa"/>
            <w:tcBorders>
              <w:tl2br w:val="nil"/>
              <w:tr2bl w:val="nil"/>
            </w:tcBorders>
            <w:shd w:val="clear" w:color="auto" w:fill="auto"/>
            <w:vAlign w:val="center"/>
          </w:tcPr>
          <w:p w14:paraId="330B053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57</w:t>
            </w:r>
          </w:p>
        </w:tc>
        <w:tc>
          <w:tcPr>
            <w:tcW w:w="1117" w:type="dxa"/>
            <w:tcBorders>
              <w:tl2br w:val="nil"/>
              <w:tr2bl w:val="nil"/>
            </w:tcBorders>
            <w:shd w:val="clear" w:color="auto" w:fill="auto"/>
            <w:vAlign w:val="center"/>
          </w:tcPr>
          <w:p w14:paraId="6CE9F04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48</w:t>
            </w:r>
          </w:p>
        </w:tc>
        <w:tc>
          <w:tcPr>
            <w:tcW w:w="887" w:type="pct"/>
            <w:tcBorders>
              <w:tl2br w:val="nil"/>
              <w:tr2bl w:val="nil"/>
            </w:tcBorders>
            <w:shd w:val="clear" w:color="auto" w:fill="auto"/>
            <w:vAlign w:val="center"/>
          </w:tcPr>
          <w:p w14:paraId="6EB33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170</w:t>
            </w:r>
          </w:p>
        </w:tc>
        <w:tc>
          <w:tcPr>
            <w:tcW w:w="389" w:type="pct"/>
            <w:tcBorders>
              <w:tl2br w:val="nil"/>
              <w:tr2bl w:val="nil"/>
            </w:tcBorders>
            <w:shd w:val="clear" w:color="auto" w:fill="auto"/>
            <w:vAlign w:val="center"/>
          </w:tcPr>
          <w:p w14:paraId="08AEFB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C11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3" w:type="pct"/>
            <w:vMerge w:val="continue"/>
            <w:tcBorders>
              <w:tl2br w:val="nil"/>
              <w:tr2bl w:val="nil"/>
            </w:tcBorders>
            <w:shd w:val="clear" w:color="auto" w:fill="auto"/>
            <w:vAlign w:val="center"/>
          </w:tcPr>
          <w:p w14:paraId="63BE8F4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4F8E2F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汞</w:t>
            </w:r>
          </w:p>
        </w:tc>
        <w:tc>
          <w:tcPr>
            <w:tcW w:w="723" w:type="pct"/>
            <w:tcBorders>
              <w:tl2br w:val="nil"/>
              <w:tr2bl w:val="nil"/>
            </w:tcBorders>
            <w:shd w:val="clear" w:color="auto" w:fill="auto"/>
            <w:vAlign w:val="center"/>
          </w:tcPr>
          <w:p w14:paraId="4B164C5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233C31F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0.253</w:t>
            </w:r>
          </w:p>
        </w:tc>
        <w:tc>
          <w:tcPr>
            <w:tcW w:w="1117" w:type="dxa"/>
            <w:tcBorders>
              <w:tl2br w:val="nil"/>
              <w:tr2bl w:val="nil"/>
            </w:tcBorders>
            <w:shd w:val="clear" w:color="auto" w:fill="auto"/>
            <w:vAlign w:val="center"/>
          </w:tcPr>
          <w:p w14:paraId="24AF8C1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0.254</w:t>
            </w:r>
          </w:p>
        </w:tc>
        <w:tc>
          <w:tcPr>
            <w:tcW w:w="1117" w:type="dxa"/>
            <w:tcBorders>
              <w:tl2br w:val="nil"/>
              <w:tr2bl w:val="nil"/>
            </w:tcBorders>
            <w:shd w:val="clear" w:color="auto" w:fill="auto"/>
            <w:vAlign w:val="center"/>
          </w:tcPr>
          <w:p w14:paraId="0FAC3DC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0.275</w:t>
            </w:r>
          </w:p>
        </w:tc>
        <w:tc>
          <w:tcPr>
            <w:tcW w:w="887" w:type="pct"/>
            <w:tcBorders>
              <w:tl2br w:val="nil"/>
              <w:tr2bl w:val="nil"/>
            </w:tcBorders>
            <w:shd w:val="clear" w:color="auto" w:fill="auto"/>
            <w:vAlign w:val="center"/>
          </w:tcPr>
          <w:p w14:paraId="4C2D9C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3.4</w:t>
            </w:r>
          </w:p>
        </w:tc>
        <w:tc>
          <w:tcPr>
            <w:tcW w:w="389" w:type="pct"/>
            <w:tcBorders>
              <w:tl2br w:val="nil"/>
              <w:tr2bl w:val="nil"/>
            </w:tcBorders>
            <w:shd w:val="clear" w:color="auto" w:fill="auto"/>
            <w:vAlign w:val="center"/>
          </w:tcPr>
          <w:p w14:paraId="64FD6A9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7851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76C3422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C3EF9D9">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镍</w:t>
            </w:r>
          </w:p>
        </w:tc>
        <w:tc>
          <w:tcPr>
            <w:tcW w:w="723" w:type="pct"/>
            <w:tcBorders>
              <w:tl2br w:val="nil"/>
              <w:tr2bl w:val="nil"/>
            </w:tcBorders>
            <w:shd w:val="clear" w:color="auto" w:fill="auto"/>
            <w:vAlign w:val="center"/>
          </w:tcPr>
          <w:p w14:paraId="4FAD1BC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1622164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15</w:t>
            </w:r>
          </w:p>
        </w:tc>
        <w:tc>
          <w:tcPr>
            <w:tcW w:w="1117" w:type="dxa"/>
            <w:tcBorders>
              <w:tl2br w:val="nil"/>
              <w:tr2bl w:val="nil"/>
            </w:tcBorders>
            <w:shd w:val="clear" w:color="auto" w:fill="auto"/>
            <w:vAlign w:val="center"/>
          </w:tcPr>
          <w:p w14:paraId="3D5C0D8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13</w:t>
            </w:r>
          </w:p>
        </w:tc>
        <w:tc>
          <w:tcPr>
            <w:tcW w:w="1117" w:type="dxa"/>
            <w:tcBorders>
              <w:tl2br w:val="nil"/>
              <w:tr2bl w:val="nil"/>
            </w:tcBorders>
            <w:shd w:val="clear" w:color="auto" w:fill="auto"/>
            <w:vAlign w:val="center"/>
          </w:tcPr>
          <w:p w14:paraId="4117A9F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10</w:t>
            </w:r>
          </w:p>
        </w:tc>
        <w:tc>
          <w:tcPr>
            <w:tcW w:w="887" w:type="pct"/>
            <w:tcBorders>
              <w:tl2br w:val="nil"/>
              <w:tr2bl w:val="nil"/>
            </w:tcBorders>
            <w:shd w:val="clear" w:color="auto" w:fill="auto"/>
            <w:vAlign w:val="center"/>
          </w:tcPr>
          <w:p w14:paraId="498AAE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100</w:t>
            </w:r>
          </w:p>
        </w:tc>
        <w:tc>
          <w:tcPr>
            <w:tcW w:w="389" w:type="pct"/>
            <w:tcBorders>
              <w:tl2br w:val="nil"/>
              <w:tr2bl w:val="nil"/>
            </w:tcBorders>
            <w:shd w:val="clear" w:color="auto" w:fill="auto"/>
            <w:vAlign w:val="center"/>
          </w:tcPr>
          <w:p w14:paraId="2503A1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4BF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 w:type="pct"/>
            <w:vMerge w:val="continue"/>
            <w:tcBorders>
              <w:tl2br w:val="nil"/>
              <w:tr2bl w:val="nil"/>
            </w:tcBorders>
            <w:shd w:val="clear" w:color="auto" w:fill="auto"/>
            <w:vAlign w:val="center"/>
          </w:tcPr>
          <w:p w14:paraId="0D072C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46042948">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锌</w:t>
            </w:r>
          </w:p>
        </w:tc>
        <w:tc>
          <w:tcPr>
            <w:tcW w:w="723" w:type="pct"/>
            <w:tcBorders>
              <w:tl2br w:val="nil"/>
              <w:tr2bl w:val="nil"/>
            </w:tcBorders>
            <w:shd w:val="clear" w:color="auto" w:fill="auto"/>
            <w:vAlign w:val="center"/>
          </w:tcPr>
          <w:p w14:paraId="72B637DB">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71C570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54</w:t>
            </w:r>
          </w:p>
        </w:tc>
        <w:tc>
          <w:tcPr>
            <w:tcW w:w="1117" w:type="dxa"/>
            <w:tcBorders>
              <w:tl2br w:val="nil"/>
              <w:tr2bl w:val="nil"/>
            </w:tcBorders>
            <w:shd w:val="clear" w:color="auto" w:fill="auto"/>
            <w:vAlign w:val="center"/>
          </w:tcPr>
          <w:p w14:paraId="48D86A03">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54</w:t>
            </w:r>
          </w:p>
        </w:tc>
        <w:tc>
          <w:tcPr>
            <w:tcW w:w="1117" w:type="dxa"/>
            <w:tcBorders>
              <w:tl2br w:val="nil"/>
              <w:tr2bl w:val="nil"/>
            </w:tcBorders>
            <w:shd w:val="clear" w:color="auto" w:fill="auto"/>
            <w:vAlign w:val="center"/>
          </w:tcPr>
          <w:p w14:paraId="10EEA15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50</w:t>
            </w:r>
          </w:p>
        </w:tc>
        <w:tc>
          <w:tcPr>
            <w:tcW w:w="887" w:type="pct"/>
            <w:tcBorders>
              <w:tl2br w:val="nil"/>
              <w:tr2bl w:val="nil"/>
            </w:tcBorders>
            <w:shd w:val="clear" w:color="auto" w:fill="auto"/>
            <w:vAlign w:val="center"/>
          </w:tcPr>
          <w:p w14:paraId="2B089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300</w:t>
            </w:r>
          </w:p>
        </w:tc>
        <w:tc>
          <w:tcPr>
            <w:tcW w:w="389" w:type="pct"/>
            <w:tcBorders>
              <w:tl2br w:val="nil"/>
              <w:tr2bl w:val="nil"/>
            </w:tcBorders>
            <w:shd w:val="clear" w:color="auto" w:fill="auto"/>
            <w:vAlign w:val="center"/>
          </w:tcPr>
          <w:p w14:paraId="371FBA6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338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75AE35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6A38BD0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铬</w:t>
            </w:r>
          </w:p>
        </w:tc>
        <w:tc>
          <w:tcPr>
            <w:tcW w:w="723" w:type="pct"/>
            <w:tcBorders>
              <w:tl2br w:val="nil"/>
              <w:tr2bl w:val="nil"/>
            </w:tcBorders>
            <w:shd w:val="clear" w:color="auto" w:fill="auto"/>
            <w:vAlign w:val="center"/>
          </w:tcPr>
          <w:p w14:paraId="50EFAC7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441B85B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73</w:t>
            </w:r>
          </w:p>
        </w:tc>
        <w:tc>
          <w:tcPr>
            <w:tcW w:w="1117" w:type="dxa"/>
            <w:tcBorders>
              <w:tl2br w:val="nil"/>
              <w:tr2bl w:val="nil"/>
            </w:tcBorders>
            <w:shd w:val="clear" w:color="auto" w:fill="auto"/>
            <w:vAlign w:val="center"/>
          </w:tcPr>
          <w:p w14:paraId="1D530B1B">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71</w:t>
            </w:r>
          </w:p>
        </w:tc>
        <w:tc>
          <w:tcPr>
            <w:tcW w:w="655" w:type="pct"/>
            <w:tcBorders>
              <w:tl2br w:val="nil"/>
              <w:tr2bl w:val="nil"/>
            </w:tcBorders>
            <w:shd w:val="clear" w:color="auto" w:fill="auto"/>
            <w:vAlign w:val="center"/>
          </w:tcPr>
          <w:p w14:paraId="2E2013A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68</w:t>
            </w:r>
          </w:p>
        </w:tc>
        <w:tc>
          <w:tcPr>
            <w:tcW w:w="887" w:type="pct"/>
            <w:tcBorders>
              <w:tl2br w:val="nil"/>
              <w:tr2bl w:val="nil"/>
            </w:tcBorders>
            <w:shd w:val="clear" w:color="auto" w:fill="auto"/>
            <w:vAlign w:val="center"/>
          </w:tcPr>
          <w:p w14:paraId="44A36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250</w:t>
            </w:r>
          </w:p>
        </w:tc>
        <w:tc>
          <w:tcPr>
            <w:tcW w:w="389" w:type="pct"/>
            <w:tcBorders>
              <w:tl2br w:val="nil"/>
              <w:tr2bl w:val="nil"/>
            </w:tcBorders>
            <w:shd w:val="clear" w:color="auto" w:fill="auto"/>
            <w:vAlign w:val="center"/>
          </w:tcPr>
          <w:p w14:paraId="49344F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bl>
    <w:p w14:paraId="63D7E6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根据监测结果可知，项目所在区域土壤环境质量满足</w:t>
      </w:r>
      <w:r>
        <w:rPr>
          <w:rFonts w:hint="eastAsia" w:ascii="Times New Roman" w:hAnsi="Times New Roman" w:eastAsia="宋体"/>
          <w:strike w:val="0"/>
          <w:dstrike w:val="0"/>
          <w:color w:val="auto"/>
          <w:highlight w:val="none"/>
          <w:lang w:eastAsia="zh-CN"/>
        </w:rPr>
        <w:t>《土壤环境质量农用地土壤污染风险管控标准（试行）》</w:t>
      </w:r>
      <w:r>
        <w:rPr>
          <w:rFonts w:hint="eastAsia" w:ascii="Times New Roman" w:hAnsi="Times New Roman" w:eastAsia="宋体"/>
          <w:strike w:val="0"/>
          <w:dstrike w:val="0"/>
          <w:color w:val="auto"/>
          <w:highlight w:val="none"/>
        </w:rPr>
        <w:t>（GB</w:t>
      </w:r>
      <w:r>
        <w:rPr>
          <w:rFonts w:ascii="Times New Roman" w:hAnsi="Times New Roman" w:eastAsia="宋体"/>
          <w:strike w:val="0"/>
          <w:dstrike w:val="0"/>
          <w:color w:val="auto"/>
          <w:highlight w:val="none"/>
        </w:rPr>
        <w:t>15618</w:t>
      </w:r>
      <w:r>
        <w:rPr>
          <w:rFonts w:hint="eastAsia" w:ascii="Times New Roman" w:hAnsi="Times New Roman" w:eastAsia="宋体"/>
          <w:strike w:val="0"/>
          <w:dstrike w:val="0"/>
          <w:color w:val="auto"/>
          <w:highlight w:val="none"/>
        </w:rPr>
        <w:t>-2018）中农用地风险筛选值</w:t>
      </w:r>
      <w:r>
        <w:rPr>
          <w:rFonts w:hint="eastAsia" w:ascii="Times New Roman" w:hAnsi="Times New Roman" w:eastAsia="宋体"/>
          <w:strike w:val="0"/>
          <w:dstrike w:val="0"/>
          <w:color w:val="auto"/>
          <w:highlight w:val="none"/>
          <w:lang w:eastAsia="zh-CN"/>
        </w:rPr>
        <w:t>。</w:t>
      </w:r>
    </w:p>
    <w:p w14:paraId="4357472B">
      <w:pPr>
        <w:pStyle w:val="4"/>
        <w:rPr>
          <w:rFonts w:ascii="Times New Roman" w:hAnsi="Times New Roman" w:eastAsia="宋体"/>
          <w:strike w:val="0"/>
          <w:dstrike w:val="0"/>
          <w:color w:val="auto"/>
          <w:highlight w:val="none"/>
        </w:rPr>
      </w:pPr>
      <w:bookmarkStart w:id="212" w:name="_Toc12481"/>
      <w:bookmarkStart w:id="213" w:name="_Toc106663491"/>
      <w:r>
        <w:rPr>
          <w:rFonts w:hint="eastAsia" w:ascii="Times New Roman" w:hAnsi="Times New Roman" w:eastAsia="宋体"/>
          <w:strike w:val="0"/>
          <w:dstrike w:val="0"/>
          <w:color w:val="auto"/>
          <w:highlight w:val="none"/>
        </w:rPr>
        <w:t>4.2.6生态现状调查</w:t>
      </w:r>
      <w:bookmarkEnd w:id="212"/>
      <w:bookmarkEnd w:id="213"/>
    </w:p>
    <w:p w14:paraId="3779054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（1）生态功能区划</w:t>
      </w:r>
    </w:p>
    <w:p w14:paraId="642C57E7">
      <w:pPr>
        <w:pStyle w:val="163"/>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根据《新疆生态功能区划》，本项目所在区域属于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准噶尔盆地温性荒漠与绿洲农业生态区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准噶尔盆地南部荒漠绿洲农业生态亚区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Ⅱ3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23古尔班通古特沙漠化敏感及植被保护生态功能区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该生态功能区的主要生态服务功能、生态敏感因子、主要生态环境问题和主要保护目标见表4.2-1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52AFD10F">
      <w:pPr>
        <w:pStyle w:val="169"/>
        <w:spacing w:before="163" w:beforeLines="50" w:line="240" w:lineRule="auto"/>
        <w:ind w:firstLine="480"/>
        <w:outlineLvl w:val="9"/>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表4.2-1</w:t>
      </w:r>
      <w:r>
        <w:rPr>
          <w:rFonts w:hint="eastAsia" w:ascii="Times New Roman" w:hAnsi="Times New Roman" w:eastAsia="宋体"/>
          <w:strike w:val="0"/>
          <w:dstrike w:val="0"/>
          <w:color w:val="auto"/>
          <w:highlight w:val="none"/>
          <w:lang w:val="en-US" w:eastAsia="zh-CN"/>
        </w:rPr>
        <w:t>2</w:t>
      </w:r>
      <w:r>
        <w:rPr>
          <w:rFonts w:ascii="Times New Roman" w:hAnsi="Times New Roman" w:eastAsia="宋体"/>
          <w:strike w:val="0"/>
          <w:dstrike w:val="0"/>
          <w:color w:val="auto"/>
          <w:highlight w:val="none"/>
        </w:rPr>
        <w:t>评价区生态功能区划</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56"/>
        <w:gridCol w:w="1340"/>
        <w:gridCol w:w="6003"/>
      </w:tblGrid>
      <w:tr w14:paraId="54912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jc w:val="center"/>
        </w:trPr>
        <w:tc>
          <w:tcPr>
            <w:tcW w:w="576" w:type="pct"/>
            <w:vMerge w:val="restart"/>
            <w:tcBorders>
              <w:bottom w:val="nil"/>
            </w:tcBorders>
            <w:vAlign w:val="center"/>
          </w:tcPr>
          <w:p w14:paraId="738BDCE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生态功能分区单元</w:t>
            </w:r>
          </w:p>
        </w:tc>
        <w:tc>
          <w:tcPr>
            <w:tcW w:w="807" w:type="pct"/>
            <w:vAlign w:val="center"/>
          </w:tcPr>
          <w:p w14:paraId="1505885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生态区</w:t>
            </w:r>
          </w:p>
        </w:tc>
        <w:tc>
          <w:tcPr>
            <w:tcW w:w="3616" w:type="pct"/>
            <w:vAlign w:val="center"/>
          </w:tcPr>
          <w:p w14:paraId="2D57394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Ⅱ准噶尔盆地温性荒漠与绿洲农业生态区</w:t>
            </w:r>
          </w:p>
        </w:tc>
      </w:tr>
      <w:tr w14:paraId="21702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jc w:val="center"/>
        </w:trPr>
        <w:tc>
          <w:tcPr>
            <w:tcW w:w="576" w:type="pct"/>
            <w:vMerge w:val="continue"/>
            <w:tcBorders>
              <w:top w:val="nil"/>
              <w:bottom w:val="nil"/>
            </w:tcBorders>
            <w:vAlign w:val="center"/>
          </w:tcPr>
          <w:p w14:paraId="5B80DA1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807" w:type="pct"/>
            <w:vAlign w:val="center"/>
          </w:tcPr>
          <w:p w14:paraId="37E5017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生态亚区</w:t>
            </w:r>
          </w:p>
        </w:tc>
        <w:tc>
          <w:tcPr>
            <w:tcW w:w="3616" w:type="pct"/>
            <w:vAlign w:val="center"/>
          </w:tcPr>
          <w:p w14:paraId="7DB3AA4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Ⅱ</w:t>
            </w:r>
            <w:r>
              <w:rPr>
                <w:rFonts w:hint="eastAsia" w:ascii="Times New Roman" w:hAnsi="Times New Roman" w:eastAsia="宋体" w:cs="Times New Roman"/>
                <w:strike w:val="0"/>
                <w:dstrike w:val="0"/>
                <w:color w:val="auto"/>
                <w:spacing w:val="0"/>
                <w:position w:val="-2"/>
                <w:sz w:val="21"/>
                <w:szCs w:val="14"/>
                <w:highlight w:val="none"/>
                <w:vertAlign w:val="subscript"/>
                <w:lang w:val="en-US" w:eastAsia="zh-CN"/>
              </w:rPr>
              <w:t>5</w:t>
            </w:r>
            <w:r>
              <w:rPr>
                <w:rFonts w:ascii="Times New Roman" w:hAnsi="Times New Roman" w:eastAsia="宋体" w:cs="宋体"/>
                <w:strike w:val="0"/>
                <w:dstrike w:val="0"/>
                <w:color w:val="auto"/>
                <w:spacing w:val="0"/>
                <w:sz w:val="21"/>
                <w:szCs w:val="21"/>
                <w:highlight w:val="none"/>
              </w:rPr>
              <w:t>准噶尔盆地南部荒漠绿洲农业生态亚区</w:t>
            </w:r>
          </w:p>
        </w:tc>
      </w:tr>
      <w:tr w14:paraId="59B5D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jc w:val="center"/>
        </w:trPr>
        <w:tc>
          <w:tcPr>
            <w:tcW w:w="576" w:type="pct"/>
            <w:vMerge w:val="continue"/>
            <w:tcBorders>
              <w:top w:val="nil"/>
            </w:tcBorders>
            <w:vAlign w:val="center"/>
          </w:tcPr>
          <w:p w14:paraId="51DD499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807" w:type="pct"/>
            <w:vAlign w:val="center"/>
          </w:tcPr>
          <w:p w14:paraId="512924B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生态功能区</w:t>
            </w:r>
          </w:p>
        </w:tc>
        <w:tc>
          <w:tcPr>
            <w:tcW w:w="6011" w:type="dxa"/>
            <w:vAlign w:val="top"/>
          </w:tcPr>
          <w:p w14:paraId="3167A9FE">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28.阜康-木垒绿洲农业、荒漠草地保护生态功能区</w:t>
            </w:r>
          </w:p>
        </w:tc>
      </w:tr>
      <w:tr w14:paraId="28756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jc w:val="center"/>
        </w:trPr>
        <w:tc>
          <w:tcPr>
            <w:tcW w:w="1383" w:type="pct"/>
            <w:gridSpan w:val="2"/>
            <w:vAlign w:val="center"/>
          </w:tcPr>
          <w:p w14:paraId="64B6D6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主要生态服务功能</w:t>
            </w:r>
          </w:p>
        </w:tc>
        <w:tc>
          <w:tcPr>
            <w:tcW w:w="6011" w:type="dxa"/>
            <w:vAlign w:val="top"/>
          </w:tcPr>
          <w:p w14:paraId="4105E52A">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农牧业产品生产、人居环境、荒漠化控制</w:t>
            </w:r>
          </w:p>
        </w:tc>
      </w:tr>
      <w:tr w14:paraId="4275C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298" w:type="dxa"/>
            <w:gridSpan w:val="2"/>
            <w:vAlign w:val="top"/>
          </w:tcPr>
          <w:p w14:paraId="7296DBE3">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主要生态环境问题</w:t>
            </w:r>
          </w:p>
        </w:tc>
        <w:tc>
          <w:tcPr>
            <w:tcW w:w="6011" w:type="dxa"/>
            <w:vAlign w:val="top"/>
          </w:tcPr>
          <w:p w14:paraId="3D29CB5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地下水超采、荒漠植被退化、沙漠化威胁、局部土壤盐渍化、河流萎缩、滥开荒地</w:t>
            </w:r>
          </w:p>
        </w:tc>
      </w:tr>
      <w:tr w14:paraId="15A6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298" w:type="dxa"/>
            <w:gridSpan w:val="2"/>
            <w:vAlign w:val="top"/>
          </w:tcPr>
          <w:p w14:paraId="510CB44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主要生态敏感因子、敏感程度</w:t>
            </w:r>
          </w:p>
        </w:tc>
        <w:tc>
          <w:tcPr>
            <w:tcW w:w="6011" w:type="dxa"/>
            <w:vAlign w:val="top"/>
          </w:tcPr>
          <w:p w14:paraId="4661A0FB">
            <w:pPr>
              <w:spacing w:line="240" w:lineRule="auto"/>
              <w:ind w:firstLine="0" w:firstLineChars="0"/>
              <w:jc w:val="center"/>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生物多样性及其生态环境中敏感程度，土壤侵蚀轻度敏感，土地沙漠化中度敏感，土壤盐渍化轻度敏感</w:t>
            </w:r>
          </w:p>
        </w:tc>
      </w:tr>
      <w:tr w14:paraId="2BFBA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298" w:type="dxa"/>
            <w:gridSpan w:val="2"/>
            <w:vAlign w:val="top"/>
          </w:tcPr>
          <w:p w14:paraId="1E46ACAE">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主要保护目标</w:t>
            </w:r>
          </w:p>
        </w:tc>
        <w:tc>
          <w:tcPr>
            <w:tcW w:w="6011" w:type="dxa"/>
            <w:vAlign w:val="top"/>
          </w:tcPr>
          <w:p w14:paraId="6D5E0D83">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保护基本农田、保护荒漠植被、保护土壤环境质量</w:t>
            </w:r>
          </w:p>
        </w:tc>
      </w:tr>
      <w:tr w14:paraId="40FD0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jc w:val="center"/>
        </w:trPr>
        <w:tc>
          <w:tcPr>
            <w:tcW w:w="2298" w:type="dxa"/>
            <w:gridSpan w:val="2"/>
            <w:vAlign w:val="top"/>
          </w:tcPr>
          <w:p w14:paraId="7B3D0DB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主要保护措施</w:t>
            </w:r>
          </w:p>
        </w:tc>
        <w:tc>
          <w:tcPr>
            <w:tcW w:w="6011" w:type="dxa"/>
            <w:vAlign w:val="top"/>
          </w:tcPr>
          <w:p w14:paraId="13F0262A">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节水灌溉、草场休牧、对坡耕地和沙化土地实施退耕还林（草），在水源无保障、植被稀少、生态脆弱地带禁止开荒、加强农田投入品的使用管理</w:t>
            </w:r>
          </w:p>
        </w:tc>
      </w:tr>
      <w:tr w14:paraId="0105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2298" w:type="dxa"/>
            <w:gridSpan w:val="2"/>
            <w:vAlign w:val="top"/>
          </w:tcPr>
          <w:p w14:paraId="3D43C5ED">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适宜发展方向</w:t>
            </w:r>
          </w:p>
        </w:tc>
        <w:tc>
          <w:tcPr>
            <w:tcW w:w="6011" w:type="dxa"/>
            <w:vAlign w:val="top"/>
          </w:tcPr>
          <w:p w14:paraId="1583DB41">
            <w:pPr>
              <w:spacing w:line="240" w:lineRule="auto"/>
              <w:ind w:firstLine="0" w:firstLineChars="0"/>
              <w:jc w:val="center"/>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农牧结合，发展优质、高效特色农业和畜牧业</w:t>
            </w:r>
          </w:p>
        </w:tc>
      </w:tr>
    </w:tbl>
    <w:p w14:paraId="31A7E976">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现状用地性质</w:t>
      </w:r>
    </w:p>
    <w:p w14:paraId="4274D0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位于</w:t>
      </w:r>
      <w:r>
        <w:rPr>
          <w:rFonts w:hint="eastAsia" w:ascii="Times New Roman" w:hAnsi="Times New Roman" w:eastAsia="宋体"/>
          <w:strike w:val="0"/>
          <w:dstrike w:val="0"/>
          <w:color w:val="auto"/>
          <w:highlight w:val="none"/>
        </w:rPr>
        <w:t>昌吉木垒县博斯坦乡阿克卓勒村，用地性质为设施农用地，土地利用现状为荒草地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土地利用现状见附图4.2-3</w:t>
      </w:r>
      <w:r>
        <w:rPr>
          <w:rFonts w:hint="eastAsia" w:ascii="Times New Roman" w:hAnsi="Times New Roman" w:eastAsia="宋体"/>
          <w:strike w:val="0"/>
          <w:dstrike w:val="0"/>
          <w:color w:val="auto"/>
          <w:highlight w:val="none"/>
          <w:lang w:eastAsia="zh-CN"/>
        </w:rPr>
        <w:t>。</w:t>
      </w:r>
    </w:p>
    <w:p w14:paraId="169D3C0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土壤类型</w:t>
      </w:r>
    </w:p>
    <w:p w14:paraId="354CFF9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土质以轻壤、中壤为主，其次是沙壤、重壤、粘土等，土壤有机质含量为2.39%，含氮0.14%、含磷0.18%、碳酸钙14.9%，土壤</w:t>
      </w:r>
      <w:r>
        <w:rPr>
          <w:rFonts w:hint="eastAsia" w:ascii="Times New Roman" w:hAnsi="Times New Roman" w:eastAsia="宋体"/>
          <w:strike w:val="0"/>
          <w:dstrike w:val="0"/>
          <w:color w:val="auto"/>
          <w:highlight w:val="none"/>
          <w:lang w:eastAsia="zh-CN"/>
        </w:rPr>
        <w:t>pH值</w:t>
      </w:r>
      <w:r>
        <w:rPr>
          <w:rFonts w:hint="eastAsia" w:ascii="Times New Roman" w:hAnsi="Times New Roman" w:eastAsia="宋体"/>
          <w:strike w:val="0"/>
          <w:dstrike w:val="0"/>
          <w:color w:val="auto"/>
          <w:highlight w:val="none"/>
        </w:rPr>
        <w:t>为5.5~6.5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土壤理化和生物性能良好，土质宜农宜牧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土壤类型图见附图4.2-4</w:t>
      </w:r>
      <w:r>
        <w:rPr>
          <w:rFonts w:hint="eastAsia" w:ascii="Times New Roman" w:hAnsi="Times New Roman" w:eastAsia="宋体"/>
          <w:strike w:val="0"/>
          <w:dstrike w:val="0"/>
          <w:color w:val="auto"/>
          <w:highlight w:val="none"/>
          <w:lang w:eastAsia="zh-CN"/>
        </w:rPr>
        <w:t>。</w:t>
      </w:r>
    </w:p>
    <w:p w14:paraId="3B35838F">
      <w:pPr>
        <w:numPr>
          <w:ilvl w:val="0"/>
          <w:numId w:val="0"/>
        </w:numPr>
        <w:ind w:left="0" w:leftChars="0"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（6）</w:t>
      </w:r>
      <w:r>
        <w:rPr>
          <w:rFonts w:hint="eastAsia" w:ascii="Times New Roman" w:hAnsi="Times New Roman" w:eastAsia="宋体"/>
          <w:strike w:val="0"/>
          <w:dstrike w:val="0"/>
          <w:color w:val="auto"/>
          <w:highlight w:val="none"/>
          <w:lang w:val="en-US" w:eastAsia="zh-CN"/>
        </w:rPr>
        <w:t>植被类型</w:t>
      </w:r>
    </w:p>
    <w:p w14:paraId="009C127A">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本项目位于</w:t>
      </w:r>
      <w:r>
        <w:rPr>
          <w:rFonts w:hint="default" w:ascii="Times New Roman" w:hAnsi="Times New Roman" w:eastAsia="宋体"/>
          <w:strike w:val="0"/>
          <w:dstrike w:val="0"/>
          <w:color w:val="auto"/>
          <w:highlight w:val="none"/>
          <w:lang w:val="en-US" w:eastAsia="zh-CN"/>
        </w:rPr>
        <w:t>木垒哈萨克自治县</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植被型组</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荒漠</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植被型</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温带半灌木、矮半灌木荒漠</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群系</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驼绒藜荒漠</w:t>
      </w:r>
      <w:r>
        <w:rPr>
          <w:rFonts w:hint="eastAsia" w:ascii="Times New Roman" w:hAnsi="Times New Roman" w:eastAsia="宋体"/>
          <w:strike w:val="0"/>
          <w:dstrike w:val="0"/>
          <w:color w:val="auto"/>
          <w:highlight w:val="none"/>
          <w:lang w:val="en-US" w:eastAsia="zh-CN"/>
        </w:rPr>
        <w:t>，植被类型图见附图4.2-5。</w:t>
      </w:r>
    </w:p>
    <w:p w14:paraId="745A3E6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动物现状调查与评价</w:t>
      </w:r>
    </w:p>
    <w:p w14:paraId="61C58405">
      <w:pPr>
        <w:ind w:firstLine="480"/>
        <w:rPr>
          <w:rFonts w:hint="eastAsia" w:ascii="Times New Roman" w:hAnsi="Times New Roman" w:eastAsia="宋体"/>
          <w:strike w:val="0"/>
          <w:dstrike w:val="0"/>
          <w:color w:val="auto"/>
          <w:highlight w:val="none"/>
          <w:lang w:eastAsia="zh-CN"/>
        </w:rPr>
        <w:sectPr>
          <w:headerReference r:id="rId17" w:type="default"/>
          <w:footerReference r:id="rId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ascii="Times New Roman" w:hAnsi="Times New Roman" w:eastAsia="宋体"/>
          <w:strike w:val="0"/>
          <w:dstrike w:val="0"/>
          <w:color w:val="auto"/>
          <w:highlight w:val="none"/>
        </w:rPr>
        <w:t>本工程所在区域由于人类活动，无珍稀野生动物分布，仅生存着小型啮齿类动物，如麻雀、燕子、野鼠类等</w:t>
      </w:r>
      <w:r>
        <w:rPr>
          <w:rFonts w:hint="eastAsia" w:ascii="Times New Roman" w:hAnsi="Times New Roman" w:eastAsia="宋体"/>
          <w:strike w:val="0"/>
          <w:dstrike w:val="0"/>
          <w:color w:val="auto"/>
          <w:highlight w:val="none"/>
          <w:lang w:eastAsia="zh-CN"/>
        </w:rPr>
        <w:t>。</w:t>
      </w:r>
    </w:p>
    <w:p w14:paraId="57794613">
      <w:pPr>
        <w:pStyle w:val="2"/>
        <w:rPr>
          <w:rFonts w:ascii="Times New Roman" w:hAnsi="Times New Roman" w:eastAsia="宋体"/>
          <w:strike w:val="0"/>
          <w:dstrike w:val="0"/>
          <w:color w:val="auto"/>
          <w:highlight w:val="none"/>
        </w:rPr>
      </w:pPr>
      <w:bookmarkStart w:id="214" w:name="_Toc89619342"/>
      <w:bookmarkStart w:id="215" w:name="_Toc19376"/>
      <w:r>
        <w:rPr>
          <w:rFonts w:hint="eastAsia" w:ascii="Times New Roman" w:hAnsi="Times New Roman" w:eastAsia="宋体"/>
          <w:strike w:val="0"/>
          <w:dstrike w:val="0"/>
          <w:color w:val="auto"/>
          <w:highlight w:val="none"/>
        </w:rPr>
        <w:t>5、建设项目环境影响分析</w:t>
      </w:r>
      <w:bookmarkEnd w:id="214"/>
      <w:bookmarkEnd w:id="215"/>
    </w:p>
    <w:p w14:paraId="1215EA65">
      <w:pPr>
        <w:pStyle w:val="3"/>
        <w:rPr>
          <w:rFonts w:ascii="Times New Roman" w:hAnsi="Times New Roman" w:eastAsia="宋体"/>
          <w:strike w:val="0"/>
          <w:dstrike w:val="0"/>
          <w:color w:val="auto"/>
          <w:highlight w:val="none"/>
        </w:rPr>
      </w:pPr>
      <w:bookmarkStart w:id="216" w:name="_Toc19741"/>
      <w:bookmarkStart w:id="217" w:name="_Toc89619343"/>
      <w:r>
        <w:rPr>
          <w:rFonts w:hint="eastAsia" w:ascii="Times New Roman" w:hAnsi="Times New Roman" w:eastAsia="宋体"/>
          <w:strike w:val="0"/>
          <w:dstrike w:val="0"/>
          <w:color w:val="auto"/>
          <w:highlight w:val="none"/>
        </w:rPr>
        <w:t>5.1施工期环境影响分析</w:t>
      </w:r>
      <w:bookmarkEnd w:id="216"/>
      <w:bookmarkEnd w:id="217"/>
    </w:p>
    <w:p w14:paraId="0AA815C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期主要包括基础工程、主体工程、设备安装、装饰工程、工程验收等工序，其过程主要污染物为施工期厂界范围内的施工扬尘、施工设备燃油废气、施工噪声、施工废水、施工生活废水、施工填方、取土、施工建筑弃土、建筑废渣及施工占地产生的生态环境</w:t>
      </w:r>
      <w:r>
        <w:rPr>
          <w:rFonts w:hint="eastAsia" w:ascii="Times New Roman" w:hAnsi="Times New Roman" w:eastAsia="宋体"/>
          <w:strike w:val="0"/>
          <w:dstrike w:val="0"/>
          <w:color w:val="auto"/>
          <w:highlight w:val="none"/>
          <w:lang w:eastAsia="zh-CN"/>
        </w:rPr>
        <w:t>。</w:t>
      </w:r>
    </w:p>
    <w:p w14:paraId="29CEBC3A">
      <w:pPr>
        <w:pStyle w:val="4"/>
        <w:rPr>
          <w:rFonts w:ascii="Times New Roman" w:hAnsi="Times New Roman" w:eastAsia="宋体"/>
          <w:strike w:val="0"/>
          <w:dstrike w:val="0"/>
          <w:color w:val="auto"/>
          <w:highlight w:val="none"/>
        </w:rPr>
      </w:pPr>
      <w:bookmarkStart w:id="218" w:name="_Toc4184"/>
      <w:bookmarkStart w:id="219" w:name="_Toc106663494"/>
      <w:r>
        <w:rPr>
          <w:rFonts w:hint="eastAsia" w:ascii="Times New Roman" w:hAnsi="Times New Roman" w:eastAsia="宋体"/>
          <w:strike w:val="0"/>
          <w:dstrike w:val="0"/>
          <w:color w:val="auto"/>
          <w:highlight w:val="none"/>
        </w:rPr>
        <w:t>5.1.1施工期大气环境影响分析</w:t>
      </w:r>
      <w:bookmarkEnd w:id="218"/>
      <w:bookmarkEnd w:id="219"/>
    </w:p>
    <w:p w14:paraId="0C6B2F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5.1.1.1施工扬尘</w:t>
      </w:r>
    </w:p>
    <w:p w14:paraId="6400D814">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本项目施工期扬尘主要是主体工程、辅助工程、公用工程基础施工、环保工程等的土建挖取土（石）、推土、场地平整、施工沙石材料等的装卸、运输过程中产生的扬尘以及土石方的临时堆放过程中产生的扬尘，施工扬尘产生与施工管理、气象（特别是风速）条件等密切相关，也与扬尘本身沉降速度有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如遇干旱无雨季节，在大风时，施工扬尘将更严重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据有关调查显示，施工工地的扬尘主要是由运输车辆行驶产生，与道路路面及车辆行驶速度有关，约占扬尘总量的60%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在完全干燥情况下，可按经验公式计算：</w:t>
      </w:r>
    </w:p>
    <w:p w14:paraId="7EDC4A00">
      <w:pPr>
        <w:ind w:firstLine="0" w:firstLineChars="0"/>
        <w:jc w:val="center"/>
        <w:rPr>
          <w:rFonts w:ascii="Times New Roman" w:hAnsi="Times New Roman" w:eastAsia="宋体"/>
          <w:bCs/>
          <w:strike w:val="0"/>
          <w:dstrike w:val="0"/>
          <w:color w:val="auto"/>
          <w:highlight w:val="none"/>
        </w:rPr>
      </w:pPr>
      <w:r>
        <w:rPr>
          <w:rFonts w:ascii="Times New Roman" w:hAnsi="Times New Roman" w:eastAsia="宋体"/>
          <w:strike w:val="0"/>
          <w:dstrike w:val="0"/>
          <w:color w:val="auto"/>
          <w:position w:val="-36"/>
          <w:highlight w:val="none"/>
        </w:rPr>
        <w:object>
          <v:shape id="_x0000_i1031" o:spt="75" type="#_x0000_t75" style="height:35.05pt;width:154.1pt;" o:ole="t" filled="f" o:preferrelative="t" stroked="f" coordsize="21600,21600">
            <v:path/>
            <v:fill on="f" focussize="0,0"/>
            <v:stroke on="f" joinstyle="miter"/>
            <v:imagedata r:id="rId44" o:title=""/>
            <o:lock v:ext="edit" aspectratio="t"/>
            <w10:wrap type="none"/>
            <w10:anchorlock/>
          </v:shape>
          <o:OLEObject Type="Embed" ProgID="Equation.AxMath" ShapeID="_x0000_i1031" DrawAspect="Content" ObjectID="_1468075731" r:id="rId43">
            <o:LockedField>false</o:LockedField>
          </o:OLEObject>
        </w:object>
      </w:r>
    </w:p>
    <w:p w14:paraId="658CE7C8">
      <w:pPr>
        <w:ind w:firstLine="48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式中：Q</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汽车行驶时的扬尘，kg/km.辆；</w:t>
      </w:r>
    </w:p>
    <w:p w14:paraId="65A0648E">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V</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汽车速度，km/h；</w:t>
      </w:r>
    </w:p>
    <w:p w14:paraId="72FA36DF">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W</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汽车载重量，吨；</w:t>
      </w:r>
    </w:p>
    <w:p w14:paraId="43358DD3">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P</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道路表面粉尘量，kg/m</w:t>
      </w:r>
      <w:r>
        <w:rPr>
          <w:rFonts w:ascii="Times New Roman" w:hAnsi="Times New Roman" w:eastAsia="宋体"/>
          <w:bCs/>
          <w:strike w:val="0"/>
          <w:dstrike w:val="0"/>
          <w:color w:val="auto"/>
          <w:highlight w:val="none"/>
          <w:vertAlign w:val="superscript"/>
        </w:rPr>
        <w:t>2</w:t>
      </w:r>
    </w:p>
    <w:p w14:paraId="2482425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一辆载重20t的卡车，通过一段长度为500m的路面时，不同表面清洁程度，不同行驶速度情况下产生的扬尘量如表5.1-1所示</w:t>
      </w:r>
      <w:r>
        <w:rPr>
          <w:rFonts w:hint="eastAsia" w:ascii="Times New Roman" w:hAnsi="Times New Roman" w:eastAsia="宋体"/>
          <w:strike w:val="0"/>
          <w:dstrike w:val="0"/>
          <w:color w:val="auto"/>
          <w:highlight w:val="none"/>
          <w:lang w:eastAsia="zh-CN"/>
        </w:rPr>
        <w:t>。</w:t>
      </w:r>
    </w:p>
    <w:p w14:paraId="06683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表5.1-1不同车速和地面清洁程度时的汽车扬尘单位：kg/km·辆</w:t>
      </w:r>
    </w:p>
    <w:tbl>
      <w:tblPr>
        <w:tblStyle w:val="3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1"/>
        <w:gridCol w:w="1095"/>
        <w:gridCol w:w="851"/>
        <w:gridCol w:w="947"/>
        <w:gridCol w:w="949"/>
        <w:gridCol w:w="945"/>
        <w:gridCol w:w="944"/>
      </w:tblGrid>
      <w:tr w14:paraId="4D21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2DFB613B">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车速</w:t>
            </w:r>
            <w:r>
              <w:rPr>
                <w:rFonts w:ascii="Times New Roman" w:hAnsi="Times New Roman" w:eastAsia="宋体"/>
                <w:bCs/>
                <w:strike w:val="0"/>
                <w:dstrike w:val="0"/>
                <w:color w:val="auto"/>
                <w:kern w:val="2"/>
                <w:sz w:val="21"/>
                <w:szCs w:val="21"/>
                <w:highlight w:val="none"/>
              </w:rPr>
              <w:t>（</w:t>
            </w:r>
            <w:r>
              <w:rPr>
                <w:rFonts w:hint="eastAsia" w:ascii="Times New Roman" w:hAnsi="Times New Roman" w:eastAsia="宋体"/>
                <w:bCs/>
                <w:strike w:val="0"/>
                <w:dstrike w:val="0"/>
                <w:color w:val="auto"/>
                <w:kern w:val="2"/>
                <w:sz w:val="21"/>
                <w:szCs w:val="21"/>
                <w:highlight w:val="none"/>
              </w:rPr>
              <w:t>k</w:t>
            </w:r>
            <w:r>
              <w:rPr>
                <w:rFonts w:ascii="Times New Roman" w:hAnsi="Times New Roman" w:eastAsia="宋体"/>
                <w:bCs/>
                <w:strike w:val="0"/>
                <w:dstrike w:val="0"/>
                <w:color w:val="auto"/>
                <w:kern w:val="2"/>
                <w:sz w:val="21"/>
                <w:szCs w:val="21"/>
                <w:highlight w:val="none"/>
              </w:rPr>
              <w:t>m/</w:t>
            </w:r>
            <w:r>
              <w:rPr>
                <w:rFonts w:hint="eastAsia" w:ascii="Times New Roman" w:hAnsi="Times New Roman" w:eastAsia="宋体"/>
                <w:bCs/>
                <w:strike w:val="0"/>
                <w:dstrike w:val="0"/>
                <w:color w:val="auto"/>
                <w:kern w:val="2"/>
                <w:sz w:val="21"/>
                <w:szCs w:val="21"/>
                <w:highlight w:val="none"/>
              </w:rPr>
              <w:t>h</w:t>
            </w:r>
            <w:r>
              <w:rPr>
                <w:rFonts w:ascii="Times New Roman" w:hAnsi="Times New Roman" w:eastAsia="宋体"/>
                <w:bCs/>
                <w:strike w:val="0"/>
                <w:dstrike w:val="0"/>
                <w:color w:val="auto"/>
                <w:kern w:val="2"/>
                <w:sz w:val="21"/>
                <w:szCs w:val="21"/>
                <w:highlight w:val="none"/>
              </w:rPr>
              <w:t>）</w:t>
            </w:r>
          </w:p>
          <w:p w14:paraId="557248C9">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P（kg</w:t>
            </w:r>
            <w:r>
              <w:rPr>
                <w:rFonts w:hint="eastAsia" w:ascii="Times New Roman" w:hAnsi="Times New Roman" w:eastAsia="宋体" w:cs="宋体"/>
                <w:bCs/>
                <w:strike w:val="0"/>
                <w:dstrike w:val="0"/>
                <w:color w:val="auto"/>
                <w:kern w:val="2"/>
                <w:sz w:val="21"/>
                <w:szCs w:val="21"/>
                <w:highlight w:val="none"/>
              </w:rPr>
              <w:t>/</w:t>
            </w:r>
            <w:r>
              <w:rPr>
                <w:rFonts w:hint="eastAsia" w:ascii="Times New Roman" w:hAnsi="Times New Roman" w:eastAsia="宋体"/>
                <w:bCs/>
                <w:strike w:val="0"/>
                <w:dstrike w:val="0"/>
                <w:color w:val="auto"/>
                <w:kern w:val="2"/>
                <w:sz w:val="21"/>
                <w:szCs w:val="21"/>
                <w:highlight w:val="none"/>
              </w:rPr>
              <w:t>m</w:t>
            </w:r>
            <w:r>
              <w:rPr>
                <w:rFonts w:hint="eastAsia" w:ascii="Times New Roman" w:hAnsi="Times New Roman" w:eastAsia="宋体"/>
                <w:bCs/>
                <w:strike w:val="0"/>
                <w:dstrike w:val="0"/>
                <w:color w:val="auto"/>
                <w:kern w:val="2"/>
                <w:sz w:val="21"/>
                <w:szCs w:val="21"/>
                <w:highlight w:val="none"/>
                <w:vertAlign w:val="superscript"/>
              </w:rPr>
              <w:t>2</w:t>
            </w:r>
            <w:r>
              <w:rPr>
                <w:rFonts w:hint="eastAsia" w:ascii="Times New Roman" w:hAnsi="Times New Roman" w:eastAsia="宋体"/>
                <w:bCs/>
                <w:strike w:val="0"/>
                <w:dstrike w:val="0"/>
                <w:color w:val="auto"/>
                <w:kern w:val="2"/>
                <w:sz w:val="21"/>
                <w:szCs w:val="21"/>
                <w:highlight w:val="none"/>
              </w:rPr>
              <w:t>）</w:t>
            </w:r>
          </w:p>
        </w:tc>
        <w:tc>
          <w:tcPr>
            <w:tcW w:w="660" w:type="pct"/>
            <w:tcBorders>
              <w:tl2br w:val="nil"/>
              <w:tr2bl w:val="nil"/>
            </w:tcBorders>
            <w:vAlign w:val="center"/>
          </w:tcPr>
          <w:p w14:paraId="08FD0715">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0.1</w:t>
            </w:r>
          </w:p>
        </w:tc>
        <w:tc>
          <w:tcPr>
            <w:tcW w:w="513" w:type="pct"/>
            <w:tcBorders>
              <w:tl2br w:val="nil"/>
              <w:tr2bl w:val="nil"/>
            </w:tcBorders>
            <w:vAlign w:val="center"/>
          </w:tcPr>
          <w:p w14:paraId="4A8C4DB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0.2</w:t>
            </w:r>
          </w:p>
        </w:tc>
        <w:tc>
          <w:tcPr>
            <w:tcW w:w="571" w:type="pct"/>
            <w:tcBorders>
              <w:tl2br w:val="nil"/>
              <w:tr2bl w:val="nil"/>
            </w:tcBorders>
            <w:vAlign w:val="center"/>
          </w:tcPr>
          <w:p w14:paraId="01355629">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0.3</w:t>
            </w:r>
          </w:p>
        </w:tc>
        <w:tc>
          <w:tcPr>
            <w:tcW w:w="572" w:type="pct"/>
            <w:tcBorders>
              <w:tl2br w:val="nil"/>
              <w:tr2bl w:val="nil"/>
            </w:tcBorders>
            <w:vAlign w:val="center"/>
          </w:tcPr>
          <w:p w14:paraId="4BA89FA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0.4</w:t>
            </w:r>
          </w:p>
        </w:tc>
        <w:tc>
          <w:tcPr>
            <w:tcW w:w="570" w:type="pct"/>
            <w:tcBorders>
              <w:tl2br w:val="nil"/>
              <w:tr2bl w:val="nil"/>
            </w:tcBorders>
            <w:vAlign w:val="center"/>
          </w:tcPr>
          <w:p w14:paraId="50E0AA8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0.5</w:t>
            </w:r>
          </w:p>
        </w:tc>
        <w:tc>
          <w:tcPr>
            <w:tcW w:w="570" w:type="pct"/>
            <w:tcBorders>
              <w:tl2br w:val="nil"/>
              <w:tr2bl w:val="nil"/>
            </w:tcBorders>
            <w:vAlign w:val="center"/>
          </w:tcPr>
          <w:p w14:paraId="5CE8B6AB">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1.0</w:t>
            </w:r>
          </w:p>
        </w:tc>
      </w:tr>
      <w:tr w14:paraId="099D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4760F2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5</w:t>
            </w:r>
          </w:p>
        </w:tc>
        <w:tc>
          <w:tcPr>
            <w:tcW w:w="660" w:type="pct"/>
            <w:tcBorders>
              <w:tl2br w:val="nil"/>
              <w:tr2bl w:val="nil"/>
            </w:tcBorders>
            <w:vAlign w:val="center"/>
          </w:tcPr>
          <w:p w14:paraId="191B17D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0.0323</w:t>
            </w:r>
          </w:p>
        </w:tc>
        <w:tc>
          <w:tcPr>
            <w:tcW w:w="513" w:type="pct"/>
            <w:tcBorders>
              <w:tl2br w:val="nil"/>
              <w:tr2bl w:val="nil"/>
            </w:tcBorders>
            <w:vAlign w:val="center"/>
          </w:tcPr>
          <w:p w14:paraId="651180C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0.0576</w:t>
            </w:r>
          </w:p>
        </w:tc>
        <w:tc>
          <w:tcPr>
            <w:tcW w:w="571" w:type="pct"/>
            <w:tcBorders>
              <w:tl2br w:val="nil"/>
              <w:tr2bl w:val="nil"/>
            </w:tcBorders>
            <w:vAlign w:val="center"/>
          </w:tcPr>
          <w:p w14:paraId="516BF0DC">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0.0946</w:t>
            </w:r>
          </w:p>
        </w:tc>
        <w:tc>
          <w:tcPr>
            <w:tcW w:w="572" w:type="pct"/>
            <w:tcBorders>
              <w:tl2br w:val="nil"/>
              <w:tr2bl w:val="nil"/>
            </w:tcBorders>
            <w:vAlign w:val="center"/>
          </w:tcPr>
          <w:p w14:paraId="5A620A4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0.1427</w:t>
            </w:r>
          </w:p>
        </w:tc>
        <w:tc>
          <w:tcPr>
            <w:tcW w:w="570" w:type="pct"/>
            <w:tcBorders>
              <w:tl2br w:val="nil"/>
              <w:tr2bl w:val="nil"/>
            </w:tcBorders>
            <w:vAlign w:val="center"/>
          </w:tcPr>
          <w:p w14:paraId="2ABA164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0.1760</w:t>
            </w:r>
          </w:p>
        </w:tc>
        <w:tc>
          <w:tcPr>
            <w:tcW w:w="570" w:type="pct"/>
            <w:tcBorders>
              <w:tl2br w:val="nil"/>
              <w:tr2bl w:val="nil"/>
            </w:tcBorders>
            <w:vAlign w:val="center"/>
          </w:tcPr>
          <w:p w14:paraId="728E181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0.2393</w:t>
            </w:r>
          </w:p>
        </w:tc>
      </w:tr>
      <w:tr w14:paraId="0F1C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706EDCD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10</w:t>
            </w:r>
          </w:p>
        </w:tc>
        <w:tc>
          <w:tcPr>
            <w:tcW w:w="660" w:type="pct"/>
            <w:tcBorders>
              <w:tl2br w:val="nil"/>
              <w:tr2bl w:val="nil"/>
            </w:tcBorders>
            <w:vAlign w:val="center"/>
          </w:tcPr>
          <w:p w14:paraId="1DA4412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0.0716</w:t>
            </w:r>
          </w:p>
        </w:tc>
        <w:tc>
          <w:tcPr>
            <w:tcW w:w="513" w:type="pct"/>
            <w:tcBorders>
              <w:tl2br w:val="nil"/>
              <w:tr2bl w:val="nil"/>
            </w:tcBorders>
            <w:vAlign w:val="center"/>
          </w:tcPr>
          <w:p w14:paraId="30B859F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0.1253</w:t>
            </w:r>
          </w:p>
        </w:tc>
        <w:tc>
          <w:tcPr>
            <w:tcW w:w="571" w:type="pct"/>
            <w:tcBorders>
              <w:tl2br w:val="nil"/>
              <w:tr2bl w:val="nil"/>
            </w:tcBorders>
            <w:vAlign w:val="center"/>
          </w:tcPr>
          <w:p w14:paraId="01961DE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0.1638</w:t>
            </w:r>
          </w:p>
        </w:tc>
        <w:tc>
          <w:tcPr>
            <w:tcW w:w="572" w:type="pct"/>
            <w:tcBorders>
              <w:tl2br w:val="nil"/>
              <w:tr2bl w:val="nil"/>
            </w:tcBorders>
            <w:vAlign w:val="center"/>
          </w:tcPr>
          <w:p w14:paraId="5D27F3B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0.2325</w:t>
            </w:r>
          </w:p>
        </w:tc>
        <w:tc>
          <w:tcPr>
            <w:tcW w:w="570" w:type="pct"/>
            <w:tcBorders>
              <w:tl2br w:val="nil"/>
              <w:tr2bl w:val="nil"/>
            </w:tcBorders>
            <w:vAlign w:val="center"/>
          </w:tcPr>
          <w:p w14:paraId="7E95BBE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0.2231</w:t>
            </w:r>
          </w:p>
        </w:tc>
        <w:tc>
          <w:tcPr>
            <w:tcW w:w="570" w:type="pct"/>
            <w:tcBorders>
              <w:tl2br w:val="nil"/>
              <w:tr2bl w:val="nil"/>
            </w:tcBorders>
            <w:vAlign w:val="center"/>
          </w:tcPr>
          <w:p w14:paraId="7DFE7BC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0.4286</w:t>
            </w:r>
          </w:p>
        </w:tc>
      </w:tr>
      <w:tr w14:paraId="215A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65F10E0">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15</w:t>
            </w:r>
          </w:p>
        </w:tc>
        <w:tc>
          <w:tcPr>
            <w:tcW w:w="660" w:type="pct"/>
            <w:tcBorders>
              <w:tl2br w:val="nil"/>
              <w:tr2bl w:val="nil"/>
            </w:tcBorders>
            <w:vAlign w:val="center"/>
          </w:tcPr>
          <w:p w14:paraId="2474523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0.1050</w:t>
            </w:r>
          </w:p>
        </w:tc>
        <w:tc>
          <w:tcPr>
            <w:tcW w:w="513" w:type="pct"/>
            <w:tcBorders>
              <w:tl2br w:val="nil"/>
              <w:tr2bl w:val="nil"/>
            </w:tcBorders>
            <w:vAlign w:val="center"/>
          </w:tcPr>
          <w:p w14:paraId="185F6C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0.1636</w:t>
            </w:r>
          </w:p>
        </w:tc>
        <w:tc>
          <w:tcPr>
            <w:tcW w:w="571" w:type="pct"/>
            <w:tcBorders>
              <w:tl2br w:val="nil"/>
              <w:tr2bl w:val="nil"/>
            </w:tcBorders>
            <w:vAlign w:val="center"/>
          </w:tcPr>
          <w:p w14:paraId="542BEC8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0.2342</w:t>
            </w:r>
          </w:p>
        </w:tc>
        <w:tc>
          <w:tcPr>
            <w:tcW w:w="572" w:type="pct"/>
            <w:tcBorders>
              <w:tl2br w:val="nil"/>
              <w:tr2bl w:val="nil"/>
            </w:tcBorders>
            <w:vAlign w:val="center"/>
          </w:tcPr>
          <w:p w14:paraId="2805F49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0.3603</w:t>
            </w:r>
          </w:p>
        </w:tc>
        <w:tc>
          <w:tcPr>
            <w:tcW w:w="570" w:type="pct"/>
            <w:tcBorders>
              <w:tl2br w:val="nil"/>
              <w:tr2bl w:val="nil"/>
            </w:tcBorders>
            <w:vAlign w:val="center"/>
          </w:tcPr>
          <w:p w14:paraId="23F443A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0.4314</w:t>
            </w:r>
          </w:p>
        </w:tc>
        <w:tc>
          <w:tcPr>
            <w:tcW w:w="570" w:type="pct"/>
            <w:tcBorders>
              <w:tl2br w:val="nil"/>
              <w:tr2bl w:val="nil"/>
            </w:tcBorders>
            <w:vAlign w:val="center"/>
          </w:tcPr>
          <w:p w14:paraId="1DA31C9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0.6878</w:t>
            </w:r>
          </w:p>
        </w:tc>
      </w:tr>
      <w:tr w14:paraId="616F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88B09F1">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20</w:t>
            </w:r>
          </w:p>
        </w:tc>
        <w:tc>
          <w:tcPr>
            <w:tcW w:w="660" w:type="pct"/>
            <w:tcBorders>
              <w:tl2br w:val="nil"/>
              <w:tr2bl w:val="nil"/>
            </w:tcBorders>
            <w:vAlign w:val="center"/>
          </w:tcPr>
          <w:p w14:paraId="5CF77FD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0.1433</w:t>
            </w:r>
          </w:p>
        </w:tc>
        <w:tc>
          <w:tcPr>
            <w:tcW w:w="513" w:type="pct"/>
            <w:tcBorders>
              <w:tl2br w:val="nil"/>
              <w:tr2bl w:val="nil"/>
            </w:tcBorders>
            <w:vAlign w:val="center"/>
          </w:tcPr>
          <w:p w14:paraId="5462F2D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0.2105</w:t>
            </w:r>
          </w:p>
        </w:tc>
        <w:tc>
          <w:tcPr>
            <w:tcW w:w="571" w:type="pct"/>
            <w:tcBorders>
              <w:tl2br w:val="nil"/>
              <w:tr2bl w:val="nil"/>
            </w:tcBorders>
            <w:vAlign w:val="center"/>
          </w:tcPr>
          <w:p w14:paraId="0ED9701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0.2741</w:t>
            </w:r>
          </w:p>
        </w:tc>
        <w:tc>
          <w:tcPr>
            <w:tcW w:w="572" w:type="pct"/>
            <w:tcBorders>
              <w:tl2br w:val="nil"/>
              <w:tr2bl w:val="nil"/>
            </w:tcBorders>
            <w:vAlign w:val="center"/>
          </w:tcPr>
          <w:p w14:paraId="39C28E9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0.4204</w:t>
            </w:r>
          </w:p>
        </w:tc>
        <w:tc>
          <w:tcPr>
            <w:tcW w:w="570" w:type="pct"/>
            <w:tcBorders>
              <w:tl2br w:val="nil"/>
              <w:tr2bl w:val="nil"/>
            </w:tcBorders>
            <w:vAlign w:val="center"/>
          </w:tcPr>
          <w:p w14:paraId="306046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0.5828</w:t>
            </w:r>
          </w:p>
        </w:tc>
        <w:tc>
          <w:tcPr>
            <w:tcW w:w="570" w:type="pct"/>
            <w:tcBorders>
              <w:tl2br w:val="nil"/>
              <w:tr2bl w:val="nil"/>
            </w:tcBorders>
            <w:vAlign w:val="center"/>
          </w:tcPr>
          <w:p w14:paraId="6ADE065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0.8471</w:t>
            </w:r>
          </w:p>
        </w:tc>
      </w:tr>
    </w:tbl>
    <w:p w14:paraId="2407E4D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由表5.1-1可见，在同样路面清洁情况下，车速越快，扬尘量越大；而在同样车速情况下，路面清洁度越差，则扬尘量越大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根据类比调查，一般情况下，施工场地、施工道路在自然风作用下产生的扬尘所影响的范围在100m以内</w:t>
      </w:r>
      <w:r>
        <w:rPr>
          <w:rFonts w:hint="eastAsia" w:ascii="Times New Roman" w:hAnsi="Times New Roman" w:eastAsia="宋体"/>
          <w:strike w:val="0"/>
          <w:dstrike w:val="0"/>
          <w:color w:val="auto"/>
          <w:highlight w:val="none"/>
          <w:lang w:eastAsia="zh-CN"/>
        </w:rPr>
        <w:t>。</w:t>
      </w:r>
    </w:p>
    <w:p w14:paraId="42668E18">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抑制扬尘的一个简洁有效的措施是洒水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如果在施工期内对车辆行驶的路面实施洒水抑尘，每天洒水4-5次，可使扬尘减少70%左右</w:t>
      </w:r>
      <w:r>
        <w:rPr>
          <w:rFonts w:hint="eastAsia" w:ascii="Times New Roman" w:hAnsi="Times New Roman" w:eastAsia="宋体"/>
          <w:strike w:val="0"/>
          <w:dstrike w:val="0"/>
          <w:color w:val="auto"/>
          <w:highlight w:val="none"/>
          <w:lang w:eastAsia="zh-CN"/>
        </w:rPr>
        <w:t>。</w:t>
      </w:r>
    </w:p>
    <w:p w14:paraId="75FA574B">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施工扬尘的另一种重要产生方式是建筑材料的露天堆放和搅拌作业，这类扬尘的主要特点是受作业时风速大小的影响显著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因此，禁止在大风天气时进行此类作业以及减少建筑材料的露天堆放是抑制这类扬尘的一种很有效的手段</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对水泥、粉煤灰等细颗粒散体材料在运输、储存时采取遮盖、密封的措施，防止和减少飞扬</w:t>
      </w:r>
      <w:r>
        <w:rPr>
          <w:rFonts w:hint="eastAsia" w:ascii="Times New Roman" w:hAnsi="Times New Roman" w:eastAsia="宋体"/>
          <w:strike w:val="0"/>
          <w:dstrike w:val="0"/>
          <w:color w:val="auto"/>
          <w:highlight w:val="none"/>
          <w:lang w:eastAsia="zh-CN"/>
        </w:rPr>
        <w:t>。</w:t>
      </w:r>
    </w:p>
    <w:p w14:paraId="56117802">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针对施工期扬尘，根据《防治城市扬尘污染技术规范》（HJ/T393-2007）中有关规定要求，本环评要求加强对施工工地扬尘污染的管理与控制</w:t>
      </w:r>
      <w:r>
        <w:rPr>
          <w:rFonts w:hint="eastAsia" w:ascii="Times New Roman" w:hAnsi="Times New Roman" w:eastAsia="宋体"/>
          <w:strike w:val="0"/>
          <w:dstrike w:val="0"/>
          <w:color w:val="auto"/>
          <w:highlight w:val="none"/>
          <w:lang w:eastAsia="zh-CN"/>
        </w:rPr>
        <w:t>。</w:t>
      </w:r>
    </w:p>
    <w:p w14:paraId="5452CEA0">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5.1.1.2燃油机械及机动车废气</w:t>
      </w:r>
    </w:p>
    <w:p w14:paraId="4753CB3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施工期主要是施工机械以及运输车辆排放的尾气，尾气中主要污染物有THC、颗粒物、CO、NO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由于车辆主要在施工现场范围内活动，尾气呈面源污染形式，车辆排气高度较低，尾气扩散范围不大，加之项目区较为平坦开阔，尾气扩散条件良好，另外，施工机械及车辆为非连续行驶状态，污染物排放时间及排放量也相对较小，因此施工机械以及运输车辆尾气对周围区域影响较小</w:t>
      </w:r>
      <w:r>
        <w:rPr>
          <w:rFonts w:hint="eastAsia" w:ascii="Times New Roman" w:hAnsi="Times New Roman" w:eastAsia="宋体"/>
          <w:strike w:val="0"/>
          <w:dstrike w:val="0"/>
          <w:color w:val="auto"/>
          <w:highlight w:val="none"/>
          <w:lang w:eastAsia="zh-CN"/>
        </w:rPr>
        <w:t>。</w:t>
      </w:r>
    </w:p>
    <w:p w14:paraId="324E1128">
      <w:pPr>
        <w:pStyle w:val="4"/>
        <w:rPr>
          <w:rFonts w:ascii="Times New Roman" w:hAnsi="Times New Roman" w:eastAsia="宋体"/>
          <w:strike w:val="0"/>
          <w:dstrike w:val="0"/>
          <w:color w:val="auto"/>
          <w:highlight w:val="none"/>
        </w:rPr>
      </w:pPr>
      <w:bookmarkStart w:id="220" w:name="_Toc30097"/>
      <w:bookmarkStart w:id="221" w:name="_Toc106663495"/>
      <w:r>
        <w:rPr>
          <w:rFonts w:hint="eastAsia" w:ascii="Times New Roman" w:hAnsi="Times New Roman" w:eastAsia="宋体"/>
          <w:strike w:val="0"/>
          <w:dstrike w:val="0"/>
          <w:color w:val="auto"/>
          <w:highlight w:val="none"/>
        </w:rPr>
        <w:t>5.1.2施工期水环境影响分析</w:t>
      </w:r>
      <w:bookmarkEnd w:id="220"/>
      <w:bookmarkEnd w:id="221"/>
    </w:p>
    <w:p w14:paraId="37E70B0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5.1.2.1施工废水</w:t>
      </w:r>
    </w:p>
    <w:p w14:paraId="11CDC87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施工废水主要是指在制砂浆、混凝土养护等作业中，多余或泄漏的废水，以及清洗模板、机具、车辆设备、场地卫生等排放的污水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主要污染因子为SS，含一定量的泥沙、少量水泥和油污，随工程进度不同产生情况不同，也与操作人员的经验、素质等因素有关，产生量与排放量较难估算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废水中含固体杂质较多，以泥沙为主，施工期废水水量不大，一般产生不了径流，形成不了有组织排水，这部分废水在施工现场因自然蒸发、渗漏等原因而消耗，但若不经处理或处理不当直接外排，同样危害环境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因此要求建设项目的工地应设置简易防渗沉淀池沉淀后回用于生产，项目产生的施工废水均不外排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生产废水的产生量与工地管理水平关系极大，如果管理不善，可能造成施工现场污水横流，对工地周围的环境会造成一定的影响</w:t>
      </w:r>
      <w:r>
        <w:rPr>
          <w:rFonts w:hint="eastAsia" w:ascii="Times New Roman" w:hAnsi="Times New Roman" w:eastAsia="宋体"/>
          <w:strike w:val="0"/>
          <w:dstrike w:val="0"/>
          <w:color w:val="auto"/>
          <w:highlight w:val="none"/>
          <w:lang w:eastAsia="zh-CN"/>
        </w:rPr>
        <w:t>。</w:t>
      </w:r>
    </w:p>
    <w:p w14:paraId="483532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5.1.2.2生活废水</w:t>
      </w:r>
    </w:p>
    <w:p w14:paraId="439D923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本项目施工期施工工人约30人左右，生活污水排放量约为0.96m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/d</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在施工期外排生活污水若不集中处理，其对环境的影响主要表现在：影响施工区环境卫生、有可能污染地下水、易造成土壤理化性质改变，土壤层缺氧及臭气污染等</w:t>
      </w:r>
      <w:r>
        <w:rPr>
          <w:rFonts w:hint="eastAsia" w:ascii="Times New Roman" w:hAnsi="Times New Roman" w:eastAsia="宋体"/>
          <w:strike w:val="0"/>
          <w:dstrike w:val="0"/>
          <w:color w:val="auto"/>
          <w:highlight w:val="none"/>
          <w:lang w:eastAsia="zh-CN"/>
        </w:rPr>
        <w:t>。</w:t>
      </w:r>
    </w:p>
    <w:p w14:paraId="26326A87">
      <w:pPr>
        <w:pStyle w:val="4"/>
        <w:rPr>
          <w:rFonts w:ascii="Times New Roman" w:hAnsi="Times New Roman" w:eastAsia="宋体"/>
          <w:strike w:val="0"/>
          <w:dstrike w:val="0"/>
          <w:color w:val="auto"/>
          <w:highlight w:val="none"/>
        </w:rPr>
      </w:pPr>
      <w:bookmarkStart w:id="222" w:name="_Toc106663496"/>
      <w:bookmarkStart w:id="223" w:name="_Toc26845"/>
      <w:r>
        <w:rPr>
          <w:rFonts w:hint="eastAsia" w:ascii="Times New Roman" w:hAnsi="Times New Roman" w:eastAsia="宋体"/>
          <w:strike w:val="0"/>
          <w:dstrike w:val="0"/>
          <w:color w:val="auto"/>
          <w:highlight w:val="none"/>
        </w:rPr>
        <w:t>5.1.3施工期声环境影响分析</w:t>
      </w:r>
      <w:bookmarkEnd w:id="222"/>
      <w:bookmarkEnd w:id="223"/>
    </w:p>
    <w:p w14:paraId="1D7F2AF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由工程分析可知，本项目施工噪声主要来源于土方阶段、基础施工阶段、主体结构阶段、装修阶段施工中各类施工机械和运输车辆，施工噪声具有阶段性、临时性和不固定性，不同的施工设备产生的噪声不同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多台机械设备同时作业时，各台设备产生的噪声会产生叠加，根据类比调查，叠加后的噪声增值约为3～8dB，施工机械和运输车辆的单体声功率级一般均在100dB（A）以上，其中声级最大的是打桩机，声级可达到120dB，施工机械主要有推土机、挖掘机、装载机、电锯等</w:t>
      </w:r>
      <w:r>
        <w:rPr>
          <w:rFonts w:hint="eastAsia" w:ascii="Times New Roman" w:hAnsi="Times New Roman" w:eastAsia="宋体"/>
          <w:strike w:val="0"/>
          <w:dstrike w:val="0"/>
          <w:color w:val="auto"/>
          <w:highlight w:val="none"/>
          <w:lang w:eastAsia="zh-CN"/>
        </w:rPr>
        <w:t>。</w:t>
      </w:r>
    </w:p>
    <w:p w14:paraId="4E06B4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根据施工现场噪声源的特点和周围环境状况，选择声源在半自由空间的距离衰减模式</w:t>
      </w:r>
      <w:r>
        <w:rPr>
          <w:rFonts w:hint="eastAsia" w:ascii="Times New Roman" w:hAnsi="Times New Roman" w:eastAsia="宋体"/>
          <w:strike w:val="0"/>
          <w:dstrike w:val="0"/>
          <w:color w:val="auto"/>
          <w:highlight w:val="none"/>
          <w:lang w:eastAsia="zh-CN"/>
        </w:rPr>
        <w:t>。</w:t>
      </w:r>
    </w:p>
    <w:p w14:paraId="5217BBF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计算公式：</w:t>
      </w:r>
    </w:p>
    <w:p w14:paraId="4A6B3C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（1）噪声衰减</w:t>
      </w:r>
    </w:p>
    <w:p w14:paraId="27FFF237">
      <w:pPr>
        <w:spacing w:line="240" w:lineRule="auto"/>
        <w:ind w:firstLine="0" w:firstLineChars="0"/>
        <w:jc w:val="center"/>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drawing>
          <wp:inline distT="0" distB="0" distL="0" distR="0">
            <wp:extent cx="1914525" cy="3905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914525" cy="390525"/>
                    </a:xfrm>
                    <a:prstGeom prst="rect">
                      <a:avLst/>
                    </a:prstGeom>
                    <a:noFill/>
                    <a:ln>
                      <a:noFill/>
                    </a:ln>
                    <a:effectLst/>
                  </pic:spPr>
                </pic:pic>
              </a:graphicData>
            </a:graphic>
          </wp:inline>
        </w:drawing>
      </w:r>
    </w:p>
    <w:p w14:paraId="483E76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式中：L</w:t>
      </w:r>
      <w:r>
        <w:rPr>
          <w:rFonts w:hint="eastAsia" w:ascii="Times New Roman" w:hAnsi="Times New Roman" w:eastAsia="宋体"/>
          <w:strike w:val="0"/>
          <w:dstrike w:val="0"/>
          <w:color w:val="auto"/>
          <w:highlight w:val="none"/>
          <w:vertAlign w:val="subscript"/>
        </w:rPr>
        <w:t>A（r）</w:t>
      </w:r>
      <w:r>
        <w:rPr>
          <w:rFonts w:hint="eastAsia" w:ascii="Times New Roman" w:hAnsi="Times New Roman" w:eastAsia="宋体"/>
          <w:strike w:val="0"/>
          <w:dstrike w:val="0"/>
          <w:color w:val="auto"/>
          <w:highlight w:val="none"/>
        </w:rPr>
        <w:t>——距声源r处的等效声级，dB（A）；</w:t>
      </w:r>
    </w:p>
    <w:p w14:paraId="21C49359">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L</w:t>
      </w:r>
      <w:r>
        <w:rPr>
          <w:rFonts w:hint="eastAsia" w:ascii="Times New Roman" w:hAnsi="Times New Roman" w:eastAsia="宋体"/>
          <w:strike w:val="0"/>
          <w:dstrike w:val="0"/>
          <w:color w:val="auto"/>
          <w:highlight w:val="none"/>
          <w:vertAlign w:val="subscript"/>
        </w:rPr>
        <w:t>W（A）</w:t>
      </w:r>
      <w:r>
        <w:rPr>
          <w:rFonts w:hint="eastAsia" w:ascii="Times New Roman" w:hAnsi="Times New Roman" w:eastAsia="宋体"/>
          <w:strike w:val="0"/>
          <w:dstrike w:val="0"/>
          <w:color w:val="auto"/>
          <w:highlight w:val="none"/>
        </w:rPr>
        <w:t>——噪声源的声功率级，dB（A）；</w:t>
      </w:r>
    </w:p>
    <w:p w14:paraId="1A144E30">
      <w:pPr>
        <w:ind w:firstLine="960" w:firstLineChars="40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rPr>
        <w:t>——噪声源距受声点的距离，</w:t>
      </w:r>
      <w:r>
        <w:rPr>
          <w:rFonts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rPr>
        <w:t>；</w:t>
      </w:r>
    </w:p>
    <w:p w14:paraId="537370F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（2）噪声影响预测</w:t>
      </w:r>
    </w:p>
    <w:p w14:paraId="58DC743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工程施工不同距离的噪声预测值见表5.1-2</w:t>
      </w:r>
      <w:r>
        <w:rPr>
          <w:rFonts w:hint="eastAsia" w:ascii="Times New Roman" w:hAnsi="Times New Roman" w:eastAsia="宋体"/>
          <w:strike w:val="0"/>
          <w:dstrike w:val="0"/>
          <w:color w:val="auto"/>
          <w:highlight w:val="none"/>
          <w:lang w:eastAsia="zh-CN"/>
        </w:rPr>
        <w:t>。</w:t>
      </w:r>
    </w:p>
    <w:p w14:paraId="0A2F1328">
      <w:pPr>
        <w:pStyle w:val="1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表5.1-2施工阶段噪声预测值</w:t>
      </w:r>
    </w:p>
    <w:tbl>
      <w:tblPr>
        <w:tblStyle w:val="39"/>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30" w:type="dxa"/>
          <w:bottom w:w="0" w:type="dxa"/>
          <w:right w:w="30" w:type="dxa"/>
        </w:tblCellMar>
      </w:tblPr>
      <w:tblGrid>
        <w:gridCol w:w="1345"/>
        <w:gridCol w:w="685"/>
        <w:gridCol w:w="764"/>
        <w:gridCol w:w="879"/>
        <w:gridCol w:w="870"/>
        <w:gridCol w:w="879"/>
        <w:gridCol w:w="711"/>
        <w:gridCol w:w="718"/>
        <w:gridCol w:w="718"/>
        <w:gridCol w:w="721"/>
      </w:tblGrid>
      <w:tr w14:paraId="1AC0B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283" w:hRule="atLeast"/>
          <w:jc w:val="center"/>
        </w:trPr>
        <w:tc>
          <w:tcPr>
            <w:tcW w:w="811" w:type="pct"/>
            <w:vMerge w:val="restart"/>
            <w:tcBorders>
              <w:tl2br w:val="nil"/>
              <w:tr2bl w:val="nil"/>
            </w:tcBorders>
            <w:vAlign w:val="center"/>
          </w:tcPr>
          <w:p w14:paraId="0F15CE8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施工</w:t>
            </w:r>
            <w:r>
              <w:rPr>
                <w:rFonts w:hint="eastAsia" w:ascii="Times New Roman" w:hAnsi="Times New Roman" w:eastAsia="宋体"/>
                <w:strike w:val="0"/>
                <w:dstrike w:val="0"/>
                <w:color w:val="auto"/>
                <w:sz w:val="21"/>
                <w:szCs w:val="21"/>
                <w:highlight w:val="none"/>
              </w:rPr>
              <w:t>机械</w:t>
            </w:r>
          </w:p>
        </w:tc>
        <w:tc>
          <w:tcPr>
            <w:tcW w:w="4189" w:type="pct"/>
            <w:gridSpan w:val="9"/>
            <w:tcBorders>
              <w:tl2br w:val="nil"/>
              <w:tr2bl w:val="nil"/>
            </w:tcBorders>
            <w:vAlign w:val="center"/>
          </w:tcPr>
          <w:p w14:paraId="11DD8A7E">
            <w:pPr>
              <w:autoSpaceDE w:val="0"/>
              <w:autoSpaceDN w:val="0"/>
              <w:adjustRightInd w:val="0"/>
              <w:snapToGrid w:val="0"/>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离施工现场噪声源距离（m）</w:t>
            </w:r>
            <w:r>
              <w:rPr>
                <w:rFonts w:ascii="Times New Roman" w:hAnsi="Times New Roman" w:eastAsia="宋体"/>
                <w:strike w:val="0"/>
                <w:dstrike w:val="0"/>
                <w:color w:val="auto"/>
                <w:sz w:val="21"/>
                <w:szCs w:val="21"/>
                <w:highlight w:val="none"/>
              </w:rPr>
              <w:t>dB</w:t>
            </w:r>
            <w:r>
              <w:rPr>
                <w:rFonts w:hint="eastAsia" w:ascii="Times New Roman" w:hAnsi="Times New Roman" w:eastAsia="宋体"/>
                <w:strike w:val="0"/>
                <w:dstrike w:val="0"/>
                <w:color w:val="auto"/>
                <w:sz w:val="21"/>
                <w:szCs w:val="21"/>
                <w:highlight w:val="none"/>
                <w:lang w:eastAsia="zh-CN"/>
              </w:rPr>
              <w:t>（</w:t>
            </w:r>
            <w:r>
              <w:rPr>
                <w:rFonts w:ascii="Times New Roman" w:hAnsi="Times New Roman" w:eastAsia="宋体"/>
                <w:strike w:val="0"/>
                <w:dstrike w:val="0"/>
                <w:color w:val="auto"/>
                <w:sz w:val="21"/>
                <w:szCs w:val="21"/>
                <w:highlight w:val="none"/>
              </w:rPr>
              <w:t>A</w:t>
            </w:r>
            <w:r>
              <w:rPr>
                <w:rFonts w:hint="eastAsia" w:ascii="Times New Roman" w:hAnsi="Times New Roman" w:eastAsia="宋体"/>
                <w:strike w:val="0"/>
                <w:dstrike w:val="0"/>
                <w:color w:val="auto"/>
                <w:sz w:val="21"/>
                <w:szCs w:val="21"/>
                <w:highlight w:val="none"/>
                <w:lang w:eastAsia="zh-CN"/>
              </w:rPr>
              <w:t>）</w:t>
            </w:r>
          </w:p>
        </w:tc>
      </w:tr>
      <w:tr w14:paraId="6DFEE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283" w:hRule="atLeast"/>
          <w:jc w:val="center"/>
        </w:trPr>
        <w:tc>
          <w:tcPr>
            <w:tcW w:w="811" w:type="pct"/>
            <w:vMerge w:val="continue"/>
            <w:tcBorders>
              <w:tl2br w:val="nil"/>
              <w:tr2bl w:val="nil"/>
            </w:tcBorders>
            <w:vAlign w:val="center"/>
          </w:tcPr>
          <w:p w14:paraId="34ACE23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413" w:type="pct"/>
            <w:tcBorders>
              <w:tl2br w:val="nil"/>
              <w:tr2bl w:val="nil"/>
            </w:tcBorders>
            <w:vAlign w:val="center"/>
          </w:tcPr>
          <w:p w14:paraId="2F3B126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461" w:type="pct"/>
            <w:tcBorders>
              <w:tl2br w:val="nil"/>
              <w:tr2bl w:val="nil"/>
            </w:tcBorders>
            <w:vAlign w:val="center"/>
          </w:tcPr>
          <w:p w14:paraId="744873A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w:t>
            </w:r>
          </w:p>
        </w:tc>
        <w:tc>
          <w:tcPr>
            <w:tcW w:w="530" w:type="pct"/>
            <w:tcBorders>
              <w:tl2br w:val="nil"/>
              <w:tr2bl w:val="nil"/>
            </w:tcBorders>
            <w:vAlign w:val="center"/>
          </w:tcPr>
          <w:p w14:paraId="319DA4D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w:t>
            </w:r>
          </w:p>
        </w:tc>
        <w:tc>
          <w:tcPr>
            <w:tcW w:w="525" w:type="pct"/>
            <w:tcBorders>
              <w:tl2br w:val="nil"/>
              <w:tr2bl w:val="nil"/>
            </w:tcBorders>
            <w:vAlign w:val="center"/>
          </w:tcPr>
          <w:p w14:paraId="259D8CC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30</w:t>
            </w:r>
          </w:p>
        </w:tc>
        <w:tc>
          <w:tcPr>
            <w:tcW w:w="530" w:type="pct"/>
            <w:tcBorders>
              <w:tl2br w:val="nil"/>
              <w:tr2bl w:val="nil"/>
            </w:tcBorders>
            <w:vAlign w:val="center"/>
          </w:tcPr>
          <w:p w14:paraId="6480A2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40</w:t>
            </w:r>
          </w:p>
        </w:tc>
        <w:tc>
          <w:tcPr>
            <w:tcW w:w="429" w:type="pct"/>
            <w:tcBorders>
              <w:right w:val="single" w:color="auto" w:sz="4" w:space="0"/>
              <w:tl2br w:val="nil"/>
              <w:tr2bl w:val="nil"/>
            </w:tcBorders>
            <w:vAlign w:val="center"/>
          </w:tcPr>
          <w:p w14:paraId="29FB2BB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50</w:t>
            </w:r>
          </w:p>
        </w:tc>
        <w:tc>
          <w:tcPr>
            <w:tcW w:w="433" w:type="pct"/>
            <w:tcBorders>
              <w:left w:val="single" w:color="auto" w:sz="4" w:space="0"/>
              <w:tl2br w:val="nil"/>
              <w:tr2bl w:val="nil"/>
            </w:tcBorders>
            <w:vAlign w:val="center"/>
          </w:tcPr>
          <w:p w14:paraId="4C3C824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33" w:type="pct"/>
            <w:tcBorders>
              <w:left w:val="single" w:color="auto" w:sz="4" w:space="0"/>
              <w:tl2br w:val="nil"/>
              <w:tr2bl w:val="nil"/>
            </w:tcBorders>
            <w:vAlign w:val="center"/>
          </w:tcPr>
          <w:p w14:paraId="77F97F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150</w:t>
            </w:r>
          </w:p>
        </w:tc>
        <w:tc>
          <w:tcPr>
            <w:tcW w:w="435" w:type="pct"/>
            <w:tcBorders>
              <w:left w:val="single" w:color="auto" w:sz="4" w:space="0"/>
              <w:tl2br w:val="nil"/>
              <w:tr2bl w:val="nil"/>
            </w:tcBorders>
            <w:vAlign w:val="center"/>
          </w:tcPr>
          <w:p w14:paraId="78CEFAC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200</w:t>
            </w:r>
          </w:p>
        </w:tc>
      </w:tr>
      <w:tr w14:paraId="452EF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720115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kern w:val="2"/>
                <w:sz w:val="21"/>
                <w:szCs w:val="21"/>
                <w:highlight w:val="none"/>
              </w:rPr>
              <w:t>推土机</w:t>
            </w:r>
          </w:p>
        </w:tc>
        <w:tc>
          <w:tcPr>
            <w:tcW w:w="413" w:type="pct"/>
            <w:tcBorders>
              <w:tl2br w:val="nil"/>
              <w:tr2bl w:val="nil"/>
            </w:tcBorders>
            <w:vAlign w:val="center"/>
          </w:tcPr>
          <w:p w14:paraId="0100A15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115</w:t>
            </w:r>
          </w:p>
        </w:tc>
        <w:tc>
          <w:tcPr>
            <w:tcW w:w="461" w:type="pct"/>
            <w:tcBorders>
              <w:tl2br w:val="nil"/>
              <w:tr2bl w:val="nil"/>
            </w:tcBorders>
            <w:vAlign w:val="center"/>
          </w:tcPr>
          <w:p w14:paraId="6EAF930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88</w:t>
            </w:r>
          </w:p>
        </w:tc>
        <w:tc>
          <w:tcPr>
            <w:tcW w:w="530" w:type="pct"/>
            <w:tcBorders>
              <w:tl2br w:val="nil"/>
              <w:tr2bl w:val="nil"/>
            </w:tcBorders>
            <w:vAlign w:val="center"/>
          </w:tcPr>
          <w:p w14:paraId="1636B00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81.4</w:t>
            </w:r>
          </w:p>
        </w:tc>
        <w:tc>
          <w:tcPr>
            <w:tcW w:w="525" w:type="pct"/>
            <w:tcBorders>
              <w:tl2br w:val="nil"/>
              <w:tr2bl w:val="nil"/>
            </w:tcBorders>
            <w:vAlign w:val="center"/>
          </w:tcPr>
          <w:p w14:paraId="700FC36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77.8</w:t>
            </w:r>
          </w:p>
        </w:tc>
        <w:tc>
          <w:tcPr>
            <w:tcW w:w="530" w:type="pct"/>
            <w:tcBorders>
              <w:tl2br w:val="nil"/>
              <w:tr2bl w:val="nil"/>
            </w:tcBorders>
            <w:vAlign w:val="center"/>
          </w:tcPr>
          <w:p w14:paraId="7008E2E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75</w:t>
            </w:r>
          </w:p>
        </w:tc>
        <w:tc>
          <w:tcPr>
            <w:tcW w:w="429" w:type="pct"/>
            <w:tcBorders>
              <w:tl2br w:val="nil"/>
              <w:tr2bl w:val="nil"/>
            </w:tcBorders>
            <w:vAlign w:val="center"/>
          </w:tcPr>
          <w:p w14:paraId="3A48969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73.2</w:t>
            </w:r>
          </w:p>
        </w:tc>
        <w:tc>
          <w:tcPr>
            <w:tcW w:w="433" w:type="pct"/>
            <w:tcBorders>
              <w:tl2br w:val="nil"/>
              <w:tr2bl w:val="nil"/>
            </w:tcBorders>
            <w:vAlign w:val="center"/>
          </w:tcPr>
          <w:p w14:paraId="3DEABBE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w:t>
            </w:r>
          </w:p>
        </w:tc>
        <w:tc>
          <w:tcPr>
            <w:tcW w:w="433" w:type="pct"/>
            <w:tcBorders>
              <w:tl2br w:val="nil"/>
              <w:tr2bl w:val="nil"/>
            </w:tcBorders>
            <w:vAlign w:val="center"/>
          </w:tcPr>
          <w:p w14:paraId="159A487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63.6</w:t>
            </w:r>
          </w:p>
        </w:tc>
        <w:tc>
          <w:tcPr>
            <w:tcW w:w="435" w:type="pct"/>
            <w:tcBorders>
              <w:tl2br w:val="nil"/>
              <w:tr2bl w:val="nil"/>
            </w:tcBorders>
            <w:vAlign w:val="center"/>
          </w:tcPr>
          <w:p w14:paraId="2C5FC3C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61</w:t>
            </w:r>
          </w:p>
        </w:tc>
      </w:tr>
      <w:tr w14:paraId="290CC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4A4FFC2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装载机</w:t>
            </w:r>
          </w:p>
        </w:tc>
        <w:tc>
          <w:tcPr>
            <w:tcW w:w="413" w:type="pct"/>
            <w:tcBorders>
              <w:tl2br w:val="nil"/>
              <w:tr2bl w:val="nil"/>
            </w:tcBorders>
            <w:vAlign w:val="center"/>
          </w:tcPr>
          <w:p w14:paraId="4C909E7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105</w:t>
            </w:r>
          </w:p>
        </w:tc>
        <w:tc>
          <w:tcPr>
            <w:tcW w:w="461" w:type="pct"/>
            <w:tcBorders>
              <w:tl2br w:val="nil"/>
              <w:tr2bl w:val="nil"/>
            </w:tcBorders>
            <w:vAlign w:val="center"/>
          </w:tcPr>
          <w:p w14:paraId="32AA423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78</w:t>
            </w:r>
          </w:p>
        </w:tc>
        <w:tc>
          <w:tcPr>
            <w:tcW w:w="530" w:type="pct"/>
            <w:tcBorders>
              <w:tl2br w:val="nil"/>
              <w:tr2bl w:val="nil"/>
            </w:tcBorders>
            <w:vAlign w:val="center"/>
          </w:tcPr>
          <w:p w14:paraId="307EE2D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71.4</w:t>
            </w:r>
          </w:p>
        </w:tc>
        <w:tc>
          <w:tcPr>
            <w:tcW w:w="525" w:type="pct"/>
            <w:tcBorders>
              <w:tl2br w:val="nil"/>
              <w:tr2bl w:val="nil"/>
            </w:tcBorders>
            <w:vAlign w:val="center"/>
          </w:tcPr>
          <w:p w14:paraId="67BCAC3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67.8</w:t>
            </w:r>
          </w:p>
        </w:tc>
        <w:tc>
          <w:tcPr>
            <w:tcW w:w="530" w:type="pct"/>
            <w:tcBorders>
              <w:tl2br w:val="nil"/>
              <w:tr2bl w:val="nil"/>
            </w:tcBorders>
            <w:vAlign w:val="center"/>
          </w:tcPr>
          <w:p w14:paraId="408AADF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65</w:t>
            </w:r>
          </w:p>
        </w:tc>
        <w:tc>
          <w:tcPr>
            <w:tcW w:w="429" w:type="pct"/>
            <w:tcBorders>
              <w:tl2br w:val="nil"/>
              <w:tr2bl w:val="nil"/>
            </w:tcBorders>
            <w:vAlign w:val="center"/>
          </w:tcPr>
          <w:p w14:paraId="3847D06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63.2</w:t>
            </w:r>
          </w:p>
        </w:tc>
        <w:tc>
          <w:tcPr>
            <w:tcW w:w="433" w:type="pct"/>
            <w:tcBorders>
              <w:tl2br w:val="nil"/>
              <w:tr2bl w:val="nil"/>
            </w:tcBorders>
            <w:vAlign w:val="center"/>
          </w:tcPr>
          <w:p w14:paraId="7E4573A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57</w:t>
            </w:r>
          </w:p>
        </w:tc>
        <w:tc>
          <w:tcPr>
            <w:tcW w:w="433" w:type="pct"/>
            <w:tcBorders>
              <w:tl2br w:val="nil"/>
              <w:tr2bl w:val="nil"/>
            </w:tcBorders>
            <w:vAlign w:val="center"/>
          </w:tcPr>
          <w:p w14:paraId="6081475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53.6</w:t>
            </w:r>
          </w:p>
        </w:tc>
        <w:tc>
          <w:tcPr>
            <w:tcW w:w="435" w:type="pct"/>
            <w:tcBorders>
              <w:tl2br w:val="nil"/>
              <w:tr2bl w:val="nil"/>
            </w:tcBorders>
            <w:vAlign w:val="center"/>
          </w:tcPr>
          <w:p w14:paraId="5C4E201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51</w:t>
            </w:r>
          </w:p>
        </w:tc>
      </w:tr>
      <w:tr w14:paraId="669B1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5FE2A72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挖掘机</w:t>
            </w:r>
          </w:p>
        </w:tc>
        <w:tc>
          <w:tcPr>
            <w:tcW w:w="413" w:type="pct"/>
            <w:tcBorders>
              <w:tl2br w:val="nil"/>
              <w:tr2bl w:val="nil"/>
            </w:tcBorders>
            <w:vAlign w:val="center"/>
          </w:tcPr>
          <w:p w14:paraId="37CFB2C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175D1B9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5CA19FC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3A93FFB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645BF55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4D28FC1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7717DD4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2F2084F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4DBB232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5E8BA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6A93D2E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自卸卡车</w:t>
            </w:r>
          </w:p>
        </w:tc>
        <w:tc>
          <w:tcPr>
            <w:tcW w:w="413" w:type="pct"/>
            <w:tcBorders>
              <w:tl2br w:val="nil"/>
              <w:tr2bl w:val="nil"/>
            </w:tcBorders>
            <w:vAlign w:val="center"/>
          </w:tcPr>
          <w:p w14:paraId="7668CDF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0018606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0A4752C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4AD192A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31BFE97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22C918A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021FD9F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41DDEE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7274DF2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7F0A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29A32A7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空压机</w:t>
            </w:r>
          </w:p>
        </w:tc>
        <w:tc>
          <w:tcPr>
            <w:tcW w:w="413" w:type="pct"/>
            <w:tcBorders>
              <w:tl2br w:val="nil"/>
              <w:tr2bl w:val="nil"/>
            </w:tcBorders>
            <w:vAlign w:val="center"/>
          </w:tcPr>
          <w:p w14:paraId="241D345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110</w:t>
            </w:r>
          </w:p>
        </w:tc>
        <w:tc>
          <w:tcPr>
            <w:tcW w:w="461" w:type="pct"/>
            <w:tcBorders>
              <w:tl2br w:val="nil"/>
              <w:tr2bl w:val="nil"/>
            </w:tcBorders>
            <w:vAlign w:val="center"/>
          </w:tcPr>
          <w:p w14:paraId="276E776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83</w:t>
            </w:r>
          </w:p>
        </w:tc>
        <w:tc>
          <w:tcPr>
            <w:tcW w:w="530" w:type="pct"/>
            <w:tcBorders>
              <w:tl2br w:val="nil"/>
              <w:tr2bl w:val="nil"/>
            </w:tcBorders>
            <w:vAlign w:val="center"/>
          </w:tcPr>
          <w:p w14:paraId="1912361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76.4</w:t>
            </w:r>
          </w:p>
        </w:tc>
        <w:tc>
          <w:tcPr>
            <w:tcW w:w="525" w:type="pct"/>
            <w:tcBorders>
              <w:tl2br w:val="nil"/>
              <w:tr2bl w:val="nil"/>
            </w:tcBorders>
            <w:vAlign w:val="center"/>
          </w:tcPr>
          <w:p w14:paraId="24D60D7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72.8</w:t>
            </w:r>
          </w:p>
        </w:tc>
        <w:tc>
          <w:tcPr>
            <w:tcW w:w="530" w:type="pct"/>
            <w:tcBorders>
              <w:tl2br w:val="nil"/>
              <w:tr2bl w:val="nil"/>
            </w:tcBorders>
            <w:vAlign w:val="center"/>
          </w:tcPr>
          <w:p w14:paraId="341FD19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429" w:type="pct"/>
            <w:tcBorders>
              <w:tl2br w:val="nil"/>
              <w:tr2bl w:val="nil"/>
            </w:tcBorders>
            <w:vAlign w:val="center"/>
          </w:tcPr>
          <w:p w14:paraId="5803CB5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68.2</w:t>
            </w:r>
          </w:p>
        </w:tc>
        <w:tc>
          <w:tcPr>
            <w:tcW w:w="433" w:type="pct"/>
            <w:tcBorders>
              <w:tl2br w:val="nil"/>
              <w:tr2bl w:val="nil"/>
            </w:tcBorders>
            <w:vAlign w:val="center"/>
          </w:tcPr>
          <w:p w14:paraId="10A15F8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w:t>
            </w:r>
          </w:p>
        </w:tc>
        <w:tc>
          <w:tcPr>
            <w:tcW w:w="433" w:type="pct"/>
            <w:tcBorders>
              <w:tl2br w:val="nil"/>
              <w:tr2bl w:val="nil"/>
            </w:tcBorders>
            <w:vAlign w:val="center"/>
          </w:tcPr>
          <w:p w14:paraId="4420000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58.6</w:t>
            </w:r>
          </w:p>
        </w:tc>
        <w:tc>
          <w:tcPr>
            <w:tcW w:w="435" w:type="pct"/>
            <w:tcBorders>
              <w:tl2br w:val="nil"/>
              <w:tr2bl w:val="nil"/>
            </w:tcBorders>
            <w:vAlign w:val="center"/>
          </w:tcPr>
          <w:p w14:paraId="61299FD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56</w:t>
            </w:r>
          </w:p>
        </w:tc>
      </w:tr>
      <w:tr w14:paraId="7F2CB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09C3141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电锯</w:t>
            </w:r>
          </w:p>
        </w:tc>
        <w:tc>
          <w:tcPr>
            <w:tcW w:w="413" w:type="pct"/>
            <w:tcBorders>
              <w:tl2br w:val="nil"/>
              <w:tr2bl w:val="nil"/>
            </w:tcBorders>
            <w:vAlign w:val="center"/>
          </w:tcPr>
          <w:p w14:paraId="7EF3F01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115</w:t>
            </w:r>
          </w:p>
        </w:tc>
        <w:tc>
          <w:tcPr>
            <w:tcW w:w="461" w:type="pct"/>
            <w:tcBorders>
              <w:tl2br w:val="nil"/>
              <w:tr2bl w:val="nil"/>
            </w:tcBorders>
            <w:vAlign w:val="center"/>
          </w:tcPr>
          <w:p w14:paraId="1C57967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88</w:t>
            </w:r>
          </w:p>
        </w:tc>
        <w:tc>
          <w:tcPr>
            <w:tcW w:w="530" w:type="pct"/>
            <w:tcBorders>
              <w:tl2br w:val="nil"/>
              <w:tr2bl w:val="nil"/>
            </w:tcBorders>
            <w:vAlign w:val="center"/>
          </w:tcPr>
          <w:p w14:paraId="0F44A61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81.4</w:t>
            </w:r>
          </w:p>
        </w:tc>
        <w:tc>
          <w:tcPr>
            <w:tcW w:w="525" w:type="pct"/>
            <w:tcBorders>
              <w:tl2br w:val="nil"/>
              <w:tr2bl w:val="nil"/>
            </w:tcBorders>
            <w:vAlign w:val="center"/>
          </w:tcPr>
          <w:p w14:paraId="5979B4B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77.8</w:t>
            </w:r>
          </w:p>
        </w:tc>
        <w:tc>
          <w:tcPr>
            <w:tcW w:w="530" w:type="pct"/>
            <w:tcBorders>
              <w:tl2br w:val="nil"/>
              <w:tr2bl w:val="nil"/>
            </w:tcBorders>
            <w:vAlign w:val="center"/>
          </w:tcPr>
          <w:p w14:paraId="1000213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75</w:t>
            </w:r>
          </w:p>
        </w:tc>
        <w:tc>
          <w:tcPr>
            <w:tcW w:w="429" w:type="pct"/>
            <w:tcBorders>
              <w:tl2br w:val="nil"/>
              <w:tr2bl w:val="nil"/>
            </w:tcBorders>
            <w:vAlign w:val="center"/>
          </w:tcPr>
          <w:p w14:paraId="63F84CE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73.2</w:t>
            </w:r>
          </w:p>
        </w:tc>
        <w:tc>
          <w:tcPr>
            <w:tcW w:w="433" w:type="pct"/>
            <w:tcBorders>
              <w:tl2br w:val="nil"/>
              <w:tr2bl w:val="nil"/>
            </w:tcBorders>
            <w:vAlign w:val="center"/>
          </w:tcPr>
          <w:p w14:paraId="4C317E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w:t>
            </w:r>
          </w:p>
        </w:tc>
        <w:tc>
          <w:tcPr>
            <w:tcW w:w="433" w:type="pct"/>
            <w:tcBorders>
              <w:tl2br w:val="nil"/>
              <w:tr2bl w:val="nil"/>
            </w:tcBorders>
            <w:vAlign w:val="center"/>
          </w:tcPr>
          <w:p w14:paraId="25B388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63.6</w:t>
            </w:r>
          </w:p>
        </w:tc>
        <w:tc>
          <w:tcPr>
            <w:tcW w:w="435" w:type="pct"/>
            <w:tcBorders>
              <w:tl2br w:val="nil"/>
              <w:tr2bl w:val="nil"/>
            </w:tcBorders>
            <w:vAlign w:val="center"/>
          </w:tcPr>
          <w:p w14:paraId="182F285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61</w:t>
            </w:r>
          </w:p>
        </w:tc>
      </w:tr>
      <w:tr w14:paraId="219BC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18A99BC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卷扬机</w:t>
            </w:r>
          </w:p>
        </w:tc>
        <w:tc>
          <w:tcPr>
            <w:tcW w:w="413" w:type="pct"/>
            <w:tcBorders>
              <w:tl2br w:val="nil"/>
              <w:tr2bl w:val="nil"/>
            </w:tcBorders>
            <w:vAlign w:val="center"/>
          </w:tcPr>
          <w:p w14:paraId="24DED5A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1221514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0714491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001D685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45A92CB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126E73B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69A4289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2393335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7688B8C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131D9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466BB57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切割机</w:t>
            </w:r>
          </w:p>
        </w:tc>
        <w:tc>
          <w:tcPr>
            <w:tcW w:w="413" w:type="pct"/>
            <w:tcBorders>
              <w:tl2br w:val="nil"/>
              <w:tr2bl w:val="nil"/>
            </w:tcBorders>
            <w:vAlign w:val="center"/>
          </w:tcPr>
          <w:p w14:paraId="4B28176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110</w:t>
            </w:r>
          </w:p>
        </w:tc>
        <w:tc>
          <w:tcPr>
            <w:tcW w:w="461" w:type="pct"/>
            <w:tcBorders>
              <w:tl2br w:val="nil"/>
              <w:tr2bl w:val="nil"/>
            </w:tcBorders>
            <w:vAlign w:val="center"/>
          </w:tcPr>
          <w:p w14:paraId="7A1E436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83</w:t>
            </w:r>
          </w:p>
        </w:tc>
        <w:tc>
          <w:tcPr>
            <w:tcW w:w="530" w:type="pct"/>
            <w:tcBorders>
              <w:tl2br w:val="nil"/>
              <w:tr2bl w:val="nil"/>
            </w:tcBorders>
            <w:vAlign w:val="center"/>
          </w:tcPr>
          <w:p w14:paraId="616C3DB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76.4</w:t>
            </w:r>
          </w:p>
        </w:tc>
        <w:tc>
          <w:tcPr>
            <w:tcW w:w="525" w:type="pct"/>
            <w:tcBorders>
              <w:tl2br w:val="nil"/>
              <w:tr2bl w:val="nil"/>
            </w:tcBorders>
            <w:vAlign w:val="center"/>
          </w:tcPr>
          <w:p w14:paraId="2D589B9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72.8</w:t>
            </w:r>
          </w:p>
        </w:tc>
        <w:tc>
          <w:tcPr>
            <w:tcW w:w="530" w:type="pct"/>
            <w:tcBorders>
              <w:tl2br w:val="nil"/>
              <w:tr2bl w:val="nil"/>
            </w:tcBorders>
            <w:vAlign w:val="center"/>
          </w:tcPr>
          <w:p w14:paraId="1309FF8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429" w:type="pct"/>
            <w:tcBorders>
              <w:tl2br w:val="nil"/>
              <w:tr2bl w:val="nil"/>
            </w:tcBorders>
            <w:vAlign w:val="center"/>
          </w:tcPr>
          <w:p w14:paraId="635EEC6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68.2</w:t>
            </w:r>
          </w:p>
        </w:tc>
        <w:tc>
          <w:tcPr>
            <w:tcW w:w="433" w:type="pct"/>
            <w:tcBorders>
              <w:tl2br w:val="nil"/>
              <w:tr2bl w:val="nil"/>
            </w:tcBorders>
            <w:vAlign w:val="center"/>
          </w:tcPr>
          <w:p w14:paraId="10F855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w:t>
            </w:r>
          </w:p>
        </w:tc>
        <w:tc>
          <w:tcPr>
            <w:tcW w:w="433" w:type="pct"/>
            <w:tcBorders>
              <w:tl2br w:val="nil"/>
              <w:tr2bl w:val="nil"/>
            </w:tcBorders>
            <w:vAlign w:val="center"/>
          </w:tcPr>
          <w:p w14:paraId="76CE657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58.6</w:t>
            </w:r>
          </w:p>
        </w:tc>
        <w:tc>
          <w:tcPr>
            <w:tcW w:w="435" w:type="pct"/>
            <w:tcBorders>
              <w:tl2br w:val="nil"/>
              <w:tr2bl w:val="nil"/>
            </w:tcBorders>
            <w:vAlign w:val="center"/>
          </w:tcPr>
          <w:p w14:paraId="5B9677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56</w:t>
            </w:r>
          </w:p>
        </w:tc>
      </w:tr>
    </w:tbl>
    <w:p w14:paraId="106B36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注：按《建筑施工场界环境噪声排放标准》（GB12523-20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）进行评价</w:t>
      </w:r>
      <w:r>
        <w:rPr>
          <w:rFonts w:hint="eastAsia" w:ascii="Times New Roman" w:hAnsi="Times New Roman" w:eastAsia="宋体"/>
          <w:strike w:val="0"/>
          <w:dstrike w:val="0"/>
          <w:color w:val="auto"/>
          <w:highlight w:val="none"/>
          <w:lang w:eastAsia="zh-CN"/>
        </w:rPr>
        <w:t>。</w:t>
      </w:r>
    </w:p>
    <w:p w14:paraId="5873D4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按照《建筑施工场界环境噪声排放标准》（GB12523-20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）的规定，昼间的厂界噪声限值为70dB，夜间厂界噪声限值为55dB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表5.1-2表明：项目施工方阶段厂界昼间施工噪声于声源外约100m处达标，估算夜间于355m处达标；基础施工阶段厂界昼间施工噪声于声源外125m处达标，夜间噪声达标距离估算在210m；主体结构阶段昼间厂界施工噪声于声源外100m处达标，估算夜间于380m处达标；装修阶段施工噪声昼间于声源外40m处达标，夜间于100m处达标</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项目施工机械在靠近厂界边施工时，昼夜施工厂界噪声超过《建筑施工厂界环境噪声排放标准》（GB12523-20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）中限值的要求，本项目评价范围内无声环境敏感目标，施工期噪声经衰减后对环境影响甚微</w:t>
      </w:r>
      <w:r>
        <w:rPr>
          <w:rFonts w:hint="eastAsia" w:ascii="Times New Roman" w:hAnsi="Times New Roman" w:eastAsia="宋体"/>
          <w:strike w:val="0"/>
          <w:dstrike w:val="0"/>
          <w:color w:val="auto"/>
          <w:highlight w:val="none"/>
          <w:lang w:eastAsia="zh-CN"/>
        </w:rPr>
        <w:t>。</w:t>
      </w:r>
    </w:p>
    <w:p w14:paraId="70FC636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根据项目施工期的施工特点，提出如下噪声防治措施：</w:t>
      </w:r>
    </w:p>
    <w:p w14:paraId="3158DF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（1）施工单位施工过程中尽量避免在靠近厂界处的同一地点安排大量动力机械设备施工，以减缓局部叠加声级过高造成的厂界噪声超标的风险</w:t>
      </w:r>
      <w:r>
        <w:rPr>
          <w:rFonts w:hint="eastAsia" w:ascii="Times New Roman" w:hAnsi="Times New Roman" w:eastAsia="宋体"/>
          <w:strike w:val="0"/>
          <w:dstrike w:val="0"/>
          <w:color w:val="auto"/>
          <w:highlight w:val="none"/>
          <w:lang w:eastAsia="zh-CN"/>
        </w:rPr>
        <w:t>。</w:t>
      </w:r>
    </w:p>
    <w:p w14:paraId="5F3FC9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（2）设备选型上，在不影响施工质量的前提下，在土石方、装修等施工过程应采用低噪声、低振动的设备，对施工设备进行定期维修保养，避免因设备性能减退而使噪声增强的现象发生</w:t>
      </w:r>
      <w:r>
        <w:rPr>
          <w:rFonts w:hint="eastAsia" w:ascii="Times New Roman" w:hAnsi="Times New Roman" w:eastAsia="宋体"/>
          <w:strike w:val="0"/>
          <w:dstrike w:val="0"/>
          <w:color w:val="auto"/>
          <w:highlight w:val="none"/>
          <w:lang w:eastAsia="zh-CN"/>
        </w:rPr>
        <w:t>。</w:t>
      </w:r>
    </w:p>
    <w:p w14:paraId="7B729FE9">
      <w:pPr>
        <w:pStyle w:val="4"/>
        <w:rPr>
          <w:rFonts w:ascii="Times New Roman" w:hAnsi="Times New Roman" w:eastAsia="宋体"/>
          <w:strike w:val="0"/>
          <w:dstrike w:val="0"/>
          <w:color w:val="auto"/>
          <w:highlight w:val="none"/>
        </w:rPr>
      </w:pPr>
      <w:bookmarkStart w:id="224" w:name="_Toc22273"/>
      <w:bookmarkStart w:id="225" w:name="_Toc106663497"/>
      <w:r>
        <w:rPr>
          <w:rFonts w:hint="eastAsia" w:ascii="Times New Roman" w:hAnsi="Times New Roman" w:eastAsia="宋体"/>
          <w:strike w:val="0"/>
          <w:dstrike w:val="0"/>
          <w:color w:val="auto"/>
          <w:highlight w:val="none"/>
        </w:rPr>
        <w:t>5.1.4施工期固体废物环境影响分析</w:t>
      </w:r>
      <w:bookmarkEnd w:id="224"/>
      <w:bookmarkEnd w:id="225"/>
    </w:p>
    <w:p w14:paraId="2FD895F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由工程分析可知，施工期固体废物主要由施工建筑垃圾和施工人员产生的生活垃圾组成</w:t>
      </w:r>
      <w:r>
        <w:rPr>
          <w:rFonts w:hint="eastAsia" w:ascii="Times New Roman" w:hAnsi="Times New Roman" w:eastAsia="宋体"/>
          <w:strike w:val="0"/>
          <w:dstrike w:val="0"/>
          <w:color w:val="auto"/>
          <w:highlight w:val="none"/>
          <w:lang w:eastAsia="zh-CN"/>
        </w:rPr>
        <w:t>。</w:t>
      </w:r>
    </w:p>
    <w:p w14:paraId="7764BC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（1）施工建筑垃圾</w:t>
      </w:r>
    </w:p>
    <w:p w14:paraId="499530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建筑施工中会产生碎砖块、砂浆、桩头、水泥、钢筋、涂料和包装材料等建筑垃圾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建筑废弃物在项目施工开工前应签订环保责任书，由各施工单位负责施工期固体废弃物的处理，施工产生的固体废物中遗留在现场的建筑废物要及时清运或回填，将建筑垃圾运至指定地点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各施工单位要加强施工管理，对施工产生的生活垃圾和建筑垃圾不得随意倾倒</w:t>
      </w:r>
      <w:r>
        <w:rPr>
          <w:rFonts w:hint="eastAsia" w:ascii="Times New Roman" w:hAnsi="Times New Roman" w:eastAsia="宋体"/>
          <w:strike w:val="0"/>
          <w:dstrike w:val="0"/>
          <w:color w:val="auto"/>
          <w:highlight w:val="none"/>
          <w:lang w:eastAsia="zh-CN"/>
        </w:rPr>
        <w:t>。</w:t>
      </w:r>
    </w:p>
    <w:p w14:paraId="465FA92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建筑垃圾的影响主要体现在其堆放过程中，在风力作用下，引起垃圾及粉尘随风飘散，对空气造成污染影响</w:t>
      </w:r>
      <w:r>
        <w:rPr>
          <w:rFonts w:hint="eastAsia" w:ascii="Times New Roman" w:hAnsi="Times New Roman" w:eastAsia="宋体"/>
          <w:strike w:val="0"/>
          <w:dstrike w:val="0"/>
          <w:color w:val="auto"/>
          <w:highlight w:val="none"/>
          <w:lang w:eastAsia="zh-CN"/>
        </w:rPr>
        <w:t>。</w:t>
      </w:r>
    </w:p>
    <w:p w14:paraId="7F0AAAC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（2）生活垃圾</w:t>
      </w:r>
    </w:p>
    <w:p w14:paraId="6A3C015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本项目施工高峰期施工人员及工地管理人员约30人，生活垃圾总排放量为1.35t，产生的少量生活垃圾在施工区定点收集，后统一清运交由</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环卫部门统一处理</w:t>
      </w:r>
      <w:r>
        <w:rPr>
          <w:rFonts w:hint="eastAsia" w:ascii="Times New Roman" w:hAnsi="Times New Roman" w:eastAsia="宋体"/>
          <w:strike w:val="0"/>
          <w:dstrike w:val="0"/>
          <w:color w:val="auto"/>
          <w:highlight w:val="none"/>
          <w:lang w:eastAsia="zh-CN"/>
        </w:rPr>
        <w:t>。</w:t>
      </w:r>
    </w:p>
    <w:p w14:paraId="65D131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施工过程中的生活垃圾，如不及时处理，在气温适宜的条件下则会滋生蚊虫、产生恶臭、传播疾病，对周围环境产生不利影响，必须及时清运，杜绝因乱堆乱放对环境产生的影响</w:t>
      </w:r>
      <w:r>
        <w:rPr>
          <w:rFonts w:hint="eastAsia" w:ascii="Times New Roman" w:hAnsi="Times New Roman" w:eastAsia="宋体"/>
          <w:strike w:val="0"/>
          <w:dstrike w:val="0"/>
          <w:color w:val="auto"/>
          <w:highlight w:val="none"/>
          <w:lang w:eastAsia="zh-CN"/>
        </w:rPr>
        <w:t>。</w:t>
      </w:r>
    </w:p>
    <w:p w14:paraId="14138F3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垃圾若处置不当，会造成大面积占用土地，引起二次扬尘污染，影响景观等，生活垃圾若不合理堆放，及时清运，夏季气温较高，容易孳生蚊蝇和产生恶臭气体和垃圾沥水，会对当地环境卫生和空气质量造成不利影响</w:t>
      </w:r>
      <w:r>
        <w:rPr>
          <w:rFonts w:hint="eastAsia" w:ascii="Times New Roman" w:hAnsi="Times New Roman" w:eastAsia="宋体"/>
          <w:strike w:val="0"/>
          <w:dstrike w:val="0"/>
          <w:color w:val="auto"/>
          <w:highlight w:val="none"/>
          <w:lang w:eastAsia="zh-CN"/>
        </w:rPr>
        <w:t>。</w:t>
      </w:r>
    </w:p>
    <w:p w14:paraId="3D2518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施工期项目的固体废弃物排放是暂时的，随着施工的结束而减小，通过积极有效的施工管理，施工期固体废弃物对环境造成的影响不大</w:t>
      </w:r>
      <w:r>
        <w:rPr>
          <w:rFonts w:hint="eastAsia" w:ascii="Times New Roman" w:hAnsi="Times New Roman" w:eastAsia="宋体"/>
          <w:strike w:val="0"/>
          <w:dstrike w:val="0"/>
          <w:color w:val="auto"/>
          <w:highlight w:val="none"/>
          <w:lang w:eastAsia="zh-CN"/>
        </w:rPr>
        <w:t>。</w:t>
      </w:r>
    </w:p>
    <w:p w14:paraId="51D8CF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针对项目施工期固体废弃物种类及特点，提出如下防治措施：</w:t>
      </w:r>
    </w:p>
    <w:p w14:paraId="5E56EE9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（1）临时土石方于施工区就近堆放，采取覆盖围护措施，防止大风和大雨时造成的水土流失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堆放前设置挡土墙，堆放后表土覆盖防尘布，抑制扬尘产生</w:t>
      </w:r>
      <w:r>
        <w:rPr>
          <w:rFonts w:hint="eastAsia" w:ascii="Times New Roman" w:hAnsi="Times New Roman" w:eastAsia="宋体"/>
          <w:strike w:val="0"/>
          <w:dstrike w:val="0"/>
          <w:color w:val="auto"/>
          <w:highlight w:val="none"/>
          <w:lang w:eastAsia="zh-CN"/>
        </w:rPr>
        <w:t>。</w:t>
      </w:r>
    </w:p>
    <w:p w14:paraId="3CA6D06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施工中产生的不能再利用的建筑垃圾，应进行分类收集、分类管理，能够回收利用的尽量回收再利用，以节约资源；对于不能回收利用的要进行收集并于施工区内固定地点集中暂存，施工完成后及时处理，拉运至当地市政部门指定的建筑垃圾填埋场填埋处置或委托处置建筑垃圾的单位及时处置</w:t>
      </w:r>
      <w:r>
        <w:rPr>
          <w:rFonts w:hint="eastAsia" w:ascii="Times New Roman" w:hAnsi="Times New Roman" w:eastAsia="宋体"/>
          <w:strike w:val="0"/>
          <w:dstrike w:val="0"/>
          <w:color w:val="auto"/>
          <w:highlight w:val="none"/>
          <w:lang w:eastAsia="zh-CN"/>
        </w:rPr>
        <w:t>。</w:t>
      </w:r>
    </w:p>
    <w:p w14:paraId="4FC0BA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车辆运输建筑垃圾时，须采取覆盖措施，不得沿途漏撒；施工单位应在施工前5日向当地建设局申报工程垃圾处置计划，如实填报建筑垃圾的种类、数量、运输路线及处置方案等事项，并与有关管理部门签订环境卫生责任书</w:t>
      </w:r>
      <w:r>
        <w:rPr>
          <w:rFonts w:hint="eastAsia" w:ascii="Times New Roman" w:hAnsi="Times New Roman" w:eastAsia="宋体"/>
          <w:strike w:val="0"/>
          <w:dstrike w:val="0"/>
          <w:color w:val="auto"/>
          <w:highlight w:val="none"/>
          <w:lang w:eastAsia="zh-CN"/>
        </w:rPr>
        <w:t>。</w:t>
      </w:r>
    </w:p>
    <w:p w14:paraId="57E4EE8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（4）施工部门应当持当地建设局核发的处置证明，向运输单位办理建筑垃圾托运手续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运输车辆在运输建筑垃圾时应携带处置证明，接收渣土管理部门的检查，运输路线应按渣土管理部门会同公安、交通管理部门规定的线路运输</w:t>
      </w:r>
      <w:r>
        <w:rPr>
          <w:rFonts w:hint="eastAsia" w:ascii="Times New Roman" w:hAnsi="Times New Roman" w:eastAsia="宋体"/>
          <w:strike w:val="0"/>
          <w:dstrike w:val="0"/>
          <w:color w:val="auto"/>
          <w:highlight w:val="none"/>
          <w:lang w:eastAsia="zh-CN"/>
        </w:rPr>
        <w:t>。</w:t>
      </w:r>
    </w:p>
    <w:p w14:paraId="5C1BAAD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（5）工程完工后1个月内，应当将施工场地的剩余建筑垃圾处置干净，不得占用道路或其他类型土地来堆放建筑垃圾</w:t>
      </w:r>
      <w:r>
        <w:rPr>
          <w:rFonts w:hint="eastAsia" w:ascii="Times New Roman" w:hAnsi="Times New Roman" w:eastAsia="宋体"/>
          <w:strike w:val="0"/>
          <w:dstrike w:val="0"/>
          <w:color w:val="auto"/>
          <w:highlight w:val="none"/>
          <w:lang w:eastAsia="zh-CN"/>
        </w:rPr>
        <w:t>。</w:t>
      </w:r>
    </w:p>
    <w:p w14:paraId="3BF129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采取以上措施后，施工期固体废物对周围环境影响较小</w:t>
      </w:r>
      <w:r>
        <w:rPr>
          <w:rFonts w:hint="eastAsia" w:ascii="Times New Roman" w:hAnsi="Times New Roman" w:eastAsia="宋体"/>
          <w:strike w:val="0"/>
          <w:dstrike w:val="0"/>
          <w:color w:val="auto"/>
          <w:highlight w:val="none"/>
          <w:lang w:eastAsia="zh-CN"/>
        </w:rPr>
        <w:t>。</w:t>
      </w:r>
    </w:p>
    <w:p w14:paraId="12C1AA8F">
      <w:pPr>
        <w:pStyle w:val="4"/>
        <w:rPr>
          <w:rFonts w:ascii="Times New Roman" w:hAnsi="Times New Roman" w:eastAsia="宋体"/>
          <w:strike w:val="0"/>
          <w:dstrike w:val="0"/>
          <w:color w:val="auto"/>
          <w:highlight w:val="none"/>
        </w:rPr>
      </w:pPr>
      <w:bookmarkStart w:id="226" w:name="_Toc106663498"/>
      <w:bookmarkStart w:id="227" w:name="_Toc25000"/>
      <w:r>
        <w:rPr>
          <w:rFonts w:hint="eastAsia" w:ascii="Times New Roman" w:hAnsi="Times New Roman" w:eastAsia="宋体"/>
          <w:strike w:val="0"/>
          <w:dstrike w:val="0"/>
          <w:color w:val="auto"/>
          <w:highlight w:val="none"/>
        </w:rPr>
        <w:t>5.1.5施工期生态影响分析</w:t>
      </w:r>
      <w:bookmarkEnd w:id="226"/>
      <w:bookmarkEnd w:id="227"/>
    </w:p>
    <w:p w14:paraId="62B8EC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项目施工期对生态环境的影响主要是场地平整时破坏了项目区原有土壤理化性质和可能产生的水土流失影响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项目建设期对生态的影响主要体现在因施工造成的区域水土流失</w:t>
      </w:r>
      <w:r>
        <w:rPr>
          <w:rFonts w:hint="eastAsia" w:ascii="Times New Roman" w:hAnsi="Times New Roman" w:eastAsia="宋体"/>
          <w:strike w:val="0"/>
          <w:dstrike w:val="0"/>
          <w:color w:val="auto"/>
          <w:highlight w:val="none"/>
          <w:lang w:eastAsia="zh-CN"/>
        </w:rPr>
        <w:t>。</w:t>
      </w:r>
    </w:p>
    <w:p w14:paraId="09E901E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（1）占地影响</w:t>
      </w:r>
    </w:p>
    <w:p w14:paraId="7616DA1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项目占地均为永久性占地，永久性占地改变了原有土地使用功能，原有植被大部分不复存在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施工作业时的临时占地，由于施工人员及施工机械对地表植被的践踏、碾压等外力因素，破坏了原有土壤结构及性能，降低了土壤效力</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严重影响了原有的地表形态、土壤结构和理化性质，在项目结束后也难以恢复原有形态及生产力</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车辆行驶也同样对地表土壤结构造成破坏，这种破坏具有暂时性，经过一定时期能够恢复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施工期地表土层遭到不同程度的破坏，植被如不及时恢复，易引起土壤沙化</w:t>
      </w:r>
      <w:r>
        <w:rPr>
          <w:rFonts w:hint="eastAsia" w:ascii="Times New Roman" w:hAnsi="Times New Roman" w:eastAsia="宋体"/>
          <w:strike w:val="0"/>
          <w:dstrike w:val="0"/>
          <w:color w:val="auto"/>
          <w:highlight w:val="none"/>
          <w:lang w:eastAsia="zh-CN"/>
        </w:rPr>
        <w:t>。</w:t>
      </w:r>
    </w:p>
    <w:p w14:paraId="4F45EF2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施工方在施工前应先做好施工组织，做出详细的规划，划定施工活动范围，包括材料的堆存范围、人员食宿及运动范围，尽量减少临时占地数量</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在施工过程中需加强管理，严禁不按操作规程野蛮施工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施工监理部门和当地环保部门也应紧密合作，进行监督管理</w:t>
      </w:r>
      <w:r>
        <w:rPr>
          <w:rFonts w:hint="eastAsia" w:ascii="Times New Roman" w:hAnsi="Times New Roman" w:eastAsia="宋体"/>
          <w:strike w:val="0"/>
          <w:dstrike w:val="0"/>
          <w:color w:val="auto"/>
          <w:highlight w:val="none"/>
          <w:lang w:eastAsia="zh-CN"/>
        </w:rPr>
        <w:t>。</w:t>
      </w:r>
    </w:p>
    <w:p w14:paraId="46432F2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（2）对植被的影响分析</w:t>
      </w:r>
    </w:p>
    <w:p w14:paraId="163586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项目的建设将不可避免的破坏、扰动原地形地貌和植被；建设占地对区域植被的破坏是永久性的，这部分植被将永远失去生产能力，从而降低该区域植被覆盖率和生物多样性，造成植被生物量的减少</w:t>
      </w:r>
      <w:r>
        <w:rPr>
          <w:rFonts w:hint="eastAsia" w:ascii="Times New Roman" w:hAnsi="Times New Roman" w:eastAsia="宋体"/>
          <w:strike w:val="0"/>
          <w:dstrike w:val="0"/>
          <w:color w:val="auto"/>
          <w:highlight w:val="none"/>
          <w:lang w:eastAsia="zh-CN"/>
        </w:rPr>
        <w:t>。</w:t>
      </w:r>
    </w:p>
    <w:p w14:paraId="30F24DB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于施工期将引起原有植被的破坏，受破坏的植被类型为评价区内的常见类型，也无国家重点保护的珍稀濒危植物和野生动物，并且建成后通过对其进行绿化补偿，充分考虑乔、灌、草的比例，从而增加该区域内的物种数量，增强了项目区域内的生物多样性和稳定性，因此相对于整个区域而言，本项目的建设对植物区系、植被类型的影响较小，不会导致区域内现有种类和植被类型的消失灭绝</w:t>
      </w:r>
      <w:r>
        <w:rPr>
          <w:rFonts w:hint="eastAsia" w:ascii="Times New Roman" w:hAnsi="Times New Roman" w:eastAsia="宋体"/>
          <w:strike w:val="0"/>
          <w:dstrike w:val="0"/>
          <w:color w:val="auto"/>
          <w:highlight w:val="none"/>
          <w:lang w:eastAsia="zh-CN"/>
        </w:rPr>
        <w:t>。</w:t>
      </w:r>
    </w:p>
    <w:p w14:paraId="56AF2E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（3）对动物的影响分析</w:t>
      </w:r>
    </w:p>
    <w:p w14:paraId="76B41FA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施工期对陆生动物的直接影响是施工人员集中活动和工程施工过程对动物的惊扰；间接影响主要是项目建设破坏植被和土壤，造成部分陆生动物栖息地的丧失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施工区的主要动物是小型常见鸟类和鼠类、常见的蜥蜴类，且数量不多，具有较强的迁移能力，因此，施工期对这些动物的生存影响较小</w:t>
      </w:r>
      <w:r>
        <w:rPr>
          <w:rFonts w:hint="eastAsia" w:ascii="Times New Roman" w:hAnsi="Times New Roman" w:eastAsia="宋体"/>
          <w:strike w:val="0"/>
          <w:dstrike w:val="0"/>
          <w:color w:val="auto"/>
          <w:highlight w:val="none"/>
          <w:lang w:eastAsia="zh-CN"/>
        </w:rPr>
        <w:t>。</w:t>
      </w:r>
    </w:p>
    <w:p w14:paraId="1CAD8CD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（4）对其他生态环境的影响分析</w:t>
      </w:r>
    </w:p>
    <w:p w14:paraId="770956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施工用的砂土若随意堆放和场地平整后未及时绿化，在大风天气将产生风蚀，造成环境空气污染，雨季又会产生水蚀，加重地表水体污染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因此必须采取相应的措施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如：施工砂土在室内堆放或搭建顶棚，大风天气设置围档</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场地平整后尽快夯实、硬化，大风天气适量洒水等</w:t>
      </w:r>
      <w:r>
        <w:rPr>
          <w:rFonts w:hint="eastAsia" w:ascii="Times New Roman" w:hAnsi="Times New Roman" w:eastAsia="宋体"/>
          <w:strike w:val="0"/>
          <w:dstrike w:val="0"/>
          <w:color w:val="auto"/>
          <w:highlight w:val="none"/>
          <w:lang w:eastAsia="zh-CN"/>
        </w:rPr>
        <w:t>。</w:t>
      </w:r>
    </w:p>
    <w:p w14:paraId="08D515A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（5）对水土流失的影响分析</w:t>
      </w:r>
    </w:p>
    <w:p w14:paraId="2870633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水土流失将造成一定程度的生态影响，具体表现在：</w:t>
      </w:r>
    </w:p>
    <w:p w14:paraId="00D2329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①因施工开挖，将改变原土壤结构和地表物质组成，影响土壤肥力，从而导致土地生产力降低，给区域植被带来一定影响</w:t>
      </w:r>
      <w:r>
        <w:rPr>
          <w:rFonts w:hint="eastAsia" w:ascii="Times New Roman" w:hAnsi="Times New Roman" w:eastAsia="宋体"/>
          <w:strike w:val="0"/>
          <w:dstrike w:val="0"/>
          <w:color w:val="auto"/>
          <w:highlight w:val="none"/>
          <w:lang w:eastAsia="zh-CN"/>
        </w:rPr>
        <w:t>。</w:t>
      </w:r>
    </w:p>
    <w:p w14:paraId="2CA1DF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②施工期运输机械往来，使施工区表层土碾压疏松，大风天将产生扬尘，加剧区域水土流失</w:t>
      </w:r>
      <w:r>
        <w:rPr>
          <w:rFonts w:hint="eastAsia" w:ascii="Times New Roman" w:hAnsi="Times New Roman" w:eastAsia="宋体"/>
          <w:strike w:val="0"/>
          <w:dstrike w:val="0"/>
          <w:color w:val="auto"/>
          <w:highlight w:val="none"/>
          <w:lang w:eastAsia="zh-CN"/>
        </w:rPr>
        <w:t>。</w:t>
      </w:r>
    </w:p>
    <w:p w14:paraId="13B2A48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③施工时产生大量的临时堆土，虽然堆置为临时堆置，但受大风影响也会产生水土流失</w:t>
      </w:r>
      <w:r>
        <w:rPr>
          <w:rFonts w:hint="eastAsia" w:ascii="Times New Roman" w:hAnsi="Times New Roman" w:eastAsia="宋体"/>
          <w:strike w:val="0"/>
          <w:dstrike w:val="0"/>
          <w:color w:val="auto"/>
          <w:highlight w:val="none"/>
          <w:lang w:eastAsia="zh-CN"/>
        </w:rPr>
        <w:t>。</w:t>
      </w:r>
    </w:p>
    <w:p w14:paraId="00787DA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④土建工程施工过程中对占地区造成扰动，降低土壤抗侵蚀能力，使施工期间项目部分区域土壤侵蚀强度呈增加趋势</w:t>
      </w:r>
      <w:r>
        <w:rPr>
          <w:rFonts w:hint="eastAsia" w:ascii="Times New Roman" w:hAnsi="Times New Roman" w:eastAsia="宋体"/>
          <w:strike w:val="0"/>
          <w:dstrike w:val="0"/>
          <w:color w:val="auto"/>
          <w:highlight w:val="none"/>
          <w:lang w:eastAsia="zh-CN"/>
        </w:rPr>
        <w:t>。</w:t>
      </w:r>
    </w:p>
    <w:p w14:paraId="3E97973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区域土壤侵蚀主要为风蚀，项目建设不可避免地要加重区域水土流失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拟建项目产生的水土流失可以分为三个阶段，第一阶段是在施工准备期，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三通一平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工作产生大量土石方的开挖、运移活动，地表扰动严重，植被几乎完全被破坏，裸露的地表水土保持功能明显减弱，土壤侵蚀强度增强；第二阶段是土建期，工业场地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三通一平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作完成后，整个地表在绝大部分施工期内处于裸露状态，且有大量土石方和建筑材料临时堆放，再加上土建期排水系统的不完善，地表径流肆意冲刷施工面和堆放的土石料，工业场地内水土流失，如不采取有效的防治措施，将产生严重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三阶段是植被恢复期，地表建筑物等建设完成，土石方清理完毕，地表因大部分被硬化，地表土壤侵蚀强度较建设期有明显下降，但此时仍存在裸露地表，特别是林草植被种刚刚栽植，不能完全覆盖裸露的地表，林草植被措施还不能发挥作用，此时遇侵蚀性降雨等天气仍将不可避免的产生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运营期因采取绿化补偿等措施，可有效防止水土流失</w:t>
      </w:r>
      <w:r>
        <w:rPr>
          <w:rFonts w:hint="eastAsia" w:ascii="Times New Roman" w:hAnsi="Times New Roman" w:eastAsia="宋体"/>
          <w:strike w:val="0"/>
          <w:dstrike w:val="0"/>
          <w:color w:val="auto"/>
          <w:highlight w:val="none"/>
          <w:lang w:eastAsia="zh-CN"/>
        </w:rPr>
        <w:t>。</w:t>
      </w:r>
    </w:p>
    <w:p w14:paraId="43414B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本项目建设的水土流失危害主要表现在三个方面：一是项目建设破坏部分地表植被，在施工准备期及施工期对占地范围内的地表扰动剧烈，由此引起的人为加速土壤流失将对周边环境产生不良影响；二是发生的土壤流失如不能做好防治工作，可能淤积区域排水管道，阻断区域排水体系，影响区域沟道的排水功能；三是在各分项工程区内，如果不注重施工的临时性防护，也会造成当地水土流失的加剧，对当地环境及周边居民的生产生活产生影响</w:t>
      </w:r>
      <w:r>
        <w:rPr>
          <w:rFonts w:hint="eastAsia" w:ascii="Times New Roman" w:hAnsi="Times New Roman" w:eastAsia="宋体"/>
          <w:strike w:val="0"/>
          <w:dstrike w:val="0"/>
          <w:color w:val="auto"/>
          <w:highlight w:val="none"/>
          <w:lang w:eastAsia="zh-CN"/>
        </w:rPr>
        <w:t>。</w:t>
      </w:r>
    </w:p>
    <w:p w14:paraId="350A6CC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为减少施工期的水土流失，建设单位应精心组织，合理安排施工计划，在暴雨季节采取合理的防护措施，并减少雨季时的施工，对土石方挖填等方案进行周密论证，优选出水土流失较少的方案</w:t>
      </w:r>
      <w:r>
        <w:rPr>
          <w:rFonts w:hint="eastAsia" w:ascii="Times New Roman" w:hAnsi="Times New Roman" w:eastAsia="宋体"/>
          <w:strike w:val="0"/>
          <w:dstrike w:val="0"/>
          <w:color w:val="auto"/>
          <w:highlight w:val="none"/>
          <w:lang w:eastAsia="zh-CN"/>
        </w:rPr>
        <w:t>。</w:t>
      </w:r>
    </w:p>
    <w:p w14:paraId="110DB4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要注意防止水土流失，要尽量做到挖、填方的平衡，减少借方和弃方；施工中所用材料统一堆放管理，设置专门的材料场；加强施工管理，把拟建项目引起的难以避免的植被破坏减少到最低限度，并采取措施，尽力减少土壤侵蚀；控制各种项目的地表剥离，加强项目完成后对破坏植被的恢复</w:t>
      </w:r>
      <w:r>
        <w:rPr>
          <w:rFonts w:hint="eastAsia" w:ascii="Times New Roman" w:hAnsi="Times New Roman" w:eastAsia="宋体"/>
          <w:strike w:val="0"/>
          <w:dstrike w:val="0"/>
          <w:color w:val="auto"/>
          <w:highlight w:val="none"/>
          <w:lang w:eastAsia="zh-CN"/>
        </w:rPr>
        <w:t>。</w:t>
      </w:r>
    </w:p>
    <w:p w14:paraId="23C9948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（6）对景观的影响</w:t>
      </w:r>
    </w:p>
    <w:p w14:paraId="52D2C4A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本项目在施工建筑材料、土石方临时堆放、运输、土方开挖将会对周围景观的不良影响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项目在施工活动中，应注重施工活动与周围景观的协调性与完整性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建筑材料、土石方临时堆放时应整齐堆放，采用防尘布覆盖</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项目施工虽然在施工期内存在对自然景观和自然生态的影响，但在运营期采取场内防疫隔离绿化带、防护林植被绿化措施后，可将施工期对景观不利影响减到最低程度</w:t>
      </w:r>
      <w:r>
        <w:rPr>
          <w:rFonts w:hint="eastAsia" w:ascii="Times New Roman" w:hAnsi="Times New Roman" w:eastAsia="宋体"/>
          <w:strike w:val="0"/>
          <w:dstrike w:val="0"/>
          <w:color w:val="auto"/>
          <w:highlight w:val="none"/>
          <w:lang w:eastAsia="zh-CN"/>
        </w:rPr>
        <w:t>。</w:t>
      </w:r>
    </w:p>
    <w:p w14:paraId="0328EC7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（7）对自然体系稳定性影响</w:t>
      </w:r>
    </w:p>
    <w:p w14:paraId="155266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项目对自然体系稳定状况的度量从恢复稳定性和阻抗稳定性两个角度来度量</w:t>
      </w:r>
      <w:r>
        <w:rPr>
          <w:rFonts w:hint="eastAsia" w:ascii="Times New Roman" w:hAnsi="Times New Roman" w:eastAsia="宋体"/>
          <w:strike w:val="0"/>
          <w:dstrike w:val="0"/>
          <w:color w:val="auto"/>
          <w:highlight w:val="none"/>
          <w:lang w:eastAsia="zh-CN"/>
        </w:rPr>
        <w:t>。</w:t>
      </w:r>
    </w:p>
    <w:p w14:paraId="169E006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对自然体系阻抗稳定性的度量，是通过对植被异质性程度的改变程度来度量的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项目区的土地利用类型主要为农业生态区的人工管理生态系统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从景观生态学角度看，人工管理的生态系统相对自然生态系统的稳定性调控能力不是很强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天然植被对自然系统有着较强的调控的能力，项目区目前人为活动相对较少，天然植被大部分还未被侵扰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因此，项目实施对区域自然体系中模地组分自身的异质化程度将产生一定影响</w:t>
      </w:r>
      <w:r>
        <w:rPr>
          <w:rFonts w:hint="eastAsia" w:ascii="Times New Roman" w:hAnsi="Times New Roman" w:eastAsia="宋体"/>
          <w:strike w:val="0"/>
          <w:dstrike w:val="0"/>
          <w:color w:val="auto"/>
          <w:highlight w:val="none"/>
          <w:lang w:eastAsia="zh-CN"/>
        </w:rPr>
        <w:t>。</w:t>
      </w:r>
    </w:p>
    <w:p w14:paraId="39C183CB">
      <w:pPr>
        <w:pStyle w:val="3"/>
        <w:rPr>
          <w:rFonts w:hint="eastAsia" w:ascii="Times New Roman" w:hAnsi="Times New Roman" w:eastAsia="宋体"/>
          <w:strike w:val="0"/>
          <w:dstrike w:val="0"/>
          <w:color w:val="auto"/>
          <w:highlight w:val="none"/>
        </w:rPr>
      </w:pPr>
      <w:bookmarkStart w:id="228" w:name="_Toc31465"/>
      <w:bookmarkStart w:id="229" w:name="_Toc89619344"/>
      <w:r>
        <w:rPr>
          <w:rFonts w:hint="eastAsia" w:ascii="Times New Roman" w:hAnsi="Times New Roman" w:eastAsia="宋体"/>
          <w:strike w:val="0"/>
          <w:dstrike w:val="0"/>
          <w:color w:val="auto"/>
          <w:highlight w:val="none"/>
        </w:rPr>
        <w:t>5.2运营期环境影响分析</w:t>
      </w:r>
      <w:bookmarkEnd w:id="228"/>
      <w:bookmarkEnd w:id="229"/>
    </w:p>
    <w:p w14:paraId="0DA88F9A">
      <w:pPr>
        <w:pStyle w:val="4"/>
        <w:rPr>
          <w:rFonts w:hint="eastAsia" w:ascii="Times New Roman" w:hAnsi="Times New Roman" w:eastAsia="宋体"/>
          <w:strike w:val="0"/>
          <w:dstrike w:val="0"/>
          <w:color w:val="auto"/>
          <w:highlight w:val="none"/>
        </w:rPr>
      </w:pPr>
      <w:bookmarkStart w:id="230" w:name="_Toc106663500"/>
      <w:bookmarkStart w:id="231" w:name="_Toc6709"/>
      <w:r>
        <w:rPr>
          <w:rFonts w:hint="eastAsia" w:ascii="Times New Roman" w:hAnsi="Times New Roman" w:eastAsia="宋体"/>
          <w:strike w:val="0"/>
          <w:dstrike w:val="0"/>
          <w:color w:val="auto"/>
          <w:highlight w:val="none"/>
        </w:rPr>
        <w:t>5.2.1大气环境影响分析与评价</w:t>
      </w:r>
      <w:bookmarkEnd w:id="230"/>
      <w:bookmarkEnd w:id="231"/>
    </w:p>
    <w:p w14:paraId="20543DF4">
      <w:pPr>
        <w:pStyle w:val="5"/>
        <w:ind w:firstLine="0" w:firstLineChars="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.2.1.1</w:t>
      </w:r>
      <w:r>
        <w:rPr>
          <w:rFonts w:hint="default" w:ascii="Times New Roman" w:hAnsi="Times New Roman" w:eastAsia="宋体"/>
          <w:strike w:val="0"/>
          <w:dstrike w:val="0"/>
          <w:color w:val="auto"/>
          <w:highlight w:val="none"/>
          <w:lang w:val="en-US" w:eastAsia="zh-CN"/>
        </w:rPr>
        <w:t>大气环境影响预测</w:t>
      </w:r>
    </w:p>
    <w:p w14:paraId="184BD6BB">
      <w:pPr>
        <w:spacing w:line="360" w:lineRule="auto"/>
        <w:ind w:firstLine="480" w:firstLineChars="200"/>
        <w:rPr>
          <w:rFonts w:hint="eastAsia" w:ascii="Times New Roman" w:hAnsi="Times New Roman" w:eastAsia="宋体" w:cs="Times New Roman"/>
          <w:strike w:val="0"/>
          <w:dstrike w:val="0"/>
          <w:color w:val="auto"/>
          <w:kern w:val="0"/>
          <w:sz w:val="24"/>
          <w:szCs w:val="24"/>
          <w:lang w:val="en-US" w:eastAsia="zh-CN" w:bidi="ar"/>
        </w:rPr>
      </w:pPr>
      <w:r>
        <w:rPr>
          <w:rFonts w:ascii="Times New Roman" w:hAnsi="Times New Roman" w:eastAsia="宋体"/>
          <w:color w:val="auto"/>
          <w:sz w:val="24"/>
          <w:szCs w:val="24"/>
        </w:rPr>
        <w:t>根据项目工程分析，本项目废气污染源主要表现为</w:t>
      </w:r>
      <w:r>
        <w:rPr>
          <w:rFonts w:hint="eastAsia" w:ascii="Times New Roman" w:hAnsi="Times New Roman" w:eastAsia="宋体"/>
          <w:color w:val="auto"/>
          <w:sz w:val="24"/>
          <w:szCs w:val="24"/>
          <w:lang w:eastAsia="zh-CN"/>
        </w:rPr>
        <w:t>恶臭</w:t>
      </w:r>
      <w:r>
        <w:rPr>
          <w:rFonts w:ascii="Times New Roman" w:hAnsi="Times New Roman" w:eastAsia="宋体"/>
          <w:color w:val="auto"/>
          <w:sz w:val="24"/>
          <w:szCs w:val="24"/>
        </w:rPr>
        <w:t>污染，主要来自</w:t>
      </w:r>
      <w:r>
        <w:rPr>
          <w:rFonts w:hint="eastAsia" w:ascii="Times New Roman" w:hAnsi="Times New Roman" w:eastAsia="宋体" w:cs="Times New Roman"/>
          <w:strike w:val="0"/>
          <w:dstrike w:val="0"/>
          <w:color w:val="auto"/>
          <w:kern w:val="0"/>
          <w:sz w:val="24"/>
          <w:szCs w:val="24"/>
          <w:lang w:val="en-US" w:eastAsia="zh-CN" w:bidi="ar"/>
        </w:rPr>
        <w:t>骆驼圈舍、堆肥场、黑膜池无组织排放的NH</w:t>
      </w:r>
      <w:r>
        <w:rPr>
          <w:rFonts w:hint="eastAsia" w:ascii="Times New Roman" w:hAnsi="Times New Roman" w:eastAsia="宋体" w:cs="Times New Roman"/>
          <w:strike w:val="0"/>
          <w:dstrike w:val="0"/>
          <w:color w:val="auto"/>
          <w:kern w:val="0"/>
          <w:sz w:val="24"/>
          <w:szCs w:val="24"/>
          <w:vertAlign w:val="subscript"/>
          <w:lang w:val="en-US" w:eastAsia="zh-CN" w:bidi="ar"/>
        </w:rPr>
        <w:t>3</w:t>
      </w:r>
      <w:r>
        <w:rPr>
          <w:rFonts w:hint="eastAsia" w:ascii="Times New Roman" w:hAnsi="Times New Roman" w:eastAsia="宋体" w:cs="Times New Roman"/>
          <w:strike w:val="0"/>
          <w:dstrike w:val="0"/>
          <w:color w:val="auto"/>
          <w:kern w:val="0"/>
          <w:sz w:val="24"/>
          <w:szCs w:val="24"/>
          <w:lang w:val="en-US" w:eastAsia="zh-CN" w:bidi="ar"/>
        </w:rPr>
        <w:t>、H</w:t>
      </w:r>
      <w:r>
        <w:rPr>
          <w:rFonts w:hint="eastAsia" w:ascii="Times New Roman" w:hAnsi="Times New Roman" w:eastAsia="宋体" w:cs="Times New Roman"/>
          <w:strike w:val="0"/>
          <w:dstrike w:val="0"/>
          <w:color w:val="auto"/>
          <w:kern w:val="0"/>
          <w:sz w:val="24"/>
          <w:szCs w:val="24"/>
          <w:vertAlign w:val="subscript"/>
          <w:lang w:val="en-US" w:eastAsia="zh-CN" w:bidi="ar"/>
        </w:rPr>
        <w:t>2</w:t>
      </w:r>
      <w:r>
        <w:rPr>
          <w:rFonts w:hint="eastAsia" w:ascii="Times New Roman" w:hAnsi="Times New Roman" w:eastAsia="宋体" w:cs="Times New Roman"/>
          <w:strike w:val="0"/>
          <w:dstrike w:val="0"/>
          <w:color w:val="auto"/>
          <w:kern w:val="0"/>
          <w:sz w:val="24"/>
          <w:szCs w:val="24"/>
          <w:lang w:val="en-US" w:eastAsia="zh-CN" w:bidi="ar"/>
        </w:rPr>
        <w:t>S，采用《环境影响评价技术导则大气环境》（HJ2.2-2018）附录A推荐模型中估算模型（AERSCREEN）计算项目污染源的最大环境影响，按评价工作分级判据进行分级。</w:t>
      </w:r>
    </w:p>
    <w:p w14:paraId="0E7192F5">
      <w:pPr>
        <w:spacing w:line="360" w:lineRule="auto"/>
        <w:ind w:firstLine="480" w:firstLineChars="200"/>
        <w:rPr>
          <w:rFonts w:hint="eastAsia" w:ascii="Times New Roman" w:hAnsi="Times New Roman" w:eastAsia="宋体" w:cs="Times New Roman"/>
          <w:strike w:val="0"/>
          <w:dstrike w:val="0"/>
          <w:color w:val="auto"/>
          <w:kern w:val="0"/>
          <w:sz w:val="24"/>
          <w:szCs w:val="24"/>
          <w:lang w:val="en-US" w:eastAsia="zh-CN" w:bidi="ar"/>
        </w:rPr>
      </w:pPr>
      <w:r>
        <w:rPr>
          <w:rFonts w:hint="eastAsia" w:ascii="Times New Roman" w:hAnsi="Times New Roman" w:eastAsia="宋体" w:cs="Times New Roman"/>
          <w:strike w:val="0"/>
          <w:dstrike w:val="0"/>
          <w:color w:val="auto"/>
          <w:kern w:val="0"/>
          <w:sz w:val="24"/>
          <w:szCs w:val="24"/>
          <w:lang w:val="en-US" w:eastAsia="zh-CN" w:bidi="ar"/>
        </w:rPr>
        <w:t>（1）预测情景及因子</w:t>
      </w:r>
    </w:p>
    <w:p w14:paraId="7DBA6FB5">
      <w:pPr>
        <w:spacing w:line="360" w:lineRule="auto"/>
        <w:ind w:firstLine="480" w:firstLineChars="200"/>
        <w:rPr>
          <w:rFonts w:hint="default" w:ascii="Times New Roman" w:hAnsi="Times New Roman" w:eastAsia="宋体" w:cs="Times New Roman"/>
          <w:strike w:val="0"/>
          <w:dstrike w:val="0"/>
          <w:color w:val="auto"/>
          <w:kern w:val="0"/>
          <w:sz w:val="24"/>
          <w:szCs w:val="24"/>
          <w:lang w:val="en-US" w:eastAsia="zh-CN" w:bidi="ar"/>
        </w:rPr>
      </w:pPr>
      <w:r>
        <w:rPr>
          <w:rFonts w:hint="eastAsia" w:ascii="Times New Roman" w:hAnsi="Times New Roman" w:eastAsia="宋体" w:cs="Times New Roman"/>
          <w:strike w:val="0"/>
          <w:dstrike w:val="0"/>
          <w:color w:val="auto"/>
          <w:kern w:val="0"/>
          <w:sz w:val="24"/>
          <w:szCs w:val="24"/>
          <w:lang w:val="en-US" w:eastAsia="zh-CN" w:bidi="ar"/>
        </w:rPr>
        <w:t>根据项目工程分析和排污特点，大气污染物预测因子和预测情景见下表，评价因子和标准见下表。</w:t>
      </w:r>
    </w:p>
    <w:p w14:paraId="2D30C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default" w:ascii="Times New Roman" w:hAnsi="Times New Roman" w:eastAsia="宋体"/>
          <w:b/>
          <w:bCs/>
          <w:strike w:val="0"/>
          <w:dstrike w:val="0"/>
          <w:color w:val="auto"/>
          <w:highlight w:val="none"/>
          <w:lang w:val="en-US" w:eastAsia="zh-CN"/>
        </w:rPr>
        <w:t>表5.2-</w:t>
      </w:r>
      <w:r>
        <w:rPr>
          <w:rFonts w:hint="eastAsia" w:ascii="Times New Roman" w:hAnsi="Times New Roman" w:eastAsia="宋体"/>
          <w:b/>
          <w:bCs/>
          <w:strike w:val="0"/>
          <w:dstrike w:val="0"/>
          <w:color w:val="auto"/>
          <w:highlight w:val="none"/>
          <w:lang w:val="en-US" w:eastAsia="zh-CN"/>
        </w:rPr>
        <w:t>1</w:t>
      </w:r>
      <w:r>
        <w:rPr>
          <w:rFonts w:hint="default" w:ascii="Times New Roman" w:hAnsi="Times New Roman" w:eastAsia="宋体"/>
          <w:b/>
          <w:bCs/>
          <w:strike w:val="0"/>
          <w:dstrike w:val="0"/>
          <w:color w:val="auto"/>
          <w:highlight w:val="none"/>
          <w:lang w:val="en-US" w:eastAsia="zh-CN"/>
        </w:rPr>
        <w:t>预测情景及因子</w:t>
      </w:r>
    </w:p>
    <w:tbl>
      <w:tblPr>
        <w:tblStyle w:val="39"/>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679"/>
        <w:gridCol w:w="3088"/>
        <w:gridCol w:w="2037"/>
        <w:gridCol w:w="1480"/>
      </w:tblGrid>
      <w:tr w14:paraId="5AD11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013" w:type="pct"/>
            <w:tcBorders>
              <w:tl2br w:val="nil"/>
              <w:tr2bl w:val="nil"/>
            </w:tcBorders>
            <w:noWrap w:val="0"/>
            <w:vAlign w:val="center"/>
          </w:tcPr>
          <w:p w14:paraId="7CA0068D">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default" w:ascii="Times New Roman" w:hAnsi="Times New Roman" w:eastAsia="宋体" w:cs="Times New Roman"/>
                <w:b w:val="0"/>
                <w:bCs w:val="0"/>
                <w:strike w:val="0"/>
                <w:dstrike w:val="0"/>
                <w:color w:val="auto"/>
                <w:szCs w:val="21"/>
              </w:rPr>
              <w:t>污染</w:t>
            </w:r>
            <w:r>
              <w:rPr>
                <w:rFonts w:hint="eastAsia" w:ascii="Times New Roman" w:hAnsi="Times New Roman" w:eastAsia="宋体" w:cs="Times New Roman"/>
                <w:b w:val="0"/>
                <w:bCs w:val="0"/>
                <w:strike w:val="0"/>
                <w:dstrike w:val="0"/>
                <w:color w:val="auto"/>
                <w:szCs w:val="21"/>
                <w:lang w:eastAsia="zh-CN"/>
              </w:rPr>
              <w:t>源类别</w:t>
            </w:r>
          </w:p>
        </w:tc>
        <w:tc>
          <w:tcPr>
            <w:tcW w:w="1863" w:type="pct"/>
            <w:tcBorders>
              <w:tl2br w:val="nil"/>
              <w:tr2bl w:val="nil"/>
            </w:tcBorders>
            <w:noWrap w:val="0"/>
            <w:vAlign w:val="center"/>
          </w:tcPr>
          <w:p w14:paraId="303314DF">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eastAsia" w:ascii="Times New Roman" w:hAnsi="Times New Roman" w:eastAsia="宋体" w:cs="Times New Roman"/>
                <w:b w:val="0"/>
                <w:bCs w:val="0"/>
                <w:strike w:val="0"/>
                <w:dstrike w:val="0"/>
                <w:color w:val="auto"/>
                <w:szCs w:val="21"/>
                <w:lang w:eastAsia="zh-CN"/>
              </w:rPr>
              <w:t>预测因子</w:t>
            </w:r>
          </w:p>
        </w:tc>
        <w:tc>
          <w:tcPr>
            <w:tcW w:w="1229" w:type="pct"/>
            <w:tcBorders>
              <w:tl2br w:val="nil"/>
              <w:tr2bl w:val="nil"/>
            </w:tcBorders>
            <w:noWrap w:val="0"/>
            <w:vAlign w:val="center"/>
          </w:tcPr>
          <w:p w14:paraId="397F7004">
            <w:pPr>
              <w:pStyle w:val="113"/>
              <w:spacing w:line="240" w:lineRule="auto"/>
              <w:jc w:val="center"/>
              <w:rPr>
                <w:rFonts w:hint="eastAsia" w:ascii="Times New Roman" w:hAnsi="Times New Roman" w:eastAsia="宋体" w:cs="Times New Roman"/>
                <w:b w:val="0"/>
                <w:bCs w:val="0"/>
                <w:strike w:val="0"/>
                <w:dstrike w:val="0"/>
                <w:color w:val="auto"/>
                <w:szCs w:val="21"/>
                <w:lang w:val="en-US" w:eastAsia="zh-CN"/>
              </w:rPr>
            </w:pPr>
            <w:r>
              <w:rPr>
                <w:rFonts w:hint="eastAsia" w:ascii="Times New Roman" w:hAnsi="Times New Roman" w:eastAsia="宋体" w:cs="Times New Roman"/>
                <w:b w:val="0"/>
                <w:bCs w:val="0"/>
                <w:strike w:val="0"/>
                <w:dstrike w:val="0"/>
                <w:color w:val="auto"/>
                <w:szCs w:val="21"/>
                <w:lang w:val="en-US" w:eastAsia="zh-CN"/>
              </w:rPr>
              <w:t>计算点</w:t>
            </w:r>
          </w:p>
        </w:tc>
        <w:tc>
          <w:tcPr>
            <w:tcW w:w="892" w:type="pct"/>
            <w:tcBorders>
              <w:tl2br w:val="nil"/>
              <w:tr2bl w:val="nil"/>
            </w:tcBorders>
            <w:noWrap w:val="0"/>
            <w:vAlign w:val="center"/>
          </w:tcPr>
          <w:p w14:paraId="4C0EC680">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eastAsia" w:ascii="Times New Roman" w:hAnsi="Times New Roman" w:eastAsia="宋体" w:cs="Times New Roman"/>
                <w:b w:val="0"/>
                <w:bCs w:val="0"/>
                <w:strike w:val="0"/>
                <w:dstrike w:val="0"/>
                <w:color w:val="auto"/>
                <w:szCs w:val="21"/>
                <w:lang w:eastAsia="zh-CN"/>
              </w:rPr>
              <w:t>常规预测内容</w:t>
            </w:r>
          </w:p>
        </w:tc>
      </w:tr>
      <w:tr w14:paraId="759447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013" w:type="pct"/>
            <w:tcBorders>
              <w:tl2br w:val="nil"/>
              <w:tr2bl w:val="nil"/>
            </w:tcBorders>
            <w:noWrap w:val="0"/>
            <w:vAlign w:val="center"/>
          </w:tcPr>
          <w:p w14:paraId="4C1486FB">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厂区</w:t>
            </w:r>
          </w:p>
        </w:tc>
        <w:tc>
          <w:tcPr>
            <w:tcW w:w="1863" w:type="pct"/>
            <w:tcBorders>
              <w:tl2br w:val="nil"/>
              <w:tr2bl w:val="nil"/>
            </w:tcBorders>
            <w:noWrap w:val="0"/>
            <w:vAlign w:val="center"/>
          </w:tcPr>
          <w:p w14:paraId="254EA838">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position w:val="2"/>
                <w:szCs w:val="21"/>
              </w:rPr>
              <w:t>H</w:t>
            </w:r>
            <w:r>
              <w:rPr>
                <w:rFonts w:hint="default" w:ascii="Times New Roman" w:hAnsi="Times New Roman" w:eastAsia="宋体" w:cs="Times New Roman"/>
                <w:strike w:val="0"/>
                <w:dstrike w:val="0"/>
                <w:color w:val="auto"/>
                <w:szCs w:val="21"/>
                <w:vertAlign w:val="subscript"/>
              </w:rPr>
              <w:t>2</w:t>
            </w:r>
            <w:r>
              <w:rPr>
                <w:rFonts w:hint="default" w:ascii="Times New Roman" w:hAnsi="Times New Roman" w:eastAsia="宋体" w:cs="Times New Roman"/>
                <w:strike w:val="0"/>
                <w:dstrike w:val="0"/>
                <w:color w:val="auto"/>
                <w:position w:val="2"/>
                <w:szCs w:val="21"/>
              </w:rPr>
              <w:t>S</w:t>
            </w:r>
            <w:r>
              <w:rPr>
                <w:rFonts w:hint="eastAsia" w:ascii="Times New Roman" w:hAnsi="Times New Roman" w:eastAsia="宋体" w:cs="Times New Roman"/>
                <w:strike w:val="0"/>
                <w:dstrike w:val="0"/>
                <w:color w:val="auto"/>
                <w:position w:val="2"/>
                <w:szCs w:val="21"/>
                <w:lang w:eastAsia="zh-CN"/>
              </w:rPr>
              <w:t>、</w:t>
            </w:r>
            <w:r>
              <w:rPr>
                <w:rFonts w:hint="default" w:ascii="Times New Roman" w:hAnsi="Times New Roman" w:eastAsia="宋体" w:cs="Times New Roman"/>
                <w:strike w:val="0"/>
                <w:dstrike w:val="0"/>
                <w:color w:val="auto"/>
                <w:position w:val="2"/>
                <w:szCs w:val="21"/>
              </w:rPr>
              <w:t>NH</w:t>
            </w:r>
            <w:r>
              <w:rPr>
                <w:rFonts w:hint="default" w:ascii="Times New Roman" w:hAnsi="Times New Roman" w:eastAsia="宋体" w:cs="Times New Roman"/>
                <w:strike w:val="0"/>
                <w:dstrike w:val="0"/>
                <w:color w:val="auto"/>
                <w:szCs w:val="21"/>
                <w:vertAlign w:val="subscript"/>
              </w:rPr>
              <w:t>3</w:t>
            </w:r>
          </w:p>
        </w:tc>
        <w:tc>
          <w:tcPr>
            <w:tcW w:w="1229" w:type="pct"/>
            <w:tcBorders>
              <w:tl2br w:val="nil"/>
              <w:tr2bl w:val="nil"/>
            </w:tcBorders>
            <w:noWrap w:val="0"/>
            <w:vAlign w:val="center"/>
          </w:tcPr>
          <w:p w14:paraId="4282453F">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szCs w:val="21"/>
                <w:lang w:val="en-US" w:eastAsia="zh-CN"/>
              </w:rPr>
              <w:t>区域最大地面浓度点</w:t>
            </w:r>
          </w:p>
        </w:tc>
        <w:tc>
          <w:tcPr>
            <w:tcW w:w="892" w:type="pct"/>
            <w:tcBorders>
              <w:tl2br w:val="nil"/>
              <w:tr2bl w:val="nil"/>
            </w:tcBorders>
            <w:noWrap w:val="0"/>
            <w:vAlign w:val="center"/>
          </w:tcPr>
          <w:p w14:paraId="7781151C">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szCs w:val="21"/>
                <w:lang w:val="en-US" w:eastAsia="zh-CN"/>
              </w:rPr>
              <w:t>小时浓度</w:t>
            </w:r>
          </w:p>
        </w:tc>
      </w:tr>
    </w:tbl>
    <w:p w14:paraId="10975F3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2</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大气环境影响估算</w:t>
      </w:r>
    </w:p>
    <w:p w14:paraId="376403B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①</w:t>
      </w:r>
      <w:r>
        <w:rPr>
          <w:rFonts w:ascii="Times New Roman" w:hAnsi="Times New Roman" w:eastAsia="宋体" w:cs="宋体"/>
          <w:strike w:val="0"/>
          <w:dstrike w:val="0"/>
          <w:color w:val="auto"/>
          <w:spacing w:val="0"/>
          <w:sz w:val="24"/>
          <w:szCs w:val="24"/>
          <w:highlight w:val="none"/>
        </w:rPr>
        <w:t>估算模型选取</w:t>
      </w:r>
    </w:p>
    <w:p w14:paraId="54798113">
      <w:pPr>
        <w:keepNext w:val="0"/>
        <w:keepLines w:val="0"/>
        <w:pageBreakBefore w:val="0"/>
        <w:widowControl w:val="0"/>
        <w:kinsoku/>
        <w:wordWrap/>
        <w:overflowPunct/>
        <w:topLinePunct w:val="0"/>
        <w:autoSpaceDE/>
        <w:autoSpaceDN/>
        <w:bidi w:val="0"/>
        <w:adjustRightInd/>
        <w:snapToGrid/>
        <w:spacing w:line="480" w:lineRule="exact"/>
        <w:ind w:left="0" w:right="0" w:firstLine="481"/>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为了解本项目废气对周边环境的影响，本此评价根据《环境影响评价技术导则大气环境》</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HJ2.2-2018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，采用估算模式</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AERSCREEN</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对项目排放的废气进行预测分析</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结合本项目特点，本评价选取</w:t>
      </w:r>
      <w:r>
        <w:rPr>
          <w:rFonts w:ascii="Times New Roman" w:hAnsi="Times New Roman" w:eastAsia="宋体" w:cs="Times New Roman"/>
          <w:strike w:val="0"/>
          <w:dstrike w:val="0"/>
          <w:color w:val="auto"/>
          <w:spacing w:val="0"/>
          <w:sz w:val="24"/>
          <w:szCs w:val="24"/>
          <w:highlight w:val="none"/>
        </w:rPr>
        <w:t>NH</w:t>
      </w:r>
      <w:r>
        <w:rPr>
          <w:rFonts w:ascii="Times New Roman" w:hAnsi="Times New Roman" w:eastAsia="宋体" w:cs="Times New Roman"/>
          <w:strike w:val="0"/>
          <w:dstrike w:val="0"/>
          <w:color w:val="auto"/>
          <w:spacing w:val="0"/>
          <w:sz w:val="24"/>
          <w:szCs w:val="15"/>
          <w:highlight w:val="none"/>
          <w:vertAlign w:val="subscript"/>
        </w:rPr>
        <w:t>3</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H</w:t>
      </w:r>
      <w:r>
        <w:rPr>
          <w:rFonts w:ascii="Times New Roman" w:hAnsi="Times New Roman" w:eastAsia="宋体" w:cs="Times New Roman"/>
          <w:strike w:val="0"/>
          <w:dstrike w:val="0"/>
          <w:color w:val="auto"/>
          <w:spacing w:val="0"/>
          <w:sz w:val="24"/>
          <w:szCs w:val="15"/>
          <w:highlight w:val="none"/>
          <w:vertAlign w:val="subscript"/>
        </w:rPr>
        <w:t>2</w:t>
      </w:r>
      <w:r>
        <w:rPr>
          <w:rFonts w:ascii="Times New Roman" w:hAnsi="Times New Roman" w:eastAsia="宋体" w:cs="Times New Roman"/>
          <w:strike w:val="0"/>
          <w:dstrike w:val="0"/>
          <w:color w:val="auto"/>
          <w:spacing w:val="0"/>
          <w:sz w:val="24"/>
          <w:szCs w:val="24"/>
          <w:highlight w:val="none"/>
        </w:rPr>
        <w:t>S</w:t>
      </w:r>
      <w:r>
        <w:rPr>
          <w:rFonts w:ascii="Times New Roman" w:hAnsi="Times New Roman" w:eastAsia="宋体" w:cs="宋体"/>
          <w:strike w:val="0"/>
          <w:dstrike w:val="0"/>
          <w:color w:val="auto"/>
          <w:spacing w:val="0"/>
          <w:sz w:val="24"/>
          <w:szCs w:val="24"/>
          <w:highlight w:val="none"/>
        </w:rPr>
        <w:t>作为预测估算因子</w:t>
      </w:r>
      <w:r>
        <w:rPr>
          <w:rFonts w:hint="eastAsia" w:ascii="Times New Roman" w:hAnsi="Times New Roman" w:eastAsia="宋体" w:cs="宋体"/>
          <w:strike w:val="0"/>
          <w:dstrike w:val="0"/>
          <w:color w:val="auto"/>
          <w:spacing w:val="0"/>
          <w:sz w:val="24"/>
          <w:szCs w:val="24"/>
          <w:highlight w:val="none"/>
          <w:lang w:eastAsia="zh-CN"/>
        </w:rPr>
        <w:t>。</w:t>
      </w:r>
    </w:p>
    <w:p w14:paraId="69AC1A2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②</w:t>
      </w:r>
      <w:r>
        <w:rPr>
          <w:rFonts w:ascii="Times New Roman" w:hAnsi="Times New Roman" w:eastAsia="宋体" w:cs="宋体"/>
          <w:strike w:val="0"/>
          <w:dstrike w:val="0"/>
          <w:color w:val="auto"/>
          <w:spacing w:val="0"/>
          <w:sz w:val="24"/>
          <w:szCs w:val="24"/>
          <w:highlight w:val="none"/>
        </w:rPr>
        <w:t>评价标准</w:t>
      </w:r>
    </w:p>
    <w:p w14:paraId="1E906CE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项目评价因子和和评价标准详见表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.2-2</w:t>
      </w:r>
      <w:r>
        <w:rPr>
          <w:rFonts w:hint="eastAsia" w:ascii="Times New Roman" w:hAnsi="Times New Roman" w:eastAsia="宋体" w:cs="宋体"/>
          <w:strike w:val="0"/>
          <w:dstrike w:val="0"/>
          <w:color w:val="auto"/>
          <w:spacing w:val="0"/>
          <w:sz w:val="24"/>
          <w:szCs w:val="24"/>
          <w:highlight w:val="none"/>
          <w:lang w:eastAsia="zh-CN"/>
        </w:rPr>
        <w:t>。</w:t>
      </w:r>
    </w:p>
    <w:p w14:paraId="34AEFF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表5.2-2评价因子和评价标准一览表</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65"/>
        <w:gridCol w:w="1531"/>
        <w:gridCol w:w="1810"/>
        <w:gridCol w:w="3594"/>
      </w:tblGrid>
      <w:tr w14:paraId="30DFC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7" w:hRule="atLeast"/>
          <w:jc w:val="center"/>
        </w:trPr>
        <w:tc>
          <w:tcPr>
            <w:tcW w:w="822" w:type="pct"/>
            <w:vAlign w:val="center"/>
          </w:tcPr>
          <w:p w14:paraId="0FBF8FD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922" w:type="pct"/>
            <w:vAlign w:val="center"/>
          </w:tcPr>
          <w:p w14:paraId="583A497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评价时段</w:t>
            </w:r>
          </w:p>
        </w:tc>
        <w:tc>
          <w:tcPr>
            <w:tcW w:w="1090" w:type="pct"/>
            <w:vAlign w:val="center"/>
          </w:tcPr>
          <w:p w14:paraId="3603DC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标准值</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μg/m</w:t>
            </w:r>
            <w:r>
              <w:rPr>
                <w:rFonts w:ascii="Times New Roman" w:hAnsi="Times New Roman" w:eastAsia="宋体" w:cs="Times New Roman"/>
                <w:strike w:val="0"/>
                <w:dstrike w:val="0"/>
                <w:color w:val="auto"/>
                <w:spacing w:val="0"/>
                <w:position w:val="0"/>
                <w:sz w:val="21"/>
                <w:szCs w:val="14"/>
                <w:highlight w:val="none"/>
                <w:vertAlign w:val="superscript"/>
              </w:rPr>
              <w:t>3</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2163" w:type="pct"/>
            <w:vAlign w:val="center"/>
          </w:tcPr>
          <w:p w14:paraId="766A332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标准来源</w:t>
            </w:r>
          </w:p>
        </w:tc>
      </w:tr>
      <w:tr w14:paraId="550E3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822" w:type="pct"/>
            <w:vAlign w:val="center"/>
          </w:tcPr>
          <w:p w14:paraId="6732EF8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p>
        </w:tc>
        <w:tc>
          <w:tcPr>
            <w:tcW w:w="922" w:type="pct"/>
            <w:vAlign w:val="center"/>
          </w:tcPr>
          <w:p w14:paraId="5594D4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小时</w:t>
            </w:r>
          </w:p>
        </w:tc>
        <w:tc>
          <w:tcPr>
            <w:tcW w:w="1090" w:type="pct"/>
            <w:vAlign w:val="center"/>
          </w:tcPr>
          <w:p w14:paraId="6101A7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200</w:t>
            </w:r>
          </w:p>
        </w:tc>
        <w:tc>
          <w:tcPr>
            <w:tcW w:w="2163" w:type="pct"/>
            <w:vMerge w:val="restart"/>
            <w:tcBorders>
              <w:bottom w:val="nil"/>
            </w:tcBorders>
            <w:vAlign w:val="center"/>
          </w:tcPr>
          <w:p w14:paraId="4A5EDB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《环境影响评价技术导则大气环境》</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0HJ2.2-2018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D</w:t>
            </w:r>
            <w:r>
              <w:rPr>
                <w:rFonts w:ascii="Times New Roman" w:hAnsi="Times New Roman" w:eastAsia="宋体" w:cs="宋体"/>
                <w:strike w:val="0"/>
                <w:dstrike w:val="0"/>
                <w:color w:val="auto"/>
                <w:spacing w:val="0"/>
                <w:position w:val="0"/>
                <w:sz w:val="21"/>
                <w:szCs w:val="21"/>
                <w:highlight w:val="none"/>
              </w:rPr>
              <w:t>浓度限</w:t>
            </w:r>
          </w:p>
          <w:p w14:paraId="0D0903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值</w:t>
            </w:r>
          </w:p>
        </w:tc>
      </w:tr>
      <w:tr w14:paraId="03781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822" w:type="pct"/>
            <w:vAlign w:val="center"/>
          </w:tcPr>
          <w:p w14:paraId="17E2DF2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p>
        </w:tc>
        <w:tc>
          <w:tcPr>
            <w:tcW w:w="922" w:type="pct"/>
            <w:vAlign w:val="center"/>
          </w:tcPr>
          <w:p w14:paraId="2E43DE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小时</w:t>
            </w:r>
          </w:p>
        </w:tc>
        <w:tc>
          <w:tcPr>
            <w:tcW w:w="1090" w:type="pct"/>
            <w:vAlign w:val="center"/>
          </w:tcPr>
          <w:p w14:paraId="1FCA835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10</w:t>
            </w:r>
          </w:p>
        </w:tc>
        <w:tc>
          <w:tcPr>
            <w:tcW w:w="2163" w:type="pct"/>
            <w:vMerge w:val="continue"/>
            <w:tcBorders>
              <w:top w:val="nil"/>
            </w:tcBorders>
            <w:vAlign w:val="center"/>
          </w:tcPr>
          <w:p w14:paraId="16BDF02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bl>
    <w:p w14:paraId="447FE77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③</w:t>
      </w:r>
      <w:r>
        <w:rPr>
          <w:rFonts w:ascii="Times New Roman" w:hAnsi="Times New Roman" w:eastAsia="宋体" w:cs="宋体"/>
          <w:strike w:val="0"/>
          <w:dstrike w:val="0"/>
          <w:color w:val="auto"/>
          <w:spacing w:val="0"/>
          <w:sz w:val="24"/>
          <w:szCs w:val="24"/>
          <w:highlight w:val="none"/>
        </w:rPr>
        <w:t>污染源强</w:t>
      </w:r>
    </w:p>
    <w:p w14:paraId="3611B91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根据工程分析，项目工程污染源具体见表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.2-3</w:t>
      </w:r>
      <w:r>
        <w:rPr>
          <w:rFonts w:hint="eastAsia" w:ascii="Times New Roman" w:hAnsi="Times New Roman" w:eastAsia="宋体" w:cs="宋体"/>
          <w:strike w:val="0"/>
          <w:dstrike w:val="0"/>
          <w:color w:val="auto"/>
          <w:spacing w:val="0"/>
          <w:sz w:val="24"/>
          <w:szCs w:val="24"/>
          <w:highlight w:val="none"/>
          <w:lang w:eastAsia="zh-CN"/>
        </w:rPr>
        <w:t>。</w:t>
      </w:r>
    </w:p>
    <w:p w14:paraId="53475C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表5.2-3圈舍无组织废气污染源一览表（面源）</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918"/>
        <w:gridCol w:w="1500"/>
        <w:gridCol w:w="1393"/>
        <w:gridCol w:w="1598"/>
        <w:gridCol w:w="1081"/>
        <w:gridCol w:w="1185"/>
      </w:tblGrid>
      <w:tr w14:paraId="724C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restart"/>
            <w:vAlign w:val="center"/>
          </w:tcPr>
          <w:p w14:paraId="28B6CB6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编号</w:t>
            </w:r>
          </w:p>
        </w:tc>
        <w:tc>
          <w:tcPr>
            <w:tcW w:w="553" w:type="pct"/>
            <w:vMerge w:val="restart"/>
            <w:vAlign w:val="center"/>
          </w:tcPr>
          <w:p w14:paraId="11E850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名称</w:t>
            </w:r>
          </w:p>
        </w:tc>
        <w:tc>
          <w:tcPr>
            <w:tcW w:w="904" w:type="pct"/>
            <w:vMerge w:val="restart"/>
            <w:vAlign w:val="center"/>
          </w:tcPr>
          <w:p w14:paraId="37F254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面源长（m）</w:t>
            </w:r>
          </w:p>
        </w:tc>
        <w:tc>
          <w:tcPr>
            <w:tcW w:w="839" w:type="pct"/>
            <w:vMerge w:val="restart"/>
            <w:vAlign w:val="center"/>
          </w:tcPr>
          <w:p w14:paraId="374C2EF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面源宽（m）</w:t>
            </w:r>
          </w:p>
        </w:tc>
        <w:tc>
          <w:tcPr>
            <w:tcW w:w="963" w:type="pct"/>
            <w:vMerge w:val="restart"/>
            <w:vAlign w:val="center"/>
          </w:tcPr>
          <w:p w14:paraId="18EE701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排放高度（m）</w:t>
            </w:r>
          </w:p>
        </w:tc>
        <w:tc>
          <w:tcPr>
            <w:tcW w:w="1365" w:type="pct"/>
            <w:gridSpan w:val="2"/>
            <w:vAlign w:val="center"/>
          </w:tcPr>
          <w:p w14:paraId="05430EB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评价因子源强（kg/h）</w:t>
            </w:r>
          </w:p>
        </w:tc>
      </w:tr>
      <w:tr w14:paraId="5E16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continue"/>
            <w:vAlign w:val="center"/>
          </w:tcPr>
          <w:p w14:paraId="597EF32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553" w:type="pct"/>
            <w:vMerge w:val="continue"/>
            <w:vAlign w:val="center"/>
          </w:tcPr>
          <w:p w14:paraId="457B7A6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04" w:type="pct"/>
            <w:vMerge w:val="continue"/>
            <w:vAlign w:val="center"/>
          </w:tcPr>
          <w:p w14:paraId="3134179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1582D77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63" w:type="pct"/>
            <w:vMerge w:val="continue"/>
            <w:vAlign w:val="center"/>
          </w:tcPr>
          <w:p w14:paraId="3DA6D6C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51" w:type="pct"/>
            <w:vAlign w:val="center"/>
          </w:tcPr>
          <w:p w14:paraId="17E039E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氨</w:t>
            </w:r>
          </w:p>
        </w:tc>
        <w:tc>
          <w:tcPr>
            <w:tcW w:w="714" w:type="pct"/>
            <w:vAlign w:val="center"/>
          </w:tcPr>
          <w:p w14:paraId="1517751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硫化氢</w:t>
            </w:r>
          </w:p>
        </w:tc>
      </w:tr>
      <w:tr w14:paraId="1C4B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019911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w:t>
            </w:r>
          </w:p>
        </w:tc>
        <w:tc>
          <w:tcPr>
            <w:tcW w:w="553" w:type="pct"/>
            <w:vAlign w:val="center"/>
          </w:tcPr>
          <w:p w14:paraId="1139328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w:t>
            </w:r>
          </w:p>
        </w:tc>
        <w:tc>
          <w:tcPr>
            <w:tcW w:w="904" w:type="pct"/>
            <w:vAlign w:val="center"/>
          </w:tcPr>
          <w:p w14:paraId="1E706D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120</w:t>
            </w:r>
          </w:p>
        </w:tc>
        <w:tc>
          <w:tcPr>
            <w:tcW w:w="839" w:type="pct"/>
            <w:vAlign w:val="center"/>
          </w:tcPr>
          <w:p w14:paraId="1B6332C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170</w:t>
            </w:r>
          </w:p>
        </w:tc>
        <w:tc>
          <w:tcPr>
            <w:tcW w:w="963" w:type="pct"/>
            <w:vAlign w:val="center"/>
          </w:tcPr>
          <w:p w14:paraId="74742D9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4.5</w:t>
            </w:r>
          </w:p>
        </w:tc>
        <w:tc>
          <w:tcPr>
            <w:tcW w:w="651" w:type="pct"/>
            <w:vAlign w:val="center"/>
          </w:tcPr>
          <w:p w14:paraId="545E97E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c>
          <w:tcPr>
            <w:tcW w:w="714" w:type="pct"/>
            <w:vAlign w:val="center"/>
          </w:tcPr>
          <w:p w14:paraId="0C1D1C7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r w14:paraId="499C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0B53030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w:t>
            </w:r>
          </w:p>
        </w:tc>
        <w:tc>
          <w:tcPr>
            <w:tcW w:w="553" w:type="pct"/>
            <w:vAlign w:val="center"/>
          </w:tcPr>
          <w:p w14:paraId="34C73CA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w:t>
            </w:r>
          </w:p>
        </w:tc>
        <w:tc>
          <w:tcPr>
            <w:tcW w:w="904" w:type="pct"/>
            <w:vAlign w:val="center"/>
          </w:tcPr>
          <w:p w14:paraId="047EEE3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65</w:t>
            </w:r>
          </w:p>
        </w:tc>
        <w:tc>
          <w:tcPr>
            <w:tcW w:w="839" w:type="pct"/>
            <w:vAlign w:val="center"/>
          </w:tcPr>
          <w:p w14:paraId="6B2194E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40</w:t>
            </w:r>
          </w:p>
        </w:tc>
        <w:tc>
          <w:tcPr>
            <w:tcW w:w="963" w:type="pct"/>
            <w:vAlign w:val="center"/>
          </w:tcPr>
          <w:p w14:paraId="12B7965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651" w:type="pct"/>
            <w:vAlign w:val="center"/>
          </w:tcPr>
          <w:p w14:paraId="53491AB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strike w:val="0"/>
                <w:dstrike w:val="0"/>
                <w:color w:val="auto"/>
                <w:spacing w:val="0"/>
                <w:sz w:val="21"/>
                <w:szCs w:val="21"/>
                <w:highlight w:val="none"/>
                <w:lang w:val="en-US" w:eastAsia="zh-CN"/>
              </w:rPr>
              <w:t>1.04</w:t>
            </w:r>
            <w:r>
              <w:rPr>
                <w:rFonts w:hint="default" w:ascii="Times New Roman" w:hAnsi="Times New Roman" w:eastAsia="宋体" w:cs="Arial"/>
                <w:strike w:val="0"/>
                <w:dstrike w:val="0"/>
                <w:color w:val="auto"/>
                <w:spacing w:val="0"/>
                <w:sz w:val="21"/>
                <w:szCs w:val="21"/>
                <w:highlight w:val="none"/>
                <w:lang w:val="en-US" w:eastAsia="zh-CN"/>
              </w:rPr>
              <w:t>×</w:t>
            </w:r>
            <w:r>
              <w:rPr>
                <w:rFonts w:hint="eastAsia" w:ascii="Times New Roman" w:hAnsi="Times New Roman" w:eastAsia="宋体"/>
                <w:strike w:val="0"/>
                <w:dstrike w:val="0"/>
                <w:color w:val="auto"/>
                <w:spacing w:val="0"/>
                <w:sz w:val="21"/>
                <w:szCs w:val="21"/>
                <w:highlight w:val="none"/>
                <w:lang w:val="en-US" w:eastAsia="zh-CN"/>
              </w:rPr>
              <w:t>10</w:t>
            </w:r>
            <w:r>
              <w:rPr>
                <w:rFonts w:hint="eastAsia" w:ascii="Times New Roman" w:hAnsi="Times New Roman" w:eastAsia="宋体"/>
                <w:strike w:val="0"/>
                <w:dstrike w:val="0"/>
                <w:color w:val="auto"/>
                <w:spacing w:val="0"/>
                <w:sz w:val="21"/>
                <w:szCs w:val="21"/>
                <w:highlight w:val="none"/>
                <w:vertAlign w:val="superscript"/>
                <w:lang w:val="en-US" w:eastAsia="zh-CN"/>
              </w:rPr>
              <w:t>-3</w:t>
            </w:r>
          </w:p>
        </w:tc>
        <w:tc>
          <w:tcPr>
            <w:tcW w:w="714" w:type="pct"/>
            <w:vAlign w:val="center"/>
          </w:tcPr>
          <w:p w14:paraId="6B69D07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strike w:val="0"/>
                <w:dstrike w:val="0"/>
                <w:color w:val="auto"/>
                <w:spacing w:val="0"/>
                <w:sz w:val="21"/>
                <w:szCs w:val="21"/>
                <w:highlight w:val="none"/>
                <w:lang w:val="en-US" w:eastAsia="zh-CN"/>
              </w:rPr>
              <w:t>2.50</w:t>
            </w:r>
            <w:r>
              <w:rPr>
                <w:rFonts w:hint="default" w:ascii="Times New Roman" w:hAnsi="Times New Roman" w:eastAsia="宋体" w:cs="Arial"/>
                <w:strike w:val="0"/>
                <w:dstrike w:val="0"/>
                <w:color w:val="auto"/>
                <w:spacing w:val="0"/>
                <w:sz w:val="21"/>
                <w:szCs w:val="21"/>
                <w:highlight w:val="none"/>
                <w:lang w:val="en-US" w:eastAsia="zh-CN"/>
              </w:rPr>
              <w:t>×</w:t>
            </w:r>
            <w:r>
              <w:rPr>
                <w:rFonts w:hint="eastAsia" w:ascii="Times New Roman" w:hAnsi="Times New Roman" w:eastAsia="宋体"/>
                <w:strike w:val="0"/>
                <w:dstrike w:val="0"/>
                <w:color w:val="auto"/>
                <w:spacing w:val="0"/>
                <w:sz w:val="21"/>
                <w:szCs w:val="21"/>
                <w:highlight w:val="none"/>
                <w:lang w:val="en-US" w:eastAsia="zh-CN"/>
              </w:rPr>
              <w:t>10</w:t>
            </w:r>
            <w:r>
              <w:rPr>
                <w:rFonts w:hint="eastAsia" w:ascii="Times New Roman" w:hAnsi="Times New Roman" w:eastAsia="宋体"/>
                <w:strike w:val="0"/>
                <w:dstrike w:val="0"/>
                <w:color w:val="auto"/>
                <w:spacing w:val="0"/>
                <w:sz w:val="21"/>
                <w:szCs w:val="21"/>
                <w:highlight w:val="none"/>
                <w:vertAlign w:val="superscript"/>
                <w:lang w:val="en-US" w:eastAsia="zh-CN"/>
              </w:rPr>
              <w:t>-5</w:t>
            </w:r>
          </w:p>
        </w:tc>
      </w:tr>
      <w:tr w14:paraId="51AB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2821CAB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3</w:t>
            </w:r>
          </w:p>
        </w:tc>
        <w:tc>
          <w:tcPr>
            <w:tcW w:w="553" w:type="pct"/>
            <w:vAlign w:val="center"/>
          </w:tcPr>
          <w:p w14:paraId="354B86F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黑膜池</w:t>
            </w:r>
          </w:p>
        </w:tc>
        <w:tc>
          <w:tcPr>
            <w:tcW w:w="904" w:type="pct"/>
            <w:vAlign w:val="center"/>
          </w:tcPr>
          <w:p w14:paraId="4B4036A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20</w:t>
            </w:r>
          </w:p>
        </w:tc>
        <w:tc>
          <w:tcPr>
            <w:tcW w:w="839" w:type="pct"/>
            <w:vAlign w:val="center"/>
          </w:tcPr>
          <w:p w14:paraId="1824CA2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963" w:type="pct"/>
            <w:vAlign w:val="center"/>
          </w:tcPr>
          <w:p w14:paraId="3599BF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0.5</w:t>
            </w:r>
          </w:p>
        </w:tc>
        <w:tc>
          <w:tcPr>
            <w:tcW w:w="651" w:type="pct"/>
            <w:vAlign w:val="center"/>
          </w:tcPr>
          <w:p w14:paraId="010EFD9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c>
          <w:tcPr>
            <w:tcW w:w="714" w:type="pct"/>
            <w:vAlign w:val="center"/>
          </w:tcPr>
          <w:p w14:paraId="69369C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6D10375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④</w:t>
      </w:r>
      <w:r>
        <w:rPr>
          <w:rFonts w:ascii="Times New Roman" w:hAnsi="Times New Roman" w:eastAsia="宋体" w:cs="宋体"/>
          <w:strike w:val="0"/>
          <w:dstrike w:val="0"/>
          <w:color w:val="auto"/>
          <w:spacing w:val="0"/>
          <w:sz w:val="24"/>
          <w:szCs w:val="24"/>
          <w:highlight w:val="none"/>
        </w:rPr>
        <w:t>估算模型参数</w:t>
      </w:r>
    </w:p>
    <w:p w14:paraId="131DDEA0">
      <w:pPr>
        <w:keepNext w:val="0"/>
        <w:keepLines w:val="0"/>
        <w:pageBreakBefore w:val="0"/>
        <w:widowControl w:val="0"/>
        <w:kinsoku/>
        <w:wordWrap/>
        <w:overflowPunct/>
        <w:topLinePunct w:val="0"/>
        <w:autoSpaceDE/>
        <w:autoSpaceDN/>
        <w:bidi w:val="0"/>
        <w:adjustRightInd/>
        <w:snapToGrid/>
        <w:spacing w:line="360" w:lineRule="auto"/>
        <w:ind w:left="0" w:right="0" w:firstLine="488"/>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本次评价选用《环境影响评价技术导则大气环境》</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HJ2.2-2018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推荐的</w:t>
      </w:r>
      <w:r>
        <w:rPr>
          <w:rFonts w:ascii="Times New Roman" w:hAnsi="Times New Roman" w:eastAsia="宋体" w:cs="Times New Roman"/>
          <w:strike w:val="0"/>
          <w:dstrike w:val="0"/>
          <w:color w:val="auto"/>
          <w:spacing w:val="0"/>
          <w:sz w:val="24"/>
          <w:szCs w:val="24"/>
          <w:highlight w:val="none"/>
        </w:rPr>
        <w:t>AERSCREEN</w:t>
      </w:r>
      <w:r>
        <w:rPr>
          <w:rFonts w:ascii="Times New Roman" w:hAnsi="Times New Roman" w:eastAsia="宋体" w:cs="宋体"/>
          <w:strike w:val="0"/>
          <w:dstrike w:val="0"/>
          <w:color w:val="auto"/>
          <w:spacing w:val="0"/>
          <w:sz w:val="24"/>
          <w:szCs w:val="24"/>
          <w:highlight w:val="none"/>
        </w:rPr>
        <w:t>模型，估算模型参数详见表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.2-4</w:t>
      </w:r>
      <w:r>
        <w:rPr>
          <w:rFonts w:hint="eastAsia" w:ascii="Times New Roman" w:hAnsi="Times New Roman" w:eastAsia="宋体" w:cs="宋体"/>
          <w:strike w:val="0"/>
          <w:dstrike w:val="0"/>
          <w:color w:val="auto"/>
          <w:spacing w:val="0"/>
          <w:sz w:val="24"/>
          <w:szCs w:val="24"/>
          <w:highlight w:val="none"/>
          <w:lang w:eastAsia="zh-CN"/>
        </w:rPr>
        <w:t>。</w:t>
      </w:r>
    </w:p>
    <w:p w14:paraId="224834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表5.2-4估算模型参数表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77"/>
        <w:gridCol w:w="3346"/>
        <w:gridCol w:w="2278"/>
      </w:tblGrid>
      <w:tr w14:paraId="24D92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4725101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参数</w:t>
            </w:r>
          </w:p>
        </w:tc>
        <w:tc>
          <w:tcPr>
            <w:tcW w:w="1372" w:type="pct"/>
            <w:vAlign w:val="center"/>
          </w:tcPr>
          <w:p w14:paraId="349E5BB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取值</w:t>
            </w:r>
          </w:p>
        </w:tc>
      </w:tr>
      <w:tr w14:paraId="02611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5C30D3ED">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农村选项</w:t>
            </w:r>
          </w:p>
        </w:tc>
        <w:tc>
          <w:tcPr>
            <w:tcW w:w="2015" w:type="pct"/>
            <w:vAlign w:val="center"/>
          </w:tcPr>
          <w:p w14:paraId="79578EC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w:t>
            </w:r>
          </w:p>
        </w:tc>
        <w:tc>
          <w:tcPr>
            <w:tcW w:w="1372" w:type="pct"/>
            <w:vAlign w:val="center"/>
          </w:tcPr>
          <w:p w14:paraId="7E8AC9C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农村</w:t>
            </w:r>
          </w:p>
        </w:tc>
      </w:tr>
      <w:tr w14:paraId="2BF34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2A6CEE5">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746006D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人口数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城市选项时</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372" w:type="pct"/>
            <w:vAlign w:val="center"/>
          </w:tcPr>
          <w:p w14:paraId="7F0B729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Times New Roman" w:hAnsi="Times New Roman" w:eastAsia="宋体"/>
                <w:strike w:val="0"/>
                <w:dstrike w:val="0"/>
                <w:color w:val="auto"/>
                <w:spacing w:val="0"/>
                <w:position w:val="0"/>
                <w:sz w:val="21"/>
                <w:highlight w:val="none"/>
                <w:lang w:val="en-US" w:eastAsia="zh-CN"/>
              </w:rPr>
            </w:pPr>
            <w:r>
              <w:rPr>
                <w:rFonts w:hint="eastAsia" w:ascii="Times New Roman" w:hAnsi="Times New Roman" w:eastAsia="宋体"/>
                <w:strike w:val="0"/>
                <w:dstrike w:val="0"/>
                <w:color w:val="auto"/>
                <w:spacing w:val="0"/>
                <w:position w:val="0"/>
                <w:sz w:val="21"/>
                <w:highlight w:val="none"/>
                <w:lang w:val="en-US" w:eastAsia="zh-CN"/>
              </w:rPr>
              <w:t>/</w:t>
            </w:r>
          </w:p>
        </w:tc>
      </w:tr>
      <w:tr w14:paraId="44227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133ABF1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最高环境温度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736C6537">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36.5</w:t>
            </w:r>
          </w:p>
        </w:tc>
      </w:tr>
      <w:tr w14:paraId="30493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2B38392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最低环境温度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6169D06F">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val="en-US" w:eastAsia="zh-CN"/>
              </w:rPr>
              <w:t>31</w:t>
            </w:r>
          </w:p>
        </w:tc>
      </w:tr>
      <w:tr w14:paraId="20039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7C68A58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1372" w:type="pct"/>
            <w:vAlign w:val="center"/>
          </w:tcPr>
          <w:p w14:paraId="5E62013D">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农作地</w:t>
            </w:r>
          </w:p>
        </w:tc>
      </w:tr>
      <w:tr w14:paraId="71E0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55F7EA6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区域湿度条件</w:t>
            </w:r>
          </w:p>
        </w:tc>
        <w:tc>
          <w:tcPr>
            <w:tcW w:w="1372" w:type="pct"/>
            <w:vAlign w:val="center"/>
          </w:tcPr>
          <w:p w14:paraId="1DF1BA0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干燥</w:t>
            </w:r>
          </w:p>
        </w:tc>
      </w:tr>
      <w:tr w14:paraId="0085E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0A2B28A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是否考虑地形</w:t>
            </w:r>
          </w:p>
        </w:tc>
        <w:tc>
          <w:tcPr>
            <w:tcW w:w="2015" w:type="pct"/>
            <w:vAlign w:val="center"/>
          </w:tcPr>
          <w:p w14:paraId="3B120F19">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考虑地形</w:t>
            </w:r>
          </w:p>
        </w:tc>
        <w:tc>
          <w:tcPr>
            <w:tcW w:w="1372" w:type="pct"/>
            <w:vAlign w:val="center"/>
          </w:tcPr>
          <w:p w14:paraId="277A648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drawing>
                <wp:inline distT="0" distB="0" distL="0" distR="0">
                  <wp:extent cx="114300" cy="1333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是□否</w:t>
            </w:r>
          </w:p>
        </w:tc>
      </w:tr>
      <w:tr w14:paraId="74954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4C5D3476">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145D8A54">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地形数据分辨率</w:t>
            </w:r>
            <w:r>
              <w:rPr>
                <w:rFonts w:ascii="Times New Roman" w:hAnsi="Times New Roman" w:eastAsia="宋体" w:cs="Times New Roman"/>
                <w:strike w:val="0"/>
                <w:dstrike w:val="0"/>
                <w:color w:val="auto"/>
                <w:spacing w:val="0"/>
                <w:position w:val="0"/>
                <w:sz w:val="21"/>
                <w:szCs w:val="21"/>
                <w:highlight w:val="none"/>
              </w:rPr>
              <w:t>/m</w:t>
            </w:r>
          </w:p>
        </w:tc>
        <w:tc>
          <w:tcPr>
            <w:tcW w:w="1372" w:type="pct"/>
            <w:vAlign w:val="center"/>
          </w:tcPr>
          <w:p w14:paraId="7C70EF4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w:t>
            </w:r>
          </w:p>
        </w:tc>
      </w:tr>
      <w:tr w14:paraId="3EC7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62C22D1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是否考虑岸线熏烟</w:t>
            </w:r>
          </w:p>
        </w:tc>
        <w:tc>
          <w:tcPr>
            <w:tcW w:w="2015" w:type="pct"/>
            <w:vAlign w:val="center"/>
          </w:tcPr>
          <w:p w14:paraId="6DAF882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考虑岸线熏烟</w:t>
            </w:r>
          </w:p>
        </w:tc>
        <w:tc>
          <w:tcPr>
            <w:tcW w:w="1372" w:type="pct"/>
            <w:vAlign w:val="center"/>
          </w:tcPr>
          <w:p w14:paraId="5A58926C">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w:t>
            </w:r>
            <w:r>
              <w:rPr>
                <w:rFonts w:ascii="Times New Roman" w:hAnsi="Times New Roman" w:eastAsia="宋体"/>
                <w:strike w:val="0"/>
                <w:dstrike w:val="0"/>
                <w:color w:val="auto"/>
                <w:spacing w:val="0"/>
                <w:position w:val="0"/>
                <w:sz w:val="21"/>
                <w:szCs w:val="21"/>
                <w:highlight w:val="none"/>
              </w:rPr>
              <w:drawing>
                <wp:inline distT="0" distB="0" distL="0" distR="0">
                  <wp:extent cx="114300" cy="133350"/>
                  <wp:effectExtent l="0" t="0" r="0" b="0"/>
                  <wp:docPr id="50" name="IM 33"/>
                  <wp:cNvGraphicFramePr/>
                  <a:graphic xmlns:a="http://schemas.openxmlformats.org/drawingml/2006/main">
                    <a:graphicData uri="http://schemas.openxmlformats.org/drawingml/2006/picture">
                      <pic:pic xmlns:pic="http://schemas.openxmlformats.org/drawingml/2006/picture">
                        <pic:nvPicPr>
                          <pic:cNvPr id="50" name="IM 33"/>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否</w:t>
            </w:r>
          </w:p>
        </w:tc>
      </w:tr>
      <w:tr w14:paraId="5EA74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5D80FC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14AD384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岸线距离</w:t>
            </w:r>
            <w:r>
              <w:rPr>
                <w:rFonts w:ascii="Times New Roman" w:hAnsi="Times New Roman" w:eastAsia="宋体" w:cs="Times New Roman"/>
                <w:strike w:val="0"/>
                <w:dstrike w:val="0"/>
                <w:color w:val="auto"/>
                <w:spacing w:val="0"/>
                <w:position w:val="0"/>
                <w:sz w:val="21"/>
                <w:szCs w:val="21"/>
                <w:highlight w:val="none"/>
              </w:rPr>
              <w:t>/km</w:t>
            </w:r>
          </w:p>
        </w:tc>
        <w:tc>
          <w:tcPr>
            <w:tcW w:w="1372" w:type="pct"/>
            <w:vAlign w:val="center"/>
          </w:tcPr>
          <w:p w14:paraId="5C846564">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bl>
    <w:p w14:paraId="56C793E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⑤</w:t>
      </w:r>
      <w:r>
        <w:rPr>
          <w:rFonts w:ascii="Times New Roman" w:hAnsi="Times New Roman" w:eastAsia="宋体" w:cs="宋体"/>
          <w:strike w:val="0"/>
          <w:dstrike w:val="0"/>
          <w:color w:val="auto"/>
          <w:spacing w:val="0"/>
          <w:sz w:val="24"/>
          <w:szCs w:val="24"/>
          <w:highlight w:val="none"/>
        </w:rPr>
        <w:t>主要污染源估算模型计算结果</w:t>
      </w:r>
    </w:p>
    <w:p w14:paraId="04F56D2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主要污染源估算模型计算结果详见表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.2-5</w:t>
      </w:r>
      <w:r>
        <w:rPr>
          <w:rFonts w:hint="eastAsia" w:ascii="Times New Roman" w:hAnsi="Times New Roman" w:eastAsia="宋体" w:cs="宋体"/>
          <w:strike w:val="0"/>
          <w:dstrike w:val="0"/>
          <w:color w:val="auto"/>
          <w:spacing w:val="0"/>
          <w:sz w:val="24"/>
          <w:szCs w:val="24"/>
          <w:highlight w:val="none"/>
          <w:lang w:eastAsia="zh-CN"/>
        </w:rPr>
        <w:t>。</w:t>
      </w:r>
    </w:p>
    <w:p w14:paraId="55F553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表5.2-5骆驼圈舍硫化氢、氨气估算模式计算结果表</w:t>
      </w:r>
    </w:p>
    <w:tbl>
      <w:tblPr>
        <w:tblStyle w:val="183"/>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4"/>
        <w:gridCol w:w="932"/>
        <w:gridCol w:w="1498"/>
        <w:gridCol w:w="1282"/>
        <w:gridCol w:w="1583"/>
        <w:gridCol w:w="1499"/>
        <w:gridCol w:w="1037"/>
      </w:tblGrid>
      <w:tr w14:paraId="3E41A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restart"/>
            <w:tcBorders>
              <w:tl2br w:val="nil"/>
              <w:tr2bl w:val="nil"/>
            </w:tcBorders>
            <w:vAlign w:val="center"/>
          </w:tcPr>
          <w:p w14:paraId="114346C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3B4BF793">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747FA3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03883F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1" w:type="pct"/>
            <w:gridSpan w:val="2"/>
            <w:tcBorders>
              <w:tl2br w:val="nil"/>
              <w:tr2bl w:val="nil"/>
            </w:tcBorders>
            <w:vAlign w:val="center"/>
          </w:tcPr>
          <w:p w14:paraId="780A2A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58976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continue"/>
            <w:tcBorders>
              <w:tl2br w:val="nil"/>
              <w:tr2bl w:val="nil"/>
            </w:tcBorders>
            <w:vAlign w:val="center"/>
          </w:tcPr>
          <w:p w14:paraId="04DE6E1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5D0FF84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2D949D0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08722D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6A6915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7FC7A4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3AE53F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413A6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6E2AB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933" w:type="dxa"/>
            <w:tcBorders>
              <w:tl2br w:val="nil"/>
              <w:tr2bl w:val="nil"/>
            </w:tcBorders>
            <w:vAlign w:val="center"/>
          </w:tcPr>
          <w:p w14:paraId="61E3B4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99" w:type="dxa"/>
            <w:tcBorders>
              <w:tl2br w:val="nil"/>
              <w:tr2bl w:val="nil"/>
            </w:tcBorders>
            <w:vAlign w:val="center"/>
          </w:tcPr>
          <w:p w14:paraId="71B7F5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5.608</w:t>
            </w:r>
          </w:p>
        </w:tc>
        <w:tc>
          <w:tcPr>
            <w:tcW w:w="1284" w:type="dxa"/>
            <w:tcBorders>
              <w:tl2br w:val="nil"/>
              <w:tr2bl w:val="nil"/>
            </w:tcBorders>
            <w:vAlign w:val="center"/>
          </w:tcPr>
          <w:p w14:paraId="4FABB9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2.804</w:t>
            </w:r>
          </w:p>
        </w:tc>
        <w:tc>
          <w:tcPr>
            <w:tcW w:w="1571" w:type="dxa"/>
            <w:tcBorders>
              <w:tl2br w:val="nil"/>
              <w:tr2bl w:val="nil"/>
            </w:tcBorders>
            <w:vAlign w:val="center"/>
          </w:tcPr>
          <w:p w14:paraId="7E035B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88" w:type="dxa"/>
            <w:tcBorders>
              <w:tl2br w:val="nil"/>
              <w:tr2bl w:val="nil"/>
            </w:tcBorders>
            <w:vAlign w:val="center"/>
          </w:tcPr>
          <w:p w14:paraId="65C556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0.5608</w:t>
            </w:r>
          </w:p>
        </w:tc>
        <w:tc>
          <w:tcPr>
            <w:tcW w:w="1025" w:type="dxa"/>
            <w:tcBorders>
              <w:tl2br w:val="nil"/>
              <w:tr2bl w:val="nil"/>
            </w:tcBorders>
            <w:vAlign w:val="center"/>
          </w:tcPr>
          <w:p w14:paraId="4D53A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5.608</w:t>
            </w:r>
          </w:p>
        </w:tc>
      </w:tr>
      <w:tr w14:paraId="3E9F8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8C211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933" w:type="dxa"/>
            <w:tcBorders>
              <w:tl2br w:val="nil"/>
              <w:tr2bl w:val="nil"/>
            </w:tcBorders>
            <w:vAlign w:val="center"/>
          </w:tcPr>
          <w:p w14:paraId="56DB4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99" w:type="dxa"/>
            <w:tcBorders>
              <w:tl2br w:val="nil"/>
              <w:tr2bl w:val="nil"/>
            </w:tcBorders>
            <w:vAlign w:val="center"/>
          </w:tcPr>
          <w:p w14:paraId="538731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7.449</w:t>
            </w:r>
          </w:p>
        </w:tc>
        <w:tc>
          <w:tcPr>
            <w:tcW w:w="1284" w:type="dxa"/>
            <w:tcBorders>
              <w:tl2br w:val="nil"/>
              <w:tr2bl w:val="nil"/>
            </w:tcBorders>
            <w:vAlign w:val="center"/>
          </w:tcPr>
          <w:p w14:paraId="62F25A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3.7245</w:t>
            </w:r>
          </w:p>
        </w:tc>
        <w:tc>
          <w:tcPr>
            <w:tcW w:w="1571" w:type="dxa"/>
            <w:tcBorders>
              <w:tl2br w:val="nil"/>
              <w:tr2bl w:val="nil"/>
            </w:tcBorders>
            <w:vAlign w:val="center"/>
          </w:tcPr>
          <w:p w14:paraId="3F2875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88" w:type="dxa"/>
            <w:tcBorders>
              <w:tl2br w:val="nil"/>
              <w:tr2bl w:val="nil"/>
            </w:tcBorders>
            <w:vAlign w:val="center"/>
          </w:tcPr>
          <w:p w14:paraId="651D0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0.7449</w:t>
            </w:r>
          </w:p>
        </w:tc>
        <w:tc>
          <w:tcPr>
            <w:tcW w:w="1025" w:type="dxa"/>
            <w:tcBorders>
              <w:tl2br w:val="nil"/>
              <w:tr2bl w:val="nil"/>
            </w:tcBorders>
            <w:vAlign w:val="center"/>
          </w:tcPr>
          <w:p w14:paraId="475313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7.449</w:t>
            </w:r>
          </w:p>
        </w:tc>
      </w:tr>
      <w:tr w14:paraId="52DE7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11959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933" w:type="dxa"/>
            <w:tcBorders>
              <w:tl2br w:val="nil"/>
              <w:tr2bl w:val="nil"/>
            </w:tcBorders>
            <w:vAlign w:val="center"/>
          </w:tcPr>
          <w:p w14:paraId="027AD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249</w:t>
            </w:r>
          </w:p>
        </w:tc>
        <w:tc>
          <w:tcPr>
            <w:tcW w:w="1499" w:type="dxa"/>
            <w:tcBorders>
              <w:tl2br w:val="nil"/>
              <w:tr2bl w:val="nil"/>
            </w:tcBorders>
            <w:vAlign w:val="center"/>
          </w:tcPr>
          <w:p w14:paraId="5EDB3C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284" w:type="dxa"/>
            <w:tcBorders>
              <w:tl2br w:val="nil"/>
              <w:tr2bl w:val="nil"/>
            </w:tcBorders>
            <w:vAlign w:val="center"/>
          </w:tcPr>
          <w:p w14:paraId="36D300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1571" w:type="dxa"/>
            <w:tcBorders>
              <w:tl2br w:val="nil"/>
              <w:tr2bl w:val="nil"/>
            </w:tcBorders>
            <w:vAlign w:val="center"/>
          </w:tcPr>
          <w:p w14:paraId="4938E2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249</w:t>
            </w:r>
          </w:p>
        </w:tc>
        <w:tc>
          <w:tcPr>
            <w:tcW w:w="1488" w:type="dxa"/>
            <w:tcBorders>
              <w:tl2br w:val="nil"/>
              <w:tr2bl w:val="nil"/>
            </w:tcBorders>
            <w:vAlign w:val="center"/>
          </w:tcPr>
          <w:p w14:paraId="577136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025" w:type="dxa"/>
            <w:tcBorders>
              <w:tl2br w:val="nil"/>
              <w:tr2bl w:val="nil"/>
            </w:tcBorders>
            <w:vAlign w:val="center"/>
          </w:tcPr>
          <w:p w14:paraId="7FE081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r>
      <w:tr w14:paraId="1CBEF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CD2E6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933" w:type="dxa"/>
            <w:tcBorders>
              <w:tl2br w:val="nil"/>
              <w:tr2bl w:val="nil"/>
            </w:tcBorders>
            <w:vAlign w:val="center"/>
          </w:tcPr>
          <w:p w14:paraId="551271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99" w:type="dxa"/>
            <w:tcBorders>
              <w:tl2br w:val="nil"/>
              <w:tr2bl w:val="nil"/>
            </w:tcBorders>
            <w:vAlign w:val="center"/>
          </w:tcPr>
          <w:p w14:paraId="06EBD9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7.487</w:t>
            </w:r>
          </w:p>
        </w:tc>
        <w:tc>
          <w:tcPr>
            <w:tcW w:w="1284" w:type="dxa"/>
            <w:tcBorders>
              <w:tl2br w:val="nil"/>
              <w:tr2bl w:val="nil"/>
            </w:tcBorders>
            <w:vAlign w:val="center"/>
          </w:tcPr>
          <w:p w14:paraId="315B31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3.7435</w:t>
            </w:r>
          </w:p>
        </w:tc>
        <w:tc>
          <w:tcPr>
            <w:tcW w:w="1571" w:type="dxa"/>
            <w:tcBorders>
              <w:tl2br w:val="nil"/>
              <w:tr2bl w:val="nil"/>
            </w:tcBorders>
            <w:vAlign w:val="center"/>
          </w:tcPr>
          <w:p w14:paraId="7795DA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88" w:type="dxa"/>
            <w:tcBorders>
              <w:tl2br w:val="nil"/>
              <w:tr2bl w:val="nil"/>
            </w:tcBorders>
            <w:vAlign w:val="center"/>
          </w:tcPr>
          <w:p w14:paraId="76142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0.7487</w:t>
            </w:r>
          </w:p>
        </w:tc>
        <w:tc>
          <w:tcPr>
            <w:tcW w:w="1025" w:type="dxa"/>
            <w:tcBorders>
              <w:tl2br w:val="nil"/>
              <w:tr2bl w:val="nil"/>
            </w:tcBorders>
            <w:vAlign w:val="center"/>
          </w:tcPr>
          <w:p w14:paraId="40DC09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7.487</w:t>
            </w:r>
          </w:p>
        </w:tc>
      </w:tr>
      <w:tr w14:paraId="0E1E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89486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933" w:type="dxa"/>
            <w:tcBorders>
              <w:tl2br w:val="nil"/>
              <w:tr2bl w:val="nil"/>
            </w:tcBorders>
            <w:vAlign w:val="center"/>
          </w:tcPr>
          <w:p w14:paraId="033A0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99" w:type="dxa"/>
            <w:tcBorders>
              <w:tl2br w:val="nil"/>
              <w:tr2bl w:val="nil"/>
            </w:tcBorders>
            <w:vAlign w:val="center"/>
          </w:tcPr>
          <w:p w14:paraId="3CD94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6.725</w:t>
            </w:r>
          </w:p>
        </w:tc>
        <w:tc>
          <w:tcPr>
            <w:tcW w:w="1284" w:type="dxa"/>
            <w:tcBorders>
              <w:tl2br w:val="nil"/>
              <w:tr2bl w:val="nil"/>
            </w:tcBorders>
            <w:vAlign w:val="center"/>
          </w:tcPr>
          <w:p w14:paraId="3E03C3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3.3625</w:t>
            </w:r>
          </w:p>
        </w:tc>
        <w:tc>
          <w:tcPr>
            <w:tcW w:w="1571" w:type="dxa"/>
            <w:tcBorders>
              <w:tl2br w:val="nil"/>
              <w:tr2bl w:val="nil"/>
            </w:tcBorders>
            <w:vAlign w:val="center"/>
          </w:tcPr>
          <w:p w14:paraId="49B807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88" w:type="dxa"/>
            <w:tcBorders>
              <w:tl2br w:val="nil"/>
              <w:tr2bl w:val="nil"/>
            </w:tcBorders>
            <w:vAlign w:val="center"/>
          </w:tcPr>
          <w:p w14:paraId="13DEA3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0.6725</w:t>
            </w:r>
          </w:p>
        </w:tc>
        <w:tc>
          <w:tcPr>
            <w:tcW w:w="1025" w:type="dxa"/>
            <w:tcBorders>
              <w:tl2br w:val="nil"/>
              <w:tr2bl w:val="nil"/>
            </w:tcBorders>
            <w:vAlign w:val="center"/>
          </w:tcPr>
          <w:p w14:paraId="0FB52B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6.725</w:t>
            </w:r>
          </w:p>
        </w:tc>
      </w:tr>
      <w:tr w14:paraId="6B5AD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93E0F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933" w:type="dxa"/>
            <w:tcBorders>
              <w:tl2br w:val="nil"/>
              <w:tr2bl w:val="nil"/>
            </w:tcBorders>
            <w:vAlign w:val="center"/>
          </w:tcPr>
          <w:p w14:paraId="626EB7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99" w:type="dxa"/>
            <w:tcBorders>
              <w:tl2br w:val="nil"/>
              <w:tr2bl w:val="nil"/>
            </w:tcBorders>
            <w:vAlign w:val="center"/>
          </w:tcPr>
          <w:p w14:paraId="1B4446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5.893</w:t>
            </w:r>
          </w:p>
        </w:tc>
        <w:tc>
          <w:tcPr>
            <w:tcW w:w="1284" w:type="dxa"/>
            <w:tcBorders>
              <w:tl2br w:val="nil"/>
              <w:tr2bl w:val="nil"/>
            </w:tcBorders>
            <w:vAlign w:val="center"/>
          </w:tcPr>
          <w:p w14:paraId="43D8D9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2.9465</w:t>
            </w:r>
          </w:p>
        </w:tc>
        <w:tc>
          <w:tcPr>
            <w:tcW w:w="1571" w:type="dxa"/>
            <w:tcBorders>
              <w:tl2br w:val="nil"/>
              <w:tr2bl w:val="nil"/>
            </w:tcBorders>
            <w:vAlign w:val="center"/>
          </w:tcPr>
          <w:p w14:paraId="6141D5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88" w:type="dxa"/>
            <w:tcBorders>
              <w:tl2br w:val="nil"/>
              <w:tr2bl w:val="nil"/>
            </w:tcBorders>
            <w:vAlign w:val="center"/>
          </w:tcPr>
          <w:p w14:paraId="6D746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0.5893</w:t>
            </w:r>
          </w:p>
        </w:tc>
        <w:tc>
          <w:tcPr>
            <w:tcW w:w="1025" w:type="dxa"/>
            <w:tcBorders>
              <w:tl2br w:val="nil"/>
              <w:tr2bl w:val="nil"/>
            </w:tcBorders>
            <w:vAlign w:val="center"/>
          </w:tcPr>
          <w:p w14:paraId="090F91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5.893</w:t>
            </w:r>
          </w:p>
        </w:tc>
      </w:tr>
      <w:tr w14:paraId="13E81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444B59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933" w:type="dxa"/>
            <w:tcBorders>
              <w:tl2br w:val="nil"/>
              <w:tr2bl w:val="nil"/>
            </w:tcBorders>
            <w:vAlign w:val="center"/>
          </w:tcPr>
          <w:p w14:paraId="65BDE8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99" w:type="dxa"/>
            <w:tcBorders>
              <w:tl2br w:val="nil"/>
              <w:tr2bl w:val="nil"/>
            </w:tcBorders>
            <w:vAlign w:val="center"/>
          </w:tcPr>
          <w:p w14:paraId="154CA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5.504</w:t>
            </w:r>
          </w:p>
        </w:tc>
        <w:tc>
          <w:tcPr>
            <w:tcW w:w="1284" w:type="dxa"/>
            <w:tcBorders>
              <w:tl2br w:val="nil"/>
              <w:tr2bl w:val="nil"/>
            </w:tcBorders>
            <w:vAlign w:val="center"/>
          </w:tcPr>
          <w:p w14:paraId="309C3B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2.752</w:t>
            </w:r>
          </w:p>
        </w:tc>
        <w:tc>
          <w:tcPr>
            <w:tcW w:w="1571" w:type="dxa"/>
            <w:tcBorders>
              <w:tl2br w:val="nil"/>
              <w:tr2bl w:val="nil"/>
            </w:tcBorders>
            <w:vAlign w:val="center"/>
          </w:tcPr>
          <w:p w14:paraId="50BCCE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88" w:type="dxa"/>
            <w:tcBorders>
              <w:tl2br w:val="nil"/>
              <w:tr2bl w:val="nil"/>
            </w:tcBorders>
            <w:vAlign w:val="center"/>
          </w:tcPr>
          <w:p w14:paraId="75D000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0.5504</w:t>
            </w:r>
          </w:p>
        </w:tc>
        <w:tc>
          <w:tcPr>
            <w:tcW w:w="1025" w:type="dxa"/>
            <w:tcBorders>
              <w:tl2br w:val="nil"/>
              <w:tr2bl w:val="nil"/>
            </w:tcBorders>
            <w:vAlign w:val="center"/>
          </w:tcPr>
          <w:p w14:paraId="0B8EED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5.504</w:t>
            </w:r>
          </w:p>
        </w:tc>
      </w:tr>
      <w:tr w14:paraId="74E45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FD9C0D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933" w:type="dxa"/>
            <w:tcBorders>
              <w:tl2br w:val="nil"/>
              <w:tr2bl w:val="nil"/>
            </w:tcBorders>
            <w:vAlign w:val="center"/>
          </w:tcPr>
          <w:p w14:paraId="00BD16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99" w:type="dxa"/>
            <w:tcBorders>
              <w:tl2br w:val="nil"/>
              <w:tr2bl w:val="nil"/>
            </w:tcBorders>
            <w:vAlign w:val="center"/>
          </w:tcPr>
          <w:p w14:paraId="404FC4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5.339</w:t>
            </w:r>
          </w:p>
        </w:tc>
        <w:tc>
          <w:tcPr>
            <w:tcW w:w="1284" w:type="dxa"/>
            <w:tcBorders>
              <w:tl2br w:val="nil"/>
              <w:tr2bl w:val="nil"/>
            </w:tcBorders>
            <w:vAlign w:val="center"/>
          </w:tcPr>
          <w:p w14:paraId="47E2A6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2.6695</w:t>
            </w:r>
          </w:p>
        </w:tc>
        <w:tc>
          <w:tcPr>
            <w:tcW w:w="1571" w:type="dxa"/>
            <w:tcBorders>
              <w:tl2br w:val="nil"/>
              <w:tr2bl w:val="nil"/>
            </w:tcBorders>
            <w:vAlign w:val="center"/>
          </w:tcPr>
          <w:p w14:paraId="21FEAA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88" w:type="dxa"/>
            <w:tcBorders>
              <w:tl2br w:val="nil"/>
              <w:tr2bl w:val="nil"/>
            </w:tcBorders>
            <w:vAlign w:val="center"/>
          </w:tcPr>
          <w:p w14:paraId="2DEE56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0.5339</w:t>
            </w:r>
          </w:p>
        </w:tc>
        <w:tc>
          <w:tcPr>
            <w:tcW w:w="1025" w:type="dxa"/>
            <w:tcBorders>
              <w:tl2br w:val="nil"/>
              <w:tr2bl w:val="nil"/>
            </w:tcBorders>
            <w:vAlign w:val="center"/>
          </w:tcPr>
          <w:p w14:paraId="4EF2B8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5.339</w:t>
            </w:r>
          </w:p>
        </w:tc>
      </w:tr>
      <w:tr w14:paraId="5BC04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275AB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933" w:type="dxa"/>
            <w:tcBorders>
              <w:tl2br w:val="nil"/>
              <w:tr2bl w:val="nil"/>
            </w:tcBorders>
            <w:vAlign w:val="center"/>
          </w:tcPr>
          <w:p w14:paraId="33AC26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99" w:type="dxa"/>
            <w:tcBorders>
              <w:tl2br w:val="nil"/>
              <w:tr2bl w:val="nil"/>
            </w:tcBorders>
            <w:vAlign w:val="center"/>
          </w:tcPr>
          <w:p w14:paraId="0C4057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5.125</w:t>
            </w:r>
          </w:p>
        </w:tc>
        <w:tc>
          <w:tcPr>
            <w:tcW w:w="1284" w:type="dxa"/>
            <w:tcBorders>
              <w:tl2br w:val="nil"/>
              <w:tr2bl w:val="nil"/>
            </w:tcBorders>
            <w:vAlign w:val="center"/>
          </w:tcPr>
          <w:p w14:paraId="6D239F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2.5625</w:t>
            </w:r>
          </w:p>
        </w:tc>
        <w:tc>
          <w:tcPr>
            <w:tcW w:w="1571" w:type="dxa"/>
            <w:tcBorders>
              <w:tl2br w:val="nil"/>
              <w:tr2bl w:val="nil"/>
            </w:tcBorders>
            <w:vAlign w:val="center"/>
          </w:tcPr>
          <w:p w14:paraId="4C3FC3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88" w:type="dxa"/>
            <w:tcBorders>
              <w:tl2br w:val="nil"/>
              <w:tr2bl w:val="nil"/>
            </w:tcBorders>
            <w:vAlign w:val="center"/>
          </w:tcPr>
          <w:p w14:paraId="579C50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0.5125</w:t>
            </w:r>
          </w:p>
        </w:tc>
        <w:tc>
          <w:tcPr>
            <w:tcW w:w="1025" w:type="dxa"/>
            <w:tcBorders>
              <w:tl2br w:val="nil"/>
              <w:tr2bl w:val="nil"/>
            </w:tcBorders>
            <w:vAlign w:val="center"/>
          </w:tcPr>
          <w:p w14:paraId="2DF576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5.125</w:t>
            </w:r>
          </w:p>
        </w:tc>
      </w:tr>
      <w:tr w14:paraId="3ED2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DEFD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933" w:type="dxa"/>
            <w:tcBorders>
              <w:tl2br w:val="nil"/>
              <w:tr2bl w:val="nil"/>
            </w:tcBorders>
            <w:vAlign w:val="center"/>
          </w:tcPr>
          <w:p w14:paraId="5A40C0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99" w:type="dxa"/>
            <w:tcBorders>
              <w:tl2br w:val="nil"/>
              <w:tr2bl w:val="nil"/>
            </w:tcBorders>
            <w:vAlign w:val="center"/>
          </w:tcPr>
          <w:p w14:paraId="137CCC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4.89</w:t>
            </w:r>
          </w:p>
        </w:tc>
        <w:tc>
          <w:tcPr>
            <w:tcW w:w="1284" w:type="dxa"/>
            <w:tcBorders>
              <w:tl2br w:val="nil"/>
              <w:tr2bl w:val="nil"/>
            </w:tcBorders>
            <w:vAlign w:val="center"/>
          </w:tcPr>
          <w:p w14:paraId="4694E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2.445</w:t>
            </w:r>
          </w:p>
        </w:tc>
        <w:tc>
          <w:tcPr>
            <w:tcW w:w="1571" w:type="dxa"/>
            <w:tcBorders>
              <w:tl2br w:val="nil"/>
              <w:tr2bl w:val="nil"/>
            </w:tcBorders>
            <w:vAlign w:val="center"/>
          </w:tcPr>
          <w:p w14:paraId="24E60A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88" w:type="dxa"/>
            <w:tcBorders>
              <w:tl2br w:val="nil"/>
              <w:tr2bl w:val="nil"/>
            </w:tcBorders>
            <w:vAlign w:val="center"/>
          </w:tcPr>
          <w:p w14:paraId="1EFF45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0.489</w:t>
            </w:r>
          </w:p>
        </w:tc>
        <w:tc>
          <w:tcPr>
            <w:tcW w:w="1025" w:type="dxa"/>
            <w:tcBorders>
              <w:tl2br w:val="nil"/>
              <w:tr2bl w:val="nil"/>
            </w:tcBorders>
            <w:vAlign w:val="center"/>
          </w:tcPr>
          <w:p w14:paraId="0A9A22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4.89</w:t>
            </w:r>
          </w:p>
        </w:tc>
      </w:tr>
      <w:tr w14:paraId="0D50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E892F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933" w:type="dxa"/>
            <w:tcBorders>
              <w:tl2br w:val="nil"/>
              <w:tr2bl w:val="nil"/>
            </w:tcBorders>
            <w:vAlign w:val="center"/>
          </w:tcPr>
          <w:p w14:paraId="692CEC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99" w:type="dxa"/>
            <w:tcBorders>
              <w:tl2br w:val="nil"/>
              <w:tr2bl w:val="nil"/>
            </w:tcBorders>
            <w:vAlign w:val="center"/>
          </w:tcPr>
          <w:p w14:paraId="3C0F69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4.655</w:t>
            </w:r>
          </w:p>
        </w:tc>
        <w:tc>
          <w:tcPr>
            <w:tcW w:w="1284" w:type="dxa"/>
            <w:tcBorders>
              <w:tl2br w:val="nil"/>
              <w:tr2bl w:val="nil"/>
            </w:tcBorders>
            <w:vAlign w:val="center"/>
          </w:tcPr>
          <w:p w14:paraId="7AE806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2.3275</w:t>
            </w:r>
          </w:p>
        </w:tc>
        <w:tc>
          <w:tcPr>
            <w:tcW w:w="1571" w:type="dxa"/>
            <w:tcBorders>
              <w:tl2br w:val="nil"/>
              <w:tr2bl w:val="nil"/>
            </w:tcBorders>
            <w:vAlign w:val="center"/>
          </w:tcPr>
          <w:p w14:paraId="1F1B32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88" w:type="dxa"/>
            <w:tcBorders>
              <w:tl2br w:val="nil"/>
              <w:tr2bl w:val="nil"/>
            </w:tcBorders>
            <w:vAlign w:val="center"/>
          </w:tcPr>
          <w:p w14:paraId="514085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0.4655</w:t>
            </w:r>
          </w:p>
        </w:tc>
        <w:tc>
          <w:tcPr>
            <w:tcW w:w="1025" w:type="dxa"/>
            <w:tcBorders>
              <w:tl2br w:val="nil"/>
              <w:tr2bl w:val="nil"/>
            </w:tcBorders>
            <w:vAlign w:val="center"/>
          </w:tcPr>
          <w:p w14:paraId="05E5BC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4.655</w:t>
            </w:r>
          </w:p>
        </w:tc>
      </w:tr>
      <w:tr w14:paraId="3A2A9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64AC2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933" w:type="dxa"/>
            <w:tcBorders>
              <w:tl2br w:val="nil"/>
              <w:tr2bl w:val="nil"/>
            </w:tcBorders>
            <w:vAlign w:val="center"/>
          </w:tcPr>
          <w:p w14:paraId="7C32EA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99" w:type="dxa"/>
            <w:tcBorders>
              <w:tl2br w:val="nil"/>
              <w:tr2bl w:val="nil"/>
            </w:tcBorders>
            <w:vAlign w:val="center"/>
          </w:tcPr>
          <w:p w14:paraId="2847E6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4.425</w:t>
            </w:r>
          </w:p>
        </w:tc>
        <w:tc>
          <w:tcPr>
            <w:tcW w:w="1284" w:type="dxa"/>
            <w:tcBorders>
              <w:tl2br w:val="nil"/>
              <w:tr2bl w:val="nil"/>
            </w:tcBorders>
            <w:vAlign w:val="center"/>
          </w:tcPr>
          <w:p w14:paraId="162FCA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2.2125</w:t>
            </w:r>
          </w:p>
        </w:tc>
        <w:tc>
          <w:tcPr>
            <w:tcW w:w="1571" w:type="dxa"/>
            <w:tcBorders>
              <w:tl2br w:val="nil"/>
              <w:tr2bl w:val="nil"/>
            </w:tcBorders>
            <w:vAlign w:val="center"/>
          </w:tcPr>
          <w:p w14:paraId="7A3B68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88" w:type="dxa"/>
            <w:tcBorders>
              <w:tl2br w:val="nil"/>
              <w:tr2bl w:val="nil"/>
            </w:tcBorders>
            <w:vAlign w:val="center"/>
          </w:tcPr>
          <w:p w14:paraId="3F8ED1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0.4425</w:t>
            </w:r>
          </w:p>
        </w:tc>
        <w:tc>
          <w:tcPr>
            <w:tcW w:w="1025" w:type="dxa"/>
            <w:tcBorders>
              <w:tl2br w:val="nil"/>
              <w:tr2bl w:val="nil"/>
            </w:tcBorders>
            <w:vAlign w:val="center"/>
          </w:tcPr>
          <w:p w14:paraId="67B3C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4.425</w:t>
            </w:r>
          </w:p>
        </w:tc>
      </w:tr>
      <w:tr w14:paraId="2B6A1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1F655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933" w:type="dxa"/>
            <w:tcBorders>
              <w:tl2br w:val="nil"/>
              <w:tr2bl w:val="nil"/>
            </w:tcBorders>
            <w:vAlign w:val="center"/>
          </w:tcPr>
          <w:p w14:paraId="113C02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99" w:type="dxa"/>
            <w:tcBorders>
              <w:tl2br w:val="nil"/>
              <w:tr2bl w:val="nil"/>
            </w:tcBorders>
            <w:vAlign w:val="center"/>
          </w:tcPr>
          <w:p w14:paraId="200BC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4.206</w:t>
            </w:r>
          </w:p>
        </w:tc>
        <w:tc>
          <w:tcPr>
            <w:tcW w:w="1284" w:type="dxa"/>
            <w:tcBorders>
              <w:tl2br w:val="nil"/>
              <w:tr2bl w:val="nil"/>
            </w:tcBorders>
            <w:vAlign w:val="center"/>
          </w:tcPr>
          <w:p w14:paraId="3670D3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2.103</w:t>
            </w:r>
          </w:p>
        </w:tc>
        <w:tc>
          <w:tcPr>
            <w:tcW w:w="1571" w:type="dxa"/>
            <w:tcBorders>
              <w:tl2br w:val="nil"/>
              <w:tr2bl w:val="nil"/>
            </w:tcBorders>
            <w:vAlign w:val="center"/>
          </w:tcPr>
          <w:p w14:paraId="1F72BC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88" w:type="dxa"/>
            <w:tcBorders>
              <w:tl2br w:val="nil"/>
              <w:tr2bl w:val="nil"/>
            </w:tcBorders>
            <w:vAlign w:val="center"/>
          </w:tcPr>
          <w:p w14:paraId="441300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0.4206</w:t>
            </w:r>
          </w:p>
        </w:tc>
        <w:tc>
          <w:tcPr>
            <w:tcW w:w="1025" w:type="dxa"/>
            <w:tcBorders>
              <w:tl2br w:val="nil"/>
              <w:tr2bl w:val="nil"/>
            </w:tcBorders>
            <w:vAlign w:val="center"/>
          </w:tcPr>
          <w:p w14:paraId="686DA1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4.206</w:t>
            </w:r>
          </w:p>
        </w:tc>
      </w:tr>
      <w:tr w14:paraId="6F523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FA19B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933" w:type="dxa"/>
            <w:tcBorders>
              <w:tl2br w:val="nil"/>
              <w:tr2bl w:val="nil"/>
            </w:tcBorders>
            <w:vAlign w:val="center"/>
          </w:tcPr>
          <w:p w14:paraId="4BEF73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99" w:type="dxa"/>
            <w:tcBorders>
              <w:tl2br w:val="nil"/>
              <w:tr2bl w:val="nil"/>
            </w:tcBorders>
            <w:vAlign w:val="center"/>
          </w:tcPr>
          <w:p w14:paraId="715459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4.001</w:t>
            </w:r>
          </w:p>
        </w:tc>
        <w:tc>
          <w:tcPr>
            <w:tcW w:w="1284" w:type="dxa"/>
            <w:tcBorders>
              <w:tl2br w:val="nil"/>
              <w:tr2bl w:val="nil"/>
            </w:tcBorders>
            <w:vAlign w:val="center"/>
          </w:tcPr>
          <w:p w14:paraId="48DA64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2.0005</w:t>
            </w:r>
          </w:p>
        </w:tc>
        <w:tc>
          <w:tcPr>
            <w:tcW w:w="1571" w:type="dxa"/>
            <w:tcBorders>
              <w:tl2br w:val="nil"/>
              <w:tr2bl w:val="nil"/>
            </w:tcBorders>
            <w:vAlign w:val="center"/>
          </w:tcPr>
          <w:p w14:paraId="3C93BD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88" w:type="dxa"/>
            <w:tcBorders>
              <w:tl2br w:val="nil"/>
              <w:tr2bl w:val="nil"/>
            </w:tcBorders>
            <w:vAlign w:val="center"/>
          </w:tcPr>
          <w:p w14:paraId="0DACD2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0.4001</w:t>
            </w:r>
          </w:p>
        </w:tc>
        <w:tc>
          <w:tcPr>
            <w:tcW w:w="1025" w:type="dxa"/>
            <w:tcBorders>
              <w:tl2br w:val="nil"/>
              <w:tr2bl w:val="nil"/>
            </w:tcBorders>
            <w:vAlign w:val="center"/>
          </w:tcPr>
          <w:p w14:paraId="1EF249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4.001</w:t>
            </w:r>
          </w:p>
        </w:tc>
      </w:tr>
      <w:tr w14:paraId="1E2D6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8498CE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933" w:type="dxa"/>
            <w:tcBorders>
              <w:tl2br w:val="nil"/>
              <w:tr2bl w:val="nil"/>
            </w:tcBorders>
            <w:vAlign w:val="center"/>
          </w:tcPr>
          <w:p w14:paraId="632F7F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99" w:type="dxa"/>
            <w:tcBorders>
              <w:tl2br w:val="nil"/>
              <w:tr2bl w:val="nil"/>
            </w:tcBorders>
            <w:vAlign w:val="center"/>
          </w:tcPr>
          <w:p w14:paraId="67B0C7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3.808</w:t>
            </w:r>
          </w:p>
        </w:tc>
        <w:tc>
          <w:tcPr>
            <w:tcW w:w="1284" w:type="dxa"/>
            <w:tcBorders>
              <w:tl2br w:val="nil"/>
              <w:tr2bl w:val="nil"/>
            </w:tcBorders>
            <w:vAlign w:val="center"/>
          </w:tcPr>
          <w:p w14:paraId="0F3349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1.904</w:t>
            </w:r>
          </w:p>
        </w:tc>
        <w:tc>
          <w:tcPr>
            <w:tcW w:w="1571" w:type="dxa"/>
            <w:tcBorders>
              <w:tl2br w:val="nil"/>
              <w:tr2bl w:val="nil"/>
            </w:tcBorders>
            <w:vAlign w:val="center"/>
          </w:tcPr>
          <w:p w14:paraId="1BD30D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88" w:type="dxa"/>
            <w:tcBorders>
              <w:tl2br w:val="nil"/>
              <w:tr2bl w:val="nil"/>
            </w:tcBorders>
            <w:vAlign w:val="center"/>
          </w:tcPr>
          <w:p w14:paraId="010D48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0.3808</w:t>
            </w:r>
          </w:p>
        </w:tc>
        <w:tc>
          <w:tcPr>
            <w:tcW w:w="1025" w:type="dxa"/>
            <w:tcBorders>
              <w:tl2br w:val="nil"/>
              <w:tr2bl w:val="nil"/>
            </w:tcBorders>
            <w:vAlign w:val="center"/>
          </w:tcPr>
          <w:p w14:paraId="1E2DDB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3.808</w:t>
            </w:r>
          </w:p>
        </w:tc>
      </w:tr>
      <w:tr w14:paraId="31BA9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42B5A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933" w:type="dxa"/>
            <w:tcBorders>
              <w:tl2br w:val="nil"/>
              <w:tr2bl w:val="nil"/>
            </w:tcBorders>
            <w:vAlign w:val="center"/>
          </w:tcPr>
          <w:p w14:paraId="4D542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99" w:type="dxa"/>
            <w:tcBorders>
              <w:tl2br w:val="nil"/>
              <w:tr2bl w:val="nil"/>
            </w:tcBorders>
            <w:vAlign w:val="center"/>
          </w:tcPr>
          <w:p w14:paraId="7F6CEE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3.628</w:t>
            </w:r>
          </w:p>
        </w:tc>
        <w:tc>
          <w:tcPr>
            <w:tcW w:w="1284" w:type="dxa"/>
            <w:tcBorders>
              <w:tl2br w:val="nil"/>
              <w:tr2bl w:val="nil"/>
            </w:tcBorders>
            <w:vAlign w:val="center"/>
          </w:tcPr>
          <w:p w14:paraId="2A2E5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1.814</w:t>
            </w:r>
          </w:p>
        </w:tc>
        <w:tc>
          <w:tcPr>
            <w:tcW w:w="1571" w:type="dxa"/>
            <w:tcBorders>
              <w:tl2br w:val="nil"/>
              <w:tr2bl w:val="nil"/>
            </w:tcBorders>
            <w:vAlign w:val="center"/>
          </w:tcPr>
          <w:p w14:paraId="0FF2D6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88" w:type="dxa"/>
            <w:tcBorders>
              <w:tl2br w:val="nil"/>
              <w:tr2bl w:val="nil"/>
            </w:tcBorders>
            <w:vAlign w:val="center"/>
          </w:tcPr>
          <w:p w14:paraId="16A53F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0.3628</w:t>
            </w:r>
          </w:p>
        </w:tc>
        <w:tc>
          <w:tcPr>
            <w:tcW w:w="1025" w:type="dxa"/>
            <w:tcBorders>
              <w:tl2br w:val="nil"/>
              <w:tr2bl w:val="nil"/>
            </w:tcBorders>
            <w:vAlign w:val="center"/>
          </w:tcPr>
          <w:p w14:paraId="11E0CA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3.628</w:t>
            </w:r>
          </w:p>
        </w:tc>
      </w:tr>
      <w:tr w14:paraId="22BB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A684F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933" w:type="dxa"/>
            <w:tcBorders>
              <w:tl2br w:val="nil"/>
              <w:tr2bl w:val="nil"/>
            </w:tcBorders>
            <w:vAlign w:val="center"/>
          </w:tcPr>
          <w:p w14:paraId="55F560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99" w:type="dxa"/>
            <w:tcBorders>
              <w:tl2br w:val="nil"/>
              <w:tr2bl w:val="nil"/>
            </w:tcBorders>
            <w:vAlign w:val="center"/>
          </w:tcPr>
          <w:p w14:paraId="6D47E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3.462</w:t>
            </w:r>
          </w:p>
        </w:tc>
        <w:tc>
          <w:tcPr>
            <w:tcW w:w="1284" w:type="dxa"/>
            <w:tcBorders>
              <w:tl2br w:val="nil"/>
              <w:tr2bl w:val="nil"/>
            </w:tcBorders>
            <w:vAlign w:val="center"/>
          </w:tcPr>
          <w:p w14:paraId="2A5E48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1.731</w:t>
            </w:r>
          </w:p>
        </w:tc>
        <w:tc>
          <w:tcPr>
            <w:tcW w:w="1571" w:type="dxa"/>
            <w:tcBorders>
              <w:tl2br w:val="nil"/>
              <w:tr2bl w:val="nil"/>
            </w:tcBorders>
            <w:vAlign w:val="center"/>
          </w:tcPr>
          <w:p w14:paraId="3B83EF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88" w:type="dxa"/>
            <w:tcBorders>
              <w:tl2br w:val="nil"/>
              <w:tr2bl w:val="nil"/>
            </w:tcBorders>
            <w:vAlign w:val="center"/>
          </w:tcPr>
          <w:p w14:paraId="72D3C6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0.3462</w:t>
            </w:r>
          </w:p>
        </w:tc>
        <w:tc>
          <w:tcPr>
            <w:tcW w:w="1025" w:type="dxa"/>
            <w:tcBorders>
              <w:tl2br w:val="nil"/>
              <w:tr2bl w:val="nil"/>
            </w:tcBorders>
            <w:vAlign w:val="center"/>
          </w:tcPr>
          <w:p w14:paraId="413855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3.462</w:t>
            </w:r>
          </w:p>
        </w:tc>
      </w:tr>
      <w:tr w14:paraId="1B3B8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CAA78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933" w:type="dxa"/>
            <w:tcBorders>
              <w:tl2br w:val="nil"/>
              <w:tr2bl w:val="nil"/>
            </w:tcBorders>
            <w:vAlign w:val="center"/>
          </w:tcPr>
          <w:p w14:paraId="554F1D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99" w:type="dxa"/>
            <w:tcBorders>
              <w:tl2br w:val="nil"/>
              <w:tr2bl w:val="nil"/>
            </w:tcBorders>
            <w:vAlign w:val="center"/>
          </w:tcPr>
          <w:p w14:paraId="58E94B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3.308</w:t>
            </w:r>
          </w:p>
        </w:tc>
        <w:tc>
          <w:tcPr>
            <w:tcW w:w="1284" w:type="dxa"/>
            <w:tcBorders>
              <w:tl2br w:val="nil"/>
              <w:tr2bl w:val="nil"/>
            </w:tcBorders>
            <w:vAlign w:val="center"/>
          </w:tcPr>
          <w:p w14:paraId="74A5CC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1.654</w:t>
            </w:r>
          </w:p>
        </w:tc>
        <w:tc>
          <w:tcPr>
            <w:tcW w:w="1571" w:type="dxa"/>
            <w:tcBorders>
              <w:tl2br w:val="nil"/>
              <w:tr2bl w:val="nil"/>
            </w:tcBorders>
            <w:vAlign w:val="center"/>
          </w:tcPr>
          <w:p w14:paraId="601E2A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88" w:type="dxa"/>
            <w:tcBorders>
              <w:tl2br w:val="nil"/>
              <w:tr2bl w:val="nil"/>
            </w:tcBorders>
            <w:vAlign w:val="center"/>
          </w:tcPr>
          <w:p w14:paraId="0271B1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0.3308</w:t>
            </w:r>
          </w:p>
        </w:tc>
        <w:tc>
          <w:tcPr>
            <w:tcW w:w="1025" w:type="dxa"/>
            <w:tcBorders>
              <w:tl2br w:val="nil"/>
              <w:tr2bl w:val="nil"/>
            </w:tcBorders>
            <w:vAlign w:val="center"/>
          </w:tcPr>
          <w:p w14:paraId="6A5C9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3.308</w:t>
            </w:r>
          </w:p>
        </w:tc>
      </w:tr>
      <w:tr w14:paraId="3229C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3D22A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933" w:type="dxa"/>
            <w:tcBorders>
              <w:tl2br w:val="nil"/>
              <w:tr2bl w:val="nil"/>
            </w:tcBorders>
            <w:vAlign w:val="center"/>
          </w:tcPr>
          <w:p w14:paraId="0479C5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99" w:type="dxa"/>
            <w:tcBorders>
              <w:tl2br w:val="nil"/>
              <w:tr2bl w:val="nil"/>
            </w:tcBorders>
            <w:vAlign w:val="center"/>
          </w:tcPr>
          <w:p w14:paraId="4D1AC8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3.178</w:t>
            </w:r>
          </w:p>
        </w:tc>
        <w:tc>
          <w:tcPr>
            <w:tcW w:w="1284" w:type="dxa"/>
            <w:tcBorders>
              <w:tl2br w:val="nil"/>
              <w:tr2bl w:val="nil"/>
            </w:tcBorders>
            <w:vAlign w:val="center"/>
          </w:tcPr>
          <w:p w14:paraId="1B9DD2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1.589</w:t>
            </w:r>
          </w:p>
        </w:tc>
        <w:tc>
          <w:tcPr>
            <w:tcW w:w="1571" w:type="dxa"/>
            <w:tcBorders>
              <w:tl2br w:val="nil"/>
              <w:tr2bl w:val="nil"/>
            </w:tcBorders>
            <w:vAlign w:val="center"/>
          </w:tcPr>
          <w:p w14:paraId="489DF2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88" w:type="dxa"/>
            <w:tcBorders>
              <w:tl2br w:val="nil"/>
              <w:tr2bl w:val="nil"/>
            </w:tcBorders>
            <w:vAlign w:val="center"/>
          </w:tcPr>
          <w:p w14:paraId="6008A6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0.3178</w:t>
            </w:r>
          </w:p>
        </w:tc>
        <w:tc>
          <w:tcPr>
            <w:tcW w:w="1025" w:type="dxa"/>
            <w:tcBorders>
              <w:tl2br w:val="nil"/>
              <w:tr2bl w:val="nil"/>
            </w:tcBorders>
            <w:vAlign w:val="center"/>
          </w:tcPr>
          <w:p w14:paraId="7E6483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3.178</w:t>
            </w:r>
          </w:p>
        </w:tc>
      </w:tr>
      <w:tr w14:paraId="50ACA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3FE5B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933" w:type="dxa"/>
            <w:tcBorders>
              <w:tl2br w:val="nil"/>
              <w:tr2bl w:val="nil"/>
            </w:tcBorders>
            <w:vAlign w:val="center"/>
          </w:tcPr>
          <w:p w14:paraId="655509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499" w:type="dxa"/>
            <w:tcBorders>
              <w:tl2br w:val="nil"/>
              <w:tr2bl w:val="nil"/>
            </w:tcBorders>
            <w:vAlign w:val="center"/>
          </w:tcPr>
          <w:p w14:paraId="328DC7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3.056</w:t>
            </w:r>
          </w:p>
        </w:tc>
        <w:tc>
          <w:tcPr>
            <w:tcW w:w="1284" w:type="dxa"/>
            <w:tcBorders>
              <w:tl2br w:val="nil"/>
              <w:tr2bl w:val="nil"/>
            </w:tcBorders>
            <w:vAlign w:val="center"/>
          </w:tcPr>
          <w:p w14:paraId="6BB2BA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1.528</w:t>
            </w:r>
          </w:p>
        </w:tc>
        <w:tc>
          <w:tcPr>
            <w:tcW w:w="1571" w:type="dxa"/>
            <w:tcBorders>
              <w:tl2br w:val="nil"/>
              <w:tr2bl w:val="nil"/>
            </w:tcBorders>
            <w:vAlign w:val="center"/>
          </w:tcPr>
          <w:p w14:paraId="641345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488" w:type="dxa"/>
            <w:tcBorders>
              <w:tl2br w:val="nil"/>
              <w:tr2bl w:val="nil"/>
            </w:tcBorders>
            <w:vAlign w:val="center"/>
          </w:tcPr>
          <w:p w14:paraId="3BE386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0.3056</w:t>
            </w:r>
          </w:p>
        </w:tc>
        <w:tc>
          <w:tcPr>
            <w:tcW w:w="1025" w:type="dxa"/>
            <w:tcBorders>
              <w:tl2br w:val="nil"/>
              <w:tr2bl w:val="nil"/>
            </w:tcBorders>
            <w:vAlign w:val="center"/>
          </w:tcPr>
          <w:p w14:paraId="6ABD3C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3.056</w:t>
            </w:r>
          </w:p>
        </w:tc>
      </w:tr>
      <w:tr w14:paraId="2E71D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8AA72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933" w:type="dxa"/>
            <w:tcBorders>
              <w:tl2br w:val="nil"/>
              <w:tr2bl w:val="nil"/>
            </w:tcBorders>
            <w:vAlign w:val="center"/>
          </w:tcPr>
          <w:p w14:paraId="0D8D44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99" w:type="dxa"/>
            <w:tcBorders>
              <w:tl2br w:val="nil"/>
              <w:tr2bl w:val="nil"/>
            </w:tcBorders>
            <w:vAlign w:val="center"/>
          </w:tcPr>
          <w:p w14:paraId="5AAE26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2.941</w:t>
            </w:r>
          </w:p>
        </w:tc>
        <w:tc>
          <w:tcPr>
            <w:tcW w:w="1284" w:type="dxa"/>
            <w:tcBorders>
              <w:tl2br w:val="nil"/>
              <w:tr2bl w:val="nil"/>
            </w:tcBorders>
            <w:vAlign w:val="center"/>
          </w:tcPr>
          <w:p w14:paraId="1866EA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1.4705</w:t>
            </w:r>
          </w:p>
        </w:tc>
        <w:tc>
          <w:tcPr>
            <w:tcW w:w="1571" w:type="dxa"/>
            <w:tcBorders>
              <w:tl2br w:val="nil"/>
              <w:tr2bl w:val="nil"/>
            </w:tcBorders>
            <w:vAlign w:val="center"/>
          </w:tcPr>
          <w:p w14:paraId="0F0AFA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88" w:type="dxa"/>
            <w:tcBorders>
              <w:tl2br w:val="nil"/>
              <w:tr2bl w:val="nil"/>
            </w:tcBorders>
            <w:vAlign w:val="center"/>
          </w:tcPr>
          <w:p w14:paraId="6A102A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0.2941</w:t>
            </w:r>
          </w:p>
        </w:tc>
        <w:tc>
          <w:tcPr>
            <w:tcW w:w="1025" w:type="dxa"/>
            <w:tcBorders>
              <w:tl2br w:val="nil"/>
              <w:tr2bl w:val="nil"/>
            </w:tcBorders>
            <w:vAlign w:val="center"/>
          </w:tcPr>
          <w:p w14:paraId="53CB6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2.941</w:t>
            </w:r>
          </w:p>
        </w:tc>
      </w:tr>
      <w:tr w14:paraId="2F11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DECCA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933" w:type="dxa"/>
            <w:tcBorders>
              <w:tl2br w:val="nil"/>
              <w:tr2bl w:val="nil"/>
            </w:tcBorders>
            <w:vAlign w:val="center"/>
          </w:tcPr>
          <w:p w14:paraId="4CBFFF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99" w:type="dxa"/>
            <w:tcBorders>
              <w:tl2br w:val="nil"/>
              <w:tr2bl w:val="nil"/>
            </w:tcBorders>
            <w:vAlign w:val="center"/>
          </w:tcPr>
          <w:p w14:paraId="137578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2.837</w:t>
            </w:r>
          </w:p>
        </w:tc>
        <w:tc>
          <w:tcPr>
            <w:tcW w:w="1284" w:type="dxa"/>
            <w:tcBorders>
              <w:tl2br w:val="nil"/>
              <w:tr2bl w:val="nil"/>
            </w:tcBorders>
            <w:vAlign w:val="center"/>
          </w:tcPr>
          <w:p w14:paraId="65B9FE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1.4185</w:t>
            </w:r>
          </w:p>
        </w:tc>
        <w:tc>
          <w:tcPr>
            <w:tcW w:w="1571" w:type="dxa"/>
            <w:tcBorders>
              <w:tl2br w:val="nil"/>
              <w:tr2bl w:val="nil"/>
            </w:tcBorders>
            <w:vAlign w:val="center"/>
          </w:tcPr>
          <w:p w14:paraId="27EA99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88" w:type="dxa"/>
            <w:tcBorders>
              <w:tl2br w:val="nil"/>
              <w:tr2bl w:val="nil"/>
            </w:tcBorders>
            <w:vAlign w:val="center"/>
          </w:tcPr>
          <w:p w14:paraId="2FFAAE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0.2837</w:t>
            </w:r>
          </w:p>
        </w:tc>
        <w:tc>
          <w:tcPr>
            <w:tcW w:w="1025" w:type="dxa"/>
            <w:tcBorders>
              <w:tl2br w:val="nil"/>
              <w:tr2bl w:val="nil"/>
            </w:tcBorders>
            <w:vAlign w:val="center"/>
          </w:tcPr>
          <w:p w14:paraId="7C9741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2.837</w:t>
            </w:r>
          </w:p>
        </w:tc>
      </w:tr>
      <w:tr w14:paraId="34E6D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39CF5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933" w:type="dxa"/>
            <w:tcBorders>
              <w:tl2br w:val="nil"/>
              <w:tr2bl w:val="nil"/>
            </w:tcBorders>
            <w:vAlign w:val="center"/>
          </w:tcPr>
          <w:p w14:paraId="725DBC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99" w:type="dxa"/>
            <w:tcBorders>
              <w:tl2br w:val="nil"/>
              <w:tr2bl w:val="nil"/>
            </w:tcBorders>
            <w:vAlign w:val="center"/>
          </w:tcPr>
          <w:p w14:paraId="79026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2.742</w:t>
            </w:r>
          </w:p>
        </w:tc>
        <w:tc>
          <w:tcPr>
            <w:tcW w:w="1284" w:type="dxa"/>
            <w:tcBorders>
              <w:tl2br w:val="nil"/>
              <w:tr2bl w:val="nil"/>
            </w:tcBorders>
            <w:vAlign w:val="center"/>
          </w:tcPr>
          <w:p w14:paraId="1BE7E5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1.371</w:t>
            </w:r>
          </w:p>
        </w:tc>
        <w:tc>
          <w:tcPr>
            <w:tcW w:w="1571" w:type="dxa"/>
            <w:tcBorders>
              <w:tl2br w:val="nil"/>
              <w:tr2bl w:val="nil"/>
            </w:tcBorders>
            <w:vAlign w:val="center"/>
          </w:tcPr>
          <w:p w14:paraId="59EE4A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88" w:type="dxa"/>
            <w:tcBorders>
              <w:tl2br w:val="nil"/>
              <w:tr2bl w:val="nil"/>
            </w:tcBorders>
            <w:vAlign w:val="center"/>
          </w:tcPr>
          <w:p w14:paraId="32C9A0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0.2742</w:t>
            </w:r>
          </w:p>
        </w:tc>
        <w:tc>
          <w:tcPr>
            <w:tcW w:w="1025" w:type="dxa"/>
            <w:tcBorders>
              <w:tl2br w:val="nil"/>
              <w:tr2bl w:val="nil"/>
            </w:tcBorders>
            <w:vAlign w:val="center"/>
          </w:tcPr>
          <w:p w14:paraId="544E68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2.742</w:t>
            </w:r>
          </w:p>
        </w:tc>
      </w:tr>
      <w:tr w14:paraId="1338E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C5642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24</w:t>
            </w:r>
          </w:p>
        </w:tc>
        <w:tc>
          <w:tcPr>
            <w:tcW w:w="933" w:type="dxa"/>
            <w:tcBorders>
              <w:tl2br w:val="nil"/>
              <w:tr2bl w:val="nil"/>
            </w:tcBorders>
            <w:vAlign w:val="center"/>
          </w:tcPr>
          <w:p w14:paraId="3A5122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99" w:type="dxa"/>
            <w:tcBorders>
              <w:tl2br w:val="nil"/>
              <w:tr2bl w:val="nil"/>
            </w:tcBorders>
            <w:vAlign w:val="center"/>
          </w:tcPr>
          <w:p w14:paraId="3F836B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2.651</w:t>
            </w:r>
          </w:p>
        </w:tc>
        <w:tc>
          <w:tcPr>
            <w:tcW w:w="1284" w:type="dxa"/>
            <w:tcBorders>
              <w:tl2br w:val="nil"/>
              <w:tr2bl w:val="nil"/>
            </w:tcBorders>
            <w:vAlign w:val="center"/>
          </w:tcPr>
          <w:p w14:paraId="4F1E7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1.3255</w:t>
            </w:r>
          </w:p>
        </w:tc>
        <w:tc>
          <w:tcPr>
            <w:tcW w:w="1571" w:type="dxa"/>
            <w:tcBorders>
              <w:tl2br w:val="nil"/>
              <w:tr2bl w:val="nil"/>
            </w:tcBorders>
            <w:vAlign w:val="center"/>
          </w:tcPr>
          <w:p w14:paraId="256DEC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88" w:type="dxa"/>
            <w:tcBorders>
              <w:tl2br w:val="nil"/>
              <w:tr2bl w:val="nil"/>
            </w:tcBorders>
            <w:vAlign w:val="center"/>
          </w:tcPr>
          <w:p w14:paraId="3EC9F6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0.2651</w:t>
            </w:r>
          </w:p>
        </w:tc>
        <w:tc>
          <w:tcPr>
            <w:tcW w:w="1025" w:type="dxa"/>
            <w:tcBorders>
              <w:tl2br w:val="nil"/>
              <w:tr2bl w:val="nil"/>
            </w:tcBorders>
            <w:vAlign w:val="center"/>
          </w:tcPr>
          <w:p w14:paraId="765256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2.651</w:t>
            </w:r>
          </w:p>
        </w:tc>
      </w:tr>
      <w:tr w14:paraId="5FB08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5AED3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25</w:t>
            </w:r>
          </w:p>
        </w:tc>
        <w:tc>
          <w:tcPr>
            <w:tcW w:w="933" w:type="dxa"/>
            <w:tcBorders>
              <w:tl2br w:val="nil"/>
              <w:tr2bl w:val="nil"/>
            </w:tcBorders>
            <w:vAlign w:val="center"/>
          </w:tcPr>
          <w:p w14:paraId="1BCF9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2400</w:t>
            </w:r>
          </w:p>
        </w:tc>
        <w:tc>
          <w:tcPr>
            <w:tcW w:w="1499" w:type="dxa"/>
            <w:tcBorders>
              <w:tl2br w:val="nil"/>
              <w:tr2bl w:val="nil"/>
            </w:tcBorders>
            <w:vAlign w:val="center"/>
          </w:tcPr>
          <w:p w14:paraId="107FCA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2.566</w:t>
            </w:r>
          </w:p>
        </w:tc>
        <w:tc>
          <w:tcPr>
            <w:tcW w:w="1284" w:type="dxa"/>
            <w:tcBorders>
              <w:tl2br w:val="nil"/>
              <w:tr2bl w:val="nil"/>
            </w:tcBorders>
            <w:vAlign w:val="center"/>
          </w:tcPr>
          <w:p w14:paraId="3E8F96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1.283</w:t>
            </w:r>
          </w:p>
        </w:tc>
        <w:tc>
          <w:tcPr>
            <w:tcW w:w="1571" w:type="dxa"/>
            <w:tcBorders>
              <w:tl2br w:val="nil"/>
              <w:tr2bl w:val="nil"/>
            </w:tcBorders>
            <w:vAlign w:val="center"/>
          </w:tcPr>
          <w:p w14:paraId="4DCD85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2400</w:t>
            </w:r>
          </w:p>
        </w:tc>
        <w:tc>
          <w:tcPr>
            <w:tcW w:w="1488" w:type="dxa"/>
            <w:tcBorders>
              <w:tl2br w:val="nil"/>
              <w:tr2bl w:val="nil"/>
            </w:tcBorders>
            <w:vAlign w:val="center"/>
          </w:tcPr>
          <w:p w14:paraId="07B28D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0.2566</w:t>
            </w:r>
          </w:p>
        </w:tc>
        <w:tc>
          <w:tcPr>
            <w:tcW w:w="1025" w:type="dxa"/>
            <w:tcBorders>
              <w:tl2br w:val="nil"/>
              <w:tr2bl w:val="nil"/>
            </w:tcBorders>
            <w:vAlign w:val="center"/>
          </w:tcPr>
          <w:p w14:paraId="5BC864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2.566</w:t>
            </w:r>
          </w:p>
        </w:tc>
      </w:tr>
      <w:tr w14:paraId="552F1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1" w:type="pct"/>
            <w:gridSpan w:val="2"/>
            <w:tcBorders>
              <w:tl2br w:val="nil"/>
              <w:tr2bl w:val="nil"/>
            </w:tcBorders>
            <w:vAlign w:val="center"/>
          </w:tcPr>
          <w:p w14:paraId="43424D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2BECAA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284" w:type="dxa"/>
            <w:tcBorders>
              <w:tl2br w:val="nil"/>
              <w:tr2bl w:val="nil"/>
            </w:tcBorders>
            <w:vAlign w:val="center"/>
          </w:tcPr>
          <w:p w14:paraId="224D23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949" w:type="pct"/>
            <w:tcBorders>
              <w:tl2br w:val="nil"/>
              <w:tr2bl w:val="nil"/>
            </w:tcBorders>
            <w:vAlign w:val="center"/>
          </w:tcPr>
          <w:p w14:paraId="25BC91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22DB6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039" w:type="dxa"/>
            <w:tcBorders>
              <w:tl2br w:val="nil"/>
              <w:tr2bl w:val="nil"/>
            </w:tcBorders>
            <w:vAlign w:val="center"/>
          </w:tcPr>
          <w:p w14:paraId="452E9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r>
    </w:tbl>
    <w:p w14:paraId="1935BE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表5.2-6堆肥场硫化氢、氨气估算模式计算结果表</w:t>
      </w:r>
    </w:p>
    <w:tbl>
      <w:tblPr>
        <w:tblStyle w:val="183"/>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4"/>
        <w:gridCol w:w="932"/>
        <w:gridCol w:w="1498"/>
        <w:gridCol w:w="1282"/>
        <w:gridCol w:w="1583"/>
        <w:gridCol w:w="1499"/>
        <w:gridCol w:w="1037"/>
      </w:tblGrid>
      <w:tr w14:paraId="69314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restart"/>
            <w:tcBorders>
              <w:tl2br w:val="nil"/>
              <w:tr2bl w:val="nil"/>
            </w:tcBorders>
            <w:vAlign w:val="center"/>
          </w:tcPr>
          <w:p w14:paraId="1166E9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108198FF">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6D4AB5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2B5B53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1" w:type="pct"/>
            <w:gridSpan w:val="2"/>
            <w:tcBorders>
              <w:tl2br w:val="nil"/>
              <w:tr2bl w:val="nil"/>
            </w:tcBorders>
            <w:vAlign w:val="center"/>
          </w:tcPr>
          <w:p w14:paraId="06ECC7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29815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continue"/>
            <w:tcBorders>
              <w:tl2br w:val="nil"/>
              <w:tr2bl w:val="nil"/>
            </w:tcBorders>
            <w:vAlign w:val="center"/>
          </w:tcPr>
          <w:p w14:paraId="1539CC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18949C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17EABA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5EB21C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204A95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3726C9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185CD3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535C5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50B8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933" w:type="dxa"/>
            <w:tcBorders>
              <w:tl2br w:val="nil"/>
              <w:tr2bl w:val="nil"/>
            </w:tcBorders>
            <w:vAlign w:val="center"/>
          </w:tcPr>
          <w:p w14:paraId="29C852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1499" w:type="dxa"/>
            <w:tcBorders>
              <w:tl2br w:val="nil"/>
              <w:tr2bl w:val="nil"/>
            </w:tcBorders>
            <w:vAlign w:val="center"/>
          </w:tcPr>
          <w:p w14:paraId="5A2767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7.702</w:t>
            </w:r>
          </w:p>
        </w:tc>
        <w:tc>
          <w:tcPr>
            <w:tcW w:w="1284" w:type="dxa"/>
            <w:tcBorders>
              <w:tl2br w:val="nil"/>
              <w:tr2bl w:val="nil"/>
            </w:tcBorders>
            <w:vAlign w:val="center"/>
          </w:tcPr>
          <w:p w14:paraId="3BF54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3.851</w:t>
            </w:r>
          </w:p>
        </w:tc>
        <w:tc>
          <w:tcPr>
            <w:tcW w:w="1584" w:type="dxa"/>
            <w:tcBorders>
              <w:tl2br w:val="nil"/>
              <w:tr2bl w:val="nil"/>
            </w:tcBorders>
            <w:vAlign w:val="center"/>
          </w:tcPr>
          <w:p w14:paraId="6680E2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1502" w:type="dxa"/>
            <w:tcBorders>
              <w:tl2br w:val="nil"/>
              <w:tr2bl w:val="nil"/>
            </w:tcBorders>
            <w:vAlign w:val="center"/>
          </w:tcPr>
          <w:p w14:paraId="5C5C4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0.1864</w:t>
            </w:r>
          </w:p>
        </w:tc>
        <w:tc>
          <w:tcPr>
            <w:tcW w:w="1039" w:type="dxa"/>
            <w:tcBorders>
              <w:tl2br w:val="nil"/>
              <w:tr2bl w:val="nil"/>
            </w:tcBorders>
            <w:vAlign w:val="center"/>
          </w:tcPr>
          <w:p w14:paraId="641D68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1.864</w:t>
            </w:r>
          </w:p>
        </w:tc>
      </w:tr>
      <w:tr w14:paraId="7A9C5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73DAD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933" w:type="dxa"/>
            <w:tcBorders>
              <w:tl2br w:val="nil"/>
              <w:tr2bl w:val="nil"/>
            </w:tcBorders>
            <w:vAlign w:val="center"/>
          </w:tcPr>
          <w:p w14:paraId="006507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72</w:t>
            </w:r>
          </w:p>
        </w:tc>
        <w:tc>
          <w:tcPr>
            <w:tcW w:w="1499" w:type="dxa"/>
            <w:tcBorders>
              <w:tl2br w:val="nil"/>
              <w:tr2bl w:val="nil"/>
            </w:tcBorders>
            <w:vAlign w:val="center"/>
          </w:tcPr>
          <w:p w14:paraId="0C9E16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284" w:type="dxa"/>
            <w:tcBorders>
              <w:tl2br w:val="nil"/>
              <w:tr2bl w:val="nil"/>
            </w:tcBorders>
            <w:vAlign w:val="center"/>
          </w:tcPr>
          <w:p w14:paraId="44852B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3.8965001</w:t>
            </w:r>
          </w:p>
        </w:tc>
        <w:tc>
          <w:tcPr>
            <w:tcW w:w="1584" w:type="dxa"/>
            <w:tcBorders>
              <w:tl2br w:val="nil"/>
              <w:tr2bl w:val="nil"/>
            </w:tcBorders>
            <w:vAlign w:val="center"/>
          </w:tcPr>
          <w:p w14:paraId="5657AE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72</w:t>
            </w:r>
          </w:p>
        </w:tc>
        <w:tc>
          <w:tcPr>
            <w:tcW w:w="1502" w:type="dxa"/>
            <w:tcBorders>
              <w:tl2br w:val="nil"/>
              <w:tr2bl w:val="nil"/>
            </w:tcBorders>
            <w:vAlign w:val="center"/>
          </w:tcPr>
          <w:p w14:paraId="346215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039" w:type="dxa"/>
            <w:tcBorders>
              <w:tl2br w:val="nil"/>
              <w:tr2bl w:val="nil"/>
            </w:tcBorders>
            <w:vAlign w:val="center"/>
          </w:tcPr>
          <w:p w14:paraId="54CB45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1.8870001</w:t>
            </w:r>
          </w:p>
        </w:tc>
      </w:tr>
      <w:tr w14:paraId="47EE3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7F7B35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933" w:type="dxa"/>
            <w:tcBorders>
              <w:tl2br w:val="nil"/>
              <w:tr2bl w:val="nil"/>
            </w:tcBorders>
            <w:vAlign w:val="center"/>
          </w:tcPr>
          <w:p w14:paraId="3CEA8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99" w:type="dxa"/>
            <w:tcBorders>
              <w:tl2br w:val="nil"/>
              <w:tr2bl w:val="nil"/>
            </w:tcBorders>
            <w:vAlign w:val="center"/>
          </w:tcPr>
          <w:p w14:paraId="733F7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7.461</w:t>
            </w:r>
          </w:p>
        </w:tc>
        <w:tc>
          <w:tcPr>
            <w:tcW w:w="1284" w:type="dxa"/>
            <w:tcBorders>
              <w:tl2br w:val="nil"/>
              <w:tr2bl w:val="nil"/>
            </w:tcBorders>
            <w:vAlign w:val="center"/>
          </w:tcPr>
          <w:p w14:paraId="065EBA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3.7305</w:t>
            </w:r>
          </w:p>
        </w:tc>
        <w:tc>
          <w:tcPr>
            <w:tcW w:w="1584" w:type="dxa"/>
            <w:tcBorders>
              <w:tl2br w:val="nil"/>
              <w:tr2bl w:val="nil"/>
            </w:tcBorders>
            <w:vAlign w:val="center"/>
          </w:tcPr>
          <w:p w14:paraId="317797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502" w:type="dxa"/>
            <w:tcBorders>
              <w:tl2br w:val="nil"/>
              <w:tr2bl w:val="nil"/>
            </w:tcBorders>
            <w:vAlign w:val="center"/>
          </w:tcPr>
          <w:p w14:paraId="5BFCE9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0.1806</w:t>
            </w:r>
          </w:p>
        </w:tc>
        <w:tc>
          <w:tcPr>
            <w:tcW w:w="1039" w:type="dxa"/>
            <w:tcBorders>
              <w:tl2br w:val="nil"/>
              <w:tr2bl w:val="nil"/>
            </w:tcBorders>
            <w:vAlign w:val="center"/>
          </w:tcPr>
          <w:p w14:paraId="4A5763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1.806</w:t>
            </w:r>
          </w:p>
        </w:tc>
      </w:tr>
      <w:tr w14:paraId="583F1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CA261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933" w:type="dxa"/>
            <w:tcBorders>
              <w:tl2br w:val="nil"/>
              <w:tr2bl w:val="nil"/>
            </w:tcBorders>
            <w:vAlign w:val="center"/>
          </w:tcPr>
          <w:p w14:paraId="1F874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99" w:type="dxa"/>
            <w:tcBorders>
              <w:tl2br w:val="nil"/>
              <w:tr2bl w:val="nil"/>
            </w:tcBorders>
            <w:vAlign w:val="center"/>
          </w:tcPr>
          <w:p w14:paraId="520C8B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5.166</w:t>
            </w:r>
          </w:p>
        </w:tc>
        <w:tc>
          <w:tcPr>
            <w:tcW w:w="1284" w:type="dxa"/>
            <w:tcBorders>
              <w:tl2br w:val="nil"/>
              <w:tr2bl w:val="nil"/>
            </w:tcBorders>
            <w:vAlign w:val="center"/>
          </w:tcPr>
          <w:p w14:paraId="27576D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2.583</w:t>
            </w:r>
          </w:p>
        </w:tc>
        <w:tc>
          <w:tcPr>
            <w:tcW w:w="1584" w:type="dxa"/>
            <w:tcBorders>
              <w:tl2br w:val="nil"/>
              <w:tr2bl w:val="nil"/>
            </w:tcBorders>
            <w:vAlign w:val="center"/>
          </w:tcPr>
          <w:p w14:paraId="3F85C5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502" w:type="dxa"/>
            <w:tcBorders>
              <w:tl2br w:val="nil"/>
              <w:tr2bl w:val="nil"/>
            </w:tcBorders>
            <w:vAlign w:val="center"/>
          </w:tcPr>
          <w:p w14:paraId="235E87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0.125</w:t>
            </w:r>
          </w:p>
        </w:tc>
        <w:tc>
          <w:tcPr>
            <w:tcW w:w="1039" w:type="dxa"/>
            <w:tcBorders>
              <w:tl2br w:val="nil"/>
              <w:tr2bl w:val="nil"/>
            </w:tcBorders>
            <w:vAlign w:val="center"/>
          </w:tcPr>
          <w:p w14:paraId="0B057F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1.25</w:t>
            </w:r>
          </w:p>
        </w:tc>
      </w:tr>
      <w:tr w14:paraId="23A40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3D325F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933" w:type="dxa"/>
            <w:tcBorders>
              <w:tl2br w:val="nil"/>
              <w:tr2bl w:val="nil"/>
            </w:tcBorders>
            <w:vAlign w:val="center"/>
          </w:tcPr>
          <w:p w14:paraId="1B3A9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99" w:type="dxa"/>
            <w:tcBorders>
              <w:tl2br w:val="nil"/>
              <w:tr2bl w:val="nil"/>
            </w:tcBorders>
            <w:vAlign w:val="center"/>
          </w:tcPr>
          <w:p w14:paraId="5E0A67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4.031</w:t>
            </w:r>
          </w:p>
        </w:tc>
        <w:tc>
          <w:tcPr>
            <w:tcW w:w="1284" w:type="dxa"/>
            <w:tcBorders>
              <w:tl2br w:val="nil"/>
              <w:tr2bl w:val="nil"/>
            </w:tcBorders>
            <w:vAlign w:val="center"/>
          </w:tcPr>
          <w:p w14:paraId="29019A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2.0155</w:t>
            </w:r>
          </w:p>
        </w:tc>
        <w:tc>
          <w:tcPr>
            <w:tcW w:w="1584" w:type="dxa"/>
            <w:tcBorders>
              <w:tl2br w:val="nil"/>
              <w:tr2bl w:val="nil"/>
            </w:tcBorders>
            <w:vAlign w:val="center"/>
          </w:tcPr>
          <w:p w14:paraId="6A746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502" w:type="dxa"/>
            <w:tcBorders>
              <w:tl2br w:val="nil"/>
              <w:tr2bl w:val="nil"/>
            </w:tcBorders>
            <w:vAlign w:val="center"/>
          </w:tcPr>
          <w:p w14:paraId="795CFE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0.09757</w:t>
            </w:r>
          </w:p>
        </w:tc>
        <w:tc>
          <w:tcPr>
            <w:tcW w:w="1039" w:type="dxa"/>
            <w:tcBorders>
              <w:tl2br w:val="nil"/>
              <w:tr2bl w:val="nil"/>
            </w:tcBorders>
            <w:vAlign w:val="center"/>
          </w:tcPr>
          <w:p w14:paraId="76D06D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0.9757</w:t>
            </w:r>
          </w:p>
        </w:tc>
      </w:tr>
      <w:tr w14:paraId="33D77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E3C2B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933" w:type="dxa"/>
            <w:tcBorders>
              <w:tl2br w:val="nil"/>
              <w:tr2bl w:val="nil"/>
            </w:tcBorders>
            <w:vAlign w:val="center"/>
          </w:tcPr>
          <w:p w14:paraId="0E4871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99" w:type="dxa"/>
            <w:tcBorders>
              <w:tl2br w:val="nil"/>
              <w:tr2bl w:val="nil"/>
            </w:tcBorders>
            <w:vAlign w:val="center"/>
          </w:tcPr>
          <w:p w14:paraId="6D4F21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3.303</w:t>
            </w:r>
          </w:p>
        </w:tc>
        <w:tc>
          <w:tcPr>
            <w:tcW w:w="1284" w:type="dxa"/>
            <w:tcBorders>
              <w:tl2br w:val="nil"/>
              <w:tr2bl w:val="nil"/>
            </w:tcBorders>
            <w:vAlign w:val="center"/>
          </w:tcPr>
          <w:p w14:paraId="44CB61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1.6515</w:t>
            </w:r>
          </w:p>
        </w:tc>
        <w:tc>
          <w:tcPr>
            <w:tcW w:w="1584" w:type="dxa"/>
            <w:tcBorders>
              <w:tl2br w:val="nil"/>
              <w:tr2bl w:val="nil"/>
            </w:tcBorders>
            <w:vAlign w:val="center"/>
          </w:tcPr>
          <w:p w14:paraId="7C287D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502" w:type="dxa"/>
            <w:tcBorders>
              <w:tl2br w:val="nil"/>
              <w:tr2bl w:val="nil"/>
            </w:tcBorders>
            <w:vAlign w:val="center"/>
          </w:tcPr>
          <w:p w14:paraId="1A7C28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0.07996</w:t>
            </w:r>
          </w:p>
        </w:tc>
        <w:tc>
          <w:tcPr>
            <w:tcW w:w="1039" w:type="dxa"/>
            <w:tcBorders>
              <w:tl2br w:val="nil"/>
              <w:tr2bl w:val="nil"/>
            </w:tcBorders>
            <w:vAlign w:val="center"/>
          </w:tcPr>
          <w:p w14:paraId="0F285B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0.7996</w:t>
            </w:r>
          </w:p>
        </w:tc>
      </w:tr>
      <w:tr w14:paraId="74B7E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1CCB0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933" w:type="dxa"/>
            <w:tcBorders>
              <w:tl2br w:val="nil"/>
              <w:tr2bl w:val="nil"/>
            </w:tcBorders>
            <w:vAlign w:val="center"/>
          </w:tcPr>
          <w:p w14:paraId="0C8B5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99" w:type="dxa"/>
            <w:tcBorders>
              <w:tl2br w:val="nil"/>
              <w:tr2bl w:val="nil"/>
            </w:tcBorders>
            <w:vAlign w:val="center"/>
          </w:tcPr>
          <w:p w14:paraId="584F2A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2.816</w:t>
            </w:r>
          </w:p>
        </w:tc>
        <w:tc>
          <w:tcPr>
            <w:tcW w:w="1284" w:type="dxa"/>
            <w:tcBorders>
              <w:tl2br w:val="nil"/>
              <w:tr2bl w:val="nil"/>
            </w:tcBorders>
            <w:vAlign w:val="center"/>
          </w:tcPr>
          <w:p w14:paraId="64FB44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1.408</w:t>
            </w:r>
          </w:p>
        </w:tc>
        <w:tc>
          <w:tcPr>
            <w:tcW w:w="1584" w:type="dxa"/>
            <w:tcBorders>
              <w:tl2br w:val="nil"/>
              <w:tr2bl w:val="nil"/>
            </w:tcBorders>
            <w:vAlign w:val="center"/>
          </w:tcPr>
          <w:p w14:paraId="78033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502" w:type="dxa"/>
            <w:tcBorders>
              <w:tl2br w:val="nil"/>
              <w:tr2bl w:val="nil"/>
            </w:tcBorders>
            <w:vAlign w:val="center"/>
          </w:tcPr>
          <w:p w14:paraId="478343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0.06818</w:t>
            </w:r>
          </w:p>
        </w:tc>
        <w:tc>
          <w:tcPr>
            <w:tcW w:w="1039" w:type="dxa"/>
            <w:tcBorders>
              <w:tl2br w:val="nil"/>
              <w:tr2bl w:val="nil"/>
            </w:tcBorders>
            <w:vAlign w:val="center"/>
          </w:tcPr>
          <w:p w14:paraId="416085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0.6818</w:t>
            </w:r>
          </w:p>
        </w:tc>
      </w:tr>
      <w:tr w14:paraId="20658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E9E3E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933" w:type="dxa"/>
            <w:tcBorders>
              <w:tl2br w:val="nil"/>
              <w:tr2bl w:val="nil"/>
            </w:tcBorders>
            <w:vAlign w:val="center"/>
          </w:tcPr>
          <w:p w14:paraId="7B9CEB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99" w:type="dxa"/>
            <w:tcBorders>
              <w:tl2br w:val="nil"/>
              <w:tr2bl w:val="nil"/>
            </w:tcBorders>
            <w:vAlign w:val="center"/>
          </w:tcPr>
          <w:p w14:paraId="4AEFD4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2.436</w:t>
            </w:r>
          </w:p>
        </w:tc>
        <w:tc>
          <w:tcPr>
            <w:tcW w:w="1284" w:type="dxa"/>
            <w:tcBorders>
              <w:tl2br w:val="nil"/>
              <w:tr2bl w:val="nil"/>
            </w:tcBorders>
            <w:vAlign w:val="center"/>
          </w:tcPr>
          <w:p w14:paraId="5C9D6A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1.218</w:t>
            </w:r>
          </w:p>
        </w:tc>
        <w:tc>
          <w:tcPr>
            <w:tcW w:w="1584" w:type="dxa"/>
            <w:tcBorders>
              <w:tl2br w:val="nil"/>
              <w:tr2bl w:val="nil"/>
            </w:tcBorders>
            <w:vAlign w:val="center"/>
          </w:tcPr>
          <w:p w14:paraId="6E2BC7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502" w:type="dxa"/>
            <w:tcBorders>
              <w:tl2br w:val="nil"/>
              <w:tr2bl w:val="nil"/>
            </w:tcBorders>
            <w:vAlign w:val="center"/>
          </w:tcPr>
          <w:p w14:paraId="5DCB5F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0.05897</w:t>
            </w:r>
          </w:p>
        </w:tc>
        <w:tc>
          <w:tcPr>
            <w:tcW w:w="1039" w:type="dxa"/>
            <w:tcBorders>
              <w:tl2br w:val="nil"/>
              <w:tr2bl w:val="nil"/>
            </w:tcBorders>
            <w:vAlign w:val="center"/>
          </w:tcPr>
          <w:p w14:paraId="0F8BC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0.5897</w:t>
            </w:r>
          </w:p>
        </w:tc>
      </w:tr>
      <w:tr w14:paraId="73F6F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31340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933" w:type="dxa"/>
            <w:tcBorders>
              <w:tl2br w:val="nil"/>
              <w:tr2bl w:val="nil"/>
            </w:tcBorders>
            <w:vAlign w:val="center"/>
          </w:tcPr>
          <w:p w14:paraId="1CB7B9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99" w:type="dxa"/>
            <w:tcBorders>
              <w:tl2br w:val="nil"/>
              <w:tr2bl w:val="nil"/>
            </w:tcBorders>
            <w:vAlign w:val="center"/>
          </w:tcPr>
          <w:p w14:paraId="42F660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2.128</w:t>
            </w:r>
          </w:p>
        </w:tc>
        <w:tc>
          <w:tcPr>
            <w:tcW w:w="1284" w:type="dxa"/>
            <w:tcBorders>
              <w:tl2br w:val="nil"/>
              <w:tr2bl w:val="nil"/>
            </w:tcBorders>
            <w:vAlign w:val="center"/>
          </w:tcPr>
          <w:p w14:paraId="73DA54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1.064</w:t>
            </w:r>
          </w:p>
        </w:tc>
        <w:tc>
          <w:tcPr>
            <w:tcW w:w="1584" w:type="dxa"/>
            <w:tcBorders>
              <w:tl2br w:val="nil"/>
              <w:tr2bl w:val="nil"/>
            </w:tcBorders>
            <w:vAlign w:val="center"/>
          </w:tcPr>
          <w:p w14:paraId="23C0FB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502" w:type="dxa"/>
            <w:tcBorders>
              <w:tl2br w:val="nil"/>
              <w:tr2bl w:val="nil"/>
            </w:tcBorders>
            <w:vAlign w:val="center"/>
          </w:tcPr>
          <w:p w14:paraId="3C835C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0.05151</w:t>
            </w:r>
          </w:p>
        </w:tc>
        <w:tc>
          <w:tcPr>
            <w:tcW w:w="1039" w:type="dxa"/>
            <w:tcBorders>
              <w:tl2br w:val="nil"/>
              <w:tr2bl w:val="nil"/>
            </w:tcBorders>
            <w:vAlign w:val="center"/>
          </w:tcPr>
          <w:p w14:paraId="1D691F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0.5151</w:t>
            </w:r>
          </w:p>
        </w:tc>
      </w:tr>
      <w:tr w14:paraId="1E6C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0674FE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933" w:type="dxa"/>
            <w:tcBorders>
              <w:tl2br w:val="nil"/>
              <w:tr2bl w:val="nil"/>
            </w:tcBorders>
            <w:vAlign w:val="center"/>
          </w:tcPr>
          <w:p w14:paraId="647E22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99" w:type="dxa"/>
            <w:tcBorders>
              <w:tl2br w:val="nil"/>
              <w:tr2bl w:val="nil"/>
            </w:tcBorders>
            <w:vAlign w:val="center"/>
          </w:tcPr>
          <w:p w14:paraId="4654A2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1.876</w:t>
            </w:r>
          </w:p>
        </w:tc>
        <w:tc>
          <w:tcPr>
            <w:tcW w:w="1284" w:type="dxa"/>
            <w:tcBorders>
              <w:tl2br w:val="nil"/>
              <w:tr2bl w:val="nil"/>
            </w:tcBorders>
            <w:vAlign w:val="center"/>
          </w:tcPr>
          <w:p w14:paraId="18CA68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0.938</w:t>
            </w:r>
          </w:p>
        </w:tc>
        <w:tc>
          <w:tcPr>
            <w:tcW w:w="1584" w:type="dxa"/>
            <w:tcBorders>
              <w:tl2br w:val="nil"/>
              <w:tr2bl w:val="nil"/>
            </w:tcBorders>
            <w:vAlign w:val="center"/>
          </w:tcPr>
          <w:p w14:paraId="7B900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502" w:type="dxa"/>
            <w:tcBorders>
              <w:tl2br w:val="nil"/>
              <w:tr2bl w:val="nil"/>
            </w:tcBorders>
            <w:vAlign w:val="center"/>
          </w:tcPr>
          <w:p w14:paraId="26ACE7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0.04541</w:t>
            </w:r>
          </w:p>
        </w:tc>
        <w:tc>
          <w:tcPr>
            <w:tcW w:w="1039" w:type="dxa"/>
            <w:tcBorders>
              <w:tl2br w:val="nil"/>
              <w:tr2bl w:val="nil"/>
            </w:tcBorders>
            <w:vAlign w:val="center"/>
          </w:tcPr>
          <w:p w14:paraId="7DA9E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0.4541</w:t>
            </w:r>
          </w:p>
        </w:tc>
      </w:tr>
      <w:tr w14:paraId="3434D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DD46E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933" w:type="dxa"/>
            <w:tcBorders>
              <w:tl2br w:val="nil"/>
              <w:tr2bl w:val="nil"/>
            </w:tcBorders>
            <w:vAlign w:val="center"/>
          </w:tcPr>
          <w:p w14:paraId="2BC572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99" w:type="dxa"/>
            <w:tcBorders>
              <w:tl2br w:val="nil"/>
              <w:tr2bl w:val="nil"/>
            </w:tcBorders>
            <w:vAlign w:val="center"/>
          </w:tcPr>
          <w:p w14:paraId="5F9D00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1.67</w:t>
            </w:r>
          </w:p>
        </w:tc>
        <w:tc>
          <w:tcPr>
            <w:tcW w:w="1284" w:type="dxa"/>
            <w:tcBorders>
              <w:tl2br w:val="nil"/>
              <w:tr2bl w:val="nil"/>
            </w:tcBorders>
            <w:vAlign w:val="center"/>
          </w:tcPr>
          <w:p w14:paraId="19C3CB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0.835</w:t>
            </w:r>
          </w:p>
        </w:tc>
        <w:tc>
          <w:tcPr>
            <w:tcW w:w="1584" w:type="dxa"/>
            <w:tcBorders>
              <w:tl2br w:val="nil"/>
              <w:tr2bl w:val="nil"/>
            </w:tcBorders>
            <w:vAlign w:val="center"/>
          </w:tcPr>
          <w:p w14:paraId="4CCCFC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502" w:type="dxa"/>
            <w:tcBorders>
              <w:tl2br w:val="nil"/>
              <w:tr2bl w:val="nil"/>
            </w:tcBorders>
            <w:vAlign w:val="center"/>
          </w:tcPr>
          <w:p w14:paraId="76BB5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0.04043</w:t>
            </w:r>
          </w:p>
        </w:tc>
        <w:tc>
          <w:tcPr>
            <w:tcW w:w="1039" w:type="dxa"/>
            <w:tcBorders>
              <w:tl2br w:val="nil"/>
              <w:tr2bl w:val="nil"/>
            </w:tcBorders>
            <w:vAlign w:val="center"/>
          </w:tcPr>
          <w:p w14:paraId="490495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0.4043</w:t>
            </w:r>
          </w:p>
        </w:tc>
      </w:tr>
      <w:tr w14:paraId="3EE99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13B68F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933" w:type="dxa"/>
            <w:tcBorders>
              <w:tl2br w:val="nil"/>
              <w:tr2bl w:val="nil"/>
            </w:tcBorders>
            <w:vAlign w:val="center"/>
          </w:tcPr>
          <w:p w14:paraId="60053D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99" w:type="dxa"/>
            <w:tcBorders>
              <w:tl2br w:val="nil"/>
              <w:tr2bl w:val="nil"/>
            </w:tcBorders>
            <w:vAlign w:val="center"/>
          </w:tcPr>
          <w:p w14:paraId="2AB8F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1.498</w:t>
            </w:r>
          </w:p>
        </w:tc>
        <w:tc>
          <w:tcPr>
            <w:tcW w:w="1284" w:type="dxa"/>
            <w:tcBorders>
              <w:tl2br w:val="nil"/>
              <w:tr2bl w:val="nil"/>
            </w:tcBorders>
            <w:vAlign w:val="center"/>
          </w:tcPr>
          <w:p w14:paraId="23BA19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0.749</w:t>
            </w:r>
          </w:p>
        </w:tc>
        <w:tc>
          <w:tcPr>
            <w:tcW w:w="1584" w:type="dxa"/>
            <w:tcBorders>
              <w:tl2br w:val="nil"/>
              <w:tr2bl w:val="nil"/>
            </w:tcBorders>
            <w:vAlign w:val="center"/>
          </w:tcPr>
          <w:p w14:paraId="3F8A14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502" w:type="dxa"/>
            <w:tcBorders>
              <w:tl2br w:val="nil"/>
              <w:tr2bl w:val="nil"/>
            </w:tcBorders>
            <w:vAlign w:val="center"/>
          </w:tcPr>
          <w:p w14:paraId="096365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0.03628</w:t>
            </w:r>
          </w:p>
        </w:tc>
        <w:tc>
          <w:tcPr>
            <w:tcW w:w="1039" w:type="dxa"/>
            <w:tcBorders>
              <w:tl2br w:val="nil"/>
              <w:tr2bl w:val="nil"/>
            </w:tcBorders>
            <w:vAlign w:val="center"/>
          </w:tcPr>
          <w:p w14:paraId="222824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0.3628</w:t>
            </w:r>
          </w:p>
        </w:tc>
      </w:tr>
      <w:tr w14:paraId="2CFA8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F9290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933" w:type="dxa"/>
            <w:tcBorders>
              <w:tl2br w:val="nil"/>
              <w:tr2bl w:val="nil"/>
            </w:tcBorders>
            <w:vAlign w:val="center"/>
          </w:tcPr>
          <w:p w14:paraId="7E8F8B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99" w:type="dxa"/>
            <w:tcBorders>
              <w:tl2br w:val="nil"/>
              <w:tr2bl w:val="nil"/>
            </w:tcBorders>
            <w:vAlign w:val="center"/>
          </w:tcPr>
          <w:p w14:paraId="39FDC1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1.355</w:t>
            </w:r>
          </w:p>
        </w:tc>
        <w:tc>
          <w:tcPr>
            <w:tcW w:w="1284" w:type="dxa"/>
            <w:tcBorders>
              <w:tl2br w:val="nil"/>
              <w:tr2bl w:val="nil"/>
            </w:tcBorders>
            <w:vAlign w:val="center"/>
          </w:tcPr>
          <w:p w14:paraId="390EE8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0.6775</w:t>
            </w:r>
          </w:p>
        </w:tc>
        <w:tc>
          <w:tcPr>
            <w:tcW w:w="1584" w:type="dxa"/>
            <w:tcBorders>
              <w:tl2br w:val="nil"/>
              <w:tr2bl w:val="nil"/>
            </w:tcBorders>
            <w:vAlign w:val="center"/>
          </w:tcPr>
          <w:p w14:paraId="21AF40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502" w:type="dxa"/>
            <w:tcBorders>
              <w:tl2br w:val="nil"/>
              <w:tr2bl w:val="nil"/>
            </w:tcBorders>
            <w:vAlign w:val="center"/>
          </w:tcPr>
          <w:p w14:paraId="37ABED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0.03279</w:t>
            </w:r>
          </w:p>
        </w:tc>
        <w:tc>
          <w:tcPr>
            <w:tcW w:w="1039" w:type="dxa"/>
            <w:tcBorders>
              <w:tl2br w:val="nil"/>
              <w:tr2bl w:val="nil"/>
            </w:tcBorders>
            <w:vAlign w:val="center"/>
          </w:tcPr>
          <w:p w14:paraId="1F2ED8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0.3279</w:t>
            </w:r>
          </w:p>
        </w:tc>
      </w:tr>
      <w:tr w14:paraId="565E4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04EE1B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933" w:type="dxa"/>
            <w:tcBorders>
              <w:tl2br w:val="nil"/>
              <w:tr2bl w:val="nil"/>
            </w:tcBorders>
            <w:vAlign w:val="center"/>
          </w:tcPr>
          <w:p w14:paraId="4D9B0C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99" w:type="dxa"/>
            <w:tcBorders>
              <w:tl2br w:val="nil"/>
              <w:tr2bl w:val="nil"/>
            </w:tcBorders>
            <w:vAlign w:val="center"/>
          </w:tcPr>
          <w:p w14:paraId="123B3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1.27</w:t>
            </w:r>
          </w:p>
        </w:tc>
        <w:tc>
          <w:tcPr>
            <w:tcW w:w="1284" w:type="dxa"/>
            <w:tcBorders>
              <w:tl2br w:val="nil"/>
              <w:tr2bl w:val="nil"/>
            </w:tcBorders>
            <w:vAlign w:val="center"/>
          </w:tcPr>
          <w:p w14:paraId="6EF34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0.635</w:t>
            </w:r>
          </w:p>
        </w:tc>
        <w:tc>
          <w:tcPr>
            <w:tcW w:w="1584" w:type="dxa"/>
            <w:tcBorders>
              <w:tl2br w:val="nil"/>
              <w:tr2bl w:val="nil"/>
            </w:tcBorders>
            <w:vAlign w:val="center"/>
          </w:tcPr>
          <w:p w14:paraId="5CD584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502" w:type="dxa"/>
            <w:tcBorders>
              <w:tl2br w:val="nil"/>
              <w:tr2bl w:val="nil"/>
            </w:tcBorders>
            <w:vAlign w:val="center"/>
          </w:tcPr>
          <w:p w14:paraId="630799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0.03074</w:t>
            </w:r>
          </w:p>
        </w:tc>
        <w:tc>
          <w:tcPr>
            <w:tcW w:w="1039" w:type="dxa"/>
            <w:tcBorders>
              <w:tl2br w:val="nil"/>
              <w:tr2bl w:val="nil"/>
            </w:tcBorders>
            <w:vAlign w:val="center"/>
          </w:tcPr>
          <w:p w14:paraId="346F7A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0.3074</w:t>
            </w:r>
          </w:p>
        </w:tc>
      </w:tr>
      <w:tr w14:paraId="550F5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353EF2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933" w:type="dxa"/>
            <w:tcBorders>
              <w:tl2br w:val="nil"/>
              <w:tr2bl w:val="nil"/>
            </w:tcBorders>
            <w:vAlign w:val="center"/>
          </w:tcPr>
          <w:p w14:paraId="790BDB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99" w:type="dxa"/>
            <w:tcBorders>
              <w:tl2br w:val="nil"/>
              <w:tr2bl w:val="nil"/>
            </w:tcBorders>
            <w:vAlign w:val="center"/>
          </w:tcPr>
          <w:p w14:paraId="633514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1.159</w:t>
            </w:r>
          </w:p>
        </w:tc>
        <w:tc>
          <w:tcPr>
            <w:tcW w:w="1284" w:type="dxa"/>
            <w:tcBorders>
              <w:tl2br w:val="nil"/>
              <w:tr2bl w:val="nil"/>
            </w:tcBorders>
            <w:vAlign w:val="center"/>
          </w:tcPr>
          <w:p w14:paraId="54045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0.5795</w:t>
            </w:r>
          </w:p>
        </w:tc>
        <w:tc>
          <w:tcPr>
            <w:tcW w:w="1584" w:type="dxa"/>
            <w:tcBorders>
              <w:tl2br w:val="nil"/>
              <w:tr2bl w:val="nil"/>
            </w:tcBorders>
            <w:vAlign w:val="center"/>
          </w:tcPr>
          <w:p w14:paraId="7A1058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502" w:type="dxa"/>
            <w:tcBorders>
              <w:tl2br w:val="nil"/>
              <w:tr2bl w:val="nil"/>
            </w:tcBorders>
            <w:vAlign w:val="center"/>
          </w:tcPr>
          <w:p w14:paraId="15F82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0.02805</w:t>
            </w:r>
          </w:p>
        </w:tc>
        <w:tc>
          <w:tcPr>
            <w:tcW w:w="1039" w:type="dxa"/>
            <w:tcBorders>
              <w:tl2br w:val="nil"/>
              <w:tr2bl w:val="nil"/>
            </w:tcBorders>
            <w:vAlign w:val="center"/>
          </w:tcPr>
          <w:p w14:paraId="5F75D5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0.2805</w:t>
            </w:r>
          </w:p>
        </w:tc>
      </w:tr>
      <w:tr w14:paraId="534E7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4842D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933" w:type="dxa"/>
            <w:tcBorders>
              <w:tl2br w:val="nil"/>
              <w:tr2bl w:val="nil"/>
            </w:tcBorders>
            <w:vAlign w:val="center"/>
          </w:tcPr>
          <w:p w14:paraId="0B7B5A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99" w:type="dxa"/>
            <w:tcBorders>
              <w:tl2br w:val="nil"/>
              <w:tr2bl w:val="nil"/>
            </w:tcBorders>
            <w:vAlign w:val="center"/>
          </w:tcPr>
          <w:p w14:paraId="6A584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1.063</w:t>
            </w:r>
          </w:p>
        </w:tc>
        <w:tc>
          <w:tcPr>
            <w:tcW w:w="1284" w:type="dxa"/>
            <w:tcBorders>
              <w:tl2br w:val="nil"/>
              <w:tr2bl w:val="nil"/>
            </w:tcBorders>
            <w:vAlign w:val="center"/>
          </w:tcPr>
          <w:p w14:paraId="197CCC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0.5315</w:t>
            </w:r>
          </w:p>
        </w:tc>
        <w:tc>
          <w:tcPr>
            <w:tcW w:w="1584" w:type="dxa"/>
            <w:tcBorders>
              <w:tl2br w:val="nil"/>
              <w:tr2bl w:val="nil"/>
            </w:tcBorders>
            <w:vAlign w:val="center"/>
          </w:tcPr>
          <w:p w14:paraId="05FCA4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502" w:type="dxa"/>
            <w:tcBorders>
              <w:tl2br w:val="nil"/>
              <w:tr2bl w:val="nil"/>
            </w:tcBorders>
            <w:vAlign w:val="center"/>
          </w:tcPr>
          <w:p w14:paraId="0E40D7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0.02574</w:t>
            </w:r>
          </w:p>
        </w:tc>
        <w:tc>
          <w:tcPr>
            <w:tcW w:w="1039" w:type="dxa"/>
            <w:tcBorders>
              <w:tl2br w:val="nil"/>
              <w:tr2bl w:val="nil"/>
            </w:tcBorders>
            <w:vAlign w:val="center"/>
          </w:tcPr>
          <w:p w14:paraId="7BED9B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0.2574</w:t>
            </w:r>
          </w:p>
        </w:tc>
      </w:tr>
      <w:tr w14:paraId="6A7E2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1760B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933" w:type="dxa"/>
            <w:tcBorders>
              <w:tl2br w:val="nil"/>
              <w:tr2bl w:val="nil"/>
            </w:tcBorders>
            <w:vAlign w:val="center"/>
          </w:tcPr>
          <w:p w14:paraId="7A7B24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99" w:type="dxa"/>
            <w:tcBorders>
              <w:tl2br w:val="nil"/>
              <w:tr2bl w:val="nil"/>
            </w:tcBorders>
            <w:vAlign w:val="center"/>
          </w:tcPr>
          <w:p w14:paraId="67FCA7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0.9809</w:t>
            </w:r>
          </w:p>
        </w:tc>
        <w:tc>
          <w:tcPr>
            <w:tcW w:w="1284" w:type="dxa"/>
            <w:tcBorders>
              <w:tl2br w:val="nil"/>
              <w:tr2bl w:val="nil"/>
            </w:tcBorders>
            <w:vAlign w:val="center"/>
          </w:tcPr>
          <w:p w14:paraId="4FF389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0.49045</w:t>
            </w:r>
          </w:p>
        </w:tc>
        <w:tc>
          <w:tcPr>
            <w:tcW w:w="1584" w:type="dxa"/>
            <w:tcBorders>
              <w:tl2br w:val="nil"/>
              <w:tr2bl w:val="nil"/>
            </w:tcBorders>
            <w:vAlign w:val="center"/>
          </w:tcPr>
          <w:p w14:paraId="09434B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502" w:type="dxa"/>
            <w:tcBorders>
              <w:tl2br w:val="nil"/>
              <w:tr2bl w:val="nil"/>
            </w:tcBorders>
            <w:vAlign w:val="center"/>
          </w:tcPr>
          <w:p w14:paraId="176AAA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0.02375</w:t>
            </w:r>
          </w:p>
        </w:tc>
        <w:tc>
          <w:tcPr>
            <w:tcW w:w="1039" w:type="dxa"/>
            <w:tcBorders>
              <w:tl2br w:val="nil"/>
              <w:tr2bl w:val="nil"/>
            </w:tcBorders>
            <w:vAlign w:val="center"/>
          </w:tcPr>
          <w:p w14:paraId="1D23F6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0.2375</w:t>
            </w:r>
          </w:p>
        </w:tc>
      </w:tr>
      <w:tr w14:paraId="76675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88194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933" w:type="dxa"/>
            <w:tcBorders>
              <w:tl2br w:val="nil"/>
              <w:tr2bl w:val="nil"/>
            </w:tcBorders>
            <w:vAlign w:val="center"/>
          </w:tcPr>
          <w:p w14:paraId="1EF3F5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99" w:type="dxa"/>
            <w:tcBorders>
              <w:tl2br w:val="nil"/>
              <w:tr2bl w:val="nil"/>
            </w:tcBorders>
            <w:vAlign w:val="center"/>
          </w:tcPr>
          <w:p w14:paraId="22EC74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0.9089</w:t>
            </w:r>
          </w:p>
        </w:tc>
        <w:tc>
          <w:tcPr>
            <w:tcW w:w="1284" w:type="dxa"/>
            <w:tcBorders>
              <w:tl2br w:val="nil"/>
              <w:tr2bl w:val="nil"/>
            </w:tcBorders>
            <w:vAlign w:val="center"/>
          </w:tcPr>
          <w:p w14:paraId="267EEE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0.45445</w:t>
            </w:r>
          </w:p>
        </w:tc>
        <w:tc>
          <w:tcPr>
            <w:tcW w:w="1584" w:type="dxa"/>
            <w:tcBorders>
              <w:tl2br w:val="nil"/>
              <w:tr2bl w:val="nil"/>
            </w:tcBorders>
            <w:vAlign w:val="center"/>
          </w:tcPr>
          <w:p w14:paraId="4DD477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502" w:type="dxa"/>
            <w:tcBorders>
              <w:tl2br w:val="nil"/>
              <w:tr2bl w:val="nil"/>
            </w:tcBorders>
            <w:vAlign w:val="center"/>
          </w:tcPr>
          <w:p w14:paraId="5D7512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0.022</w:t>
            </w:r>
          </w:p>
        </w:tc>
        <w:tc>
          <w:tcPr>
            <w:tcW w:w="1039" w:type="dxa"/>
            <w:tcBorders>
              <w:tl2br w:val="nil"/>
              <w:tr2bl w:val="nil"/>
            </w:tcBorders>
            <w:vAlign w:val="center"/>
          </w:tcPr>
          <w:p w14:paraId="2D21D2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0.22</w:t>
            </w:r>
          </w:p>
        </w:tc>
      </w:tr>
      <w:tr w14:paraId="400E7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44E96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933" w:type="dxa"/>
            <w:tcBorders>
              <w:tl2br w:val="nil"/>
              <w:tr2bl w:val="nil"/>
            </w:tcBorders>
            <w:vAlign w:val="center"/>
          </w:tcPr>
          <w:p w14:paraId="7792B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99" w:type="dxa"/>
            <w:tcBorders>
              <w:tl2br w:val="nil"/>
              <w:tr2bl w:val="nil"/>
            </w:tcBorders>
            <w:vAlign w:val="center"/>
          </w:tcPr>
          <w:p w14:paraId="547724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0.8456</w:t>
            </w:r>
          </w:p>
        </w:tc>
        <w:tc>
          <w:tcPr>
            <w:tcW w:w="1284" w:type="dxa"/>
            <w:tcBorders>
              <w:tl2br w:val="nil"/>
              <w:tr2bl w:val="nil"/>
            </w:tcBorders>
            <w:vAlign w:val="center"/>
          </w:tcPr>
          <w:p w14:paraId="58487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0.4228</w:t>
            </w:r>
          </w:p>
        </w:tc>
        <w:tc>
          <w:tcPr>
            <w:tcW w:w="1584" w:type="dxa"/>
            <w:tcBorders>
              <w:tl2br w:val="nil"/>
              <w:tr2bl w:val="nil"/>
            </w:tcBorders>
            <w:vAlign w:val="center"/>
          </w:tcPr>
          <w:p w14:paraId="01708C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502" w:type="dxa"/>
            <w:tcBorders>
              <w:tl2br w:val="nil"/>
              <w:tr2bl w:val="nil"/>
            </w:tcBorders>
            <w:vAlign w:val="center"/>
          </w:tcPr>
          <w:p w14:paraId="04159E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0.02047</w:t>
            </w:r>
          </w:p>
        </w:tc>
        <w:tc>
          <w:tcPr>
            <w:tcW w:w="1039" w:type="dxa"/>
            <w:tcBorders>
              <w:tl2br w:val="nil"/>
              <w:tr2bl w:val="nil"/>
            </w:tcBorders>
            <w:vAlign w:val="center"/>
          </w:tcPr>
          <w:p w14:paraId="650DE7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0.2047</w:t>
            </w:r>
          </w:p>
        </w:tc>
      </w:tr>
      <w:tr w14:paraId="012F5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B662E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933" w:type="dxa"/>
            <w:tcBorders>
              <w:tl2br w:val="nil"/>
              <w:tr2bl w:val="nil"/>
            </w:tcBorders>
            <w:vAlign w:val="center"/>
          </w:tcPr>
          <w:p w14:paraId="725D12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99" w:type="dxa"/>
            <w:tcBorders>
              <w:tl2br w:val="nil"/>
              <w:tr2bl w:val="nil"/>
            </w:tcBorders>
            <w:vAlign w:val="center"/>
          </w:tcPr>
          <w:p w14:paraId="3EF35E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0.7896</w:t>
            </w:r>
          </w:p>
        </w:tc>
        <w:tc>
          <w:tcPr>
            <w:tcW w:w="1284" w:type="dxa"/>
            <w:tcBorders>
              <w:tl2br w:val="nil"/>
              <w:tr2bl w:val="nil"/>
            </w:tcBorders>
            <w:vAlign w:val="center"/>
          </w:tcPr>
          <w:p w14:paraId="04685D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0.3948</w:t>
            </w:r>
          </w:p>
        </w:tc>
        <w:tc>
          <w:tcPr>
            <w:tcW w:w="1584" w:type="dxa"/>
            <w:tcBorders>
              <w:tl2br w:val="nil"/>
              <w:tr2bl w:val="nil"/>
            </w:tcBorders>
            <w:vAlign w:val="center"/>
          </w:tcPr>
          <w:p w14:paraId="37549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502" w:type="dxa"/>
            <w:tcBorders>
              <w:tl2br w:val="nil"/>
              <w:tr2bl w:val="nil"/>
            </w:tcBorders>
            <w:vAlign w:val="center"/>
          </w:tcPr>
          <w:p w14:paraId="3B7B15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0.01912</w:t>
            </w:r>
          </w:p>
        </w:tc>
        <w:tc>
          <w:tcPr>
            <w:tcW w:w="1039" w:type="dxa"/>
            <w:tcBorders>
              <w:tl2br w:val="nil"/>
              <w:tr2bl w:val="nil"/>
            </w:tcBorders>
            <w:vAlign w:val="center"/>
          </w:tcPr>
          <w:p w14:paraId="48778D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0.1912</w:t>
            </w:r>
          </w:p>
        </w:tc>
      </w:tr>
      <w:tr w14:paraId="0FD3C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1A7E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933" w:type="dxa"/>
            <w:tcBorders>
              <w:tl2br w:val="nil"/>
              <w:tr2bl w:val="nil"/>
            </w:tcBorders>
            <w:vAlign w:val="center"/>
          </w:tcPr>
          <w:p w14:paraId="43A617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99" w:type="dxa"/>
            <w:tcBorders>
              <w:tl2br w:val="nil"/>
              <w:tr2bl w:val="nil"/>
            </w:tcBorders>
            <w:vAlign w:val="center"/>
          </w:tcPr>
          <w:p w14:paraId="5AEC0A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0.6951</w:t>
            </w:r>
          </w:p>
        </w:tc>
        <w:tc>
          <w:tcPr>
            <w:tcW w:w="1284" w:type="dxa"/>
            <w:tcBorders>
              <w:tl2br w:val="nil"/>
              <w:tr2bl w:val="nil"/>
            </w:tcBorders>
            <w:vAlign w:val="center"/>
          </w:tcPr>
          <w:p w14:paraId="53A3FF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0.34755</w:t>
            </w:r>
          </w:p>
        </w:tc>
        <w:tc>
          <w:tcPr>
            <w:tcW w:w="1584" w:type="dxa"/>
            <w:tcBorders>
              <w:tl2br w:val="nil"/>
              <w:tr2bl w:val="nil"/>
            </w:tcBorders>
            <w:vAlign w:val="center"/>
          </w:tcPr>
          <w:p w14:paraId="0990AB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502" w:type="dxa"/>
            <w:tcBorders>
              <w:tl2br w:val="nil"/>
              <w:tr2bl w:val="nil"/>
            </w:tcBorders>
            <w:vAlign w:val="center"/>
          </w:tcPr>
          <w:p w14:paraId="7F86BF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0.01791</w:t>
            </w:r>
          </w:p>
        </w:tc>
        <w:tc>
          <w:tcPr>
            <w:tcW w:w="1039" w:type="dxa"/>
            <w:tcBorders>
              <w:tl2br w:val="nil"/>
              <w:tr2bl w:val="nil"/>
            </w:tcBorders>
            <w:vAlign w:val="center"/>
          </w:tcPr>
          <w:p w14:paraId="465A00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0.1791</w:t>
            </w:r>
          </w:p>
        </w:tc>
      </w:tr>
      <w:tr w14:paraId="06F64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30C0E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933" w:type="dxa"/>
            <w:tcBorders>
              <w:tl2br w:val="nil"/>
              <w:tr2bl w:val="nil"/>
            </w:tcBorders>
            <w:vAlign w:val="center"/>
          </w:tcPr>
          <w:p w14:paraId="1F7D22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99" w:type="dxa"/>
            <w:tcBorders>
              <w:tl2br w:val="nil"/>
              <w:tr2bl w:val="nil"/>
            </w:tcBorders>
            <w:vAlign w:val="center"/>
          </w:tcPr>
          <w:p w14:paraId="3E6671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0.655</w:t>
            </w:r>
          </w:p>
        </w:tc>
        <w:tc>
          <w:tcPr>
            <w:tcW w:w="1284" w:type="dxa"/>
            <w:tcBorders>
              <w:tl2br w:val="nil"/>
              <w:tr2bl w:val="nil"/>
            </w:tcBorders>
            <w:vAlign w:val="center"/>
          </w:tcPr>
          <w:p w14:paraId="06AC28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0.3275</w:t>
            </w:r>
          </w:p>
        </w:tc>
        <w:tc>
          <w:tcPr>
            <w:tcW w:w="1584" w:type="dxa"/>
            <w:tcBorders>
              <w:tl2br w:val="nil"/>
              <w:tr2bl w:val="nil"/>
            </w:tcBorders>
            <w:vAlign w:val="center"/>
          </w:tcPr>
          <w:p w14:paraId="7028C5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502" w:type="dxa"/>
            <w:tcBorders>
              <w:tl2br w:val="nil"/>
              <w:tr2bl w:val="nil"/>
            </w:tcBorders>
            <w:vAlign w:val="center"/>
          </w:tcPr>
          <w:p w14:paraId="70A8C9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0.01683</w:t>
            </w:r>
          </w:p>
        </w:tc>
        <w:tc>
          <w:tcPr>
            <w:tcW w:w="1039" w:type="dxa"/>
            <w:tcBorders>
              <w:tl2br w:val="nil"/>
              <w:tr2bl w:val="nil"/>
            </w:tcBorders>
            <w:vAlign w:val="center"/>
          </w:tcPr>
          <w:p w14:paraId="6D5C99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0.1683</w:t>
            </w:r>
          </w:p>
        </w:tc>
      </w:tr>
      <w:tr w14:paraId="612A6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0FDE2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933" w:type="dxa"/>
            <w:tcBorders>
              <w:tl2br w:val="nil"/>
              <w:tr2bl w:val="nil"/>
            </w:tcBorders>
            <w:vAlign w:val="center"/>
          </w:tcPr>
          <w:p w14:paraId="767CEC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99" w:type="dxa"/>
            <w:tcBorders>
              <w:tl2br w:val="nil"/>
              <w:tr2bl w:val="nil"/>
            </w:tcBorders>
            <w:vAlign w:val="center"/>
          </w:tcPr>
          <w:p w14:paraId="7775BA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0.6187</w:t>
            </w:r>
          </w:p>
        </w:tc>
        <w:tc>
          <w:tcPr>
            <w:tcW w:w="1284" w:type="dxa"/>
            <w:tcBorders>
              <w:tl2br w:val="nil"/>
              <w:tr2bl w:val="nil"/>
            </w:tcBorders>
            <w:vAlign w:val="center"/>
          </w:tcPr>
          <w:p w14:paraId="02B22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0.30935</w:t>
            </w:r>
          </w:p>
        </w:tc>
        <w:tc>
          <w:tcPr>
            <w:tcW w:w="1584" w:type="dxa"/>
            <w:tcBorders>
              <w:tl2br w:val="nil"/>
              <w:tr2bl w:val="nil"/>
            </w:tcBorders>
            <w:vAlign w:val="center"/>
          </w:tcPr>
          <w:p w14:paraId="6E54C4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502" w:type="dxa"/>
            <w:tcBorders>
              <w:tl2br w:val="nil"/>
              <w:tr2bl w:val="nil"/>
            </w:tcBorders>
            <w:vAlign w:val="center"/>
          </w:tcPr>
          <w:p w14:paraId="66DF28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0.01586</w:t>
            </w:r>
          </w:p>
        </w:tc>
        <w:tc>
          <w:tcPr>
            <w:tcW w:w="1039" w:type="dxa"/>
            <w:tcBorders>
              <w:tl2br w:val="nil"/>
              <w:tr2bl w:val="nil"/>
            </w:tcBorders>
            <w:vAlign w:val="center"/>
          </w:tcPr>
          <w:p w14:paraId="73BC11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0.1586</w:t>
            </w:r>
          </w:p>
        </w:tc>
      </w:tr>
      <w:tr w14:paraId="642F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BD6EB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24</w:t>
            </w:r>
          </w:p>
        </w:tc>
        <w:tc>
          <w:tcPr>
            <w:tcW w:w="933" w:type="dxa"/>
            <w:tcBorders>
              <w:tl2br w:val="nil"/>
              <w:tr2bl w:val="nil"/>
            </w:tcBorders>
            <w:vAlign w:val="center"/>
          </w:tcPr>
          <w:p w14:paraId="7997D8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99" w:type="dxa"/>
            <w:tcBorders>
              <w:tl2br w:val="nil"/>
              <w:tr2bl w:val="nil"/>
            </w:tcBorders>
            <w:vAlign w:val="center"/>
          </w:tcPr>
          <w:p w14:paraId="6ADD69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0.5858</w:t>
            </w:r>
          </w:p>
        </w:tc>
        <w:tc>
          <w:tcPr>
            <w:tcW w:w="1284" w:type="dxa"/>
            <w:tcBorders>
              <w:tl2br w:val="nil"/>
              <w:tr2bl w:val="nil"/>
            </w:tcBorders>
            <w:vAlign w:val="center"/>
          </w:tcPr>
          <w:p w14:paraId="054340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0.2929</w:t>
            </w:r>
          </w:p>
        </w:tc>
        <w:tc>
          <w:tcPr>
            <w:tcW w:w="1584" w:type="dxa"/>
            <w:tcBorders>
              <w:tl2br w:val="nil"/>
              <w:tr2bl w:val="nil"/>
            </w:tcBorders>
            <w:vAlign w:val="center"/>
          </w:tcPr>
          <w:p w14:paraId="43668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502" w:type="dxa"/>
            <w:tcBorders>
              <w:tl2br w:val="nil"/>
              <w:tr2bl w:val="nil"/>
            </w:tcBorders>
            <w:vAlign w:val="center"/>
          </w:tcPr>
          <w:p w14:paraId="79B5C7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0.01498</w:t>
            </w:r>
          </w:p>
        </w:tc>
        <w:tc>
          <w:tcPr>
            <w:tcW w:w="1039" w:type="dxa"/>
            <w:tcBorders>
              <w:tl2br w:val="nil"/>
              <w:tr2bl w:val="nil"/>
            </w:tcBorders>
            <w:vAlign w:val="center"/>
          </w:tcPr>
          <w:p w14:paraId="4CC0CC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0.1498</w:t>
            </w:r>
          </w:p>
        </w:tc>
      </w:tr>
      <w:tr w14:paraId="396BB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9A0F8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25</w:t>
            </w:r>
          </w:p>
        </w:tc>
        <w:tc>
          <w:tcPr>
            <w:tcW w:w="933" w:type="dxa"/>
            <w:tcBorders>
              <w:tl2br w:val="nil"/>
              <w:tr2bl w:val="nil"/>
            </w:tcBorders>
            <w:vAlign w:val="center"/>
          </w:tcPr>
          <w:p w14:paraId="0B9165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1499" w:type="dxa"/>
            <w:tcBorders>
              <w:tl2br w:val="nil"/>
              <w:tr2bl w:val="nil"/>
            </w:tcBorders>
            <w:vAlign w:val="center"/>
          </w:tcPr>
          <w:p w14:paraId="1334C3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0.5284</w:t>
            </w:r>
          </w:p>
        </w:tc>
        <w:tc>
          <w:tcPr>
            <w:tcW w:w="1284" w:type="dxa"/>
            <w:tcBorders>
              <w:tl2br w:val="nil"/>
              <w:tr2bl w:val="nil"/>
            </w:tcBorders>
            <w:vAlign w:val="center"/>
          </w:tcPr>
          <w:p w14:paraId="030E29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0.2642</w:t>
            </w:r>
          </w:p>
        </w:tc>
        <w:tc>
          <w:tcPr>
            <w:tcW w:w="1584" w:type="dxa"/>
            <w:tcBorders>
              <w:tl2br w:val="nil"/>
              <w:tr2bl w:val="nil"/>
            </w:tcBorders>
            <w:vAlign w:val="center"/>
          </w:tcPr>
          <w:p w14:paraId="78662B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502" w:type="dxa"/>
            <w:tcBorders>
              <w:tl2br w:val="nil"/>
              <w:tr2bl w:val="nil"/>
            </w:tcBorders>
            <w:vAlign w:val="center"/>
          </w:tcPr>
          <w:p w14:paraId="40386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0.01418</w:t>
            </w:r>
          </w:p>
        </w:tc>
        <w:tc>
          <w:tcPr>
            <w:tcW w:w="1039" w:type="dxa"/>
            <w:tcBorders>
              <w:tl2br w:val="nil"/>
              <w:tr2bl w:val="nil"/>
            </w:tcBorders>
            <w:vAlign w:val="center"/>
          </w:tcPr>
          <w:p w14:paraId="47427B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0.1418</w:t>
            </w:r>
          </w:p>
        </w:tc>
      </w:tr>
      <w:tr w14:paraId="445DD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1" w:type="pct"/>
            <w:gridSpan w:val="2"/>
            <w:tcBorders>
              <w:tl2br w:val="nil"/>
              <w:tr2bl w:val="nil"/>
            </w:tcBorders>
            <w:vAlign w:val="center"/>
          </w:tcPr>
          <w:p w14:paraId="346CB5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08F396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284" w:type="dxa"/>
            <w:tcBorders>
              <w:tl2br w:val="nil"/>
              <w:tr2bl w:val="nil"/>
            </w:tcBorders>
            <w:vAlign w:val="center"/>
          </w:tcPr>
          <w:p w14:paraId="36AB36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w:t>
            </w:r>
          </w:p>
        </w:tc>
        <w:tc>
          <w:tcPr>
            <w:tcW w:w="949" w:type="pct"/>
            <w:tcBorders>
              <w:tl2br w:val="nil"/>
              <w:tr2bl w:val="nil"/>
            </w:tcBorders>
            <w:vAlign w:val="center"/>
          </w:tcPr>
          <w:p w14:paraId="7A040C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241CA2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039" w:type="dxa"/>
            <w:tcBorders>
              <w:tl2br w:val="nil"/>
              <w:tr2bl w:val="nil"/>
            </w:tcBorders>
            <w:vAlign w:val="center"/>
          </w:tcPr>
          <w:p w14:paraId="16EB2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w:t>
            </w:r>
          </w:p>
        </w:tc>
      </w:tr>
    </w:tbl>
    <w:p w14:paraId="69FCE3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表5.2-7黑膜池硫化氢、氨气估算模式计算结果表</w:t>
      </w:r>
    </w:p>
    <w:tbl>
      <w:tblPr>
        <w:tblStyle w:val="183"/>
        <w:tblW w:w="502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2"/>
        <w:gridCol w:w="933"/>
        <w:gridCol w:w="1498"/>
        <w:gridCol w:w="1283"/>
        <w:gridCol w:w="1584"/>
        <w:gridCol w:w="1500"/>
        <w:gridCol w:w="1040"/>
      </w:tblGrid>
      <w:tr w14:paraId="33A6C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vMerge w:val="restart"/>
            <w:tcBorders>
              <w:tl2br w:val="nil"/>
              <w:tr2bl w:val="nil"/>
            </w:tcBorders>
            <w:vAlign w:val="center"/>
          </w:tcPr>
          <w:p w14:paraId="54F81E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52BA2489">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73643F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4AFE4D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2" w:type="pct"/>
            <w:gridSpan w:val="2"/>
            <w:tcBorders>
              <w:tl2br w:val="nil"/>
              <w:tr2bl w:val="nil"/>
            </w:tcBorders>
            <w:vAlign w:val="center"/>
          </w:tcPr>
          <w:p w14:paraId="03101D6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456E1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vMerge w:val="continue"/>
            <w:tcBorders>
              <w:tl2br w:val="nil"/>
              <w:tr2bl w:val="nil"/>
            </w:tcBorders>
            <w:vAlign w:val="center"/>
          </w:tcPr>
          <w:p w14:paraId="08B056A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03F631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3D448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3667217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494ABD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02036F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22AC59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0C5ED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7A9603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559" w:type="pct"/>
            <w:tcBorders>
              <w:tl2br w:val="nil"/>
              <w:tr2bl w:val="nil"/>
            </w:tcBorders>
            <w:vAlign w:val="center"/>
          </w:tcPr>
          <w:p w14:paraId="5D4652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898" w:type="pct"/>
            <w:tcBorders>
              <w:tl2br w:val="nil"/>
              <w:tr2bl w:val="nil"/>
            </w:tcBorders>
            <w:vAlign w:val="center"/>
          </w:tcPr>
          <w:p w14:paraId="50E924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769" w:type="pct"/>
            <w:tcBorders>
              <w:tl2br w:val="nil"/>
              <w:tr2bl w:val="nil"/>
            </w:tcBorders>
            <w:vAlign w:val="center"/>
          </w:tcPr>
          <w:p w14:paraId="10D03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949" w:type="pct"/>
            <w:tcBorders>
              <w:tl2br w:val="nil"/>
              <w:tr2bl w:val="nil"/>
            </w:tcBorders>
            <w:vAlign w:val="center"/>
          </w:tcPr>
          <w:p w14:paraId="3A7DC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899" w:type="pct"/>
            <w:tcBorders>
              <w:tl2br w:val="nil"/>
              <w:tr2bl w:val="nil"/>
            </w:tcBorders>
            <w:vAlign w:val="center"/>
          </w:tcPr>
          <w:p w14:paraId="4CB695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622" w:type="pct"/>
            <w:tcBorders>
              <w:tl2br w:val="nil"/>
              <w:tr2bl w:val="nil"/>
            </w:tcBorders>
            <w:vAlign w:val="center"/>
          </w:tcPr>
          <w:p w14:paraId="042CAA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r>
      <w:tr w14:paraId="60A10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3DE7580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559" w:type="pct"/>
            <w:tcBorders>
              <w:tl2br w:val="nil"/>
              <w:tr2bl w:val="nil"/>
            </w:tcBorders>
            <w:vAlign w:val="center"/>
          </w:tcPr>
          <w:p w14:paraId="506B44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898" w:type="pct"/>
            <w:tcBorders>
              <w:tl2br w:val="nil"/>
              <w:tr2bl w:val="nil"/>
            </w:tcBorders>
            <w:vAlign w:val="center"/>
          </w:tcPr>
          <w:p w14:paraId="5F3830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2.463</w:t>
            </w:r>
          </w:p>
        </w:tc>
        <w:tc>
          <w:tcPr>
            <w:tcW w:w="769" w:type="pct"/>
            <w:tcBorders>
              <w:tl2br w:val="nil"/>
              <w:tr2bl w:val="nil"/>
            </w:tcBorders>
            <w:vAlign w:val="center"/>
          </w:tcPr>
          <w:p w14:paraId="6BD2CC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1.2315</w:t>
            </w:r>
          </w:p>
        </w:tc>
        <w:tc>
          <w:tcPr>
            <w:tcW w:w="949" w:type="pct"/>
            <w:tcBorders>
              <w:tl2br w:val="nil"/>
              <w:tr2bl w:val="nil"/>
            </w:tcBorders>
            <w:vAlign w:val="center"/>
          </w:tcPr>
          <w:p w14:paraId="5FCAFC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899" w:type="pct"/>
            <w:tcBorders>
              <w:tl2br w:val="nil"/>
              <w:tr2bl w:val="nil"/>
            </w:tcBorders>
            <w:vAlign w:val="center"/>
          </w:tcPr>
          <w:p w14:paraId="7EB022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0.1071</w:t>
            </w:r>
          </w:p>
        </w:tc>
        <w:tc>
          <w:tcPr>
            <w:tcW w:w="622" w:type="pct"/>
            <w:tcBorders>
              <w:tl2br w:val="nil"/>
              <w:tr2bl w:val="nil"/>
            </w:tcBorders>
            <w:vAlign w:val="center"/>
          </w:tcPr>
          <w:p w14:paraId="0D4711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1.071</w:t>
            </w:r>
          </w:p>
        </w:tc>
      </w:tr>
      <w:tr w14:paraId="57A22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AEC3B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559" w:type="pct"/>
            <w:tcBorders>
              <w:tl2br w:val="nil"/>
              <w:tr2bl w:val="nil"/>
            </w:tcBorders>
            <w:vAlign w:val="center"/>
          </w:tcPr>
          <w:p w14:paraId="1B30A6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898" w:type="pct"/>
            <w:tcBorders>
              <w:tl2br w:val="nil"/>
              <w:tr2bl w:val="nil"/>
            </w:tcBorders>
            <w:vAlign w:val="center"/>
          </w:tcPr>
          <w:p w14:paraId="1B0CEC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1.364</w:t>
            </w:r>
          </w:p>
        </w:tc>
        <w:tc>
          <w:tcPr>
            <w:tcW w:w="769" w:type="pct"/>
            <w:tcBorders>
              <w:tl2br w:val="nil"/>
              <w:tr2bl w:val="nil"/>
            </w:tcBorders>
            <w:vAlign w:val="center"/>
          </w:tcPr>
          <w:p w14:paraId="6A763F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0.682</w:t>
            </w:r>
          </w:p>
        </w:tc>
        <w:tc>
          <w:tcPr>
            <w:tcW w:w="949" w:type="pct"/>
            <w:tcBorders>
              <w:tl2br w:val="nil"/>
              <w:tr2bl w:val="nil"/>
            </w:tcBorders>
            <w:vAlign w:val="center"/>
          </w:tcPr>
          <w:p w14:paraId="63E7FB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899" w:type="pct"/>
            <w:tcBorders>
              <w:tl2br w:val="nil"/>
              <w:tr2bl w:val="nil"/>
            </w:tcBorders>
            <w:vAlign w:val="center"/>
          </w:tcPr>
          <w:p w14:paraId="39F7E7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0.05929</w:t>
            </w:r>
          </w:p>
        </w:tc>
        <w:tc>
          <w:tcPr>
            <w:tcW w:w="622" w:type="pct"/>
            <w:tcBorders>
              <w:tl2br w:val="nil"/>
              <w:tr2bl w:val="nil"/>
            </w:tcBorders>
            <w:vAlign w:val="center"/>
          </w:tcPr>
          <w:p w14:paraId="2311C3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0.5929</w:t>
            </w:r>
          </w:p>
        </w:tc>
      </w:tr>
      <w:tr w14:paraId="478D1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04230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559" w:type="pct"/>
            <w:tcBorders>
              <w:tl2br w:val="nil"/>
              <w:tr2bl w:val="nil"/>
            </w:tcBorders>
            <w:vAlign w:val="center"/>
          </w:tcPr>
          <w:p w14:paraId="57186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898" w:type="pct"/>
            <w:tcBorders>
              <w:tl2br w:val="nil"/>
              <w:tr2bl w:val="nil"/>
            </w:tcBorders>
            <w:vAlign w:val="center"/>
          </w:tcPr>
          <w:p w14:paraId="236DC8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0.875</w:t>
            </w:r>
          </w:p>
        </w:tc>
        <w:tc>
          <w:tcPr>
            <w:tcW w:w="769" w:type="pct"/>
            <w:tcBorders>
              <w:tl2br w:val="nil"/>
              <w:tr2bl w:val="nil"/>
            </w:tcBorders>
            <w:vAlign w:val="center"/>
          </w:tcPr>
          <w:p w14:paraId="7B9F65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0.4375</w:t>
            </w:r>
          </w:p>
        </w:tc>
        <w:tc>
          <w:tcPr>
            <w:tcW w:w="949" w:type="pct"/>
            <w:tcBorders>
              <w:tl2br w:val="nil"/>
              <w:tr2bl w:val="nil"/>
            </w:tcBorders>
            <w:vAlign w:val="center"/>
          </w:tcPr>
          <w:p w14:paraId="718E0A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899" w:type="pct"/>
            <w:tcBorders>
              <w:tl2br w:val="nil"/>
              <w:tr2bl w:val="nil"/>
            </w:tcBorders>
            <w:vAlign w:val="center"/>
          </w:tcPr>
          <w:p w14:paraId="7BE9D8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0.03804</w:t>
            </w:r>
          </w:p>
        </w:tc>
        <w:tc>
          <w:tcPr>
            <w:tcW w:w="622" w:type="pct"/>
            <w:tcBorders>
              <w:tl2br w:val="nil"/>
              <w:tr2bl w:val="nil"/>
            </w:tcBorders>
            <w:vAlign w:val="center"/>
          </w:tcPr>
          <w:p w14:paraId="2FBADE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0.3804</w:t>
            </w:r>
          </w:p>
        </w:tc>
      </w:tr>
      <w:tr w14:paraId="5FAD4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6EE61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559" w:type="pct"/>
            <w:tcBorders>
              <w:tl2br w:val="nil"/>
              <w:tr2bl w:val="nil"/>
            </w:tcBorders>
            <w:vAlign w:val="center"/>
          </w:tcPr>
          <w:p w14:paraId="3D4D4B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898" w:type="pct"/>
            <w:tcBorders>
              <w:tl2br w:val="nil"/>
              <w:tr2bl w:val="nil"/>
            </w:tcBorders>
            <w:vAlign w:val="center"/>
          </w:tcPr>
          <w:p w14:paraId="0F2A00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0.6219</w:t>
            </w:r>
          </w:p>
        </w:tc>
        <w:tc>
          <w:tcPr>
            <w:tcW w:w="769" w:type="pct"/>
            <w:tcBorders>
              <w:tl2br w:val="nil"/>
              <w:tr2bl w:val="nil"/>
            </w:tcBorders>
            <w:vAlign w:val="center"/>
          </w:tcPr>
          <w:p w14:paraId="13B0DE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0.31095</w:t>
            </w:r>
          </w:p>
        </w:tc>
        <w:tc>
          <w:tcPr>
            <w:tcW w:w="949" w:type="pct"/>
            <w:tcBorders>
              <w:tl2br w:val="nil"/>
              <w:tr2bl w:val="nil"/>
            </w:tcBorders>
            <w:vAlign w:val="center"/>
          </w:tcPr>
          <w:p w14:paraId="4AAA17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899" w:type="pct"/>
            <w:tcBorders>
              <w:tl2br w:val="nil"/>
              <w:tr2bl w:val="nil"/>
            </w:tcBorders>
            <w:vAlign w:val="center"/>
          </w:tcPr>
          <w:p w14:paraId="47C276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0.02704</w:t>
            </w:r>
          </w:p>
        </w:tc>
        <w:tc>
          <w:tcPr>
            <w:tcW w:w="622" w:type="pct"/>
            <w:tcBorders>
              <w:tl2br w:val="nil"/>
              <w:tr2bl w:val="nil"/>
            </w:tcBorders>
            <w:vAlign w:val="center"/>
          </w:tcPr>
          <w:p w14:paraId="6C1FA4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0.2704</w:t>
            </w:r>
          </w:p>
        </w:tc>
      </w:tr>
      <w:tr w14:paraId="76DA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7396C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559" w:type="pct"/>
            <w:tcBorders>
              <w:tl2br w:val="nil"/>
              <w:tr2bl w:val="nil"/>
            </w:tcBorders>
            <w:vAlign w:val="center"/>
          </w:tcPr>
          <w:p w14:paraId="525D67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898" w:type="pct"/>
            <w:tcBorders>
              <w:tl2br w:val="nil"/>
              <w:tr2bl w:val="nil"/>
            </w:tcBorders>
            <w:vAlign w:val="center"/>
          </w:tcPr>
          <w:p w14:paraId="3F3EFB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0.4855</w:t>
            </w:r>
          </w:p>
        </w:tc>
        <w:tc>
          <w:tcPr>
            <w:tcW w:w="769" w:type="pct"/>
            <w:tcBorders>
              <w:tl2br w:val="nil"/>
              <w:tr2bl w:val="nil"/>
            </w:tcBorders>
            <w:vAlign w:val="center"/>
          </w:tcPr>
          <w:p w14:paraId="7024C7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0.24275</w:t>
            </w:r>
          </w:p>
        </w:tc>
        <w:tc>
          <w:tcPr>
            <w:tcW w:w="949" w:type="pct"/>
            <w:tcBorders>
              <w:tl2br w:val="nil"/>
              <w:tr2bl w:val="nil"/>
            </w:tcBorders>
            <w:vAlign w:val="center"/>
          </w:tcPr>
          <w:p w14:paraId="128D19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899" w:type="pct"/>
            <w:tcBorders>
              <w:tl2br w:val="nil"/>
              <w:tr2bl w:val="nil"/>
            </w:tcBorders>
            <w:vAlign w:val="center"/>
          </w:tcPr>
          <w:p w14:paraId="65BD24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0.02111</w:t>
            </w:r>
          </w:p>
        </w:tc>
        <w:tc>
          <w:tcPr>
            <w:tcW w:w="622" w:type="pct"/>
            <w:tcBorders>
              <w:tl2br w:val="nil"/>
              <w:tr2bl w:val="nil"/>
            </w:tcBorders>
            <w:vAlign w:val="center"/>
          </w:tcPr>
          <w:p w14:paraId="583269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0.2111</w:t>
            </w:r>
          </w:p>
        </w:tc>
      </w:tr>
      <w:tr w14:paraId="22549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483686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559" w:type="pct"/>
            <w:tcBorders>
              <w:tl2br w:val="nil"/>
              <w:tr2bl w:val="nil"/>
            </w:tcBorders>
            <w:vAlign w:val="center"/>
          </w:tcPr>
          <w:p w14:paraId="7987FF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898" w:type="pct"/>
            <w:tcBorders>
              <w:tl2br w:val="nil"/>
              <w:tr2bl w:val="nil"/>
            </w:tcBorders>
            <w:vAlign w:val="center"/>
          </w:tcPr>
          <w:p w14:paraId="658786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0.3835</w:t>
            </w:r>
          </w:p>
        </w:tc>
        <w:tc>
          <w:tcPr>
            <w:tcW w:w="769" w:type="pct"/>
            <w:tcBorders>
              <w:tl2br w:val="nil"/>
              <w:tr2bl w:val="nil"/>
            </w:tcBorders>
            <w:vAlign w:val="center"/>
          </w:tcPr>
          <w:p w14:paraId="2DE008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0.19175</w:t>
            </w:r>
          </w:p>
        </w:tc>
        <w:tc>
          <w:tcPr>
            <w:tcW w:w="949" w:type="pct"/>
            <w:tcBorders>
              <w:tl2br w:val="nil"/>
              <w:tr2bl w:val="nil"/>
            </w:tcBorders>
            <w:vAlign w:val="center"/>
          </w:tcPr>
          <w:p w14:paraId="75165D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899" w:type="pct"/>
            <w:tcBorders>
              <w:tl2br w:val="nil"/>
              <w:tr2bl w:val="nil"/>
            </w:tcBorders>
            <w:vAlign w:val="center"/>
          </w:tcPr>
          <w:p w14:paraId="75B1D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0.01667</w:t>
            </w:r>
          </w:p>
        </w:tc>
        <w:tc>
          <w:tcPr>
            <w:tcW w:w="622" w:type="pct"/>
            <w:tcBorders>
              <w:tl2br w:val="nil"/>
              <w:tr2bl w:val="nil"/>
            </w:tcBorders>
            <w:vAlign w:val="center"/>
          </w:tcPr>
          <w:p w14:paraId="31CC67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0.1667</w:t>
            </w:r>
          </w:p>
        </w:tc>
      </w:tr>
      <w:tr w14:paraId="227A6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E9AE6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559" w:type="pct"/>
            <w:tcBorders>
              <w:tl2br w:val="nil"/>
              <w:tr2bl w:val="nil"/>
            </w:tcBorders>
            <w:vAlign w:val="center"/>
          </w:tcPr>
          <w:p w14:paraId="5F8B45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898" w:type="pct"/>
            <w:tcBorders>
              <w:tl2br w:val="nil"/>
              <w:tr2bl w:val="nil"/>
            </w:tcBorders>
            <w:vAlign w:val="center"/>
          </w:tcPr>
          <w:p w14:paraId="65A973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0.2632</w:t>
            </w:r>
          </w:p>
        </w:tc>
        <w:tc>
          <w:tcPr>
            <w:tcW w:w="769" w:type="pct"/>
            <w:tcBorders>
              <w:tl2br w:val="nil"/>
              <w:tr2bl w:val="nil"/>
            </w:tcBorders>
            <w:vAlign w:val="center"/>
          </w:tcPr>
          <w:p w14:paraId="51BDFA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0.1316</w:t>
            </w:r>
          </w:p>
        </w:tc>
        <w:tc>
          <w:tcPr>
            <w:tcW w:w="949" w:type="pct"/>
            <w:tcBorders>
              <w:tl2br w:val="nil"/>
              <w:tr2bl w:val="nil"/>
            </w:tcBorders>
            <w:vAlign w:val="center"/>
          </w:tcPr>
          <w:p w14:paraId="45A790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899" w:type="pct"/>
            <w:tcBorders>
              <w:tl2br w:val="nil"/>
              <w:tr2bl w:val="nil"/>
            </w:tcBorders>
            <w:vAlign w:val="center"/>
          </w:tcPr>
          <w:p w14:paraId="059E15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0.01144</w:t>
            </w:r>
          </w:p>
        </w:tc>
        <w:tc>
          <w:tcPr>
            <w:tcW w:w="622" w:type="pct"/>
            <w:tcBorders>
              <w:tl2br w:val="nil"/>
              <w:tr2bl w:val="nil"/>
            </w:tcBorders>
            <w:vAlign w:val="center"/>
          </w:tcPr>
          <w:p w14:paraId="3221AD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0.1144</w:t>
            </w:r>
          </w:p>
        </w:tc>
      </w:tr>
      <w:tr w14:paraId="3A47B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A089E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559" w:type="pct"/>
            <w:tcBorders>
              <w:tl2br w:val="nil"/>
              <w:tr2bl w:val="nil"/>
            </w:tcBorders>
            <w:vAlign w:val="center"/>
          </w:tcPr>
          <w:p w14:paraId="59B3E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898" w:type="pct"/>
            <w:tcBorders>
              <w:tl2br w:val="nil"/>
              <w:tr2bl w:val="nil"/>
            </w:tcBorders>
            <w:vAlign w:val="center"/>
          </w:tcPr>
          <w:p w14:paraId="7842E7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0.2254</w:t>
            </w:r>
          </w:p>
        </w:tc>
        <w:tc>
          <w:tcPr>
            <w:tcW w:w="769" w:type="pct"/>
            <w:tcBorders>
              <w:tl2br w:val="nil"/>
              <w:tr2bl w:val="nil"/>
            </w:tcBorders>
            <w:vAlign w:val="center"/>
          </w:tcPr>
          <w:p w14:paraId="406576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0.1127</w:t>
            </w:r>
          </w:p>
        </w:tc>
        <w:tc>
          <w:tcPr>
            <w:tcW w:w="949" w:type="pct"/>
            <w:tcBorders>
              <w:tl2br w:val="nil"/>
              <w:tr2bl w:val="nil"/>
            </w:tcBorders>
            <w:vAlign w:val="center"/>
          </w:tcPr>
          <w:p w14:paraId="0AC71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899" w:type="pct"/>
            <w:tcBorders>
              <w:tl2br w:val="nil"/>
              <w:tr2bl w:val="nil"/>
            </w:tcBorders>
            <w:vAlign w:val="center"/>
          </w:tcPr>
          <w:p w14:paraId="7F1EA9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0.009798</w:t>
            </w:r>
          </w:p>
        </w:tc>
        <w:tc>
          <w:tcPr>
            <w:tcW w:w="622" w:type="pct"/>
            <w:tcBorders>
              <w:tl2br w:val="nil"/>
              <w:tr2bl w:val="nil"/>
            </w:tcBorders>
            <w:vAlign w:val="center"/>
          </w:tcPr>
          <w:p w14:paraId="500676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0.09798</w:t>
            </w:r>
          </w:p>
        </w:tc>
      </w:tr>
      <w:tr w14:paraId="5260B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563CCD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559" w:type="pct"/>
            <w:tcBorders>
              <w:tl2br w:val="nil"/>
              <w:tr2bl w:val="nil"/>
            </w:tcBorders>
            <w:vAlign w:val="center"/>
          </w:tcPr>
          <w:p w14:paraId="317B2A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898" w:type="pct"/>
            <w:tcBorders>
              <w:tl2br w:val="nil"/>
              <w:tr2bl w:val="nil"/>
            </w:tcBorders>
            <w:vAlign w:val="center"/>
          </w:tcPr>
          <w:p w14:paraId="51A366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0.1961</w:t>
            </w:r>
          </w:p>
        </w:tc>
        <w:tc>
          <w:tcPr>
            <w:tcW w:w="769" w:type="pct"/>
            <w:tcBorders>
              <w:tl2br w:val="nil"/>
              <w:tr2bl w:val="nil"/>
            </w:tcBorders>
            <w:vAlign w:val="center"/>
          </w:tcPr>
          <w:p w14:paraId="45C5C9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0.09805</w:t>
            </w:r>
          </w:p>
        </w:tc>
        <w:tc>
          <w:tcPr>
            <w:tcW w:w="949" w:type="pct"/>
            <w:tcBorders>
              <w:tl2br w:val="nil"/>
              <w:tr2bl w:val="nil"/>
            </w:tcBorders>
            <w:vAlign w:val="center"/>
          </w:tcPr>
          <w:p w14:paraId="1E3063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899" w:type="pct"/>
            <w:tcBorders>
              <w:tl2br w:val="nil"/>
              <w:tr2bl w:val="nil"/>
            </w:tcBorders>
            <w:vAlign w:val="center"/>
          </w:tcPr>
          <w:p w14:paraId="1053E5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0.008523</w:t>
            </w:r>
          </w:p>
        </w:tc>
        <w:tc>
          <w:tcPr>
            <w:tcW w:w="622" w:type="pct"/>
            <w:tcBorders>
              <w:tl2br w:val="nil"/>
              <w:tr2bl w:val="nil"/>
            </w:tcBorders>
            <w:vAlign w:val="center"/>
          </w:tcPr>
          <w:p w14:paraId="5FAC8E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0.08523</w:t>
            </w:r>
          </w:p>
        </w:tc>
      </w:tr>
      <w:tr w14:paraId="27E98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56D6484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559" w:type="pct"/>
            <w:tcBorders>
              <w:tl2br w:val="nil"/>
              <w:tr2bl w:val="nil"/>
            </w:tcBorders>
            <w:vAlign w:val="center"/>
          </w:tcPr>
          <w:p w14:paraId="0A23B1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898" w:type="pct"/>
            <w:tcBorders>
              <w:tl2br w:val="nil"/>
              <w:tr2bl w:val="nil"/>
            </w:tcBorders>
            <w:vAlign w:val="center"/>
          </w:tcPr>
          <w:p w14:paraId="228BDC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0.1728</w:t>
            </w:r>
          </w:p>
        </w:tc>
        <w:tc>
          <w:tcPr>
            <w:tcW w:w="769" w:type="pct"/>
            <w:tcBorders>
              <w:tl2br w:val="nil"/>
              <w:tr2bl w:val="nil"/>
            </w:tcBorders>
            <w:vAlign w:val="center"/>
          </w:tcPr>
          <w:p w14:paraId="15A7AF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0.0864</w:t>
            </w:r>
          </w:p>
        </w:tc>
        <w:tc>
          <w:tcPr>
            <w:tcW w:w="949" w:type="pct"/>
            <w:tcBorders>
              <w:tl2br w:val="nil"/>
              <w:tr2bl w:val="nil"/>
            </w:tcBorders>
            <w:vAlign w:val="center"/>
          </w:tcPr>
          <w:p w14:paraId="2A1FD4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899" w:type="pct"/>
            <w:tcBorders>
              <w:tl2br w:val="nil"/>
              <w:tr2bl w:val="nil"/>
            </w:tcBorders>
            <w:vAlign w:val="center"/>
          </w:tcPr>
          <w:p w14:paraId="02E46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0.007511</w:t>
            </w:r>
          </w:p>
        </w:tc>
        <w:tc>
          <w:tcPr>
            <w:tcW w:w="622" w:type="pct"/>
            <w:tcBorders>
              <w:tl2br w:val="nil"/>
              <w:tr2bl w:val="nil"/>
            </w:tcBorders>
            <w:vAlign w:val="center"/>
          </w:tcPr>
          <w:p w14:paraId="65D4A4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0.07511</w:t>
            </w:r>
          </w:p>
        </w:tc>
      </w:tr>
      <w:tr w14:paraId="3735F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7AE1AB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559" w:type="pct"/>
            <w:tcBorders>
              <w:tl2br w:val="nil"/>
              <w:tr2bl w:val="nil"/>
            </w:tcBorders>
            <w:vAlign w:val="center"/>
          </w:tcPr>
          <w:p w14:paraId="6D62CD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898" w:type="pct"/>
            <w:tcBorders>
              <w:tl2br w:val="nil"/>
              <w:tr2bl w:val="nil"/>
            </w:tcBorders>
            <w:vAlign w:val="center"/>
          </w:tcPr>
          <w:p w14:paraId="790F1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0.1539</w:t>
            </w:r>
          </w:p>
        </w:tc>
        <w:tc>
          <w:tcPr>
            <w:tcW w:w="769" w:type="pct"/>
            <w:tcBorders>
              <w:tl2br w:val="nil"/>
              <w:tr2bl w:val="nil"/>
            </w:tcBorders>
            <w:vAlign w:val="center"/>
          </w:tcPr>
          <w:p w14:paraId="1CBE18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0.07695</w:t>
            </w:r>
          </w:p>
        </w:tc>
        <w:tc>
          <w:tcPr>
            <w:tcW w:w="949" w:type="pct"/>
            <w:tcBorders>
              <w:tl2br w:val="nil"/>
              <w:tr2bl w:val="nil"/>
            </w:tcBorders>
            <w:vAlign w:val="center"/>
          </w:tcPr>
          <w:p w14:paraId="5186C3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899" w:type="pct"/>
            <w:tcBorders>
              <w:tl2br w:val="nil"/>
              <w:tr2bl w:val="nil"/>
            </w:tcBorders>
            <w:vAlign w:val="center"/>
          </w:tcPr>
          <w:p w14:paraId="075D41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0.00669</w:t>
            </w:r>
          </w:p>
        </w:tc>
        <w:tc>
          <w:tcPr>
            <w:tcW w:w="622" w:type="pct"/>
            <w:tcBorders>
              <w:tl2br w:val="nil"/>
              <w:tr2bl w:val="nil"/>
            </w:tcBorders>
            <w:vAlign w:val="center"/>
          </w:tcPr>
          <w:p w14:paraId="00B82C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0.0669</w:t>
            </w:r>
          </w:p>
        </w:tc>
      </w:tr>
      <w:tr w14:paraId="3BFD5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DFFBD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559" w:type="pct"/>
            <w:tcBorders>
              <w:tl2br w:val="nil"/>
              <w:tr2bl w:val="nil"/>
            </w:tcBorders>
            <w:vAlign w:val="center"/>
          </w:tcPr>
          <w:p w14:paraId="5E1A29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898" w:type="pct"/>
            <w:tcBorders>
              <w:tl2br w:val="nil"/>
              <w:tr2bl w:val="nil"/>
            </w:tcBorders>
            <w:vAlign w:val="center"/>
          </w:tcPr>
          <w:p w14:paraId="7473A4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0.1383</w:t>
            </w:r>
          </w:p>
        </w:tc>
        <w:tc>
          <w:tcPr>
            <w:tcW w:w="769" w:type="pct"/>
            <w:tcBorders>
              <w:tl2br w:val="nil"/>
              <w:tr2bl w:val="nil"/>
            </w:tcBorders>
            <w:vAlign w:val="center"/>
          </w:tcPr>
          <w:p w14:paraId="3701D9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0.06915</w:t>
            </w:r>
          </w:p>
        </w:tc>
        <w:tc>
          <w:tcPr>
            <w:tcW w:w="949" w:type="pct"/>
            <w:tcBorders>
              <w:tl2br w:val="nil"/>
              <w:tr2bl w:val="nil"/>
            </w:tcBorders>
            <w:vAlign w:val="center"/>
          </w:tcPr>
          <w:p w14:paraId="2D79C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899" w:type="pct"/>
            <w:tcBorders>
              <w:tl2br w:val="nil"/>
              <w:tr2bl w:val="nil"/>
            </w:tcBorders>
            <w:vAlign w:val="center"/>
          </w:tcPr>
          <w:p w14:paraId="0F452A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0.006014</w:t>
            </w:r>
          </w:p>
        </w:tc>
        <w:tc>
          <w:tcPr>
            <w:tcW w:w="622" w:type="pct"/>
            <w:tcBorders>
              <w:tl2br w:val="nil"/>
              <w:tr2bl w:val="nil"/>
            </w:tcBorders>
            <w:vAlign w:val="center"/>
          </w:tcPr>
          <w:p w14:paraId="59D51F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0.06014</w:t>
            </w:r>
          </w:p>
        </w:tc>
      </w:tr>
      <w:tr w14:paraId="5641B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AAE76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559" w:type="pct"/>
            <w:tcBorders>
              <w:tl2br w:val="nil"/>
              <w:tr2bl w:val="nil"/>
            </w:tcBorders>
            <w:vAlign w:val="center"/>
          </w:tcPr>
          <w:p w14:paraId="67ABD2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898" w:type="pct"/>
            <w:tcBorders>
              <w:tl2br w:val="nil"/>
              <w:tr2bl w:val="nil"/>
            </w:tcBorders>
            <w:vAlign w:val="center"/>
          </w:tcPr>
          <w:p w14:paraId="2AE08D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0.1253</w:t>
            </w:r>
          </w:p>
        </w:tc>
        <w:tc>
          <w:tcPr>
            <w:tcW w:w="769" w:type="pct"/>
            <w:tcBorders>
              <w:tl2br w:val="nil"/>
              <w:tr2bl w:val="nil"/>
            </w:tcBorders>
            <w:vAlign w:val="center"/>
          </w:tcPr>
          <w:p w14:paraId="1BF1D2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0.06265</w:t>
            </w:r>
          </w:p>
        </w:tc>
        <w:tc>
          <w:tcPr>
            <w:tcW w:w="949" w:type="pct"/>
            <w:tcBorders>
              <w:tl2br w:val="nil"/>
              <w:tr2bl w:val="nil"/>
            </w:tcBorders>
            <w:vAlign w:val="center"/>
          </w:tcPr>
          <w:p w14:paraId="1198B6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899" w:type="pct"/>
            <w:tcBorders>
              <w:tl2br w:val="nil"/>
              <w:tr2bl w:val="nil"/>
            </w:tcBorders>
            <w:vAlign w:val="center"/>
          </w:tcPr>
          <w:p w14:paraId="17E0E3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0.005448</w:t>
            </w:r>
          </w:p>
        </w:tc>
        <w:tc>
          <w:tcPr>
            <w:tcW w:w="622" w:type="pct"/>
            <w:tcBorders>
              <w:tl2br w:val="nil"/>
              <w:tr2bl w:val="nil"/>
            </w:tcBorders>
            <w:vAlign w:val="center"/>
          </w:tcPr>
          <w:p w14:paraId="6D7246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0.05448</w:t>
            </w:r>
          </w:p>
        </w:tc>
      </w:tr>
      <w:tr w14:paraId="16D7B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B62FC0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559" w:type="pct"/>
            <w:tcBorders>
              <w:tl2br w:val="nil"/>
              <w:tr2bl w:val="nil"/>
            </w:tcBorders>
            <w:vAlign w:val="center"/>
          </w:tcPr>
          <w:p w14:paraId="267A0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898" w:type="pct"/>
            <w:tcBorders>
              <w:tl2br w:val="nil"/>
              <w:tr2bl w:val="nil"/>
            </w:tcBorders>
            <w:vAlign w:val="center"/>
          </w:tcPr>
          <w:p w14:paraId="418C9F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0.1143</w:t>
            </w:r>
          </w:p>
        </w:tc>
        <w:tc>
          <w:tcPr>
            <w:tcW w:w="769" w:type="pct"/>
            <w:tcBorders>
              <w:tl2br w:val="nil"/>
              <w:tr2bl w:val="nil"/>
            </w:tcBorders>
            <w:vAlign w:val="center"/>
          </w:tcPr>
          <w:p w14:paraId="23C150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0.05715</w:t>
            </w:r>
          </w:p>
        </w:tc>
        <w:tc>
          <w:tcPr>
            <w:tcW w:w="949" w:type="pct"/>
            <w:tcBorders>
              <w:tl2br w:val="nil"/>
              <w:tr2bl w:val="nil"/>
            </w:tcBorders>
            <w:vAlign w:val="center"/>
          </w:tcPr>
          <w:p w14:paraId="0D98D6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899" w:type="pct"/>
            <w:tcBorders>
              <w:tl2br w:val="nil"/>
              <w:tr2bl w:val="nil"/>
            </w:tcBorders>
            <w:vAlign w:val="center"/>
          </w:tcPr>
          <w:p w14:paraId="67894D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0.004968</w:t>
            </w:r>
          </w:p>
        </w:tc>
        <w:tc>
          <w:tcPr>
            <w:tcW w:w="622" w:type="pct"/>
            <w:tcBorders>
              <w:tl2br w:val="nil"/>
              <w:tr2bl w:val="nil"/>
            </w:tcBorders>
            <w:vAlign w:val="center"/>
          </w:tcPr>
          <w:p w14:paraId="030974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0.04968</w:t>
            </w:r>
          </w:p>
        </w:tc>
      </w:tr>
      <w:tr w14:paraId="506D7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A9CF6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559" w:type="pct"/>
            <w:tcBorders>
              <w:tl2br w:val="nil"/>
              <w:tr2bl w:val="nil"/>
            </w:tcBorders>
            <w:vAlign w:val="center"/>
          </w:tcPr>
          <w:p w14:paraId="23FF7B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898" w:type="pct"/>
            <w:tcBorders>
              <w:tl2br w:val="nil"/>
              <w:tr2bl w:val="nil"/>
            </w:tcBorders>
            <w:vAlign w:val="center"/>
          </w:tcPr>
          <w:p w14:paraId="6EC1B6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0.1048</w:t>
            </w:r>
          </w:p>
        </w:tc>
        <w:tc>
          <w:tcPr>
            <w:tcW w:w="769" w:type="pct"/>
            <w:tcBorders>
              <w:tl2br w:val="nil"/>
              <w:tr2bl w:val="nil"/>
            </w:tcBorders>
            <w:vAlign w:val="center"/>
          </w:tcPr>
          <w:p w14:paraId="5F97FB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0.0524</w:t>
            </w:r>
          </w:p>
        </w:tc>
        <w:tc>
          <w:tcPr>
            <w:tcW w:w="949" w:type="pct"/>
            <w:tcBorders>
              <w:tl2br w:val="nil"/>
              <w:tr2bl w:val="nil"/>
            </w:tcBorders>
            <w:vAlign w:val="center"/>
          </w:tcPr>
          <w:p w14:paraId="2CB31B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899" w:type="pct"/>
            <w:tcBorders>
              <w:tl2br w:val="nil"/>
              <w:tr2bl w:val="nil"/>
            </w:tcBorders>
            <w:vAlign w:val="center"/>
          </w:tcPr>
          <w:p w14:paraId="7E032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0.004558</w:t>
            </w:r>
          </w:p>
        </w:tc>
        <w:tc>
          <w:tcPr>
            <w:tcW w:w="622" w:type="pct"/>
            <w:tcBorders>
              <w:tl2br w:val="nil"/>
              <w:tr2bl w:val="nil"/>
            </w:tcBorders>
            <w:vAlign w:val="center"/>
          </w:tcPr>
          <w:p w14:paraId="297D63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0.04558</w:t>
            </w:r>
          </w:p>
        </w:tc>
      </w:tr>
      <w:tr w14:paraId="68F0D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088F9E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559" w:type="pct"/>
            <w:tcBorders>
              <w:tl2br w:val="nil"/>
              <w:tr2bl w:val="nil"/>
            </w:tcBorders>
            <w:vAlign w:val="center"/>
          </w:tcPr>
          <w:p w14:paraId="329BAD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898" w:type="pct"/>
            <w:tcBorders>
              <w:tl2br w:val="nil"/>
              <w:tr2bl w:val="nil"/>
            </w:tcBorders>
            <w:vAlign w:val="center"/>
          </w:tcPr>
          <w:p w14:paraId="59ECA1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0.09667</w:t>
            </w:r>
          </w:p>
        </w:tc>
        <w:tc>
          <w:tcPr>
            <w:tcW w:w="769" w:type="pct"/>
            <w:tcBorders>
              <w:tl2br w:val="nil"/>
              <w:tr2bl w:val="nil"/>
            </w:tcBorders>
            <w:vAlign w:val="center"/>
          </w:tcPr>
          <w:p w14:paraId="64462B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0.048335</w:t>
            </w:r>
          </w:p>
        </w:tc>
        <w:tc>
          <w:tcPr>
            <w:tcW w:w="949" w:type="pct"/>
            <w:tcBorders>
              <w:tl2br w:val="nil"/>
              <w:tr2bl w:val="nil"/>
            </w:tcBorders>
            <w:vAlign w:val="center"/>
          </w:tcPr>
          <w:p w14:paraId="3C6F00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899" w:type="pct"/>
            <w:tcBorders>
              <w:tl2br w:val="nil"/>
              <w:tr2bl w:val="nil"/>
            </w:tcBorders>
            <w:vAlign w:val="center"/>
          </w:tcPr>
          <w:p w14:paraId="5DC006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0.004202</w:t>
            </w:r>
          </w:p>
        </w:tc>
        <w:tc>
          <w:tcPr>
            <w:tcW w:w="622" w:type="pct"/>
            <w:tcBorders>
              <w:tl2br w:val="nil"/>
              <w:tr2bl w:val="nil"/>
            </w:tcBorders>
            <w:vAlign w:val="center"/>
          </w:tcPr>
          <w:p w14:paraId="72E481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0.04202</w:t>
            </w:r>
          </w:p>
        </w:tc>
      </w:tr>
      <w:tr w14:paraId="48722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56C87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559" w:type="pct"/>
            <w:tcBorders>
              <w:tl2br w:val="nil"/>
              <w:tr2bl w:val="nil"/>
            </w:tcBorders>
            <w:vAlign w:val="center"/>
          </w:tcPr>
          <w:p w14:paraId="3DA0F6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898" w:type="pct"/>
            <w:tcBorders>
              <w:tl2br w:val="nil"/>
              <w:tr2bl w:val="nil"/>
            </w:tcBorders>
            <w:vAlign w:val="center"/>
          </w:tcPr>
          <w:p w14:paraId="6B4B19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0.08955</w:t>
            </w:r>
          </w:p>
        </w:tc>
        <w:tc>
          <w:tcPr>
            <w:tcW w:w="769" w:type="pct"/>
            <w:tcBorders>
              <w:tl2br w:val="nil"/>
              <w:tr2bl w:val="nil"/>
            </w:tcBorders>
            <w:vAlign w:val="center"/>
          </w:tcPr>
          <w:p w14:paraId="11CA02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0.044775</w:t>
            </w:r>
          </w:p>
        </w:tc>
        <w:tc>
          <w:tcPr>
            <w:tcW w:w="949" w:type="pct"/>
            <w:tcBorders>
              <w:tl2br w:val="nil"/>
              <w:tr2bl w:val="nil"/>
            </w:tcBorders>
            <w:vAlign w:val="center"/>
          </w:tcPr>
          <w:p w14:paraId="2F9E93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899" w:type="pct"/>
            <w:tcBorders>
              <w:tl2br w:val="nil"/>
              <w:tr2bl w:val="nil"/>
            </w:tcBorders>
            <w:vAlign w:val="center"/>
          </w:tcPr>
          <w:p w14:paraId="41489D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0.003893</w:t>
            </w:r>
          </w:p>
        </w:tc>
        <w:tc>
          <w:tcPr>
            <w:tcW w:w="622" w:type="pct"/>
            <w:tcBorders>
              <w:tl2br w:val="nil"/>
              <w:tr2bl w:val="nil"/>
            </w:tcBorders>
            <w:vAlign w:val="center"/>
          </w:tcPr>
          <w:p w14:paraId="09BBEE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0.03893</w:t>
            </w:r>
          </w:p>
        </w:tc>
      </w:tr>
      <w:tr w14:paraId="588CC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6B563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559" w:type="pct"/>
            <w:tcBorders>
              <w:tl2br w:val="nil"/>
              <w:tr2bl w:val="nil"/>
            </w:tcBorders>
            <w:vAlign w:val="center"/>
          </w:tcPr>
          <w:p w14:paraId="22FDD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898" w:type="pct"/>
            <w:tcBorders>
              <w:tl2br w:val="nil"/>
              <w:tr2bl w:val="nil"/>
            </w:tcBorders>
            <w:vAlign w:val="center"/>
          </w:tcPr>
          <w:p w14:paraId="645D75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0.07775</w:t>
            </w:r>
          </w:p>
        </w:tc>
        <w:tc>
          <w:tcPr>
            <w:tcW w:w="769" w:type="pct"/>
            <w:tcBorders>
              <w:tl2br w:val="nil"/>
              <w:tr2bl w:val="nil"/>
            </w:tcBorders>
            <w:vAlign w:val="center"/>
          </w:tcPr>
          <w:p w14:paraId="3625D2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0.038875</w:t>
            </w:r>
          </w:p>
        </w:tc>
        <w:tc>
          <w:tcPr>
            <w:tcW w:w="949" w:type="pct"/>
            <w:tcBorders>
              <w:tl2br w:val="nil"/>
              <w:tr2bl w:val="nil"/>
            </w:tcBorders>
            <w:vAlign w:val="center"/>
          </w:tcPr>
          <w:p w14:paraId="3E1D4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899" w:type="pct"/>
            <w:tcBorders>
              <w:tl2br w:val="nil"/>
              <w:tr2bl w:val="nil"/>
            </w:tcBorders>
            <w:vAlign w:val="center"/>
          </w:tcPr>
          <w:p w14:paraId="7FB83C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0.00338</w:t>
            </w:r>
          </w:p>
        </w:tc>
        <w:tc>
          <w:tcPr>
            <w:tcW w:w="622" w:type="pct"/>
            <w:tcBorders>
              <w:tl2br w:val="nil"/>
              <w:tr2bl w:val="nil"/>
            </w:tcBorders>
            <w:vAlign w:val="center"/>
          </w:tcPr>
          <w:p w14:paraId="71E3CD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0.0338</w:t>
            </w:r>
          </w:p>
        </w:tc>
      </w:tr>
      <w:tr w14:paraId="36537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CE8B1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559" w:type="pct"/>
            <w:tcBorders>
              <w:tl2br w:val="nil"/>
              <w:tr2bl w:val="nil"/>
            </w:tcBorders>
            <w:vAlign w:val="center"/>
          </w:tcPr>
          <w:p w14:paraId="4A05E7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898" w:type="pct"/>
            <w:tcBorders>
              <w:tl2br w:val="nil"/>
              <w:tr2bl w:val="nil"/>
            </w:tcBorders>
            <w:vAlign w:val="center"/>
          </w:tcPr>
          <w:p w14:paraId="36ED78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0.07282</w:t>
            </w:r>
          </w:p>
        </w:tc>
        <w:tc>
          <w:tcPr>
            <w:tcW w:w="769" w:type="pct"/>
            <w:tcBorders>
              <w:tl2br w:val="nil"/>
              <w:tr2bl w:val="nil"/>
            </w:tcBorders>
            <w:vAlign w:val="center"/>
          </w:tcPr>
          <w:p w14:paraId="2823FD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0.03641</w:t>
            </w:r>
          </w:p>
        </w:tc>
        <w:tc>
          <w:tcPr>
            <w:tcW w:w="949" w:type="pct"/>
            <w:tcBorders>
              <w:tl2br w:val="nil"/>
              <w:tr2bl w:val="nil"/>
            </w:tcBorders>
            <w:vAlign w:val="center"/>
          </w:tcPr>
          <w:p w14:paraId="72CECE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899" w:type="pct"/>
            <w:tcBorders>
              <w:tl2br w:val="nil"/>
              <w:tr2bl w:val="nil"/>
            </w:tcBorders>
            <w:vAlign w:val="center"/>
          </w:tcPr>
          <w:p w14:paraId="7AEB1E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0.003166</w:t>
            </w:r>
          </w:p>
        </w:tc>
        <w:tc>
          <w:tcPr>
            <w:tcW w:w="622" w:type="pct"/>
            <w:tcBorders>
              <w:tl2br w:val="nil"/>
              <w:tr2bl w:val="nil"/>
            </w:tcBorders>
            <w:vAlign w:val="center"/>
          </w:tcPr>
          <w:p w14:paraId="6FE8E7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0.03166</w:t>
            </w:r>
          </w:p>
        </w:tc>
      </w:tr>
      <w:tr w14:paraId="3FA05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C19B8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559" w:type="pct"/>
            <w:tcBorders>
              <w:tl2br w:val="nil"/>
              <w:tr2bl w:val="nil"/>
            </w:tcBorders>
            <w:vAlign w:val="center"/>
          </w:tcPr>
          <w:p w14:paraId="6B426E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898" w:type="pct"/>
            <w:tcBorders>
              <w:tl2br w:val="nil"/>
              <w:tr2bl w:val="nil"/>
            </w:tcBorders>
            <w:vAlign w:val="center"/>
          </w:tcPr>
          <w:p w14:paraId="72A346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0.06841</w:t>
            </w:r>
          </w:p>
        </w:tc>
        <w:tc>
          <w:tcPr>
            <w:tcW w:w="769" w:type="pct"/>
            <w:tcBorders>
              <w:tl2br w:val="nil"/>
              <w:tr2bl w:val="nil"/>
            </w:tcBorders>
            <w:vAlign w:val="center"/>
          </w:tcPr>
          <w:p w14:paraId="7EA26A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0.034205</w:t>
            </w:r>
          </w:p>
        </w:tc>
        <w:tc>
          <w:tcPr>
            <w:tcW w:w="949" w:type="pct"/>
            <w:tcBorders>
              <w:tl2br w:val="nil"/>
              <w:tr2bl w:val="nil"/>
            </w:tcBorders>
            <w:vAlign w:val="center"/>
          </w:tcPr>
          <w:p w14:paraId="524565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899" w:type="pct"/>
            <w:tcBorders>
              <w:tl2br w:val="nil"/>
              <w:tr2bl w:val="nil"/>
            </w:tcBorders>
            <w:vAlign w:val="center"/>
          </w:tcPr>
          <w:p w14:paraId="670D11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0.002974</w:t>
            </w:r>
          </w:p>
        </w:tc>
        <w:tc>
          <w:tcPr>
            <w:tcW w:w="622" w:type="pct"/>
            <w:tcBorders>
              <w:tl2br w:val="nil"/>
              <w:tr2bl w:val="nil"/>
            </w:tcBorders>
            <w:vAlign w:val="center"/>
          </w:tcPr>
          <w:p w14:paraId="66F0AC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0.02974</w:t>
            </w:r>
          </w:p>
        </w:tc>
      </w:tr>
      <w:tr w14:paraId="1C94A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59EB25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559" w:type="pct"/>
            <w:tcBorders>
              <w:tl2br w:val="nil"/>
              <w:tr2bl w:val="nil"/>
            </w:tcBorders>
            <w:vAlign w:val="center"/>
          </w:tcPr>
          <w:p w14:paraId="631917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898" w:type="pct"/>
            <w:tcBorders>
              <w:tl2br w:val="nil"/>
              <w:tr2bl w:val="nil"/>
            </w:tcBorders>
            <w:vAlign w:val="center"/>
          </w:tcPr>
          <w:p w14:paraId="57E9DE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0.06444</w:t>
            </w:r>
          </w:p>
        </w:tc>
        <w:tc>
          <w:tcPr>
            <w:tcW w:w="769" w:type="pct"/>
            <w:tcBorders>
              <w:tl2br w:val="nil"/>
              <w:tr2bl w:val="nil"/>
            </w:tcBorders>
            <w:vAlign w:val="center"/>
          </w:tcPr>
          <w:p w14:paraId="614ED2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0.03222</w:t>
            </w:r>
          </w:p>
        </w:tc>
        <w:tc>
          <w:tcPr>
            <w:tcW w:w="949" w:type="pct"/>
            <w:tcBorders>
              <w:tl2br w:val="nil"/>
              <w:tr2bl w:val="nil"/>
            </w:tcBorders>
            <w:vAlign w:val="center"/>
          </w:tcPr>
          <w:p w14:paraId="3B4E65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899" w:type="pct"/>
            <w:tcBorders>
              <w:tl2br w:val="nil"/>
              <w:tr2bl w:val="nil"/>
            </w:tcBorders>
            <w:vAlign w:val="center"/>
          </w:tcPr>
          <w:p w14:paraId="634EA9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0.002802</w:t>
            </w:r>
          </w:p>
        </w:tc>
        <w:tc>
          <w:tcPr>
            <w:tcW w:w="622" w:type="pct"/>
            <w:tcBorders>
              <w:tl2br w:val="nil"/>
              <w:tr2bl w:val="nil"/>
            </w:tcBorders>
            <w:vAlign w:val="center"/>
          </w:tcPr>
          <w:p w14:paraId="0AB0A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0.02802</w:t>
            </w:r>
          </w:p>
        </w:tc>
      </w:tr>
      <w:tr w14:paraId="25061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3ED293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559" w:type="pct"/>
            <w:tcBorders>
              <w:tl2br w:val="nil"/>
              <w:tr2bl w:val="nil"/>
            </w:tcBorders>
            <w:vAlign w:val="center"/>
          </w:tcPr>
          <w:p w14:paraId="06C26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898" w:type="pct"/>
            <w:tcBorders>
              <w:tl2br w:val="nil"/>
              <w:tr2bl w:val="nil"/>
            </w:tcBorders>
            <w:vAlign w:val="center"/>
          </w:tcPr>
          <w:p w14:paraId="0B33D3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0.05761</w:t>
            </w:r>
          </w:p>
        </w:tc>
        <w:tc>
          <w:tcPr>
            <w:tcW w:w="769" w:type="pct"/>
            <w:tcBorders>
              <w:tl2br w:val="nil"/>
              <w:tr2bl w:val="nil"/>
            </w:tcBorders>
            <w:vAlign w:val="center"/>
          </w:tcPr>
          <w:p w14:paraId="211723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0.028805</w:t>
            </w:r>
          </w:p>
        </w:tc>
        <w:tc>
          <w:tcPr>
            <w:tcW w:w="949" w:type="pct"/>
            <w:tcBorders>
              <w:tl2br w:val="nil"/>
              <w:tr2bl w:val="nil"/>
            </w:tcBorders>
            <w:vAlign w:val="center"/>
          </w:tcPr>
          <w:p w14:paraId="6D7C04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899" w:type="pct"/>
            <w:tcBorders>
              <w:tl2br w:val="nil"/>
              <w:tr2bl w:val="nil"/>
            </w:tcBorders>
            <w:vAlign w:val="center"/>
          </w:tcPr>
          <w:p w14:paraId="064451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0.002504</w:t>
            </w:r>
          </w:p>
        </w:tc>
        <w:tc>
          <w:tcPr>
            <w:tcW w:w="622" w:type="pct"/>
            <w:tcBorders>
              <w:tl2br w:val="nil"/>
              <w:tr2bl w:val="nil"/>
            </w:tcBorders>
            <w:vAlign w:val="center"/>
          </w:tcPr>
          <w:p w14:paraId="6D848B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0.02504</w:t>
            </w:r>
          </w:p>
        </w:tc>
      </w:tr>
      <w:tr w14:paraId="23D6D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0" w:type="pct"/>
            <w:gridSpan w:val="2"/>
            <w:tcBorders>
              <w:tl2br w:val="nil"/>
              <w:tr2bl w:val="nil"/>
            </w:tcBorders>
            <w:vAlign w:val="center"/>
          </w:tcPr>
          <w:p w14:paraId="45BD0B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43619B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1284" w:type="dxa"/>
            <w:tcBorders>
              <w:tl2br w:val="nil"/>
              <w:tr2bl w:val="nil"/>
            </w:tcBorders>
            <w:vAlign w:val="center"/>
          </w:tcPr>
          <w:p w14:paraId="5AC270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949" w:type="pct"/>
            <w:tcBorders>
              <w:tl2br w:val="nil"/>
              <w:tr2bl w:val="nil"/>
            </w:tcBorders>
            <w:vAlign w:val="center"/>
          </w:tcPr>
          <w:p w14:paraId="5A94FC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585B93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1041" w:type="dxa"/>
            <w:tcBorders>
              <w:tl2br w:val="nil"/>
              <w:tr2bl w:val="nil"/>
            </w:tcBorders>
            <w:vAlign w:val="center"/>
          </w:tcPr>
          <w:p w14:paraId="559174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r>
    </w:tbl>
    <w:p w14:paraId="3C3C03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olor w:val="auto"/>
        </w:rPr>
      </w:pPr>
      <w:r>
        <w:rPr>
          <w:rFonts w:ascii="Times New Roman" w:hAnsi="Times New Roman" w:eastAsia="宋体" w:cs="宋体"/>
          <w:i w:val="0"/>
          <w:strike w:val="0"/>
          <w:dstrike w:val="0"/>
          <w:color w:val="auto"/>
          <w:spacing w:val="0"/>
          <w:position w:val="0"/>
          <w:sz w:val="24"/>
          <w:szCs w:val="24"/>
          <w:highlight w:val="none"/>
        </w:rPr>
        <w:t>根据估算结果表明，</w:t>
      </w:r>
      <w:r>
        <w:rPr>
          <w:rFonts w:ascii="Times New Roman" w:hAnsi="Times New Roman" w:eastAsia="宋体" w:cs="Times New Roman"/>
          <w:i w:val="0"/>
          <w:strike w:val="0"/>
          <w:dstrike w:val="0"/>
          <w:color w:val="auto"/>
          <w:spacing w:val="0"/>
          <w:position w:val="0"/>
          <w:sz w:val="24"/>
          <w:szCs w:val="24"/>
          <w:highlight w:val="none"/>
        </w:rPr>
        <w:t>NH</w:t>
      </w:r>
      <w:r>
        <w:rPr>
          <w:rFonts w:ascii="Times New Roman" w:hAnsi="Times New Roman" w:eastAsia="宋体" w:cs="Times New Roman"/>
          <w:i w:val="0"/>
          <w:strike w:val="0"/>
          <w:dstrike w:val="0"/>
          <w:color w:val="auto"/>
          <w:spacing w:val="0"/>
          <w:position w:val="0"/>
          <w:sz w:val="24"/>
          <w:szCs w:val="15"/>
          <w:highlight w:val="none"/>
          <w:vertAlign w:val="subscript"/>
        </w:rPr>
        <w:t>3</w:t>
      </w:r>
      <w:r>
        <w:rPr>
          <w:rFonts w:ascii="Times New Roman" w:hAnsi="Times New Roman" w:eastAsia="宋体" w:cs="宋体"/>
          <w:i w:val="0"/>
          <w:strike w:val="0"/>
          <w:dstrike w:val="0"/>
          <w:color w:val="auto"/>
          <w:spacing w:val="0"/>
          <w:position w:val="0"/>
          <w:sz w:val="24"/>
          <w:szCs w:val="24"/>
          <w:highlight w:val="none"/>
        </w:rPr>
        <w:t>最大地面空气质量浓度出现在距离厂界</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72</w:t>
      </w:r>
      <w:r>
        <w:rPr>
          <w:rFonts w:ascii="Times New Roman" w:hAnsi="Times New Roman" w:eastAsia="宋体" w:cs="Times New Roman"/>
          <w:i w:val="0"/>
          <w:strike w:val="0"/>
          <w:dstrike w:val="0"/>
          <w:color w:val="auto"/>
          <w:spacing w:val="0"/>
          <w:position w:val="0"/>
          <w:sz w:val="24"/>
          <w:szCs w:val="24"/>
          <w:highlight w:val="none"/>
        </w:rPr>
        <w:t>m</w:t>
      </w:r>
      <w:r>
        <w:rPr>
          <w:rFonts w:ascii="Times New Roman" w:hAnsi="Times New Roman" w:eastAsia="宋体" w:cs="宋体"/>
          <w:i w:val="0"/>
          <w:strike w:val="0"/>
          <w:dstrike w:val="0"/>
          <w:color w:val="auto"/>
          <w:spacing w:val="0"/>
          <w:position w:val="0"/>
          <w:sz w:val="24"/>
          <w:szCs w:val="24"/>
          <w:highlight w:val="none"/>
        </w:rPr>
        <w:t>处，最大地面空气质量浓度分别为</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7.793u</w:t>
      </w:r>
      <w:r>
        <w:rPr>
          <w:rFonts w:ascii="Times New Roman" w:hAnsi="Times New Roman" w:eastAsia="宋体" w:cs="Times New Roman"/>
          <w:i w:val="0"/>
          <w:strike w:val="0"/>
          <w:dstrike w:val="0"/>
          <w:color w:val="auto"/>
          <w:spacing w:val="0"/>
          <w:position w:val="0"/>
          <w:sz w:val="24"/>
          <w:szCs w:val="24"/>
          <w:highlight w:val="none"/>
        </w:rPr>
        <w:t>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，占标率为</w:t>
      </w:r>
      <w:r>
        <w:rPr>
          <w:rFonts w:hint="eastAsia" w:ascii="Times New Roman" w:hAnsi="Times New Roman" w:eastAsia="宋体" w:cs="宋体"/>
          <w:i w:val="0"/>
          <w:strike w:val="0"/>
          <w:dstrike w:val="0"/>
          <w:color w:val="auto"/>
          <w:spacing w:val="0"/>
          <w:position w:val="0"/>
          <w:sz w:val="24"/>
          <w:szCs w:val="24"/>
          <w:highlight w:val="none"/>
          <w:lang w:val="en-US" w:eastAsia="zh-CN"/>
        </w:rPr>
        <w:t>3.8965</w:t>
      </w:r>
      <w:r>
        <w:rPr>
          <w:rFonts w:ascii="Times New Roman" w:hAnsi="Times New Roman" w:eastAsia="宋体" w:cs="Times New Roman"/>
          <w:i w:val="0"/>
          <w:strike w:val="0"/>
          <w:dstrike w:val="0"/>
          <w:color w:val="auto"/>
          <w:spacing w:val="0"/>
          <w:position w:val="0"/>
          <w:sz w:val="24"/>
          <w:szCs w:val="24"/>
          <w:highlight w:val="none"/>
        </w:rPr>
        <w:t>%</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H</w:t>
      </w:r>
      <w:r>
        <w:rPr>
          <w:rFonts w:hint="eastAsia" w:ascii="Times New Roman" w:hAnsi="Times New Roman" w:eastAsia="宋体" w:cs="Times New Roman"/>
          <w:i w:val="0"/>
          <w:strike w:val="0"/>
          <w:dstrike w:val="0"/>
          <w:color w:val="auto"/>
          <w:spacing w:val="0"/>
          <w:position w:val="0"/>
          <w:sz w:val="24"/>
          <w:szCs w:val="24"/>
          <w:highlight w:val="none"/>
          <w:vertAlign w:val="subscript"/>
          <w:lang w:val="en-US" w:eastAsia="zh-CN"/>
        </w:rPr>
        <w:t>2</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S</w:t>
      </w:r>
      <w:r>
        <w:rPr>
          <w:rFonts w:ascii="Times New Roman" w:hAnsi="Times New Roman" w:eastAsia="宋体" w:cs="宋体"/>
          <w:i w:val="0"/>
          <w:strike w:val="0"/>
          <w:dstrike w:val="0"/>
          <w:color w:val="auto"/>
          <w:spacing w:val="0"/>
          <w:position w:val="0"/>
          <w:sz w:val="24"/>
          <w:szCs w:val="24"/>
          <w:highlight w:val="none"/>
        </w:rPr>
        <w:t>最大地面空气质量浓度出现在距离厂界</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249</w:t>
      </w:r>
      <w:r>
        <w:rPr>
          <w:rFonts w:ascii="Times New Roman" w:hAnsi="Times New Roman" w:eastAsia="宋体" w:cs="Times New Roman"/>
          <w:i w:val="0"/>
          <w:strike w:val="0"/>
          <w:dstrike w:val="0"/>
          <w:color w:val="auto"/>
          <w:spacing w:val="0"/>
          <w:position w:val="0"/>
          <w:sz w:val="24"/>
          <w:szCs w:val="24"/>
          <w:highlight w:val="none"/>
        </w:rPr>
        <w:t>m</w:t>
      </w:r>
      <w:r>
        <w:rPr>
          <w:rFonts w:ascii="Times New Roman" w:hAnsi="Times New Roman" w:eastAsia="宋体" w:cs="宋体"/>
          <w:i w:val="0"/>
          <w:strike w:val="0"/>
          <w:dstrike w:val="0"/>
          <w:color w:val="auto"/>
          <w:spacing w:val="0"/>
          <w:position w:val="0"/>
          <w:sz w:val="24"/>
          <w:szCs w:val="24"/>
          <w:highlight w:val="none"/>
        </w:rPr>
        <w:t>处，最大地面空气质量浓度分别为</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0.7657u</w:t>
      </w:r>
      <w:r>
        <w:rPr>
          <w:rFonts w:ascii="Times New Roman" w:hAnsi="Times New Roman" w:eastAsia="宋体" w:cs="Times New Roman"/>
          <w:i w:val="0"/>
          <w:strike w:val="0"/>
          <w:dstrike w:val="0"/>
          <w:color w:val="auto"/>
          <w:spacing w:val="0"/>
          <w:position w:val="0"/>
          <w:sz w:val="24"/>
          <w:szCs w:val="24"/>
          <w:highlight w:val="none"/>
        </w:rPr>
        <w:t>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，占标率为</w:t>
      </w:r>
      <w:r>
        <w:rPr>
          <w:rFonts w:hint="eastAsia" w:ascii="Times New Roman" w:hAnsi="Times New Roman" w:eastAsia="宋体" w:cs="宋体"/>
          <w:i w:val="0"/>
          <w:strike w:val="0"/>
          <w:dstrike w:val="0"/>
          <w:color w:val="auto"/>
          <w:spacing w:val="0"/>
          <w:position w:val="0"/>
          <w:sz w:val="24"/>
          <w:szCs w:val="24"/>
          <w:highlight w:val="none"/>
          <w:lang w:val="en-US" w:eastAsia="zh-CN"/>
        </w:rPr>
        <w:t>7.6569</w:t>
      </w:r>
      <w:r>
        <w:rPr>
          <w:rFonts w:ascii="Times New Roman" w:hAnsi="Times New Roman" w:eastAsia="宋体" w:cs="Times New Roman"/>
          <w:i w:val="0"/>
          <w:strike w:val="0"/>
          <w:dstrike w:val="0"/>
          <w:color w:val="auto"/>
          <w:spacing w:val="0"/>
          <w:position w:val="0"/>
          <w:sz w:val="24"/>
          <w:szCs w:val="24"/>
          <w:highlight w:val="none"/>
        </w:rPr>
        <w:t>%</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hint="eastAsia" w:ascii="Times New Roman" w:hAnsi="Times New Roman" w:eastAsia="宋体" w:cs="宋体"/>
          <w:color w:val="auto"/>
          <w:kern w:val="0"/>
          <w:sz w:val="24"/>
          <w:szCs w:val="24"/>
          <w:lang w:val="en-US" w:eastAsia="zh-CN" w:bidi="ar"/>
        </w:rPr>
        <w:t>本项目排放硫化氢和氨满足《恶臭污染物排放标准》（</w:t>
      </w:r>
      <w:r>
        <w:rPr>
          <w:rFonts w:hint="default" w:ascii="Times New Roman" w:hAnsi="Times New Roman" w:eastAsia="宋体" w:cs="Times New Roman"/>
          <w:color w:val="auto"/>
          <w:kern w:val="0"/>
          <w:sz w:val="24"/>
          <w:szCs w:val="24"/>
          <w:lang w:val="en-US" w:eastAsia="zh-CN" w:bidi="ar"/>
        </w:rPr>
        <w:t>GB14554-1993</w:t>
      </w:r>
      <w:r>
        <w:rPr>
          <w:rFonts w:hint="eastAsia" w:ascii="Times New Roman" w:hAnsi="Times New Roman"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Times New Roman" w:hAnsi="Times New Roman" w:eastAsia="宋体" w:cs="宋体"/>
          <w:color w:val="auto"/>
          <w:kern w:val="0"/>
          <w:sz w:val="24"/>
          <w:szCs w:val="24"/>
          <w:lang w:val="en-US" w:eastAsia="zh-CN" w:bidi="ar"/>
        </w:rPr>
        <w:t>恶臭污染物厂界标准二级标准（</w:t>
      </w:r>
      <w:r>
        <w:rPr>
          <w:rFonts w:hint="default" w:ascii="Times New Roman" w:hAnsi="Times New Roman" w:eastAsia="宋体" w:cs="Times New Roman"/>
          <w:color w:val="auto"/>
          <w:kern w:val="0"/>
          <w:sz w:val="24"/>
          <w:szCs w:val="24"/>
          <w:lang w:val="en-US" w:eastAsia="zh-CN" w:bidi="ar"/>
        </w:rPr>
        <w:t>0.06mg/m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1.5mg/m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），对环境影响可接受。</w:t>
      </w:r>
    </w:p>
    <w:p w14:paraId="7000211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Times New Roman"/>
          <w:i w:val="0"/>
          <w:strike w:val="0"/>
          <w:dstrike w:val="0"/>
          <w:color w:val="auto"/>
          <w:spacing w:val="0"/>
          <w:position w:val="0"/>
          <w:sz w:val="24"/>
          <w:szCs w:val="24"/>
          <w:highlight w:val="none"/>
          <w:lang w:eastAsia="zh-CN"/>
        </w:rPr>
        <w:t>（</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3</w:t>
      </w:r>
      <w:r>
        <w:rPr>
          <w:rFonts w:hint="eastAsia" w:ascii="Times New Roman" w:hAnsi="Times New Roman" w:eastAsia="宋体" w:cs="Times New Roman"/>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污染物排放量核算</w:t>
      </w:r>
    </w:p>
    <w:p w14:paraId="223545D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大气污染物年排放量核算详见表</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5</w:t>
      </w:r>
      <w:r>
        <w:rPr>
          <w:rFonts w:ascii="Times New Roman" w:hAnsi="Times New Roman" w:eastAsia="宋体" w:cs="Times New Roman"/>
          <w:i w:val="0"/>
          <w:strike w:val="0"/>
          <w:dstrike w:val="0"/>
          <w:color w:val="auto"/>
          <w:spacing w:val="0"/>
          <w:position w:val="0"/>
          <w:sz w:val="24"/>
          <w:szCs w:val="24"/>
          <w:highlight w:val="none"/>
        </w:rPr>
        <w:t>.2-8</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5ECCDD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黑体"/>
          <w:b/>
          <w:bCs/>
          <w:i w:val="0"/>
          <w:strike w:val="0"/>
          <w:dstrike w:val="0"/>
          <w:color w:val="auto"/>
          <w:spacing w:val="0"/>
          <w:position w:val="0"/>
          <w:sz w:val="24"/>
          <w:szCs w:val="21"/>
          <w:highlight w:val="none"/>
        </w:rPr>
      </w:pPr>
      <w:r>
        <w:rPr>
          <w:rFonts w:ascii="Times New Roman" w:hAnsi="Times New Roman" w:eastAsia="宋体" w:cs="黑体"/>
          <w:b/>
          <w:bCs/>
          <w:i w:val="0"/>
          <w:strike w:val="0"/>
          <w:dstrike w:val="0"/>
          <w:color w:val="auto"/>
          <w:spacing w:val="0"/>
          <w:position w:val="0"/>
          <w:sz w:val="24"/>
          <w:szCs w:val="21"/>
          <w:highlight w:val="none"/>
        </w:rPr>
        <w:t>表</w:t>
      </w:r>
      <w:r>
        <w:rPr>
          <w:rFonts w:hint="eastAsia" w:ascii="Times New Roman" w:hAnsi="Times New Roman" w:eastAsia="宋体" w:cs="Times New Roman"/>
          <w:b/>
          <w:bCs/>
          <w:i w:val="0"/>
          <w:strike w:val="0"/>
          <w:dstrike w:val="0"/>
          <w:color w:val="auto"/>
          <w:spacing w:val="0"/>
          <w:position w:val="0"/>
          <w:sz w:val="24"/>
          <w:szCs w:val="21"/>
          <w:highlight w:val="none"/>
          <w:lang w:val="en-US" w:eastAsia="zh-CN"/>
        </w:rPr>
        <w:t>5</w:t>
      </w:r>
      <w:r>
        <w:rPr>
          <w:rFonts w:ascii="Times New Roman" w:hAnsi="Times New Roman" w:eastAsia="宋体" w:cs="Times New Roman"/>
          <w:b/>
          <w:bCs/>
          <w:i w:val="0"/>
          <w:strike w:val="0"/>
          <w:dstrike w:val="0"/>
          <w:color w:val="auto"/>
          <w:spacing w:val="0"/>
          <w:position w:val="0"/>
          <w:sz w:val="24"/>
          <w:szCs w:val="21"/>
          <w:highlight w:val="none"/>
        </w:rPr>
        <w:t>.2-8</w:t>
      </w:r>
      <w:r>
        <w:rPr>
          <w:rFonts w:ascii="Times New Roman" w:hAnsi="Times New Roman" w:eastAsia="宋体" w:cs="黑体"/>
          <w:b/>
          <w:bCs/>
          <w:i w:val="0"/>
          <w:strike w:val="0"/>
          <w:dstrike w:val="0"/>
          <w:color w:val="auto"/>
          <w:spacing w:val="0"/>
          <w:position w:val="0"/>
          <w:sz w:val="24"/>
          <w:szCs w:val="21"/>
          <w:highlight w:val="none"/>
        </w:rPr>
        <w:t>大气污染物年排放量核算表</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22"/>
        <w:gridCol w:w="2926"/>
        <w:gridCol w:w="3452"/>
      </w:tblGrid>
      <w:tr w14:paraId="4C800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1158" w:type="pct"/>
            <w:vAlign w:val="center"/>
          </w:tcPr>
          <w:p w14:paraId="62730DF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序号</w:t>
            </w:r>
          </w:p>
        </w:tc>
        <w:tc>
          <w:tcPr>
            <w:tcW w:w="1762" w:type="pct"/>
            <w:vAlign w:val="center"/>
          </w:tcPr>
          <w:p w14:paraId="0750753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污染物</w:t>
            </w:r>
          </w:p>
        </w:tc>
        <w:tc>
          <w:tcPr>
            <w:tcW w:w="2079" w:type="pct"/>
            <w:vAlign w:val="center"/>
          </w:tcPr>
          <w:p w14:paraId="3521B1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年排放量</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val="en-US" w:eastAsia="zh-CN"/>
              </w:rPr>
              <w:t>kg</w:t>
            </w:r>
            <w:r>
              <w:rPr>
                <w:rFonts w:ascii="Times New Roman" w:hAnsi="Times New Roman" w:eastAsia="宋体" w:cs="Times New Roman"/>
                <w:i w:val="0"/>
                <w:strike w:val="0"/>
                <w:dstrike w:val="0"/>
                <w:color w:val="auto"/>
                <w:spacing w:val="0"/>
                <w:position w:val="0"/>
                <w:sz w:val="21"/>
                <w:szCs w:val="21"/>
                <w:highlight w:val="none"/>
              </w:rPr>
              <w:t>/a</w:t>
            </w:r>
            <w:r>
              <w:rPr>
                <w:rFonts w:hint="eastAsia" w:ascii="Times New Roman" w:hAnsi="Times New Roman" w:eastAsia="宋体" w:cs="宋体"/>
                <w:i w:val="0"/>
                <w:strike w:val="0"/>
                <w:dstrike w:val="0"/>
                <w:color w:val="auto"/>
                <w:spacing w:val="0"/>
                <w:position w:val="0"/>
                <w:sz w:val="21"/>
                <w:szCs w:val="21"/>
                <w:highlight w:val="none"/>
                <w:lang w:eastAsia="zh-CN"/>
              </w:rPr>
              <w:t>）</w:t>
            </w:r>
          </w:p>
        </w:tc>
      </w:tr>
      <w:tr w14:paraId="1EED4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1158" w:type="pct"/>
            <w:vAlign w:val="center"/>
          </w:tcPr>
          <w:p w14:paraId="586CB0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1</w:t>
            </w:r>
          </w:p>
        </w:tc>
        <w:tc>
          <w:tcPr>
            <w:tcW w:w="1762" w:type="pct"/>
            <w:vAlign w:val="center"/>
          </w:tcPr>
          <w:p w14:paraId="1BD9833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14"/>
                <w:highlight w:val="none"/>
              </w:rPr>
            </w:pP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p>
        </w:tc>
        <w:tc>
          <w:tcPr>
            <w:tcW w:w="2079" w:type="pct"/>
            <w:vAlign w:val="center"/>
          </w:tcPr>
          <w:p w14:paraId="6B3C18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i w:val="0"/>
                <w:strike w:val="0"/>
                <w:dstrike w:val="0"/>
                <w:color w:val="auto"/>
                <w:spacing w:val="0"/>
                <w:position w:val="0"/>
                <w:sz w:val="21"/>
                <w:szCs w:val="21"/>
                <w:highlight w:val="none"/>
                <w:lang w:val="en-US" w:eastAsia="zh-CN"/>
              </w:rPr>
            </w:pPr>
            <w:r>
              <w:rPr>
                <w:rFonts w:hint="eastAsia" w:ascii="Times New Roman" w:hAnsi="Times New Roman" w:eastAsia="宋体" w:cs="Times New Roman"/>
                <w:i w:val="0"/>
                <w:strike w:val="0"/>
                <w:dstrike w:val="0"/>
                <w:color w:val="auto"/>
                <w:spacing w:val="0"/>
                <w:position w:val="0"/>
                <w:sz w:val="21"/>
                <w:szCs w:val="21"/>
                <w:highlight w:val="none"/>
                <w:lang w:val="en-US" w:eastAsia="zh-CN"/>
              </w:rPr>
              <w:t>151.4051</w:t>
            </w:r>
          </w:p>
        </w:tc>
      </w:tr>
      <w:tr w14:paraId="126E5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158" w:type="pct"/>
            <w:vAlign w:val="center"/>
          </w:tcPr>
          <w:p w14:paraId="58F5FFB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2</w:t>
            </w:r>
          </w:p>
        </w:tc>
        <w:tc>
          <w:tcPr>
            <w:tcW w:w="1762" w:type="pct"/>
            <w:vAlign w:val="center"/>
          </w:tcPr>
          <w:p w14:paraId="68778D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p>
        </w:tc>
        <w:tc>
          <w:tcPr>
            <w:tcW w:w="2079" w:type="pct"/>
            <w:vAlign w:val="center"/>
          </w:tcPr>
          <w:p w14:paraId="0F8CC30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i w:val="0"/>
                <w:strike w:val="0"/>
                <w:dstrike w:val="0"/>
                <w:color w:val="auto"/>
                <w:spacing w:val="0"/>
                <w:position w:val="0"/>
                <w:sz w:val="21"/>
                <w:szCs w:val="21"/>
                <w:highlight w:val="none"/>
                <w:lang w:val="en-US" w:eastAsia="zh-CN"/>
              </w:rPr>
            </w:pPr>
            <w:r>
              <w:rPr>
                <w:rFonts w:hint="eastAsia" w:ascii="Times New Roman" w:hAnsi="Times New Roman" w:eastAsia="宋体" w:cs="Times New Roman"/>
                <w:i w:val="0"/>
                <w:strike w:val="0"/>
                <w:dstrike w:val="0"/>
                <w:color w:val="auto"/>
                <w:spacing w:val="0"/>
                <w:position w:val="0"/>
                <w:sz w:val="21"/>
                <w:szCs w:val="21"/>
                <w:highlight w:val="none"/>
                <w:lang w:val="en-US" w:eastAsia="zh-CN"/>
              </w:rPr>
              <w:t>14.4015</w:t>
            </w:r>
          </w:p>
        </w:tc>
      </w:tr>
    </w:tbl>
    <w:p w14:paraId="32EF43DF">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.2.1.2防护距离</w:t>
      </w:r>
    </w:p>
    <w:p w14:paraId="5D63D0C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1</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大气环境防护距离</w:t>
      </w:r>
    </w:p>
    <w:p w14:paraId="4A5F4557">
      <w:pPr>
        <w:keepNext w:val="0"/>
        <w:keepLines w:val="0"/>
        <w:pageBreakBefore w:val="0"/>
        <w:widowControl w:val="0"/>
        <w:kinsoku/>
        <w:wordWrap/>
        <w:overflowPunct/>
        <w:topLinePunct w:val="0"/>
        <w:autoSpaceDE/>
        <w:autoSpaceDN/>
        <w:bidi w:val="0"/>
        <w:adjustRightInd/>
        <w:snapToGrid/>
        <w:spacing w:line="360" w:lineRule="auto"/>
        <w:ind w:left="0" w:right="0" w:firstLine="506"/>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因为养殖场环境空气主要污染物是恶臭，也是居民在心理上最关心的</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在《环境影响评价技术导则大气环境》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HJ2.2-2018</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附录</w:t>
      </w:r>
      <w:r>
        <w:rPr>
          <w:rFonts w:ascii="Times New Roman" w:hAnsi="Times New Roman" w:eastAsia="宋体" w:cs="Times New Roman"/>
          <w:i w:val="0"/>
          <w:strike w:val="0"/>
          <w:dstrike w:val="0"/>
          <w:color w:val="auto"/>
          <w:spacing w:val="0"/>
          <w:position w:val="0"/>
          <w:sz w:val="24"/>
          <w:szCs w:val="24"/>
          <w:highlight w:val="none"/>
        </w:rPr>
        <w:t>D</w:t>
      </w:r>
      <w:r>
        <w:rPr>
          <w:rFonts w:ascii="Times New Roman" w:hAnsi="Times New Roman" w:eastAsia="宋体" w:cs="宋体"/>
          <w:i w:val="0"/>
          <w:strike w:val="0"/>
          <w:dstrike w:val="0"/>
          <w:color w:val="auto"/>
          <w:spacing w:val="0"/>
          <w:position w:val="0"/>
          <w:sz w:val="24"/>
          <w:szCs w:val="24"/>
          <w:highlight w:val="none"/>
        </w:rPr>
        <w:t>其他污染物空气质量浓度参考限值中硫化氢的最高允许浓度为</w:t>
      </w:r>
      <w:r>
        <w:rPr>
          <w:rFonts w:ascii="Times New Roman" w:hAnsi="Times New Roman" w:eastAsia="宋体" w:cs="Times New Roman"/>
          <w:i w:val="0"/>
          <w:strike w:val="0"/>
          <w:dstrike w:val="0"/>
          <w:color w:val="auto"/>
          <w:spacing w:val="0"/>
          <w:position w:val="0"/>
          <w:sz w:val="24"/>
          <w:szCs w:val="24"/>
          <w:highlight w:val="none"/>
        </w:rPr>
        <w:t>0.01mg/m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，氨气的最高允许浓度为</w:t>
      </w:r>
      <w:r>
        <w:rPr>
          <w:rFonts w:ascii="Times New Roman" w:hAnsi="Times New Roman" w:eastAsia="宋体" w:cs="Times New Roman"/>
          <w:i w:val="0"/>
          <w:strike w:val="0"/>
          <w:dstrike w:val="0"/>
          <w:color w:val="auto"/>
          <w:spacing w:val="0"/>
          <w:position w:val="0"/>
          <w:sz w:val="24"/>
          <w:szCs w:val="24"/>
          <w:highlight w:val="none"/>
        </w:rPr>
        <w:t>0.2mg/m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本次评价采用《环境影响评价技术导则大气环境》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HJ2.2-2018</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推荐的估算模型</w:t>
      </w:r>
      <w:r>
        <w:rPr>
          <w:rFonts w:ascii="Times New Roman" w:hAnsi="Times New Roman" w:eastAsia="宋体" w:cs="Times New Roman"/>
          <w:i w:val="0"/>
          <w:strike w:val="0"/>
          <w:dstrike w:val="0"/>
          <w:color w:val="auto"/>
          <w:spacing w:val="0"/>
          <w:position w:val="0"/>
          <w:sz w:val="24"/>
          <w:szCs w:val="24"/>
          <w:highlight w:val="none"/>
        </w:rPr>
        <w:t>AERSCREEN</w:t>
      </w:r>
      <w:r>
        <w:rPr>
          <w:rFonts w:ascii="Times New Roman" w:hAnsi="Times New Roman" w:eastAsia="宋体" w:cs="宋体"/>
          <w:i w:val="0"/>
          <w:strike w:val="0"/>
          <w:dstrike w:val="0"/>
          <w:color w:val="auto"/>
          <w:spacing w:val="0"/>
          <w:position w:val="0"/>
          <w:sz w:val="24"/>
          <w:szCs w:val="24"/>
          <w:highlight w:val="none"/>
        </w:rPr>
        <w:t>计算，本项目恶臭气体无组织排放未出现超标现象，因此项目不需设大气环境防护距离</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6365BF65">
      <w:pPr>
        <w:keepNext w:val="0"/>
        <w:keepLines w:val="0"/>
        <w:pageBreakBefore w:val="0"/>
        <w:widowControl w:val="0"/>
        <w:kinsoku/>
        <w:wordWrap/>
        <w:overflowPunct/>
        <w:topLinePunct w:val="0"/>
        <w:autoSpaceDE/>
        <w:autoSpaceDN/>
        <w:bidi w:val="0"/>
        <w:adjustRightInd/>
        <w:snapToGrid/>
        <w:spacing w:line="360" w:lineRule="auto"/>
        <w:ind w:left="0" w:right="0" w:firstLine="49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2</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本项目无相关卫生距离标准，根据《畜禽养殖业污染防治技术规范》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HJ/T81-2001</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中要求，新建、改建、扩建的畜禽养殖场场界与该标准中规定的禁建区域的最小距离不得小于</w:t>
      </w:r>
      <w:r>
        <w:rPr>
          <w:rFonts w:ascii="Times New Roman" w:hAnsi="Times New Roman" w:eastAsia="宋体" w:cs="Times New Roman"/>
          <w:i w:val="0"/>
          <w:strike w:val="0"/>
          <w:dstrike w:val="0"/>
          <w:color w:val="auto"/>
          <w:spacing w:val="0"/>
          <w:position w:val="0"/>
          <w:sz w:val="24"/>
          <w:szCs w:val="24"/>
          <w:highlight w:val="none"/>
        </w:rPr>
        <w:t>500m</w:t>
      </w:r>
      <w:r>
        <w:rPr>
          <w:rFonts w:ascii="Times New Roman" w:hAnsi="Times New Roman" w:eastAsia="宋体" w:cs="宋体"/>
          <w:i w:val="0"/>
          <w:strike w:val="0"/>
          <w:dstrike w:val="0"/>
          <w:color w:val="auto"/>
          <w:spacing w:val="0"/>
          <w:position w:val="0"/>
          <w:sz w:val="24"/>
          <w:szCs w:val="24"/>
          <w:highlight w:val="none"/>
        </w:rPr>
        <w:t>，禁建区域包括：生活饮用水水源保护区、风景名胜区、自然保护区的核心区及缓冲区；城市和城镇居民区，包括文教科研区、医疗区、商业区、工业区、游览区等人口集中地区；县级人民政府依法划定的禁养区域；国家或地方法律、法规规定需特殊保护的其它区域</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因此确定本项目卫生防护距离为</w:t>
      </w:r>
      <w:r>
        <w:rPr>
          <w:rFonts w:ascii="Times New Roman" w:hAnsi="Times New Roman" w:eastAsia="宋体" w:cs="Times New Roman"/>
          <w:i w:val="0"/>
          <w:strike w:val="0"/>
          <w:dstrike w:val="0"/>
          <w:color w:val="auto"/>
          <w:spacing w:val="0"/>
          <w:position w:val="0"/>
          <w:sz w:val="24"/>
          <w:szCs w:val="24"/>
          <w:highlight w:val="none"/>
        </w:rPr>
        <w:t>500m</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47E2CB5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3</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防护距离结论</w:t>
      </w:r>
    </w:p>
    <w:p w14:paraId="033364D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综合上述分析，确定本项目的防护距离为</w:t>
      </w:r>
      <w:r>
        <w:rPr>
          <w:rFonts w:ascii="Times New Roman" w:hAnsi="Times New Roman" w:eastAsia="宋体" w:cs="Times New Roman"/>
          <w:i w:val="0"/>
          <w:strike w:val="0"/>
          <w:dstrike w:val="0"/>
          <w:color w:val="auto"/>
          <w:spacing w:val="0"/>
          <w:position w:val="0"/>
          <w:sz w:val="24"/>
          <w:szCs w:val="24"/>
          <w:highlight w:val="none"/>
        </w:rPr>
        <w:t>500m</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3A5B0D2B">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根据现场调查，以拟建养殖场场界为起点外扩</w:t>
      </w:r>
      <w:r>
        <w:rPr>
          <w:rFonts w:ascii="Times New Roman" w:hAnsi="Times New Roman" w:eastAsia="宋体" w:cs="Times New Roman"/>
          <w:i w:val="0"/>
          <w:strike w:val="0"/>
          <w:dstrike w:val="0"/>
          <w:color w:val="auto"/>
          <w:spacing w:val="0"/>
          <w:position w:val="0"/>
          <w:sz w:val="24"/>
          <w:szCs w:val="24"/>
          <w:highlight w:val="none"/>
        </w:rPr>
        <w:t>500m</w:t>
      </w:r>
      <w:r>
        <w:rPr>
          <w:rFonts w:ascii="Times New Roman" w:hAnsi="Times New Roman" w:eastAsia="宋体" w:cs="宋体"/>
          <w:i w:val="0"/>
          <w:strike w:val="0"/>
          <w:dstrike w:val="0"/>
          <w:color w:val="auto"/>
          <w:spacing w:val="0"/>
          <w:position w:val="0"/>
          <w:sz w:val="24"/>
          <w:szCs w:val="24"/>
          <w:highlight w:val="none"/>
        </w:rPr>
        <w:t>范围内无环境敏感点分布，满足项目环境防护距离要求</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2B5CC0A5">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5.2.1.3</w:t>
      </w:r>
      <w:r>
        <w:rPr>
          <w:rFonts w:hint="eastAsia" w:ascii="Times New Roman" w:hAnsi="Times New Roman" w:eastAsia="宋体"/>
          <w:strike w:val="0"/>
          <w:dstrike w:val="0"/>
          <w:color w:val="auto"/>
          <w:highlight w:val="none"/>
        </w:rPr>
        <w:t>大气环境影响评价自查表</w:t>
      </w:r>
    </w:p>
    <w:p w14:paraId="2E70DAA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建设项目大气环境影响评价自查表详见表</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5</w:t>
      </w:r>
      <w:r>
        <w:rPr>
          <w:rFonts w:ascii="Times New Roman" w:hAnsi="Times New Roman" w:eastAsia="宋体" w:cs="Times New Roman"/>
          <w:i w:val="0"/>
          <w:strike w:val="0"/>
          <w:dstrike w:val="0"/>
          <w:color w:val="auto"/>
          <w:spacing w:val="0"/>
          <w:position w:val="0"/>
          <w:sz w:val="24"/>
          <w:szCs w:val="24"/>
          <w:highlight w:val="none"/>
        </w:rPr>
        <w:t>.2-9</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69E018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表5.2-9建设项目大气环境影响评价自查表</w:t>
      </w:r>
    </w:p>
    <w:tbl>
      <w:tblPr>
        <w:tblStyle w:val="183"/>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9"/>
        <w:gridCol w:w="1293"/>
        <w:gridCol w:w="1173"/>
        <w:gridCol w:w="186"/>
        <w:gridCol w:w="183"/>
        <w:gridCol w:w="185"/>
        <w:gridCol w:w="186"/>
        <w:gridCol w:w="1339"/>
        <w:gridCol w:w="1080"/>
        <w:gridCol w:w="455"/>
        <w:gridCol w:w="357"/>
        <w:gridCol w:w="220"/>
        <w:gridCol w:w="204"/>
        <w:gridCol w:w="976"/>
      </w:tblGrid>
      <w:tr w14:paraId="366A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1111" w:type="pct"/>
            <w:gridSpan w:val="2"/>
            <w:tcBorders>
              <w:tl2br w:val="nil"/>
              <w:tr2bl w:val="nil"/>
            </w:tcBorders>
            <w:vAlign w:val="center"/>
          </w:tcPr>
          <w:p w14:paraId="2CE4A5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工作内容</w:t>
            </w:r>
          </w:p>
        </w:tc>
        <w:tc>
          <w:tcPr>
            <w:tcW w:w="3888" w:type="pct"/>
            <w:gridSpan w:val="12"/>
            <w:tcBorders>
              <w:tl2br w:val="nil"/>
              <w:tr2bl w:val="nil"/>
            </w:tcBorders>
            <w:vAlign w:val="center"/>
          </w:tcPr>
          <w:p w14:paraId="1AA387F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自查项目</w:t>
            </w:r>
          </w:p>
        </w:tc>
      </w:tr>
      <w:tr w14:paraId="12A0D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restart"/>
            <w:tcBorders>
              <w:tl2br w:val="nil"/>
              <w:tr2bl w:val="nil"/>
            </w:tcBorders>
            <w:vAlign w:val="center"/>
          </w:tcPr>
          <w:p w14:paraId="3C5AE2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评价等级与范围</w:t>
            </w:r>
          </w:p>
        </w:tc>
        <w:tc>
          <w:tcPr>
            <w:tcW w:w="799" w:type="pct"/>
            <w:tcBorders>
              <w:tl2br w:val="nil"/>
              <w:tr2bl w:val="nil"/>
            </w:tcBorders>
            <w:vAlign w:val="center"/>
          </w:tcPr>
          <w:p w14:paraId="79FB8F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评价等级</w:t>
            </w:r>
          </w:p>
        </w:tc>
        <w:tc>
          <w:tcPr>
            <w:tcW w:w="1117" w:type="pct"/>
            <w:gridSpan w:val="5"/>
            <w:tcBorders>
              <w:tl2br w:val="nil"/>
              <w:tr2bl w:val="nil"/>
            </w:tcBorders>
            <w:vAlign w:val="center"/>
          </w:tcPr>
          <w:p w14:paraId="572CF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一级</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64E7AD6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MS Gothic"/>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908" w:type="pct"/>
            <w:gridSpan w:val="3"/>
            <w:tcBorders>
              <w:tl2br w:val="nil"/>
              <w:tr2bl w:val="nil"/>
            </w:tcBorders>
            <w:vAlign w:val="center"/>
          </w:tcPr>
          <w:p w14:paraId="53F6E3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三级</w:t>
            </w:r>
            <w:r>
              <w:rPr>
                <w:rFonts w:hint="eastAsia" w:ascii="Times New Roman" w:hAnsi="Times New Roman" w:eastAsia="宋体" w:cs="宋体"/>
                <w:i w:val="0"/>
                <w:strike w:val="0"/>
                <w:dstrike w:val="0"/>
                <w:color w:val="auto"/>
                <w:spacing w:val="0"/>
                <w:position w:val="0"/>
                <w:sz w:val="21"/>
                <w:szCs w:val="21"/>
                <w:highlight w:val="none"/>
                <w:lang w:eastAsia="zh-CN"/>
              </w:rPr>
              <w:t>□</w:t>
            </w:r>
          </w:p>
        </w:tc>
      </w:tr>
      <w:tr w14:paraId="554A2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continue"/>
            <w:tcBorders>
              <w:tl2br w:val="nil"/>
              <w:tr2bl w:val="nil"/>
            </w:tcBorders>
            <w:vAlign w:val="center"/>
          </w:tcPr>
          <w:p w14:paraId="6A3FE25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F54B5F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评价范围</w:t>
            </w:r>
          </w:p>
        </w:tc>
        <w:tc>
          <w:tcPr>
            <w:tcW w:w="1117" w:type="pct"/>
            <w:gridSpan w:val="5"/>
            <w:tcBorders>
              <w:tl2br w:val="nil"/>
              <w:tr2bl w:val="nil"/>
            </w:tcBorders>
            <w:vAlign w:val="center"/>
          </w:tcPr>
          <w:p w14:paraId="2D7DE0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=50km□</w:t>
            </w:r>
          </w:p>
        </w:tc>
        <w:tc>
          <w:tcPr>
            <w:tcW w:w="1863" w:type="pct"/>
            <w:gridSpan w:val="4"/>
            <w:tcBorders>
              <w:tl2br w:val="nil"/>
              <w:tr2bl w:val="nil"/>
            </w:tcBorders>
            <w:vAlign w:val="center"/>
          </w:tcPr>
          <w:p w14:paraId="1998EC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50km□</w:t>
            </w:r>
          </w:p>
        </w:tc>
        <w:tc>
          <w:tcPr>
            <w:tcW w:w="908" w:type="pct"/>
            <w:gridSpan w:val="3"/>
            <w:tcBorders>
              <w:tl2br w:val="nil"/>
              <w:tr2bl w:val="nil"/>
            </w:tcBorders>
            <w:vAlign w:val="center"/>
          </w:tcPr>
          <w:p w14:paraId="026AF2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=5km</w:t>
            </w:r>
            <w:r>
              <w:rPr>
                <w:rFonts w:ascii="Times New Roman" w:hAnsi="Times New Roman" w:eastAsia="宋体" w:cs="MS Gothic"/>
                <w:i w:val="0"/>
                <w:strike w:val="0"/>
                <w:dstrike w:val="0"/>
                <w:color w:val="auto"/>
                <w:spacing w:val="0"/>
                <w:position w:val="0"/>
                <w:sz w:val="21"/>
                <w:szCs w:val="21"/>
                <w:highlight w:val="none"/>
              </w:rPr>
              <w:t>☑</w:t>
            </w:r>
          </w:p>
        </w:tc>
      </w:tr>
      <w:tr w14:paraId="7CAAF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11" w:type="pct"/>
            <w:vMerge w:val="restart"/>
            <w:tcBorders>
              <w:tl2br w:val="nil"/>
              <w:tr2bl w:val="nil"/>
            </w:tcBorders>
            <w:vAlign w:val="center"/>
          </w:tcPr>
          <w:p w14:paraId="7013241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评价因子</w:t>
            </w:r>
          </w:p>
        </w:tc>
        <w:tc>
          <w:tcPr>
            <w:tcW w:w="799" w:type="pct"/>
            <w:tcBorders>
              <w:tl2br w:val="nil"/>
              <w:tr2bl w:val="nil"/>
            </w:tcBorders>
            <w:vAlign w:val="center"/>
          </w:tcPr>
          <w:p w14:paraId="065E46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+NO</w:t>
            </w:r>
            <w:r>
              <w:rPr>
                <w:rFonts w:ascii="Times New Roman" w:hAnsi="Times New Roman" w:eastAsia="宋体" w:cs="Times New Roman"/>
                <w:i w:val="0"/>
                <w:iCs/>
                <w:strike w:val="0"/>
                <w:dstrike w:val="0"/>
                <w:color w:val="auto"/>
                <w:spacing w:val="0"/>
                <w:position w:val="0"/>
                <w:sz w:val="21"/>
                <w:szCs w:val="21"/>
                <w:highlight w:val="none"/>
              </w:rPr>
              <w:t>x</w:t>
            </w:r>
            <w:r>
              <w:rPr>
                <w:rFonts w:ascii="Times New Roman" w:hAnsi="Times New Roman" w:eastAsia="宋体" w:cs="宋体"/>
                <w:i w:val="0"/>
                <w:strike w:val="0"/>
                <w:dstrike w:val="0"/>
                <w:color w:val="auto"/>
                <w:spacing w:val="0"/>
                <w:position w:val="0"/>
                <w:sz w:val="21"/>
                <w:szCs w:val="21"/>
                <w:highlight w:val="none"/>
              </w:rPr>
              <w:t>排放量</w:t>
            </w:r>
          </w:p>
        </w:tc>
        <w:tc>
          <w:tcPr>
            <w:tcW w:w="826" w:type="pct"/>
            <w:gridSpan w:val="2"/>
            <w:tcBorders>
              <w:tl2br w:val="nil"/>
              <w:tr2bl w:val="nil"/>
            </w:tcBorders>
            <w:vAlign w:val="center"/>
          </w:tcPr>
          <w:p w14:paraId="73EA11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2000t/a</w:t>
            </w:r>
            <w:r>
              <w:rPr>
                <w:rFonts w:ascii="Times New Roman" w:hAnsi="Times New Roman" w:eastAsia="宋体" w:cs="宋体"/>
                <w:i w:val="0"/>
                <w:strike w:val="0"/>
                <w:dstrike w:val="0"/>
                <w:color w:val="auto"/>
                <w:spacing w:val="0"/>
                <w:position w:val="0"/>
                <w:sz w:val="21"/>
                <w:szCs w:val="21"/>
                <w:highlight w:val="none"/>
              </w:rPr>
              <w:t>□</w:t>
            </w:r>
          </w:p>
        </w:tc>
        <w:tc>
          <w:tcPr>
            <w:tcW w:w="2154" w:type="pct"/>
            <w:gridSpan w:val="7"/>
            <w:tcBorders>
              <w:tl2br w:val="nil"/>
              <w:tr2bl w:val="nil"/>
            </w:tcBorders>
            <w:vAlign w:val="center"/>
          </w:tcPr>
          <w:p w14:paraId="1C91BF0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500~2000t/a□</w:t>
            </w:r>
          </w:p>
        </w:tc>
        <w:tc>
          <w:tcPr>
            <w:tcW w:w="908" w:type="pct"/>
            <w:gridSpan w:val="3"/>
            <w:tcBorders>
              <w:tl2br w:val="nil"/>
              <w:tr2bl w:val="nil"/>
            </w:tcBorders>
            <w:vAlign w:val="center"/>
          </w:tcPr>
          <w:p w14:paraId="3344641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500t/a</w:t>
            </w:r>
            <w:r>
              <w:rPr>
                <w:rFonts w:ascii="Times New Roman" w:hAnsi="Times New Roman" w:eastAsia="宋体" w:cs="MS Gothic"/>
                <w:i w:val="0"/>
                <w:strike w:val="0"/>
                <w:dstrike w:val="0"/>
                <w:color w:val="auto"/>
                <w:spacing w:val="0"/>
                <w:position w:val="0"/>
                <w:sz w:val="21"/>
                <w:szCs w:val="21"/>
                <w:highlight w:val="none"/>
              </w:rPr>
              <w:t>☑</w:t>
            </w:r>
          </w:p>
        </w:tc>
      </w:tr>
      <w:tr w14:paraId="4D1B7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311" w:type="pct"/>
            <w:vMerge w:val="continue"/>
            <w:tcBorders>
              <w:tl2br w:val="nil"/>
              <w:tr2bl w:val="nil"/>
            </w:tcBorders>
            <w:vAlign w:val="center"/>
          </w:tcPr>
          <w:p w14:paraId="5C5463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restart"/>
            <w:tcBorders>
              <w:tl2br w:val="nil"/>
              <w:tr2bl w:val="nil"/>
            </w:tcBorders>
            <w:vAlign w:val="center"/>
          </w:tcPr>
          <w:p w14:paraId="1E1A9E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评价因子</w:t>
            </w:r>
          </w:p>
        </w:tc>
        <w:tc>
          <w:tcPr>
            <w:tcW w:w="1945" w:type="pct"/>
            <w:gridSpan w:val="6"/>
            <w:tcBorders>
              <w:tl2br w:val="nil"/>
              <w:tr2bl w:val="nil"/>
            </w:tcBorders>
            <w:vAlign w:val="center"/>
          </w:tcPr>
          <w:p w14:paraId="3E4FA4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基本污染物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10</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NOx</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CO</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O</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vMerge w:val="restart"/>
            <w:tcBorders>
              <w:tl2br w:val="nil"/>
              <w:tr2bl w:val="nil"/>
            </w:tcBorders>
            <w:vAlign w:val="center"/>
          </w:tcPr>
          <w:p w14:paraId="7911530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Times New Roman"/>
                <w:i w:val="0"/>
                <w:strike w:val="0"/>
                <w:dstrike w:val="0"/>
                <w:color w:val="auto"/>
                <w:spacing w:val="0"/>
                <w:position w:val="0"/>
                <w:sz w:val="21"/>
                <w:szCs w:val="21"/>
                <w:highlight w:val="none"/>
              </w:rPr>
              <w:t>□</w:t>
            </w:r>
          </w:p>
          <w:p w14:paraId="40381F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不包括二次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MS Gothic"/>
                <w:i w:val="0"/>
                <w:strike w:val="0"/>
                <w:dstrike w:val="0"/>
                <w:color w:val="auto"/>
                <w:spacing w:val="0"/>
                <w:position w:val="0"/>
                <w:sz w:val="21"/>
                <w:szCs w:val="21"/>
                <w:highlight w:val="none"/>
              </w:rPr>
              <w:t>☑</w:t>
            </w:r>
          </w:p>
        </w:tc>
      </w:tr>
      <w:tr w14:paraId="54A5B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311" w:type="pct"/>
            <w:vMerge w:val="continue"/>
            <w:tcBorders>
              <w:tl2br w:val="nil"/>
              <w:tr2bl w:val="nil"/>
            </w:tcBorders>
            <w:vAlign w:val="center"/>
          </w:tcPr>
          <w:p w14:paraId="235B4AC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continue"/>
            <w:tcBorders>
              <w:tl2br w:val="nil"/>
              <w:tr2bl w:val="nil"/>
            </w:tcBorders>
            <w:vAlign w:val="center"/>
          </w:tcPr>
          <w:p w14:paraId="793D2B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1945" w:type="pct"/>
            <w:gridSpan w:val="6"/>
            <w:tcBorders>
              <w:tl2br w:val="nil"/>
              <w:tr2bl w:val="nil"/>
            </w:tcBorders>
            <w:vAlign w:val="center"/>
          </w:tcPr>
          <w:p w14:paraId="57F958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其他污染物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vMerge w:val="continue"/>
            <w:tcBorders>
              <w:tl2br w:val="nil"/>
              <w:tr2bl w:val="nil"/>
            </w:tcBorders>
            <w:vAlign w:val="center"/>
          </w:tcPr>
          <w:p w14:paraId="0DFD156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r>
      <w:tr w14:paraId="0414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tcBorders>
              <w:tl2br w:val="nil"/>
              <w:tr2bl w:val="nil"/>
            </w:tcBorders>
            <w:vAlign w:val="center"/>
          </w:tcPr>
          <w:p w14:paraId="029DCA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评价标准</w:t>
            </w:r>
          </w:p>
        </w:tc>
        <w:tc>
          <w:tcPr>
            <w:tcW w:w="799" w:type="pct"/>
            <w:tcBorders>
              <w:tl2br w:val="nil"/>
              <w:tr2bl w:val="nil"/>
            </w:tcBorders>
            <w:vAlign w:val="center"/>
          </w:tcPr>
          <w:p w14:paraId="2946008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评价标准</w:t>
            </w:r>
          </w:p>
        </w:tc>
        <w:tc>
          <w:tcPr>
            <w:tcW w:w="1117" w:type="pct"/>
            <w:gridSpan w:val="5"/>
            <w:tcBorders>
              <w:tl2br w:val="nil"/>
              <w:tr2bl w:val="nil"/>
            </w:tcBorders>
            <w:vAlign w:val="center"/>
          </w:tcPr>
          <w:p w14:paraId="051A37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国家标准</w:t>
            </w:r>
            <w:r>
              <w:rPr>
                <w:rFonts w:ascii="Times New Roman" w:hAnsi="Times New Roman" w:eastAsia="宋体" w:cs="MS Gothic"/>
                <w:i w:val="0"/>
                <w:strike w:val="0"/>
                <w:dstrike w:val="0"/>
                <w:color w:val="auto"/>
                <w:spacing w:val="0"/>
                <w:position w:val="0"/>
                <w:sz w:val="21"/>
                <w:szCs w:val="21"/>
                <w:highlight w:val="none"/>
              </w:rPr>
              <w:t>☑</w:t>
            </w:r>
          </w:p>
        </w:tc>
        <w:tc>
          <w:tcPr>
            <w:tcW w:w="828" w:type="pct"/>
            <w:tcBorders>
              <w:tl2br w:val="nil"/>
              <w:tr2bl w:val="nil"/>
            </w:tcBorders>
            <w:vAlign w:val="center"/>
          </w:tcPr>
          <w:p w14:paraId="4BC380D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地方标准□</w:t>
            </w:r>
          </w:p>
        </w:tc>
        <w:tc>
          <w:tcPr>
            <w:tcW w:w="1334" w:type="pct"/>
            <w:gridSpan w:val="5"/>
            <w:tcBorders>
              <w:tl2br w:val="nil"/>
              <w:tr2bl w:val="nil"/>
            </w:tcBorders>
            <w:vAlign w:val="center"/>
          </w:tcPr>
          <w:p w14:paraId="2E90382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附录</w:t>
            </w:r>
            <w:r>
              <w:rPr>
                <w:rFonts w:ascii="Times New Roman" w:hAnsi="Times New Roman" w:eastAsia="宋体" w:cs="Times New Roman"/>
                <w:i w:val="0"/>
                <w:strike w:val="0"/>
                <w:dstrike w:val="0"/>
                <w:color w:val="auto"/>
                <w:spacing w:val="0"/>
                <w:position w:val="0"/>
                <w:sz w:val="21"/>
                <w:szCs w:val="21"/>
                <w:highlight w:val="none"/>
              </w:rPr>
              <w:t>D</w:t>
            </w:r>
            <w:r>
              <w:rPr>
                <w:rFonts w:ascii="Times New Roman" w:hAnsi="Times New Roman" w:eastAsia="宋体" w:cs="MS Gothic"/>
                <w:i w:val="0"/>
                <w:strike w:val="0"/>
                <w:dstrike w:val="0"/>
                <w:color w:val="auto"/>
                <w:spacing w:val="0"/>
                <w:position w:val="0"/>
                <w:sz w:val="21"/>
                <w:szCs w:val="21"/>
                <w:highlight w:val="none"/>
              </w:rPr>
              <w:t>☑</w:t>
            </w:r>
          </w:p>
        </w:tc>
        <w:tc>
          <w:tcPr>
            <w:tcW w:w="608" w:type="pct"/>
            <w:tcBorders>
              <w:tl2br w:val="nil"/>
              <w:tr2bl w:val="nil"/>
            </w:tcBorders>
            <w:vAlign w:val="center"/>
          </w:tcPr>
          <w:p w14:paraId="7A2340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其他标准□</w:t>
            </w:r>
          </w:p>
        </w:tc>
      </w:tr>
      <w:tr w14:paraId="15535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restart"/>
            <w:tcBorders>
              <w:tl2br w:val="nil"/>
              <w:tr2bl w:val="nil"/>
            </w:tcBorders>
            <w:vAlign w:val="center"/>
          </w:tcPr>
          <w:p w14:paraId="5A85F97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现状评价</w:t>
            </w:r>
          </w:p>
        </w:tc>
        <w:tc>
          <w:tcPr>
            <w:tcW w:w="799" w:type="pct"/>
            <w:tcBorders>
              <w:tl2br w:val="nil"/>
              <w:tr2bl w:val="nil"/>
            </w:tcBorders>
            <w:vAlign w:val="center"/>
          </w:tcPr>
          <w:p w14:paraId="4F6B2F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环境功能区</w:t>
            </w:r>
          </w:p>
        </w:tc>
        <w:tc>
          <w:tcPr>
            <w:tcW w:w="1117" w:type="pct"/>
            <w:gridSpan w:val="5"/>
            <w:tcBorders>
              <w:tl2br w:val="nil"/>
              <w:tr2bl w:val="nil"/>
            </w:tcBorders>
            <w:vAlign w:val="center"/>
          </w:tcPr>
          <w:p w14:paraId="335BA54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756461C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二类区</w:t>
            </w:r>
            <w:r>
              <w:rPr>
                <w:rFonts w:ascii="Times New Roman" w:hAnsi="Times New Roman" w:eastAsia="宋体" w:cs="MS Gothic"/>
                <w:i w:val="0"/>
                <w:strike w:val="0"/>
                <w:dstrike w:val="0"/>
                <w:color w:val="auto"/>
                <w:spacing w:val="0"/>
                <w:position w:val="0"/>
                <w:sz w:val="21"/>
                <w:szCs w:val="21"/>
                <w:highlight w:val="none"/>
              </w:rPr>
              <w:t>☑</w:t>
            </w:r>
          </w:p>
        </w:tc>
        <w:tc>
          <w:tcPr>
            <w:tcW w:w="908" w:type="pct"/>
            <w:gridSpan w:val="3"/>
            <w:tcBorders>
              <w:tl2br w:val="nil"/>
              <w:tr2bl w:val="nil"/>
            </w:tcBorders>
            <w:vAlign w:val="center"/>
          </w:tcPr>
          <w:p w14:paraId="20CBDD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一类区和二类区</w:t>
            </w:r>
            <w:r>
              <w:rPr>
                <w:rFonts w:ascii="Times New Roman" w:hAnsi="Times New Roman" w:eastAsia="宋体" w:cs="Times New Roman"/>
                <w:i w:val="0"/>
                <w:strike w:val="0"/>
                <w:dstrike w:val="0"/>
                <w:color w:val="auto"/>
                <w:spacing w:val="0"/>
                <w:position w:val="0"/>
                <w:sz w:val="21"/>
                <w:szCs w:val="21"/>
                <w:highlight w:val="none"/>
              </w:rPr>
              <w:t>□</w:t>
            </w:r>
          </w:p>
        </w:tc>
      </w:tr>
      <w:tr w14:paraId="4EA5A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71C927D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5522C9F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评价基准年</w:t>
            </w:r>
          </w:p>
        </w:tc>
        <w:tc>
          <w:tcPr>
            <w:tcW w:w="3888" w:type="pct"/>
            <w:gridSpan w:val="12"/>
            <w:tcBorders>
              <w:tl2br w:val="nil"/>
              <w:tr2bl w:val="nil"/>
            </w:tcBorders>
            <w:vAlign w:val="center"/>
          </w:tcPr>
          <w:p w14:paraId="682C08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202</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4</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年</w:t>
            </w:r>
          </w:p>
        </w:tc>
      </w:tr>
      <w:tr w14:paraId="2E630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1" w:type="pct"/>
            <w:vMerge w:val="continue"/>
            <w:tcBorders>
              <w:tl2br w:val="nil"/>
              <w:tr2bl w:val="nil"/>
            </w:tcBorders>
            <w:vAlign w:val="center"/>
          </w:tcPr>
          <w:p w14:paraId="3EAA5B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07D363A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环境空气质量现状调查数据来源</w:t>
            </w:r>
          </w:p>
        </w:tc>
        <w:tc>
          <w:tcPr>
            <w:tcW w:w="1117" w:type="pct"/>
            <w:gridSpan w:val="5"/>
            <w:tcBorders>
              <w:tl2br w:val="nil"/>
              <w:tr2bl w:val="nil"/>
            </w:tcBorders>
            <w:vAlign w:val="center"/>
          </w:tcPr>
          <w:p w14:paraId="7FAF0F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长期例行监测数据</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4BCB79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主管部门发布的数据</w:t>
            </w:r>
            <w:r>
              <w:rPr>
                <w:rFonts w:ascii="Times New Roman" w:hAnsi="Times New Roman" w:eastAsia="宋体" w:cs="MS Gothic"/>
                <w:i w:val="0"/>
                <w:strike w:val="0"/>
                <w:dstrike w:val="0"/>
                <w:color w:val="auto"/>
                <w:spacing w:val="0"/>
                <w:position w:val="0"/>
                <w:sz w:val="21"/>
                <w:szCs w:val="21"/>
                <w:highlight w:val="none"/>
              </w:rPr>
              <w:t>☑</w:t>
            </w:r>
          </w:p>
        </w:tc>
        <w:tc>
          <w:tcPr>
            <w:tcW w:w="908" w:type="pct"/>
            <w:gridSpan w:val="3"/>
            <w:tcBorders>
              <w:tl2br w:val="nil"/>
              <w:tr2bl w:val="nil"/>
            </w:tcBorders>
            <w:vAlign w:val="center"/>
          </w:tcPr>
          <w:p w14:paraId="26695A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现状补充监测</w:t>
            </w:r>
            <w:r>
              <w:rPr>
                <w:rFonts w:ascii="Times New Roman" w:hAnsi="Times New Roman" w:eastAsia="宋体" w:cs="MS Gothic"/>
                <w:i w:val="0"/>
                <w:strike w:val="0"/>
                <w:dstrike w:val="0"/>
                <w:color w:val="auto"/>
                <w:spacing w:val="0"/>
                <w:position w:val="0"/>
                <w:sz w:val="21"/>
                <w:szCs w:val="21"/>
                <w:highlight w:val="none"/>
              </w:rPr>
              <w:t>☑</w:t>
            </w:r>
          </w:p>
        </w:tc>
      </w:tr>
      <w:tr w14:paraId="2B9F2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0F53B4A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3672A74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现状评价</w:t>
            </w:r>
          </w:p>
        </w:tc>
        <w:tc>
          <w:tcPr>
            <w:tcW w:w="1945" w:type="pct"/>
            <w:gridSpan w:val="6"/>
            <w:tcBorders>
              <w:tl2br w:val="nil"/>
              <w:tr2bl w:val="nil"/>
            </w:tcBorders>
            <w:vAlign w:val="center"/>
          </w:tcPr>
          <w:p w14:paraId="376187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达标区</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13B15B2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MS Gothic"/>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不达标区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0A8D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jc w:val="center"/>
        </w:trPr>
        <w:tc>
          <w:tcPr>
            <w:tcW w:w="311" w:type="pct"/>
            <w:tcBorders>
              <w:tl2br w:val="nil"/>
              <w:tr2bl w:val="nil"/>
            </w:tcBorders>
            <w:vAlign w:val="center"/>
          </w:tcPr>
          <w:p w14:paraId="1EDD5C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污染源调查</w:t>
            </w:r>
          </w:p>
        </w:tc>
        <w:tc>
          <w:tcPr>
            <w:tcW w:w="799" w:type="pct"/>
            <w:tcBorders>
              <w:tl2br w:val="nil"/>
              <w:tr2bl w:val="nil"/>
            </w:tcBorders>
            <w:vAlign w:val="center"/>
          </w:tcPr>
          <w:p w14:paraId="1890A6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调查内容</w:t>
            </w:r>
          </w:p>
        </w:tc>
        <w:tc>
          <w:tcPr>
            <w:tcW w:w="1117" w:type="pct"/>
            <w:gridSpan w:val="5"/>
            <w:tcBorders>
              <w:tl2br w:val="nil"/>
              <w:tr2bl w:val="nil"/>
            </w:tcBorders>
            <w:vAlign w:val="center"/>
          </w:tcPr>
          <w:p w14:paraId="46DF6A6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本项目正常排放源</w:t>
            </w:r>
          </w:p>
          <w:p w14:paraId="10FCEE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MS Gothic"/>
                <w:i w:val="0"/>
                <w:strike w:val="0"/>
                <w:dstrike w:val="0"/>
                <w:color w:val="auto"/>
                <w:spacing w:val="0"/>
                <w:position w:val="0"/>
                <w:sz w:val="21"/>
                <w:szCs w:val="21"/>
                <w:highlight w:val="none"/>
              </w:rPr>
              <w:t>☑</w:t>
            </w:r>
          </w:p>
          <w:p w14:paraId="3390AE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本项目非正常排放源</w:t>
            </w:r>
          </w:p>
          <w:p w14:paraId="46E801D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p>
          <w:p w14:paraId="1D4741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现有污染源□</w:t>
            </w:r>
          </w:p>
        </w:tc>
        <w:tc>
          <w:tcPr>
            <w:tcW w:w="828" w:type="pct"/>
            <w:tcBorders>
              <w:tl2br w:val="nil"/>
              <w:tr2bl w:val="nil"/>
            </w:tcBorders>
            <w:vAlign w:val="center"/>
          </w:tcPr>
          <w:p w14:paraId="1E079F8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拟替代的污染源□</w:t>
            </w:r>
          </w:p>
        </w:tc>
        <w:tc>
          <w:tcPr>
            <w:tcW w:w="1334" w:type="pct"/>
            <w:gridSpan w:val="5"/>
            <w:tcBorders>
              <w:tl2br w:val="nil"/>
              <w:tr2bl w:val="nil"/>
            </w:tcBorders>
            <w:vAlign w:val="center"/>
          </w:tcPr>
          <w:p w14:paraId="223458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其他在建、拟建项目污染源</w:t>
            </w:r>
            <w:r>
              <w:rPr>
                <w:rFonts w:ascii="Times New Roman" w:hAnsi="Times New Roman" w:eastAsia="宋体" w:cs="Times New Roman"/>
                <w:i w:val="0"/>
                <w:strike w:val="0"/>
                <w:dstrike w:val="0"/>
                <w:color w:val="auto"/>
                <w:spacing w:val="0"/>
                <w:position w:val="0"/>
                <w:sz w:val="21"/>
                <w:szCs w:val="21"/>
                <w:highlight w:val="none"/>
              </w:rPr>
              <w:t>□</w:t>
            </w:r>
          </w:p>
        </w:tc>
        <w:tc>
          <w:tcPr>
            <w:tcW w:w="608" w:type="pct"/>
            <w:tcBorders>
              <w:tl2br w:val="nil"/>
              <w:tr2bl w:val="nil"/>
            </w:tcBorders>
            <w:vAlign w:val="center"/>
          </w:tcPr>
          <w:p w14:paraId="60C4C75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区域污染源</w:t>
            </w:r>
            <w:r>
              <w:rPr>
                <w:rFonts w:ascii="Times New Roman" w:hAnsi="Times New Roman" w:eastAsia="宋体" w:cs="Times New Roman"/>
                <w:i w:val="0"/>
                <w:strike w:val="0"/>
                <w:dstrike w:val="0"/>
                <w:color w:val="auto"/>
                <w:spacing w:val="0"/>
                <w:position w:val="0"/>
                <w:sz w:val="21"/>
                <w:szCs w:val="21"/>
                <w:highlight w:val="none"/>
              </w:rPr>
              <w:t>□</w:t>
            </w:r>
          </w:p>
        </w:tc>
      </w:tr>
      <w:tr w14:paraId="50734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311" w:type="pct"/>
            <w:vMerge w:val="restart"/>
            <w:tcBorders>
              <w:tl2br w:val="nil"/>
              <w:tr2bl w:val="nil"/>
            </w:tcBorders>
            <w:vAlign w:val="center"/>
          </w:tcPr>
          <w:p w14:paraId="04F721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大气环境</w:t>
            </w:r>
          </w:p>
          <w:p w14:paraId="2531E50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影响预测</w:t>
            </w:r>
          </w:p>
          <w:p w14:paraId="7E09E3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与</w:t>
            </w:r>
          </w:p>
          <w:p w14:paraId="16C2E84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w:t>
            </w:r>
          </w:p>
        </w:tc>
        <w:tc>
          <w:tcPr>
            <w:tcW w:w="799" w:type="pct"/>
            <w:tcBorders>
              <w:tl2br w:val="nil"/>
              <w:tr2bl w:val="nil"/>
            </w:tcBorders>
            <w:vAlign w:val="center"/>
          </w:tcPr>
          <w:p w14:paraId="37F94F2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预测模型</w:t>
            </w:r>
          </w:p>
        </w:tc>
        <w:tc>
          <w:tcPr>
            <w:tcW w:w="728" w:type="pct"/>
            <w:tcBorders>
              <w:tl2br w:val="nil"/>
              <w:tr2bl w:val="nil"/>
            </w:tcBorders>
            <w:vAlign w:val="center"/>
          </w:tcPr>
          <w:p w14:paraId="7EF1B7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Times New Roman"/>
                <w:i w:val="0"/>
                <w:strike w:val="0"/>
                <w:dstrike w:val="0"/>
                <w:color w:val="auto"/>
                <w:spacing w:val="0"/>
                <w:position w:val="0"/>
                <w:sz w:val="21"/>
                <w:szCs w:val="21"/>
                <w:highlight w:val="none"/>
              </w:rPr>
              <w:t>AERMOD</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388" w:type="pct"/>
            <w:gridSpan w:val="4"/>
            <w:tcBorders>
              <w:tl2br w:val="nil"/>
              <w:tr2bl w:val="nil"/>
            </w:tcBorders>
            <w:vAlign w:val="center"/>
          </w:tcPr>
          <w:p w14:paraId="3CE0FDB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ADMS□</w:t>
            </w:r>
          </w:p>
        </w:tc>
        <w:tc>
          <w:tcPr>
            <w:tcW w:w="828" w:type="pct"/>
            <w:tcBorders>
              <w:tl2br w:val="nil"/>
              <w:tr2bl w:val="nil"/>
            </w:tcBorders>
            <w:vAlign w:val="center"/>
          </w:tcPr>
          <w:p w14:paraId="6237F2B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AUSTAL20</w:t>
            </w:r>
          </w:p>
          <w:p w14:paraId="543874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00</w:t>
            </w:r>
          </w:p>
          <w:p w14:paraId="0C7606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566" w:type="pct"/>
            <w:tcBorders>
              <w:tl2br w:val="nil"/>
              <w:tr2bl w:val="nil"/>
            </w:tcBorders>
            <w:vAlign w:val="center"/>
          </w:tcPr>
          <w:p w14:paraId="4CADE9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EDMS/AED</w:t>
            </w:r>
          </w:p>
          <w:p w14:paraId="43E3D7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T</w:t>
            </w:r>
          </w:p>
          <w:p w14:paraId="71B7E0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468" w:type="pct"/>
            <w:gridSpan w:val="2"/>
            <w:tcBorders>
              <w:tl2br w:val="nil"/>
              <w:tr2bl w:val="nil"/>
            </w:tcBorders>
            <w:vAlign w:val="center"/>
          </w:tcPr>
          <w:p w14:paraId="6162CF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CALPUF</w:t>
            </w:r>
          </w:p>
          <w:p w14:paraId="35543C8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F</w:t>
            </w:r>
          </w:p>
          <w:p w14:paraId="5D069D0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300" w:type="pct"/>
            <w:gridSpan w:val="2"/>
            <w:tcBorders>
              <w:tl2br w:val="nil"/>
              <w:tr2bl w:val="nil"/>
            </w:tcBorders>
            <w:vAlign w:val="center"/>
          </w:tcPr>
          <w:p w14:paraId="6DADA7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网格模型</w:t>
            </w:r>
            <w:r>
              <w:rPr>
                <w:rFonts w:ascii="Times New Roman" w:hAnsi="Times New Roman" w:eastAsia="宋体" w:cs="Times New Roman"/>
                <w:i w:val="0"/>
                <w:strike w:val="0"/>
                <w:dstrike w:val="0"/>
                <w:color w:val="auto"/>
                <w:spacing w:val="0"/>
                <w:position w:val="0"/>
                <w:sz w:val="21"/>
                <w:szCs w:val="21"/>
                <w:highlight w:val="none"/>
              </w:rPr>
              <w:t>□</w:t>
            </w:r>
          </w:p>
        </w:tc>
        <w:tc>
          <w:tcPr>
            <w:tcW w:w="608" w:type="pct"/>
            <w:tcBorders>
              <w:tl2br w:val="nil"/>
              <w:tr2bl w:val="nil"/>
            </w:tcBorders>
            <w:vAlign w:val="center"/>
          </w:tcPr>
          <w:p w14:paraId="01A86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w:t>
            </w:r>
          </w:p>
          <w:p w14:paraId="77367D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p>
        </w:tc>
      </w:tr>
      <w:tr w14:paraId="4E955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58D4829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4749D89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预测范围</w:t>
            </w:r>
          </w:p>
        </w:tc>
        <w:tc>
          <w:tcPr>
            <w:tcW w:w="1117" w:type="pct"/>
            <w:gridSpan w:val="5"/>
            <w:tcBorders>
              <w:tl2br w:val="nil"/>
              <w:tr2bl w:val="nil"/>
            </w:tcBorders>
            <w:vAlign w:val="center"/>
          </w:tcPr>
          <w:p w14:paraId="31442E7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50km□</w:t>
            </w:r>
          </w:p>
        </w:tc>
        <w:tc>
          <w:tcPr>
            <w:tcW w:w="1863" w:type="pct"/>
            <w:gridSpan w:val="4"/>
            <w:tcBorders>
              <w:tl2br w:val="nil"/>
              <w:tr2bl w:val="nil"/>
            </w:tcBorders>
            <w:vAlign w:val="center"/>
          </w:tcPr>
          <w:p w14:paraId="5F6BB7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50km□</w:t>
            </w:r>
          </w:p>
        </w:tc>
        <w:tc>
          <w:tcPr>
            <w:tcW w:w="908" w:type="pct"/>
            <w:gridSpan w:val="3"/>
            <w:tcBorders>
              <w:tl2br w:val="nil"/>
              <w:tr2bl w:val="nil"/>
            </w:tcBorders>
            <w:vAlign w:val="center"/>
          </w:tcPr>
          <w:p w14:paraId="0A39389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=5km</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r>
      <w:tr w14:paraId="49A65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311" w:type="pct"/>
            <w:vMerge w:val="continue"/>
            <w:tcBorders>
              <w:tl2br w:val="nil"/>
              <w:tr2bl w:val="nil"/>
            </w:tcBorders>
            <w:vAlign w:val="center"/>
          </w:tcPr>
          <w:p w14:paraId="5771B3A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4CEA585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预测因子</w:t>
            </w:r>
          </w:p>
        </w:tc>
        <w:tc>
          <w:tcPr>
            <w:tcW w:w="1945" w:type="pct"/>
            <w:gridSpan w:val="6"/>
            <w:tcBorders>
              <w:tl2br w:val="nil"/>
              <w:tr2bl w:val="nil"/>
            </w:tcBorders>
            <w:vAlign w:val="center"/>
          </w:tcPr>
          <w:p w14:paraId="6FD6F05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预测因子</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NH</w:t>
            </w:r>
            <w:r>
              <w:rPr>
                <w:rFonts w:hint="eastAsia" w:ascii="Times New Roman" w:hAnsi="Times New Roman" w:eastAsia="宋体" w:cs="Times New Roman"/>
                <w:i w:val="0"/>
                <w:strike w:val="0"/>
                <w:dstrike w:val="0"/>
                <w:color w:val="auto"/>
                <w:spacing w:val="0"/>
                <w:position w:val="0"/>
                <w:sz w:val="21"/>
                <w:szCs w:val="21"/>
                <w:highlight w:val="none"/>
                <w:vertAlign w:val="subscript"/>
                <w:lang w:val="en-US" w:eastAsia="zh-CN"/>
              </w:rPr>
              <w:t>3</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、H</w:t>
            </w:r>
            <w:r>
              <w:rPr>
                <w:rFonts w:hint="eastAsia" w:ascii="Times New Roman" w:hAnsi="Times New Roman" w:eastAsia="宋体" w:cs="Times New Roman"/>
                <w:i w:val="0"/>
                <w:strike w:val="0"/>
                <w:dstrike w:val="0"/>
                <w:color w:val="auto"/>
                <w:spacing w:val="0"/>
                <w:position w:val="0"/>
                <w:sz w:val="21"/>
                <w:szCs w:val="21"/>
                <w:highlight w:val="none"/>
                <w:vertAlign w:val="subscript"/>
                <w:lang w:val="en-US" w:eastAsia="zh-CN"/>
              </w:rPr>
              <w:t>2</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09051D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21"/>
                <w:highlight w:val="none"/>
                <w:vertAlign w:val="subscript"/>
              </w:rPr>
              <w:t>2.5</w:t>
            </w:r>
            <w:r>
              <w:rPr>
                <w:rFonts w:ascii="Times New Roman" w:hAnsi="Times New Roman" w:eastAsia="宋体" w:cs="Times New Roman"/>
                <w:i w:val="0"/>
                <w:strike w:val="0"/>
                <w:dstrike w:val="0"/>
                <w:color w:val="auto"/>
                <w:spacing w:val="0"/>
                <w:position w:val="0"/>
                <w:sz w:val="21"/>
                <w:szCs w:val="21"/>
                <w:highlight w:val="none"/>
              </w:rPr>
              <w:t>□</w:t>
            </w:r>
            <w:r>
              <w:rPr>
                <w:rFonts w:ascii="Times New Roman" w:hAnsi="Times New Roman" w:eastAsia="宋体" w:cs="宋体"/>
                <w:i w:val="0"/>
                <w:strike w:val="0"/>
                <w:dstrike w:val="0"/>
                <w:color w:val="auto"/>
                <w:spacing w:val="0"/>
                <w:position w:val="0"/>
                <w:sz w:val="21"/>
                <w:szCs w:val="21"/>
                <w:highlight w:val="none"/>
              </w:rPr>
              <w:t>不包括二次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21"/>
                <w:highlight w:val="none"/>
                <w:vertAlign w:val="subscript"/>
              </w:rPr>
              <w:t>2.5</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r>
      <w:tr w14:paraId="35C92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1" w:type="pct"/>
            <w:vMerge w:val="continue"/>
            <w:tcBorders>
              <w:tl2br w:val="nil"/>
              <w:tr2bl w:val="nil"/>
            </w:tcBorders>
            <w:vAlign w:val="center"/>
          </w:tcPr>
          <w:p w14:paraId="0E03F0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3D5E2A7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正常排放短期浓度贡献值</w:t>
            </w:r>
          </w:p>
        </w:tc>
        <w:tc>
          <w:tcPr>
            <w:tcW w:w="1945" w:type="pct"/>
            <w:gridSpan w:val="6"/>
            <w:tcBorders>
              <w:tl2br w:val="nil"/>
              <w:tr2bl w:val="nil"/>
            </w:tcBorders>
            <w:vAlign w:val="center"/>
          </w:tcPr>
          <w:p w14:paraId="40DBB55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100%</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6C61023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Times New Roman"/>
                <w:i w:val="0"/>
                <w:strike w:val="0"/>
                <w:dstrike w:val="0"/>
                <w:color w:val="auto"/>
                <w:spacing w:val="0"/>
                <w:position w:val="0"/>
                <w:sz w:val="21"/>
                <w:szCs w:val="21"/>
                <w:highlight w:val="none"/>
              </w:rPr>
              <w:t>100%□</w:t>
            </w:r>
          </w:p>
        </w:tc>
      </w:tr>
      <w:tr w14:paraId="2911E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jc w:val="center"/>
        </w:trPr>
        <w:tc>
          <w:tcPr>
            <w:tcW w:w="311" w:type="pct"/>
            <w:vMerge w:val="continue"/>
            <w:tcBorders>
              <w:tl2br w:val="nil"/>
              <w:tr2bl w:val="nil"/>
            </w:tcBorders>
            <w:vAlign w:val="center"/>
          </w:tcPr>
          <w:p w14:paraId="1E79855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restart"/>
            <w:tcBorders>
              <w:tl2br w:val="nil"/>
              <w:tr2bl w:val="nil"/>
            </w:tcBorders>
            <w:vAlign w:val="center"/>
          </w:tcPr>
          <w:p w14:paraId="42BB37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正常排放年均浓度贡献值</w:t>
            </w:r>
          </w:p>
        </w:tc>
        <w:tc>
          <w:tcPr>
            <w:tcW w:w="728" w:type="pct"/>
            <w:tcBorders>
              <w:tl2br w:val="nil"/>
              <w:tr2bl w:val="nil"/>
            </w:tcBorders>
            <w:vAlign w:val="center"/>
          </w:tcPr>
          <w:p w14:paraId="476DCE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w:t>
            </w:r>
          </w:p>
        </w:tc>
        <w:tc>
          <w:tcPr>
            <w:tcW w:w="1217" w:type="pct"/>
            <w:gridSpan w:val="5"/>
            <w:tcBorders>
              <w:tl2br w:val="nil"/>
              <w:tr2bl w:val="nil"/>
            </w:tcBorders>
            <w:vAlign w:val="center"/>
          </w:tcPr>
          <w:p w14:paraId="06E1E02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w:t>
            </w:r>
          </w:p>
        </w:tc>
        <w:tc>
          <w:tcPr>
            <w:tcW w:w="1942" w:type="pct"/>
            <w:gridSpan w:val="6"/>
            <w:tcBorders>
              <w:tl2br w:val="nil"/>
              <w:tr2bl w:val="nil"/>
            </w:tcBorders>
            <w:vAlign w:val="center"/>
          </w:tcPr>
          <w:p w14:paraId="5C008E6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本项目最大标率＞</w:t>
            </w:r>
            <w:r>
              <w:rPr>
                <w:rFonts w:ascii="Times New Roman" w:hAnsi="Times New Roman" w:eastAsia="宋体" w:cs="Times New Roman"/>
                <w:i w:val="0"/>
                <w:strike w:val="0"/>
                <w:dstrike w:val="0"/>
                <w:color w:val="auto"/>
                <w:spacing w:val="0"/>
                <w:position w:val="0"/>
                <w:sz w:val="21"/>
                <w:szCs w:val="21"/>
                <w:highlight w:val="none"/>
              </w:rPr>
              <w:t>10%□</w:t>
            </w:r>
          </w:p>
        </w:tc>
      </w:tr>
      <w:tr w14:paraId="295AA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311" w:type="pct"/>
            <w:vMerge w:val="continue"/>
            <w:tcBorders>
              <w:tl2br w:val="nil"/>
              <w:tr2bl w:val="nil"/>
            </w:tcBorders>
            <w:vAlign w:val="center"/>
          </w:tcPr>
          <w:p w14:paraId="25F8BE1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continue"/>
            <w:tcBorders>
              <w:tl2br w:val="nil"/>
              <w:tr2bl w:val="nil"/>
            </w:tcBorders>
            <w:vAlign w:val="center"/>
          </w:tcPr>
          <w:p w14:paraId="4833A5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28" w:type="pct"/>
            <w:tcBorders>
              <w:tl2br w:val="nil"/>
              <w:tr2bl w:val="nil"/>
            </w:tcBorders>
            <w:vAlign w:val="center"/>
          </w:tcPr>
          <w:p w14:paraId="2BBA5C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二类区</w:t>
            </w:r>
          </w:p>
        </w:tc>
        <w:tc>
          <w:tcPr>
            <w:tcW w:w="1217" w:type="pct"/>
            <w:gridSpan w:val="5"/>
            <w:tcBorders>
              <w:tl2br w:val="nil"/>
              <w:tr2bl w:val="nil"/>
            </w:tcBorders>
            <w:vAlign w:val="center"/>
          </w:tcPr>
          <w:p w14:paraId="14C1F6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30%□</w:t>
            </w:r>
          </w:p>
        </w:tc>
        <w:tc>
          <w:tcPr>
            <w:tcW w:w="1942" w:type="pct"/>
            <w:gridSpan w:val="6"/>
            <w:tcBorders>
              <w:tl2br w:val="nil"/>
              <w:tr2bl w:val="nil"/>
            </w:tcBorders>
            <w:vAlign w:val="center"/>
          </w:tcPr>
          <w:p w14:paraId="67D6C91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本项目最大标率＞</w:t>
            </w:r>
            <w:r>
              <w:rPr>
                <w:rFonts w:ascii="Times New Roman" w:hAnsi="Times New Roman" w:eastAsia="宋体" w:cs="Times New Roman"/>
                <w:i w:val="0"/>
                <w:strike w:val="0"/>
                <w:dstrike w:val="0"/>
                <w:color w:val="auto"/>
                <w:spacing w:val="0"/>
                <w:position w:val="0"/>
                <w:sz w:val="21"/>
                <w:szCs w:val="21"/>
                <w:highlight w:val="none"/>
              </w:rPr>
              <w:t>30%□</w:t>
            </w:r>
          </w:p>
        </w:tc>
      </w:tr>
      <w:tr w14:paraId="43EEF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311" w:type="pct"/>
            <w:vMerge w:val="continue"/>
            <w:tcBorders>
              <w:tl2br w:val="nil"/>
              <w:tr2bl w:val="nil"/>
            </w:tcBorders>
            <w:vAlign w:val="center"/>
          </w:tcPr>
          <w:p w14:paraId="520DEC0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6481AC2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非正常排放</w:t>
            </w:r>
            <w:r>
              <w:rPr>
                <w:rFonts w:ascii="Times New Roman" w:hAnsi="Times New Roman" w:eastAsia="宋体" w:cs="Times New Roman"/>
                <w:i w:val="0"/>
                <w:strike w:val="0"/>
                <w:dstrike w:val="0"/>
                <w:color w:val="auto"/>
                <w:spacing w:val="0"/>
                <w:position w:val="0"/>
                <w:sz w:val="21"/>
                <w:szCs w:val="21"/>
                <w:highlight w:val="none"/>
              </w:rPr>
              <w:t>1h</w:t>
            </w:r>
            <w:r>
              <w:rPr>
                <w:rFonts w:ascii="Times New Roman" w:hAnsi="Times New Roman" w:eastAsia="宋体" w:cs="宋体"/>
                <w:i w:val="0"/>
                <w:strike w:val="0"/>
                <w:dstrike w:val="0"/>
                <w:color w:val="auto"/>
                <w:spacing w:val="0"/>
                <w:position w:val="0"/>
                <w:sz w:val="21"/>
                <w:szCs w:val="21"/>
                <w:highlight w:val="none"/>
              </w:rPr>
              <w:t>浓</w:t>
            </w:r>
          </w:p>
          <w:p w14:paraId="489A437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度贡献值</w:t>
            </w:r>
          </w:p>
        </w:tc>
        <w:tc>
          <w:tcPr>
            <w:tcW w:w="922" w:type="pct"/>
            <w:gridSpan w:val="3"/>
            <w:tcBorders>
              <w:tl2br w:val="nil"/>
              <w:tr2bl w:val="nil"/>
            </w:tcBorders>
            <w:vAlign w:val="center"/>
          </w:tcPr>
          <w:p w14:paraId="1BD4B8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非正常持续时长</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h</w:t>
            </w:r>
          </w:p>
        </w:tc>
        <w:tc>
          <w:tcPr>
            <w:tcW w:w="1852" w:type="pct"/>
            <w:gridSpan w:val="5"/>
            <w:tcBorders>
              <w:tl2br w:val="nil"/>
              <w:tr2bl w:val="nil"/>
            </w:tcBorders>
            <w:vAlign w:val="center"/>
          </w:tcPr>
          <w:p w14:paraId="3790CD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非正常占标率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100%□</w:t>
            </w:r>
          </w:p>
        </w:tc>
        <w:tc>
          <w:tcPr>
            <w:tcW w:w="1114" w:type="pct"/>
            <w:gridSpan w:val="4"/>
            <w:tcBorders>
              <w:tl2br w:val="nil"/>
              <w:tr2bl w:val="nil"/>
            </w:tcBorders>
            <w:vAlign w:val="center"/>
          </w:tcPr>
          <w:p w14:paraId="43128D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非正常占标率＞</w:t>
            </w:r>
            <w:r>
              <w:rPr>
                <w:rFonts w:ascii="Times New Roman" w:hAnsi="Times New Roman" w:eastAsia="宋体" w:cs="Times New Roman"/>
                <w:i w:val="0"/>
                <w:strike w:val="0"/>
                <w:dstrike w:val="0"/>
                <w:color w:val="auto"/>
                <w:spacing w:val="0"/>
                <w:position w:val="0"/>
                <w:sz w:val="21"/>
                <w:szCs w:val="21"/>
                <w:highlight w:val="none"/>
              </w:rPr>
              <w:t>100%□</w:t>
            </w:r>
          </w:p>
        </w:tc>
      </w:tr>
      <w:tr w14:paraId="3FCC4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311" w:type="pct"/>
            <w:vMerge w:val="continue"/>
            <w:tcBorders>
              <w:tl2br w:val="nil"/>
              <w:tr2bl w:val="nil"/>
            </w:tcBorders>
            <w:vAlign w:val="center"/>
          </w:tcPr>
          <w:p w14:paraId="680E57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69953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保证率日平均浓度和年平均浓度叠加值</w:t>
            </w:r>
          </w:p>
        </w:tc>
        <w:tc>
          <w:tcPr>
            <w:tcW w:w="1945" w:type="pct"/>
            <w:gridSpan w:val="6"/>
            <w:tcBorders>
              <w:tl2br w:val="nil"/>
              <w:tr2bl w:val="nil"/>
            </w:tcBorders>
            <w:vAlign w:val="center"/>
          </w:tcPr>
          <w:p w14:paraId="1D6DDA7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叠加达标</w:t>
            </w:r>
            <w:r>
              <w:rPr>
                <w:rFonts w:ascii="Times New Roman" w:hAnsi="Times New Roman" w:eastAsia="宋体" w:cs="Times New Roman"/>
                <w:i w:val="0"/>
                <w:strike w:val="0"/>
                <w:dstrike w:val="0"/>
                <w:color w:val="auto"/>
                <w:spacing w:val="0"/>
                <w:position w:val="0"/>
                <w:sz w:val="21"/>
                <w:szCs w:val="21"/>
                <w:highlight w:val="none"/>
              </w:rPr>
              <w:t>□</w:t>
            </w:r>
          </w:p>
        </w:tc>
        <w:tc>
          <w:tcPr>
            <w:tcW w:w="1942" w:type="pct"/>
            <w:gridSpan w:val="6"/>
            <w:tcBorders>
              <w:tl2br w:val="nil"/>
              <w:tr2bl w:val="nil"/>
            </w:tcBorders>
            <w:vAlign w:val="center"/>
          </w:tcPr>
          <w:p w14:paraId="5394E1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叠加不达标</w:t>
            </w:r>
            <w:r>
              <w:rPr>
                <w:rFonts w:ascii="Times New Roman" w:hAnsi="Times New Roman" w:eastAsia="宋体" w:cs="Times New Roman"/>
                <w:i w:val="0"/>
                <w:strike w:val="0"/>
                <w:dstrike w:val="0"/>
                <w:color w:val="auto"/>
                <w:spacing w:val="0"/>
                <w:position w:val="0"/>
                <w:sz w:val="21"/>
                <w:szCs w:val="21"/>
                <w:highlight w:val="none"/>
              </w:rPr>
              <w:t>□</w:t>
            </w:r>
          </w:p>
        </w:tc>
      </w:tr>
      <w:tr w14:paraId="02768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311" w:type="pct"/>
            <w:vMerge w:val="continue"/>
            <w:tcBorders>
              <w:tl2br w:val="nil"/>
              <w:tr2bl w:val="nil"/>
            </w:tcBorders>
            <w:vAlign w:val="center"/>
          </w:tcPr>
          <w:p w14:paraId="0899FAD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2F605F3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区域环境质量的整体变化情况</w:t>
            </w:r>
          </w:p>
        </w:tc>
        <w:tc>
          <w:tcPr>
            <w:tcW w:w="1945" w:type="pct"/>
            <w:gridSpan w:val="6"/>
            <w:tcBorders>
              <w:tl2br w:val="nil"/>
              <w:tr2bl w:val="nil"/>
            </w:tcBorders>
            <w:vAlign w:val="center"/>
          </w:tcPr>
          <w:p w14:paraId="658E72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iCs/>
                <w:strike w:val="0"/>
                <w:dstrike w:val="0"/>
                <w:color w:val="auto"/>
                <w:spacing w:val="0"/>
                <w:position w:val="0"/>
                <w:sz w:val="21"/>
                <w:szCs w:val="21"/>
                <w:highlight w:val="none"/>
              </w:rPr>
              <w:t>k</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w:t>
            </w:r>
          </w:p>
        </w:tc>
        <w:tc>
          <w:tcPr>
            <w:tcW w:w="1942" w:type="pct"/>
            <w:gridSpan w:val="6"/>
            <w:tcBorders>
              <w:tl2br w:val="nil"/>
              <w:tr2bl w:val="nil"/>
            </w:tcBorders>
            <w:vAlign w:val="center"/>
          </w:tcPr>
          <w:p w14:paraId="78BA15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iCs/>
                <w:strike w:val="0"/>
                <w:dstrike w:val="0"/>
                <w:color w:val="auto"/>
                <w:spacing w:val="0"/>
                <w:position w:val="0"/>
                <w:sz w:val="21"/>
                <w:szCs w:val="21"/>
                <w:highlight w:val="none"/>
              </w:rPr>
              <w:t>k</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w:t>
            </w:r>
          </w:p>
        </w:tc>
      </w:tr>
      <w:tr w14:paraId="74ECD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311" w:type="pct"/>
            <w:vMerge w:val="restart"/>
            <w:tcBorders>
              <w:tl2br w:val="nil"/>
              <w:tr2bl w:val="nil"/>
            </w:tcBorders>
            <w:vAlign w:val="center"/>
          </w:tcPr>
          <w:p w14:paraId="447766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环境监测计划</w:t>
            </w:r>
          </w:p>
        </w:tc>
        <w:tc>
          <w:tcPr>
            <w:tcW w:w="799" w:type="pct"/>
            <w:tcBorders>
              <w:tl2br w:val="nil"/>
              <w:tr2bl w:val="nil"/>
            </w:tcBorders>
            <w:vAlign w:val="center"/>
          </w:tcPr>
          <w:p w14:paraId="53AD1C0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污染源监测</w:t>
            </w:r>
          </w:p>
        </w:tc>
        <w:tc>
          <w:tcPr>
            <w:tcW w:w="1945" w:type="pct"/>
            <w:gridSpan w:val="6"/>
            <w:tcBorders>
              <w:tl2br w:val="nil"/>
              <w:tr2bl w:val="nil"/>
            </w:tcBorders>
            <w:vAlign w:val="center"/>
          </w:tcPr>
          <w:p w14:paraId="7A4F076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监测因子：</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臭气浓度</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334" w:type="pct"/>
            <w:gridSpan w:val="5"/>
            <w:tcBorders>
              <w:tl2br w:val="nil"/>
              <w:tr2bl w:val="nil"/>
            </w:tcBorders>
            <w:vAlign w:val="center"/>
          </w:tcPr>
          <w:p w14:paraId="1A2424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有组织废气监测</w:t>
            </w:r>
            <w:r>
              <w:rPr>
                <w:rFonts w:ascii="Times New Roman" w:hAnsi="Times New Roman" w:eastAsia="宋体" w:cs="MS Gothic"/>
                <w:i w:val="0"/>
                <w:strike w:val="0"/>
                <w:dstrike w:val="0"/>
                <w:color w:val="auto"/>
                <w:spacing w:val="0"/>
                <w:position w:val="0"/>
                <w:sz w:val="21"/>
                <w:szCs w:val="21"/>
                <w:highlight w:val="none"/>
              </w:rPr>
              <w:t>□</w:t>
            </w:r>
          </w:p>
          <w:p w14:paraId="74ACE2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无组织废气监测</w:t>
            </w:r>
            <w:r>
              <w:rPr>
                <w:rFonts w:ascii="Times New Roman" w:hAnsi="Times New Roman" w:eastAsia="宋体" w:cs="MS Gothic"/>
                <w:i w:val="0"/>
                <w:strike w:val="0"/>
                <w:dstrike w:val="0"/>
                <w:color w:val="auto"/>
                <w:spacing w:val="0"/>
                <w:position w:val="0"/>
                <w:sz w:val="21"/>
                <w:szCs w:val="21"/>
                <w:highlight w:val="none"/>
              </w:rPr>
              <w:t>☑</w:t>
            </w:r>
          </w:p>
        </w:tc>
        <w:tc>
          <w:tcPr>
            <w:tcW w:w="608" w:type="pct"/>
            <w:tcBorders>
              <w:tl2br w:val="nil"/>
              <w:tr2bl w:val="nil"/>
            </w:tcBorders>
            <w:vAlign w:val="center"/>
          </w:tcPr>
          <w:p w14:paraId="1CEC57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无监测</w:t>
            </w:r>
            <w:r>
              <w:rPr>
                <w:rFonts w:ascii="Times New Roman" w:hAnsi="Times New Roman" w:eastAsia="宋体" w:cs="Times New Roman"/>
                <w:i w:val="0"/>
                <w:strike w:val="0"/>
                <w:dstrike w:val="0"/>
                <w:color w:val="auto"/>
                <w:spacing w:val="0"/>
                <w:position w:val="0"/>
                <w:sz w:val="21"/>
                <w:szCs w:val="21"/>
                <w:highlight w:val="none"/>
              </w:rPr>
              <w:t>□</w:t>
            </w:r>
          </w:p>
        </w:tc>
      </w:tr>
      <w:tr w14:paraId="333A0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11BC0B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041F41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环境质量监测</w:t>
            </w:r>
          </w:p>
        </w:tc>
        <w:tc>
          <w:tcPr>
            <w:tcW w:w="1945" w:type="pct"/>
            <w:gridSpan w:val="6"/>
            <w:tcBorders>
              <w:tl2br w:val="nil"/>
              <w:tr2bl w:val="nil"/>
            </w:tcBorders>
            <w:vAlign w:val="center"/>
          </w:tcPr>
          <w:p w14:paraId="3006E8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监测因子：</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臭气浓度</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334" w:type="pct"/>
            <w:gridSpan w:val="5"/>
            <w:tcBorders>
              <w:tl2br w:val="nil"/>
              <w:tr2bl w:val="nil"/>
            </w:tcBorders>
            <w:vAlign w:val="center"/>
          </w:tcPr>
          <w:p w14:paraId="22C849A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监测点位数</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608" w:type="pct"/>
            <w:tcBorders>
              <w:tl2br w:val="nil"/>
              <w:tr2bl w:val="nil"/>
            </w:tcBorders>
            <w:vAlign w:val="center"/>
          </w:tcPr>
          <w:p w14:paraId="0F2921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无监测</w:t>
            </w:r>
            <w:r>
              <w:rPr>
                <w:rFonts w:ascii="Times New Roman" w:hAnsi="Times New Roman" w:eastAsia="宋体" w:cs="MS Gothic"/>
                <w:i w:val="0"/>
                <w:strike w:val="0"/>
                <w:dstrike w:val="0"/>
                <w:color w:val="auto"/>
                <w:spacing w:val="0"/>
                <w:position w:val="0"/>
                <w:sz w:val="21"/>
                <w:szCs w:val="21"/>
                <w:highlight w:val="none"/>
              </w:rPr>
              <w:t>☑</w:t>
            </w:r>
          </w:p>
        </w:tc>
      </w:tr>
      <w:tr w14:paraId="28EA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restart"/>
            <w:tcBorders>
              <w:tl2br w:val="nil"/>
              <w:tr2bl w:val="nil"/>
            </w:tcBorders>
            <w:vAlign w:val="center"/>
          </w:tcPr>
          <w:p w14:paraId="576D8A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p w14:paraId="16C2922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评价结论</w:t>
            </w:r>
          </w:p>
        </w:tc>
        <w:tc>
          <w:tcPr>
            <w:tcW w:w="799" w:type="pct"/>
            <w:tcBorders>
              <w:tl2br w:val="nil"/>
              <w:tr2bl w:val="nil"/>
            </w:tcBorders>
            <w:vAlign w:val="center"/>
          </w:tcPr>
          <w:p w14:paraId="69C925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环境影响</w:t>
            </w:r>
          </w:p>
        </w:tc>
        <w:tc>
          <w:tcPr>
            <w:tcW w:w="1117" w:type="pct"/>
            <w:gridSpan w:val="5"/>
            <w:tcBorders>
              <w:tl2br w:val="nil"/>
              <w:tr2bl w:val="nil"/>
            </w:tcBorders>
            <w:vAlign w:val="center"/>
          </w:tcPr>
          <w:p w14:paraId="15AAB3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可以接受</w:t>
            </w:r>
            <w:r>
              <w:rPr>
                <w:rFonts w:ascii="Times New Roman" w:hAnsi="Times New Roman" w:eastAsia="宋体" w:cs="MS Gothic"/>
                <w:i w:val="0"/>
                <w:strike w:val="0"/>
                <w:dstrike w:val="0"/>
                <w:color w:val="auto"/>
                <w:spacing w:val="0"/>
                <w:position w:val="0"/>
                <w:sz w:val="21"/>
                <w:szCs w:val="21"/>
                <w:highlight w:val="none"/>
              </w:rPr>
              <w:t>☑</w:t>
            </w:r>
          </w:p>
        </w:tc>
        <w:tc>
          <w:tcPr>
            <w:tcW w:w="2771" w:type="pct"/>
            <w:gridSpan w:val="7"/>
            <w:tcBorders>
              <w:tl2br w:val="nil"/>
              <w:tr2bl w:val="nil"/>
            </w:tcBorders>
            <w:vAlign w:val="center"/>
          </w:tcPr>
          <w:p w14:paraId="4E2213D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不可以接受</w:t>
            </w:r>
            <w:r>
              <w:rPr>
                <w:rFonts w:ascii="Times New Roman" w:hAnsi="Times New Roman" w:eastAsia="宋体" w:cs="Times New Roman"/>
                <w:i w:val="0"/>
                <w:strike w:val="0"/>
                <w:dstrike w:val="0"/>
                <w:color w:val="auto"/>
                <w:spacing w:val="0"/>
                <w:position w:val="0"/>
                <w:sz w:val="21"/>
                <w:szCs w:val="21"/>
                <w:highlight w:val="none"/>
              </w:rPr>
              <w:t>□</w:t>
            </w:r>
          </w:p>
        </w:tc>
      </w:tr>
      <w:tr w14:paraId="280B3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continue"/>
            <w:tcBorders>
              <w:tl2br w:val="nil"/>
              <w:tr2bl w:val="nil"/>
            </w:tcBorders>
            <w:vAlign w:val="center"/>
          </w:tcPr>
          <w:p w14:paraId="08523F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590AB1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大气环境防护距离</w:t>
            </w:r>
          </w:p>
        </w:tc>
        <w:tc>
          <w:tcPr>
            <w:tcW w:w="3888" w:type="pct"/>
            <w:gridSpan w:val="12"/>
            <w:tcBorders>
              <w:tl2br w:val="nil"/>
              <w:tr2bl w:val="nil"/>
            </w:tcBorders>
            <w:vAlign w:val="center"/>
          </w:tcPr>
          <w:p w14:paraId="35E2D2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距</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厂界最远</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m</w:t>
            </w:r>
          </w:p>
        </w:tc>
      </w:tr>
      <w:tr w14:paraId="0FC4A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11D159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FB7B9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污染源年排放量</w:t>
            </w:r>
          </w:p>
        </w:tc>
        <w:tc>
          <w:tcPr>
            <w:tcW w:w="1019" w:type="pct"/>
            <w:gridSpan w:val="4"/>
            <w:tcBorders>
              <w:tl2br w:val="nil"/>
              <w:tr2bl w:val="nil"/>
            </w:tcBorders>
            <w:vAlign w:val="center"/>
          </w:tcPr>
          <w:p w14:paraId="08214F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rPr>
              <w:t>2</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926" w:type="pct"/>
            <w:gridSpan w:val="2"/>
            <w:tcBorders>
              <w:tl2br w:val="nil"/>
              <w:tr2bl w:val="nil"/>
            </w:tcBorders>
            <w:vAlign w:val="center"/>
          </w:tcPr>
          <w:p w14:paraId="47C6514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NOx</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1190" w:type="pct"/>
            <w:gridSpan w:val="4"/>
            <w:tcBorders>
              <w:tl2br w:val="nil"/>
              <w:tr2bl w:val="nil"/>
            </w:tcBorders>
            <w:vAlign w:val="center"/>
          </w:tcPr>
          <w:p w14:paraId="0969286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颗粒物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752" w:type="pct"/>
            <w:gridSpan w:val="2"/>
            <w:tcBorders>
              <w:tl2br w:val="nil"/>
              <w:tr2bl w:val="nil"/>
            </w:tcBorders>
            <w:vAlign w:val="center"/>
          </w:tcPr>
          <w:p w14:paraId="65B271B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VOCs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r>
      <w:tr w14:paraId="5F2D4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5000" w:type="pct"/>
            <w:gridSpan w:val="14"/>
            <w:tcBorders>
              <w:tl2br w:val="nil"/>
              <w:tr2bl w:val="nil"/>
            </w:tcBorders>
            <w:vAlign w:val="center"/>
          </w:tcPr>
          <w:p w14:paraId="0CCBB89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注：</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为勾选项，填</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为内容填写项</w:t>
            </w:r>
          </w:p>
        </w:tc>
      </w:tr>
    </w:tbl>
    <w:p w14:paraId="237223EF">
      <w:pPr>
        <w:rPr>
          <w:rFonts w:ascii="Times New Roman" w:hAnsi="Times New Roman" w:eastAsia="宋体"/>
          <w:strike w:val="0"/>
          <w:dstrike w:val="0"/>
          <w:color w:val="auto"/>
          <w:sz w:val="21"/>
          <w:highlight w:val="none"/>
        </w:rPr>
      </w:pPr>
    </w:p>
    <w:p w14:paraId="04B9602B">
      <w:pPr>
        <w:rPr>
          <w:rFonts w:ascii="Times New Roman" w:hAnsi="Times New Roman" w:eastAsia="宋体"/>
          <w:strike w:val="0"/>
          <w:dstrike w:val="0"/>
          <w:color w:val="auto"/>
          <w:highlight w:val="none"/>
        </w:rPr>
        <w:sectPr>
          <w:headerReference r:id="rId19" w:type="default"/>
          <w:footerReference r:id="rId20" w:type="default"/>
          <w:pgSz w:w="11907" w:h="16839"/>
          <w:pgMar w:top="1440" w:right="1800" w:bottom="1440" w:left="1800" w:header="877" w:footer="980" w:gutter="0"/>
          <w:pgBorders>
            <w:top w:val="none" w:sz="0" w:space="0"/>
            <w:left w:val="none" w:sz="0" w:space="0"/>
            <w:bottom w:val="none" w:sz="0" w:space="0"/>
            <w:right w:val="none" w:sz="0" w:space="0"/>
          </w:pgBorders>
          <w:pgNumType w:fmt="decimal"/>
          <w:cols w:space="720" w:num="1"/>
        </w:sectPr>
      </w:pPr>
    </w:p>
    <w:p w14:paraId="241F1A81">
      <w:pPr>
        <w:pStyle w:val="4"/>
        <w:rPr>
          <w:rFonts w:ascii="Times New Roman" w:hAnsi="Times New Roman" w:eastAsia="宋体"/>
          <w:strike w:val="0"/>
          <w:dstrike w:val="0"/>
          <w:color w:val="auto"/>
          <w:highlight w:val="none"/>
        </w:rPr>
      </w:pPr>
      <w:bookmarkStart w:id="232" w:name="_Toc106663501"/>
      <w:bookmarkStart w:id="233" w:name="_Toc30485"/>
      <w:r>
        <w:rPr>
          <w:rFonts w:hint="eastAsia" w:ascii="Times New Roman" w:hAnsi="Times New Roman" w:eastAsia="宋体"/>
          <w:strike w:val="0"/>
          <w:dstrike w:val="0"/>
          <w:color w:val="auto"/>
          <w:highlight w:val="none"/>
        </w:rPr>
        <w:t>5.2.2水环境影响</w:t>
      </w:r>
      <w:r>
        <w:rPr>
          <w:rFonts w:hint="eastAsia" w:ascii="Times New Roman" w:hAnsi="Times New Roman" w:eastAsia="宋体"/>
          <w:strike w:val="0"/>
          <w:dstrike w:val="0"/>
          <w:color w:val="auto"/>
          <w:highlight w:val="none"/>
          <w:lang w:val="en-US" w:eastAsia="zh-CN"/>
        </w:rPr>
        <w:t>分析</w:t>
      </w:r>
      <w:r>
        <w:rPr>
          <w:rFonts w:hint="eastAsia" w:ascii="Times New Roman" w:hAnsi="Times New Roman" w:eastAsia="宋体"/>
          <w:strike w:val="0"/>
          <w:dstrike w:val="0"/>
          <w:color w:val="auto"/>
          <w:highlight w:val="none"/>
        </w:rPr>
        <w:t>与评价</w:t>
      </w:r>
      <w:bookmarkEnd w:id="232"/>
      <w:bookmarkEnd w:id="233"/>
    </w:p>
    <w:p w14:paraId="79EDE62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根据工程分析，本项目废水包括</w:t>
      </w:r>
      <w:r>
        <w:rPr>
          <w:rFonts w:hint="eastAsia" w:ascii="Times New Roman" w:hAnsi="Times New Roman" w:eastAsia="宋体"/>
          <w:strike w:val="0"/>
          <w:dstrike w:val="0"/>
          <w:color w:val="auto"/>
          <w:highlight w:val="none"/>
          <w:lang w:eastAsia="zh-CN"/>
        </w:rPr>
        <w:t>生活污水和生产废水。</w:t>
      </w:r>
    </w:p>
    <w:p w14:paraId="19A41BB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5.2.2.1地表水环境影响分析</w:t>
      </w:r>
    </w:p>
    <w:p w14:paraId="6EDC6F5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本项目运营期废水主要为</w:t>
      </w:r>
      <w:r>
        <w:rPr>
          <w:rFonts w:hint="eastAsia" w:ascii="Times New Roman" w:hAnsi="Times New Roman" w:eastAsia="宋体" w:cs="宋体"/>
          <w:strike w:val="0"/>
          <w:dstrike w:val="0"/>
          <w:color w:val="auto"/>
          <w:spacing w:val="0"/>
          <w:position w:val="0"/>
          <w:sz w:val="24"/>
          <w:szCs w:val="24"/>
          <w:highlight w:val="none"/>
          <w:lang w:eastAsia="zh-CN"/>
        </w:rPr>
        <w:t>生活污水和生产废水。</w:t>
      </w:r>
    </w:p>
    <w:p w14:paraId="577393E1">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position w:val="0"/>
          <w:sz w:val="24"/>
          <w:szCs w:val="24"/>
          <w:highlight w:val="none"/>
        </w:rPr>
        <w:t>；项目区所产生的废水均得到有效处理，无外排废水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项目对场区进行分区硬化防渗处置，项目产生的各类废水均得到合理处置，均不外排</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本项目废水不会进入天然地表水体，与地表水也不发生水力联系，对地表水环境影响不大</w:t>
      </w:r>
      <w:r>
        <w:rPr>
          <w:rFonts w:hint="eastAsia" w:ascii="Times New Roman" w:hAnsi="Times New Roman" w:eastAsia="宋体" w:cs="宋体"/>
          <w:strike w:val="0"/>
          <w:dstrike w:val="0"/>
          <w:color w:val="auto"/>
          <w:spacing w:val="0"/>
          <w:position w:val="0"/>
          <w:sz w:val="24"/>
          <w:szCs w:val="24"/>
          <w:highlight w:val="none"/>
          <w:lang w:eastAsia="zh-CN"/>
        </w:rPr>
        <w:t>。</w:t>
      </w:r>
    </w:p>
    <w:p w14:paraId="73F7D2A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地表水环境影响评价自查表见表</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.2-10</w:t>
      </w:r>
      <w:r>
        <w:rPr>
          <w:rFonts w:hint="eastAsia" w:ascii="Times New Roman" w:hAnsi="Times New Roman" w:eastAsia="宋体" w:cs="宋体"/>
          <w:strike w:val="0"/>
          <w:dstrike w:val="0"/>
          <w:color w:val="auto"/>
          <w:spacing w:val="0"/>
          <w:position w:val="0"/>
          <w:sz w:val="24"/>
          <w:szCs w:val="24"/>
          <w:highlight w:val="none"/>
          <w:lang w:eastAsia="zh-CN"/>
        </w:rPr>
        <w:t>。</w:t>
      </w:r>
    </w:p>
    <w:p w14:paraId="0B0221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表5.2-10地表水环境影响评价自查表</w:t>
      </w:r>
    </w:p>
    <w:tbl>
      <w:tblPr>
        <w:tblStyle w:val="183"/>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5"/>
        <w:gridCol w:w="1375"/>
        <w:gridCol w:w="1053"/>
        <w:gridCol w:w="483"/>
        <w:gridCol w:w="22"/>
        <w:gridCol w:w="20"/>
        <w:gridCol w:w="653"/>
        <w:gridCol w:w="988"/>
        <w:gridCol w:w="262"/>
        <w:gridCol w:w="126"/>
        <w:gridCol w:w="124"/>
        <w:gridCol w:w="924"/>
        <w:gridCol w:w="288"/>
        <w:gridCol w:w="330"/>
        <w:gridCol w:w="1162"/>
      </w:tblGrid>
      <w:tr w14:paraId="2BD96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1089" w:type="pct"/>
            <w:gridSpan w:val="2"/>
            <w:tcBorders>
              <w:tl2br w:val="nil"/>
              <w:tr2bl w:val="nil"/>
            </w:tcBorders>
            <w:vAlign w:val="center"/>
          </w:tcPr>
          <w:p w14:paraId="37BF91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工作内容</w:t>
            </w:r>
          </w:p>
        </w:tc>
        <w:tc>
          <w:tcPr>
            <w:tcW w:w="3910" w:type="pct"/>
            <w:gridSpan w:val="13"/>
            <w:tcBorders>
              <w:tl2br w:val="nil"/>
              <w:tr2bl w:val="nil"/>
            </w:tcBorders>
            <w:vAlign w:val="center"/>
          </w:tcPr>
          <w:p w14:paraId="0B5BB43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自查项目</w:t>
            </w:r>
          </w:p>
        </w:tc>
      </w:tr>
      <w:tr w14:paraId="03AC5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restart"/>
            <w:tcBorders>
              <w:tl2br w:val="nil"/>
              <w:tr2bl w:val="nil"/>
            </w:tcBorders>
            <w:textDirection w:val="tbRlV"/>
            <w:vAlign w:val="center"/>
          </w:tcPr>
          <w:p w14:paraId="28164F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影响识别</w:t>
            </w:r>
          </w:p>
        </w:tc>
        <w:tc>
          <w:tcPr>
            <w:tcW w:w="831" w:type="pct"/>
            <w:tcBorders>
              <w:tl2br w:val="nil"/>
              <w:tr2bl w:val="nil"/>
            </w:tcBorders>
            <w:vAlign w:val="center"/>
          </w:tcPr>
          <w:p w14:paraId="0499BD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影响类型</w:t>
            </w:r>
          </w:p>
        </w:tc>
        <w:tc>
          <w:tcPr>
            <w:tcW w:w="3910" w:type="pct"/>
            <w:gridSpan w:val="13"/>
            <w:tcBorders>
              <w:tl2br w:val="nil"/>
              <w:tr2bl w:val="nil"/>
            </w:tcBorders>
            <w:vAlign w:val="center"/>
          </w:tcPr>
          <w:p w14:paraId="7F185D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；水文要素影响型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9EE3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582A69B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42764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水环境保护目标</w:t>
            </w:r>
          </w:p>
        </w:tc>
        <w:tc>
          <w:tcPr>
            <w:tcW w:w="3910" w:type="pct"/>
            <w:gridSpan w:val="13"/>
            <w:tcBorders>
              <w:tl2br w:val="nil"/>
              <w:tr2bl w:val="nil"/>
            </w:tcBorders>
            <w:vAlign w:val="center"/>
          </w:tcPr>
          <w:p w14:paraId="31F30C6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饮用水水源保护区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；饮用水取水</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；涉水的自然保护区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；重要湿地</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；重点保护与珍惜水生生物的栖息地</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；重要水生生物的自然产卵场及索饵场、越冬场和洄游通道、天然渔场等渔业水体</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；涉水的风景名胜区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A3D0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47F7DA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B061BA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影响途径</w:t>
            </w:r>
          </w:p>
        </w:tc>
        <w:tc>
          <w:tcPr>
            <w:tcW w:w="1956" w:type="pct"/>
            <w:gridSpan w:val="6"/>
            <w:tcBorders>
              <w:tl2br w:val="nil"/>
              <w:tr2bl w:val="nil"/>
            </w:tcBorders>
            <w:vAlign w:val="center"/>
          </w:tcPr>
          <w:p w14:paraId="1596F1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p>
        </w:tc>
        <w:tc>
          <w:tcPr>
            <w:tcW w:w="1953" w:type="pct"/>
            <w:gridSpan w:val="7"/>
            <w:tcBorders>
              <w:tl2br w:val="nil"/>
              <w:tr2bl w:val="nil"/>
            </w:tcBorders>
            <w:vAlign w:val="center"/>
          </w:tcPr>
          <w:p w14:paraId="49E8E4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水文要素影响型</w:t>
            </w:r>
          </w:p>
        </w:tc>
      </w:tr>
      <w:tr w14:paraId="4290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7C59F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5673E5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4AAFE8E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直接排放</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；间接排放</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7D0220C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；径流</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；水域面积</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4765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1C9488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638D78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影响因子</w:t>
            </w:r>
          </w:p>
        </w:tc>
        <w:tc>
          <w:tcPr>
            <w:tcW w:w="1956" w:type="pct"/>
            <w:gridSpan w:val="6"/>
            <w:tcBorders>
              <w:tl2br w:val="nil"/>
              <w:tr2bl w:val="nil"/>
            </w:tcBorders>
            <w:vAlign w:val="center"/>
          </w:tcPr>
          <w:p w14:paraId="7CBDFD0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持久性污染物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；有毒有害污染物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；非持久性污染物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pH</w:t>
            </w:r>
            <w:r>
              <w:rPr>
                <w:rFonts w:ascii="Times New Roman" w:hAnsi="Times New Roman" w:eastAsia="宋体" w:cs="宋体"/>
                <w:strike w:val="0"/>
                <w:dstrike w:val="0"/>
                <w:color w:val="auto"/>
                <w:spacing w:val="0"/>
                <w:position w:val="0"/>
                <w:sz w:val="21"/>
                <w:szCs w:val="21"/>
                <w:highlight w:val="none"/>
              </w:rPr>
              <w:t>值</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；热污染；富营养化</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215B480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；水位</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水深</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4755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1089" w:type="pct"/>
            <w:gridSpan w:val="2"/>
            <w:vMerge w:val="restart"/>
            <w:tcBorders>
              <w:tl2br w:val="nil"/>
              <w:tr2bl w:val="nil"/>
            </w:tcBorders>
            <w:vAlign w:val="center"/>
          </w:tcPr>
          <w:p w14:paraId="473994E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评价等级</w:t>
            </w:r>
          </w:p>
        </w:tc>
        <w:tc>
          <w:tcPr>
            <w:tcW w:w="1956" w:type="pct"/>
            <w:gridSpan w:val="6"/>
            <w:tcBorders>
              <w:tl2br w:val="nil"/>
              <w:tr2bl w:val="nil"/>
            </w:tcBorders>
            <w:vAlign w:val="center"/>
          </w:tcPr>
          <w:p w14:paraId="70EF424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p>
        </w:tc>
        <w:tc>
          <w:tcPr>
            <w:tcW w:w="1953" w:type="pct"/>
            <w:gridSpan w:val="7"/>
            <w:tcBorders>
              <w:tl2br w:val="nil"/>
              <w:tr2bl w:val="nil"/>
            </w:tcBorders>
            <w:vAlign w:val="center"/>
          </w:tcPr>
          <w:p w14:paraId="4ECBBD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水文要素影响型</w:t>
            </w:r>
          </w:p>
        </w:tc>
      </w:tr>
      <w:tr w14:paraId="53135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1089" w:type="pct"/>
            <w:gridSpan w:val="2"/>
            <w:vMerge w:val="continue"/>
            <w:tcBorders>
              <w:tl2br w:val="nil"/>
              <w:tr2bl w:val="nil"/>
            </w:tcBorders>
            <w:vAlign w:val="center"/>
          </w:tcPr>
          <w:p w14:paraId="7DC3EF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7DD64E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54F0FF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19C4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restart"/>
            <w:tcBorders>
              <w:tl2br w:val="nil"/>
              <w:tr2bl w:val="nil"/>
            </w:tcBorders>
            <w:vAlign w:val="center"/>
          </w:tcPr>
          <w:p w14:paraId="0EE83A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现状调查</w:t>
            </w:r>
          </w:p>
        </w:tc>
        <w:tc>
          <w:tcPr>
            <w:tcW w:w="831" w:type="pct"/>
            <w:vMerge w:val="restart"/>
            <w:tcBorders>
              <w:tl2br w:val="nil"/>
              <w:tr2bl w:val="nil"/>
            </w:tcBorders>
            <w:vAlign w:val="center"/>
          </w:tcPr>
          <w:p w14:paraId="3DE581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区域污染源</w:t>
            </w:r>
          </w:p>
        </w:tc>
        <w:tc>
          <w:tcPr>
            <w:tcW w:w="1956" w:type="pct"/>
            <w:gridSpan w:val="6"/>
            <w:tcBorders>
              <w:tl2br w:val="nil"/>
              <w:tr2bl w:val="nil"/>
            </w:tcBorders>
            <w:vAlign w:val="center"/>
          </w:tcPr>
          <w:p w14:paraId="2FD9FA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调查项目</w:t>
            </w:r>
          </w:p>
        </w:tc>
        <w:tc>
          <w:tcPr>
            <w:tcW w:w="1953" w:type="pct"/>
            <w:gridSpan w:val="7"/>
            <w:tcBorders>
              <w:tl2br w:val="nil"/>
              <w:tr2bl w:val="nil"/>
            </w:tcBorders>
            <w:vAlign w:val="center"/>
          </w:tcPr>
          <w:p w14:paraId="347E69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3491C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53E7AF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72A5C40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47" w:type="pct"/>
            <w:gridSpan w:val="3"/>
            <w:tcBorders>
              <w:tl2br w:val="nil"/>
              <w:tr2bl w:val="nil"/>
            </w:tcBorders>
            <w:vAlign w:val="center"/>
          </w:tcPr>
          <w:p w14:paraId="0E0613C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已建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；在建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；拟建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009" w:type="pct"/>
            <w:gridSpan w:val="3"/>
            <w:tcBorders>
              <w:tl2br w:val="nil"/>
              <w:tr2bl w:val="nil"/>
            </w:tcBorders>
            <w:vAlign w:val="center"/>
          </w:tcPr>
          <w:p w14:paraId="4AE78E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拟替代的污染源</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1DFE02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排污许可证</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；环评</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；环保验收</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；即有实施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；现场监测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；入河排放口数据</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3486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527FE38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440E676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受影响水体水环境质量</w:t>
            </w:r>
          </w:p>
        </w:tc>
        <w:tc>
          <w:tcPr>
            <w:tcW w:w="1956" w:type="pct"/>
            <w:gridSpan w:val="6"/>
            <w:tcBorders>
              <w:tl2br w:val="nil"/>
              <w:tr2bl w:val="nil"/>
            </w:tcBorders>
            <w:vAlign w:val="center"/>
          </w:tcPr>
          <w:p w14:paraId="5799590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调查时期</w:t>
            </w:r>
          </w:p>
        </w:tc>
        <w:tc>
          <w:tcPr>
            <w:tcW w:w="1953" w:type="pct"/>
            <w:gridSpan w:val="7"/>
            <w:tcBorders>
              <w:tl2br w:val="nil"/>
              <w:tr2bl w:val="nil"/>
            </w:tcBorders>
            <w:vAlign w:val="center"/>
          </w:tcPr>
          <w:p w14:paraId="651739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51F31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080A2C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5426D1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7034A9A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4AE5CA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生态环境保护主管部门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；补充监测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75269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continue"/>
            <w:tcBorders>
              <w:tl2br w:val="nil"/>
              <w:tr2bl w:val="nil"/>
            </w:tcBorders>
            <w:textDirection w:val="tbRlV"/>
            <w:vAlign w:val="center"/>
          </w:tcPr>
          <w:p w14:paraId="235AD1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90BA17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区域水资源开发利用状况</w:t>
            </w:r>
          </w:p>
        </w:tc>
        <w:tc>
          <w:tcPr>
            <w:tcW w:w="3910" w:type="pct"/>
            <w:gridSpan w:val="13"/>
            <w:tcBorders>
              <w:tl2br w:val="nil"/>
              <w:tr2bl w:val="nil"/>
            </w:tcBorders>
            <w:vAlign w:val="center"/>
          </w:tcPr>
          <w:p w14:paraId="044005F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未开发</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；开发量</w:t>
            </w:r>
            <w:r>
              <w:rPr>
                <w:rFonts w:ascii="Times New Roman" w:hAnsi="Times New Roman" w:eastAsia="宋体" w:cs="Times New Roman"/>
                <w:strike w:val="0"/>
                <w:dstrike w:val="0"/>
                <w:color w:val="auto"/>
                <w:spacing w:val="0"/>
                <w:position w:val="0"/>
                <w:sz w:val="21"/>
                <w:szCs w:val="21"/>
                <w:highlight w:val="none"/>
              </w:rPr>
              <w:t>40%</w:t>
            </w:r>
            <w:r>
              <w:rPr>
                <w:rFonts w:ascii="Times New Roman" w:hAnsi="Times New Roman" w:eastAsia="宋体" w:cs="宋体"/>
                <w:strike w:val="0"/>
                <w:dstrike w:val="0"/>
                <w:color w:val="auto"/>
                <w:spacing w:val="0"/>
                <w:position w:val="0"/>
                <w:sz w:val="21"/>
                <w:szCs w:val="21"/>
                <w:highlight w:val="none"/>
              </w:rPr>
              <w:t>以下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；开发量</w:t>
            </w:r>
            <w:r>
              <w:rPr>
                <w:rFonts w:ascii="Times New Roman" w:hAnsi="Times New Roman" w:eastAsia="宋体" w:cs="Times New Roman"/>
                <w:strike w:val="0"/>
                <w:dstrike w:val="0"/>
                <w:color w:val="auto"/>
                <w:spacing w:val="0"/>
                <w:position w:val="0"/>
                <w:sz w:val="21"/>
                <w:szCs w:val="21"/>
                <w:highlight w:val="none"/>
              </w:rPr>
              <w:t>40%</w:t>
            </w:r>
            <w:r>
              <w:rPr>
                <w:rFonts w:ascii="Times New Roman" w:hAnsi="Times New Roman" w:eastAsia="宋体" w:cs="宋体"/>
                <w:strike w:val="0"/>
                <w:dstrike w:val="0"/>
                <w:color w:val="auto"/>
                <w:spacing w:val="0"/>
                <w:position w:val="0"/>
                <w:sz w:val="21"/>
                <w:szCs w:val="21"/>
                <w:highlight w:val="none"/>
              </w:rPr>
              <w:t>以上</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1E89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258" w:type="pct"/>
            <w:vMerge w:val="continue"/>
            <w:tcBorders>
              <w:tl2br w:val="nil"/>
              <w:tr2bl w:val="nil"/>
            </w:tcBorders>
            <w:textDirection w:val="tbRlV"/>
            <w:vAlign w:val="center"/>
          </w:tcPr>
          <w:p w14:paraId="7D370F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3B2EA8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水文情势调查</w:t>
            </w:r>
          </w:p>
        </w:tc>
        <w:tc>
          <w:tcPr>
            <w:tcW w:w="1956" w:type="pct"/>
            <w:gridSpan w:val="6"/>
            <w:tcBorders>
              <w:tl2br w:val="nil"/>
              <w:tr2bl w:val="nil"/>
            </w:tcBorders>
            <w:vAlign w:val="center"/>
          </w:tcPr>
          <w:p w14:paraId="65E767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调查时期</w:t>
            </w:r>
          </w:p>
        </w:tc>
        <w:tc>
          <w:tcPr>
            <w:tcW w:w="1953" w:type="pct"/>
            <w:gridSpan w:val="7"/>
            <w:tcBorders>
              <w:tl2br w:val="nil"/>
              <w:tr2bl w:val="nil"/>
            </w:tcBorders>
            <w:vAlign w:val="center"/>
          </w:tcPr>
          <w:p w14:paraId="039D31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04A10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10" w:hRule="atLeast"/>
          <w:jc w:val="center"/>
        </w:trPr>
        <w:tc>
          <w:tcPr>
            <w:tcW w:w="258" w:type="pct"/>
            <w:vMerge w:val="continue"/>
            <w:tcBorders>
              <w:tl2br w:val="nil"/>
              <w:tr2bl w:val="nil"/>
            </w:tcBorders>
            <w:vAlign w:val="center"/>
          </w:tcPr>
          <w:p w14:paraId="191B12C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95DE89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补充监测</w:t>
            </w:r>
          </w:p>
        </w:tc>
        <w:tc>
          <w:tcPr>
            <w:tcW w:w="1956" w:type="pct"/>
            <w:gridSpan w:val="6"/>
            <w:tcBorders>
              <w:tl2br w:val="nil"/>
              <w:tr2bl w:val="nil"/>
            </w:tcBorders>
            <w:vAlign w:val="center"/>
          </w:tcPr>
          <w:p w14:paraId="79DAD4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15790D4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水行政主管部门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；补充监测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1A36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5" w:hRule="atLeast"/>
          <w:jc w:val="center"/>
        </w:trPr>
        <w:tc>
          <w:tcPr>
            <w:tcW w:w="258" w:type="pct"/>
            <w:vMerge w:val="continue"/>
            <w:tcBorders>
              <w:tl2br w:val="nil"/>
              <w:tr2bl w:val="nil"/>
            </w:tcBorders>
            <w:vAlign w:val="center"/>
          </w:tcPr>
          <w:p w14:paraId="658814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2042E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956" w:type="pct"/>
            <w:gridSpan w:val="6"/>
            <w:tcBorders>
              <w:tl2br w:val="nil"/>
              <w:tr2bl w:val="nil"/>
            </w:tcBorders>
            <w:vAlign w:val="center"/>
          </w:tcPr>
          <w:p w14:paraId="0148B23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监测时间</w:t>
            </w:r>
          </w:p>
        </w:tc>
        <w:tc>
          <w:tcPr>
            <w:tcW w:w="1253" w:type="pct"/>
            <w:gridSpan w:val="6"/>
            <w:tcBorders>
              <w:tl2br w:val="nil"/>
              <w:tr2bl w:val="nil"/>
            </w:tcBorders>
            <w:vAlign w:val="center"/>
          </w:tcPr>
          <w:p w14:paraId="018C0A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监测因子</w:t>
            </w:r>
          </w:p>
        </w:tc>
        <w:tc>
          <w:tcPr>
            <w:tcW w:w="699" w:type="pct"/>
            <w:tcBorders>
              <w:tl2br w:val="nil"/>
              <w:tr2bl w:val="nil"/>
            </w:tcBorders>
            <w:vAlign w:val="center"/>
          </w:tcPr>
          <w:p w14:paraId="0BB3C9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监测断面或点位</w:t>
            </w:r>
          </w:p>
        </w:tc>
      </w:tr>
      <w:tr w14:paraId="78E30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vAlign w:val="center"/>
          </w:tcPr>
          <w:p w14:paraId="4ECD643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3CF1EE5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3A83AB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253" w:type="pct"/>
            <w:gridSpan w:val="6"/>
            <w:tcBorders>
              <w:tl2br w:val="nil"/>
              <w:tr2bl w:val="nil"/>
            </w:tcBorders>
            <w:vAlign w:val="center"/>
          </w:tcPr>
          <w:p w14:paraId="38A641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99" w:type="pct"/>
            <w:tcBorders>
              <w:tl2br w:val="nil"/>
              <w:tr2bl w:val="nil"/>
            </w:tcBorders>
            <w:vAlign w:val="center"/>
          </w:tcPr>
          <w:p w14:paraId="6FE577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监测断面或点位个数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个</w:t>
            </w:r>
          </w:p>
        </w:tc>
      </w:tr>
      <w:tr w14:paraId="29EB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restart"/>
            <w:tcBorders>
              <w:tl2br w:val="nil"/>
              <w:tr2bl w:val="nil"/>
            </w:tcBorders>
            <w:textDirection w:val="tbRlV"/>
            <w:vAlign w:val="center"/>
          </w:tcPr>
          <w:p w14:paraId="3F19620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w:t>
            </w:r>
          </w:p>
        </w:tc>
        <w:tc>
          <w:tcPr>
            <w:tcW w:w="831" w:type="pct"/>
            <w:tcBorders>
              <w:tl2br w:val="nil"/>
              <w:tr2bl w:val="nil"/>
            </w:tcBorders>
            <w:vAlign w:val="center"/>
          </w:tcPr>
          <w:p w14:paraId="38F756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评价范围</w:t>
            </w:r>
          </w:p>
        </w:tc>
        <w:tc>
          <w:tcPr>
            <w:tcW w:w="3910" w:type="pct"/>
            <w:gridSpan w:val="13"/>
            <w:tcBorders>
              <w:tl2br w:val="nil"/>
              <w:tr2bl w:val="nil"/>
            </w:tcBorders>
            <w:vAlign w:val="center"/>
          </w:tcPr>
          <w:p w14:paraId="1085F9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河流：长度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宋体"/>
                <w:strike w:val="0"/>
                <w:dstrike w:val="0"/>
                <w:color w:val="auto"/>
                <w:spacing w:val="0"/>
                <w:position w:val="0"/>
                <w:sz w:val="21"/>
                <w:szCs w:val="21"/>
                <w:highlight w:val="none"/>
              </w:rPr>
              <w:t>；湖库、河口及近岸海域：面积</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Times New Roman"/>
                <w:strike w:val="0"/>
                <w:dstrike w:val="0"/>
                <w:color w:val="auto"/>
                <w:spacing w:val="0"/>
                <w:position w:val="0"/>
                <w:sz w:val="21"/>
                <w:szCs w:val="14"/>
                <w:highlight w:val="none"/>
                <w:vertAlign w:val="superscript"/>
              </w:rPr>
              <w:t>2</w:t>
            </w:r>
          </w:p>
        </w:tc>
      </w:tr>
      <w:tr w14:paraId="7919D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2802AE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77B11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3910" w:type="pct"/>
            <w:gridSpan w:val="13"/>
            <w:tcBorders>
              <w:tl2br w:val="nil"/>
              <w:tr2bl w:val="nil"/>
            </w:tcBorders>
            <w:vAlign w:val="center"/>
          </w:tcPr>
          <w:p w14:paraId="3BC08B6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2F7D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4" w:hRule="atLeast"/>
          <w:jc w:val="center"/>
        </w:trPr>
        <w:tc>
          <w:tcPr>
            <w:tcW w:w="258" w:type="pct"/>
            <w:vMerge w:val="continue"/>
            <w:tcBorders>
              <w:tl2br w:val="nil"/>
              <w:tr2bl w:val="nil"/>
            </w:tcBorders>
            <w:textDirection w:val="tbRlV"/>
            <w:vAlign w:val="center"/>
          </w:tcPr>
          <w:p w14:paraId="44A53B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4AE4E06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评价标准</w:t>
            </w:r>
          </w:p>
        </w:tc>
        <w:tc>
          <w:tcPr>
            <w:tcW w:w="3910" w:type="pct"/>
            <w:gridSpan w:val="13"/>
            <w:tcBorders>
              <w:tl2br w:val="nil"/>
              <w:tr2bl w:val="nil"/>
            </w:tcBorders>
            <w:vAlign w:val="center"/>
          </w:tcPr>
          <w:p w14:paraId="04B6A5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河流、湖库、河口：Ⅰ类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；Ⅱ类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；Ⅲ类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；Ⅳ类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；Ⅴ类</w:t>
            </w:r>
            <w:r>
              <w:rPr>
                <w:rFonts w:hint="eastAsia" w:ascii="Times New Roman" w:hAnsi="Times New Roman" w:eastAsia="宋体" w:cs="MS Gothic"/>
                <w:i w:val="0"/>
                <w:strike w:val="0"/>
                <w:dstrike w:val="0"/>
                <w:color w:val="auto"/>
                <w:spacing w:val="0"/>
                <w:position w:val="0"/>
                <w:sz w:val="21"/>
                <w:szCs w:val="21"/>
                <w:highlight w:val="none"/>
                <w:lang w:eastAsia="zh-CN"/>
              </w:rPr>
              <w:t>□</w:t>
            </w:r>
          </w:p>
          <w:p w14:paraId="595C8F4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近岸海域：第一类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；第二类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；第三类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；第四类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规划年评价标准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40DED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B8C61A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F8C567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评价时期</w:t>
            </w:r>
          </w:p>
        </w:tc>
        <w:tc>
          <w:tcPr>
            <w:tcW w:w="3910" w:type="pct"/>
            <w:gridSpan w:val="13"/>
            <w:tcBorders>
              <w:tl2br w:val="nil"/>
              <w:tr2bl w:val="nil"/>
            </w:tcBorders>
            <w:vAlign w:val="center"/>
          </w:tcPr>
          <w:p w14:paraId="77E2D3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2701E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603" w:hRule="atLeast"/>
          <w:jc w:val="center"/>
        </w:trPr>
        <w:tc>
          <w:tcPr>
            <w:tcW w:w="258" w:type="pct"/>
            <w:vMerge w:val="continue"/>
            <w:tcBorders>
              <w:tl2br w:val="nil"/>
              <w:tr2bl w:val="nil"/>
            </w:tcBorders>
            <w:textDirection w:val="tbRlV"/>
            <w:vAlign w:val="center"/>
          </w:tcPr>
          <w:p w14:paraId="1B4B651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5935C7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008" w:type="pct"/>
            <w:gridSpan w:val="11"/>
            <w:tcBorders>
              <w:tl2br w:val="nil"/>
              <w:tr2bl w:val="nil"/>
            </w:tcBorders>
            <w:vAlign w:val="center"/>
          </w:tcPr>
          <w:p w14:paraId="527585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水环境功能区或水功能区、近岸海域环境功能区水质达标状况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水环境控制单元或断面水质达标状况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水环境保护目标质量状况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对照断面、控制断面等代表性断面的水质状况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底泥污染评价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水资源与开发利用程度及其水文情势评价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水环境质量回顾评价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区域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水资源</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包括水能资源</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与开发利用总体状况、生态流量管理要求与现状满足程度、建设项目占用水域空间的水流状况与河湖演变状况</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901" w:type="pct"/>
            <w:gridSpan w:val="2"/>
            <w:tcBorders>
              <w:tl2br w:val="nil"/>
              <w:tr2bl w:val="nil"/>
            </w:tcBorders>
            <w:vAlign w:val="center"/>
          </w:tcPr>
          <w:p w14:paraId="156F0E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p w14:paraId="2D323F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不达标区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C447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restart"/>
            <w:tcBorders>
              <w:tl2br w:val="nil"/>
              <w:tr2bl w:val="nil"/>
            </w:tcBorders>
            <w:textDirection w:val="tbRlV"/>
            <w:vAlign w:val="center"/>
          </w:tcPr>
          <w:p w14:paraId="16C4F3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影响预测</w:t>
            </w:r>
          </w:p>
        </w:tc>
        <w:tc>
          <w:tcPr>
            <w:tcW w:w="831" w:type="pct"/>
            <w:tcBorders>
              <w:tl2br w:val="nil"/>
              <w:tr2bl w:val="nil"/>
            </w:tcBorders>
            <w:vAlign w:val="center"/>
          </w:tcPr>
          <w:p w14:paraId="1F407C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预测范围</w:t>
            </w:r>
          </w:p>
        </w:tc>
        <w:tc>
          <w:tcPr>
            <w:tcW w:w="3910" w:type="pct"/>
            <w:gridSpan w:val="13"/>
            <w:tcBorders>
              <w:tl2br w:val="nil"/>
              <w:tr2bl w:val="nil"/>
            </w:tcBorders>
            <w:vAlign w:val="center"/>
          </w:tcPr>
          <w:p w14:paraId="5614AF9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河流：长度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宋体"/>
                <w:strike w:val="0"/>
                <w:dstrike w:val="0"/>
                <w:color w:val="auto"/>
                <w:spacing w:val="0"/>
                <w:position w:val="0"/>
                <w:sz w:val="21"/>
                <w:szCs w:val="21"/>
                <w:highlight w:val="none"/>
              </w:rPr>
              <w:t>；湖库、河口及近岸海域：面积</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Times New Roman"/>
                <w:strike w:val="0"/>
                <w:dstrike w:val="0"/>
                <w:color w:val="auto"/>
                <w:spacing w:val="0"/>
                <w:position w:val="0"/>
                <w:sz w:val="21"/>
                <w:szCs w:val="14"/>
                <w:highlight w:val="none"/>
                <w:vertAlign w:val="superscript"/>
              </w:rPr>
              <w:t>2</w:t>
            </w:r>
          </w:p>
        </w:tc>
      </w:tr>
      <w:tr w14:paraId="4F930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0742A70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064663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预测因子</w:t>
            </w:r>
          </w:p>
        </w:tc>
        <w:tc>
          <w:tcPr>
            <w:tcW w:w="3910" w:type="pct"/>
            <w:gridSpan w:val="13"/>
            <w:tcBorders>
              <w:tl2br w:val="nil"/>
              <w:tr2bl w:val="nil"/>
            </w:tcBorders>
            <w:vAlign w:val="center"/>
          </w:tcPr>
          <w:p w14:paraId="44D4FA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4FB3D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6" w:hRule="atLeast"/>
          <w:jc w:val="center"/>
        </w:trPr>
        <w:tc>
          <w:tcPr>
            <w:tcW w:w="258" w:type="pct"/>
            <w:vMerge w:val="continue"/>
            <w:tcBorders>
              <w:tl2br w:val="nil"/>
              <w:tr2bl w:val="nil"/>
            </w:tcBorders>
            <w:textDirection w:val="tbRlV"/>
            <w:vAlign w:val="center"/>
          </w:tcPr>
          <w:p w14:paraId="2830F6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5D1867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预测时期</w:t>
            </w:r>
          </w:p>
        </w:tc>
        <w:tc>
          <w:tcPr>
            <w:tcW w:w="3910" w:type="pct"/>
            <w:gridSpan w:val="13"/>
            <w:tcBorders>
              <w:tl2br w:val="nil"/>
              <w:tr2bl w:val="nil"/>
            </w:tcBorders>
            <w:vAlign w:val="center"/>
          </w:tcPr>
          <w:p w14:paraId="4A2A7BD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设计水文条件</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2B2E5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04" w:hRule="atLeast"/>
          <w:jc w:val="center"/>
        </w:trPr>
        <w:tc>
          <w:tcPr>
            <w:tcW w:w="258" w:type="pct"/>
            <w:vMerge w:val="continue"/>
            <w:tcBorders>
              <w:tl2br w:val="nil"/>
              <w:tr2bl w:val="nil"/>
            </w:tcBorders>
            <w:textDirection w:val="tbRlV"/>
            <w:vAlign w:val="center"/>
          </w:tcPr>
          <w:p w14:paraId="625891C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6B25A44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预测情景</w:t>
            </w:r>
          </w:p>
        </w:tc>
        <w:tc>
          <w:tcPr>
            <w:tcW w:w="3910" w:type="pct"/>
            <w:gridSpan w:val="13"/>
            <w:tcBorders>
              <w:tl2br w:val="nil"/>
              <w:tr2bl w:val="nil"/>
            </w:tcBorders>
            <w:vAlign w:val="center"/>
          </w:tcPr>
          <w:p w14:paraId="3F7303B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；生产运行期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；服务期满后</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6FFF22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正常工况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；非正常工况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2CF1B9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污染控制和减缓措施方案</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105931B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域环境质量改善目标要求情景</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2C8F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75962F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9D0B9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预测方法</w:t>
            </w:r>
          </w:p>
        </w:tc>
        <w:tc>
          <w:tcPr>
            <w:tcW w:w="3910" w:type="pct"/>
            <w:gridSpan w:val="13"/>
            <w:tcBorders>
              <w:tl2br w:val="nil"/>
              <w:tr2bl w:val="nil"/>
            </w:tcBorders>
            <w:vAlign w:val="center"/>
          </w:tcPr>
          <w:p w14:paraId="4F41E2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数值解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；解析解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；导则推荐模式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722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04" w:hRule="atLeast"/>
          <w:jc w:val="center"/>
        </w:trPr>
        <w:tc>
          <w:tcPr>
            <w:tcW w:w="258" w:type="pct"/>
            <w:vMerge w:val="restart"/>
            <w:tcBorders>
              <w:tl2br w:val="nil"/>
              <w:tr2bl w:val="nil"/>
            </w:tcBorders>
            <w:textDirection w:val="tbRlV"/>
            <w:vAlign w:val="center"/>
          </w:tcPr>
          <w:p w14:paraId="726D27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影响评价</w:t>
            </w:r>
          </w:p>
        </w:tc>
        <w:tc>
          <w:tcPr>
            <w:tcW w:w="831" w:type="pct"/>
            <w:tcBorders>
              <w:tl2br w:val="nil"/>
              <w:tr2bl w:val="nil"/>
            </w:tcBorders>
            <w:vAlign w:val="center"/>
          </w:tcPr>
          <w:p w14:paraId="7773E5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水污染物控制</w:t>
            </w:r>
          </w:p>
          <w:p w14:paraId="2594AA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和水环境影响</w:t>
            </w:r>
          </w:p>
          <w:p w14:paraId="59D705C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减缓措施有效</w:t>
            </w:r>
          </w:p>
          <w:p w14:paraId="6483B4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性评价</w:t>
            </w:r>
          </w:p>
        </w:tc>
        <w:tc>
          <w:tcPr>
            <w:tcW w:w="3910" w:type="pct"/>
            <w:gridSpan w:val="13"/>
            <w:tcBorders>
              <w:tl2br w:val="nil"/>
              <w:tr2bl w:val="nil"/>
            </w:tcBorders>
            <w:vAlign w:val="center"/>
          </w:tcPr>
          <w:p w14:paraId="1732DA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域水环境质量改善目标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；替代消减源</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82A7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3C6F25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5C01FA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污染源排放量核算</w:t>
            </w:r>
          </w:p>
        </w:tc>
        <w:tc>
          <w:tcPr>
            <w:tcW w:w="931" w:type="pct"/>
            <w:gridSpan w:val="2"/>
            <w:tcBorders>
              <w:tl2br w:val="nil"/>
              <w:tr2bl w:val="nil"/>
            </w:tcBorders>
            <w:vAlign w:val="center"/>
          </w:tcPr>
          <w:p w14:paraId="677D0D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污染物名称</w:t>
            </w:r>
          </w:p>
        </w:tc>
        <w:tc>
          <w:tcPr>
            <w:tcW w:w="1265" w:type="pct"/>
            <w:gridSpan w:val="6"/>
            <w:tcBorders>
              <w:tl2br w:val="nil"/>
              <w:tr2bl w:val="nil"/>
            </w:tcBorders>
            <w:vAlign w:val="center"/>
          </w:tcPr>
          <w:p w14:paraId="1EE2C4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排放量</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713" w:type="pct"/>
            <w:gridSpan w:val="5"/>
            <w:tcBorders>
              <w:tl2br w:val="nil"/>
              <w:tr2bl w:val="nil"/>
            </w:tcBorders>
            <w:vAlign w:val="center"/>
          </w:tcPr>
          <w:p w14:paraId="7CC955E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排放浓度</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60173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615DAF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7096F4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31" w:type="pct"/>
            <w:gridSpan w:val="2"/>
            <w:tcBorders>
              <w:tl2br w:val="nil"/>
              <w:tr2bl w:val="nil"/>
            </w:tcBorders>
            <w:vAlign w:val="center"/>
          </w:tcPr>
          <w:p w14:paraId="1D517F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265" w:type="pct"/>
            <w:gridSpan w:val="6"/>
            <w:tcBorders>
              <w:tl2br w:val="nil"/>
              <w:tr2bl w:val="nil"/>
            </w:tcBorders>
            <w:vAlign w:val="center"/>
          </w:tcPr>
          <w:p w14:paraId="705CF40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713" w:type="pct"/>
            <w:gridSpan w:val="5"/>
            <w:tcBorders>
              <w:tl2br w:val="nil"/>
              <w:tr2bl w:val="nil"/>
            </w:tcBorders>
            <w:vAlign w:val="center"/>
          </w:tcPr>
          <w:p w14:paraId="5475C48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15933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6" w:hRule="atLeast"/>
          <w:jc w:val="center"/>
        </w:trPr>
        <w:tc>
          <w:tcPr>
            <w:tcW w:w="258" w:type="pct"/>
            <w:vMerge w:val="continue"/>
            <w:tcBorders>
              <w:tl2br w:val="nil"/>
              <w:tr2bl w:val="nil"/>
            </w:tcBorders>
            <w:textDirection w:val="tbRlV"/>
            <w:vAlign w:val="center"/>
          </w:tcPr>
          <w:p w14:paraId="75F1176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640A525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替代源排放情况</w:t>
            </w:r>
          </w:p>
        </w:tc>
        <w:tc>
          <w:tcPr>
            <w:tcW w:w="637" w:type="pct"/>
            <w:tcBorders>
              <w:tl2br w:val="nil"/>
              <w:tr2bl w:val="nil"/>
            </w:tcBorders>
            <w:vAlign w:val="center"/>
          </w:tcPr>
          <w:p w14:paraId="622C3B4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污染源名称</w:t>
            </w:r>
          </w:p>
        </w:tc>
        <w:tc>
          <w:tcPr>
            <w:tcW w:w="721" w:type="pct"/>
            <w:gridSpan w:val="4"/>
            <w:tcBorders>
              <w:tl2br w:val="nil"/>
              <w:tr2bl w:val="nil"/>
            </w:tcBorders>
            <w:vAlign w:val="center"/>
          </w:tcPr>
          <w:p w14:paraId="710B521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排污许可证号</w:t>
            </w:r>
          </w:p>
        </w:tc>
        <w:tc>
          <w:tcPr>
            <w:tcW w:w="759" w:type="pct"/>
            <w:gridSpan w:val="2"/>
            <w:tcBorders>
              <w:tl2br w:val="nil"/>
              <w:tr2bl w:val="nil"/>
            </w:tcBorders>
            <w:vAlign w:val="center"/>
          </w:tcPr>
          <w:p w14:paraId="6C010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污染物名称</w:t>
            </w:r>
          </w:p>
        </w:tc>
        <w:tc>
          <w:tcPr>
            <w:tcW w:w="715" w:type="pct"/>
            <w:gridSpan w:val="3"/>
            <w:tcBorders>
              <w:tl2br w:val="nil"/>
              <w:tr2bl w:val="nil"/>
            </w:tcBorders>
            <w:vAlign w:val="center"/>
          </w:tcPr>
          <w:p w14:paraId="76E0C62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排放量</w:t>
            </w:r>
            <w:r>
              <w:rPr>
                <w:rFonts w:ascii="Times New Roman" w:hAnsi="Times New Roman" w:eastAsia="宋体" w:cs="Times New Roman"/>
                <w:strike w:val="0"/>
                <w:dstrike w:val="0"/>
                <w:color w:val="auto"/>
                <w:spacing w:val="0"/>
                <w:position w:val="0"/>
                <w:sz w:val="21"/>
                <w:szCs w:val="21"/>
                <w:highlight w:val="none"/>
              </w:rPr>
              <w:t>/</w:t>
            </w:r>
          </w:p>
          <w:p w14:paraId="752E145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076" w:type="pct"/>
            <w:gridSpan w:val="3"/>
            <w:tcBorders>
              <w:tl2br w:val="nil"/>
              <w:tr2bl w:val="nil"/>
            </w:tcBorders>
            <w:vAlign w:val="center"/>
          </w:tcPr>
          <w:p w14:paraId="59BE26F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排放浓度</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5DE1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258" w:type="pct"/>
            <w:vMerge w:val="continue"/>
            <w:tcBorders>
              <w:tl2br w:val="nil"/>
              <w:tr2bl w:val="nil"/>
            </w:tcBorders>
            <w:textDirection w:val="tbRlV"/>
            <w:vAlign w:val="center"/>
          </w:tcPr>
          <w:p w14:paraId="687D28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85E0D6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37" w:type="pct"/>
            <w:tcBorders>
              <w:tl2br w:val="nil"/>
              <w:tr2bl w:val="nil"/>
            </w:tcBorders>
            <w:vAlign w:val="center"/>
          </w:tcPr>
          <w:p w14:paraId="305BD8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21" w:type="pct"/>
            <w:gridSpan w:val="4"/>
            <w:tcBorders>
              <w:tl2br w:val="nil"/>
              <w:tr2bl w:val="nil"/>
            </w:tcBorders>
            <w:vAlign w:val="center"/>
          </w:tcPr>
          <w:p w14:paraId="75CFBBC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59" w:type="pct"/>
            <w:gridSpan w:val="2"/>
            <w:tcBorders>
              <w:tl2br w:val="nil"/>
              <w:tr2bl w:val="nil"/>
            </w:tcBorders>
            <w:vAlign w:val="center"/>
          </w:tcPr>
          <w:p w14:paraId="3044CD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15" w:type="pct"/>
            <w:gridSpan w:val="3"/>
            <w:tcBorders>
              <w:tl2br w:val="nil"/>
              <w:tr2bl w:val="nil"/>
            </w:tcBorders>
            <w:vAlign w:val="center"/>
          </w:tcPr>
          <w:p w14:paraId="32EF79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076" w:type="pct"/>
            <w:gridSpan w:val="3"/>
            <w:tcBorders>
              <w:tl2br w:val="nil"/>
              <w:tr2bl w:val="nil"/>
            </w:tcBorders>
            <w:vAlign w:val="center"/>
          </w:tcPr>
          <w:p w14:paraId="079C4D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13B26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10" w:hRule="atLeast"/>
          <w:jc w:val="center"/>
        </w:trPr>
        <w:tc>
          <w:tcPr>
            <w:tcW w:w="258" w:type="pct"/>
            <w:vMerge w:val="continue"/>
            <w:tcBorders>
              <w:tl2br w:val="nil"/>
              <w:tr2bl w:val="nil"/>
            </w:tcBorders>
            <w:vAlign w:val="center"/>
          </w:tcPr>
          <w:p w14:paraId="23F0DC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28EDBC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生态流量确定</w:t>
            </w:r>
          </w:p>
        </w:tc>
        <w:tc>
          <w:tcPr>
            <w:tcW w:w="3910" w:type="pct"/>
            <w:gridSpan w:val="13"/>
            <w:tcBorders>
              <w:tl2br w:val="nil"/>
              <w:tr2bl w:val="nil"/>
            </w:tcBorders>
            <w:vAlign w:val="center"/>
          </w:tcPr>
          <w:p w14:paraId="2028C29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生态流量：一般水期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；鱼类繁殖期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生态水位：一般水期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宋体"/>
                <w:strike w:val="0"/>
                <w:dstrike w:val="0"/>
                <w:color w:val="auto"/>
                <w:spacing w:val="0"/>
                <w:position w:val="0"/>
                <w:sz w:val="21"/>
                <w:szCs w:val="21"/>
                <w:highlight w:val="none"/>
              </w:rPr>
              <w:t>；鱼类繁殖期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p>
        </w:tc>
      </w:tr>
      <w:tr w14:paraId="4BCD6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restart"/>
            <w:tcBorders>
              <w:tl2br w:val="nil"/>
              <w:tr2bl w:val="nil"/>
            </w:tcBorders>
            <w:textDirection w:val="tbRlV"/>
            <w:vAlign w:val="center"/>
          </w:tcPr>
          <w:p w14:paraId="055AF8D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防治措施</w:t>
            </w:r>
          </w:p>
        </w:tc>
        <w:tc>
          <w:tcPr>
            <w:tcW w:w="831" w:type="pct"/>
            <w:tcBorders>
              <w:tl2br w:val="nil"/>
              <w:tr2bl w:val="nil"/>
            </w:tcBorders>
            <w:vAlign w:val="center"/>
          </w:tcPr>
          <w:p w14:paraId="6A99A3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环保措施</w:t>
            </w:r>
          </w:p>
        </w:tc>
        <w:tc>
          <w:tcPr>
            <w:tcW w:w="3910" w:type="pct"/>
            <w:gridSpan w:val="13"/>
            <w:tcBorders>
              <w:tl2br w:val="nil"/>
              <w:tr2bl w:val="nil"/>
            </w:tcBorders>
            <w:vAlign w:val="center"/>
          </w:tcPr>
          <w:p w14:paraId="1DC261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污水处理设施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；水文减缓设施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；生态流量保障设施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；区域削减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；依托其他工程措施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5144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515CC0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E2BB9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监测计划</w:t>
            </w:r>
          </w:p>
        </w:tc>
        <w:tc>
          <w:tcPr>
            <w:tcW w:w="962" w:type="pct"/>
            <w:gridSpan w:val="4"/>
            <w:tcBorders>
              <w:tl2br w:val="nil"/>
              <w:tr2bl w:val="nil"/>
            </w:tcBorders>
            <w:vAlign w:val="center"/>
          </w:tcPr>
          <w:p w14:paraId="616BCD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311" w:type="pct"/>
            <w:gridSpan w:val="5"/>
            <w:tcBorders>
              <w:tl2br w:val="nil"/>
              <w:tr2bl w:val="nil"/>
            </w:tcBorders>
            <w:vAlign w:val="center"/>
          </w:tcPr>
          <w:p w14:paraId="52C9D0D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环境质量</w:t>
            </w:r>
          </w:p>
        </w:tc>
        <w:tc>
          <w:tcPr>
            <w:tcW w:w="1636" w:type="pct"/>
            <w:gridSpan w:val="4"/>
            <w:tcBorders>
              <w:tl2br w:val="nil"/>
              <w:tr2bl w:val="nil"/>
            </w:tcBorders>
            <w:vAlign w:val="center"/>
          </w:tcPr>
          <w:p w14:paraId="100CC23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w:t>
            </w:r>
          </w:p>
        </w:tc>
      </w:tr>
      <w:tr w14:paraId="473E6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continue"/>
            <w:tcBorders>
              <w:tl2br w:val="nil"/>
              <w:tr2bl w:val="nil"/>
            </w:tcBorders>
            <w:textDirection w:val="tbRlV"/>
            <w:vAlign w:val="center"/>
          </w:tcPr>
          <w:p w14:paraId="0350E8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2BE0E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1A976F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监测方式</w:t>
            </w:r>
          </w:p>
        </w:tc>
        <w:tc>
          <w:tcPr>
            <w:tcW w:w="1311" w:type="pct"/>
            <w:gridSpan w:val="5"/>
            <w:tcBorders>
              <w:tl2br w:val="nil"/>
              <w:tr2bl w:val="nil"/>
            </w:tcBorders>
            <w:vAlign w:val="center"/>
          </w:tcPr>
          <w:p w14:paraId="03AA3C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手动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；自动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；无监测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419D6A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手动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；自动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；无监测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1059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F2221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19BDAD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39CCB4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监测点位</w:t>
            </w:r>
          </w:p>
        </w:tc>
        <w:tc>
          <w:tcPr>
            <w:tcW w:w="1311" w:type="pct"/>
            <w:gridSpan w:val="5"/>
            <w:tcBorders>
              <w:tl2br w:val="nil"/>
              <w:tr2bl w:val="nil"/>
            </w:tcBorders>
            <w:vAlign w:val="center"/>
          </w:tcPr>
          <w:p w14:paraId="53CD70F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7664433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767D1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5FAA07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03EBB4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5151A3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监测因子</w:t>
            </w:r>
          </w:p>
        </w:tc>
        <w:tc>
          <w:tcPr>
            <w:tcW w:w="1311" w:type="pct"/>
            <w:gridSpan w:val="5"/>
            <w:tcBorders>
              <w:tl2br w:val="nil"/>
              <w:tr2bl w:val="nil"/>
            </w:tcBorders>
            <w:vAlign w:val="center"/>
          </w:tcPr>
          <w:p w14:paraId="17C384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452055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6732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5" w:hRule="atLeast"/>
          <w:jc w:val="center"/>
        </w:trPr>
        <w:tc>
          <w:tcPr>
            <w:tcW w:w="258" w:type="pct"/>
            <w:vMerge w:val="continue"/>
            <w:tcBorders>
              <w:tl2br w:val="nil"/>
              <w:tr2bl w:val="nil"/>
            </w:tcBorders>
            <w:textDirection w:val="tbRlV"/>
            <w:vAlign w:val="center"/>
          </w:tcPr>
          <w:p w14:paraId="07DE88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2A72EA2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污染物排放清单</w:t>
            </w:r>
          </w:p>
        </w:tc>
        <w:tc>
          <w:tcPr>
            <w:tcW w:w="3910" w:type="pct"/>
            <w:gridSpan w:val="13"/>
            <w:tcBorders>
              <w:tl2br w:val="nil"/>
              <w:tr2bl w:val="nil"/>
            </w:tcBorders>
            <w:vAlign w:val="center"/>
          </w:tcPr>
          <w:p w14:paraId="76BECE1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7760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1089" w:type="pct"/>
            <w:gridSpan w:val="2"/>
            <w:tcBorders>
              <w:tl2br w:val="nil"/>
              <w:tr2bl w:val="nil"/>
            </w:tcBorders>
            <w:vAlign w:val="center"/>
          </w:tcPr>
          <w:p w14:paraId="1BCE47E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910" w:type="pct"/>
            <w:gridSpan w:val="13"/>
            <w:tcBorders>
              <w:tl2br w:val="nil"/>
              <w:tr2bl w:val="nil"/>
            </w:tcBorders>
            <w:vAlign w:val="center"/>
          </w:tcPr>
          <w:p w14:paraId="75A6196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可以接受</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；不可以接受</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4734A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9" w:hRule="atLeast"/>
          <w:jc w:val="center"/>
        </w:trPr>
        <w:tc>
          <w:tcPr>
            <w:tcW w:w="5000" w:type="pct"/>
            <w:gridSpan w:val="15"/>
            <w:tcBorders>
              <w:tl2br w:val="nil"/>
              <w:tr2bl w:val="nil"/>
            </w:tcBorders>
            <w:vAlign w:val="center"/>
          </w:tcPr>
          <w:p w14:paraId="730B3F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注：</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为勾选项，填</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为内容填写项</w:t>
            </w:r>
          </w:p>
        </w:tc>
      </w:tr>
    </w:tbl>
    <w:p w14:paraId="3D3EDCDF">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5.2.2.2地下水环境影响分析</w:t>
      </w:r>
    </w:p>
    <w:p w14:paraId="6FBE24C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default" w:ascii="Times New Roman" w:hAnsi="Times New Roman" w:eastAsia="宋体" w:cs="宋体"/>
          <w:strike w:val="0"/>
          <w:dstrike w:val="0"/>
          <w:color w:val="auto"/>
          <w:spacing w:val="0"/>
          <w:position w:val="0"/>
          <w:sz w:val="24"/>
          <w:szCs w:val="24"/>
          <w:highlight w:val="none"/>
          <w:lang w:val="en-US" w:eastAsia="zh-CN"/>
        </w:rPr>
      </w:pPr>
      <w:bookmarkStart w:id="234" w:name="_Toc86740198"/>
      <w:r>
        <w:rPr>
          <w:rFonts w:hint="eastAsia" w:ascii="Times New Roman" w:hAnsi="Times New Roman" w:eastAsia="宋体" w:cs="Times New Roman"/>
          <w:strike w:val="0"/>
          <w:dstrike w:val="0"/>
          <w:color w:val="auto"/>
          <w:spacing w:val="0"/>
          <w:position w:val="0"/>
          <w:sz w:val="24"/>
          <w:szCs w:val="24"/>
          <w:highlight w:val="none"/>
          <w:lang w:val="en-US" w:eastAsia="zh-CN"/>
        </w:rPr>
        <w:t>1、水文地质特征</w:t>
      </w:r>
    </w:p>
    <w:p w14:paraId="4EC3790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木垒县地下水按赋存特征可划分为：基岩裂隙水、碎屑岩类裂隙孔隙承压水和松散岩类孔隙潜水。基岩裂隙水主要分布在山丘区，碎屑岩类裂隙孔隙承压水主要分布在木垒县北部地区，松散岩类孔隙潜水分布在山前平原及沙漠区。</w:t>
      </w:r>
    </w:p>
    <w:p w14:paraId="3064472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z w:val="24"/>
          <w:szCs w:val="24"/>
          <w:lang w:eastAsia="zh-CN"/>
        </w:rPr>
      </w:pPr>
      <w:r>
        <w:rPr>
          <w:rFonts w:ascii="Times New Roman" w:hAnsi="Times New Roman" w:eastAsia="宋体" w:cs="宋体"/>
          <w:strike w:val="0"/>
          <w:dstrike w:val="0"/>
          <w:color w:val="auto"/>
          <w:sz w:val="24"/>
          <w:szCs w:val="24"/>
        </w:rPr>
        <w:t>松散岩类孔隙潜水由第四纪下更新统-全新统的冰水沉积物和冲洪积物组成的单一结构潜水含水层，含水层岩性，从南到北由卵砾石、砾石，渐变为砂砾石、砂，由上到下，南部表现为卵石、卵砾石，渐变为砂粒石，北部由砂粒石变为砂。总体上南部基底坡度大，地下水径流速度快，含水层薄，不利于地下水的富集。北部基底坡降小，地下水径流速度慢，含水层厚度增厚，形成相对好的富水区，水位埋深由南向北总体表现为由大到小的变化规律，北部沙漠及沙漠前缘水位埋深2-15m。</w:t>
      </w:r>
    </w:p>
    <w:p w14:paraId="53E8A27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基岩山区，地下水补给源主要为山区大气降水。平原区地下水的补给受自然条件和区内人类活动共同影响，侧向上接受山区基岩裂隙水沟谷潜流补给，垂向上主要接受大气降水入渗补给、洪流入渗补给、渠系入渗、田间灌溉入渗补给及坎儿井、泉水、水库的入渗补给。沙漠区及其以南的平原细土带主要接受侧向径流补给和洪水入渗补给。</w:t>
      </w:r>
    </w:p>
    <w:p w14:paraId="3607962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z w:val="24"/>
          <w:szCs w:val="24"/>
          <w:lang w:eastAsia="zh-CN"/>
        </w:rPr>
      </w:pPr>
      <w:r>
        <w:rPr>
          <w:rFonts w:ascii="Times New Roman" w:hAnsi="Times New Roman" w:eastAsia="宋体" w:cs="宋体"/>
          <w:strike w:val="0"/>
          <w:dstrike w:val="0"/>
          <w:color w:val="auto"/>
          <w:sz w:val="24"/>
          <w:szCs w:val="24"/>
        </w:rPr>
        <w:t>山区地下水以水平或垂直方式从高处向低处运移，径流途径短，在沟谷处以泉形式溢出地表补给地表水或以沟谷潜流形式侧向径流。平原区地下水水力坡度南大北小，地下水呈北西向，由南向北径流，至北部沙漠区流向逐渐偏转为北西西向。山区地下水主要以泉或沟谷潜流的形式排泄。平原区地下水排泄方式主要为侧向径流排泄、人工开采、蒸发蒸腾以及泉水溢出等。沙漠区地下水以侧向流出、蒸发蒸腾排泄为主。</w:t>
      </w:r>
    </w:p>
    <w:p w14:paraId="7DC9F3A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项目所在区域地下水属于孔隙潜水，含水层岩性为中粗砂，富有地下水，单位涌水量约为900m</w:t>
      </w:r>
      <w:r>
        <w:rPr>
          <w:rFonts w:ascii="Times New Roman" w:hAnsi="Times New Roman" w:eastAsia="宋体" w:cs="宋体"/>
          <w:strike w:val="0"/>
          <w:dstrike w:val="0"/>
          <w:color w:val="auto"/>
          <w:sz w:val="24"/>
          <w:szCs w:val="24"/>
          <w:vertAlign w:val="superscript"/>
        </w:rPr>
        <w:t>3</w:t>
      </w:r>
      <w:r>
        <w:rPr>
          <w:rFonts w:ascii="Times New Roman" w:hAnsi="Times New Roman" w:eastAsia="宋体" w:cs="宋体"/>
          <w:strike w:val="0"/>
          <w:dstrike w:val="0"/>
          <w:color w:val="auto"/>
          <w:sz w:val="24"/>
          <w:szCs w:val="24"/>
        </w:rPr>
        <w:t>/d•m，渗透系数为3.144m/d，埋深约为50m。地下水呈北西向，由南向北径流，补给来源主要为侧向径流补给，排泄方式以侧向流出和蒸发蒸腾为主。</w:t>
      </w:r>
    </w:p>
    <w:p w14:paraId="0C1A41B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2、</w:t>
      </w:r>
      <w:r>
        <w:rPr>
          <w:rFonts w:ascii="Times New Roman" w:hAnsi="Times New Roman" w:eastAsia="宋体" w:cs="宋体"/>
          <w:strike w:val="0"/>
          <w:dstrike w:val="0"/>
          <w:color w:val="auto"/>
          <w:spacing w:val="0"/>
          <w:position w:val="0"/>
          <w:sz w:val="24"/>
          <w:szCs w:val="24"/>
          <w:highlight w:val="none"/>
        </w:rPr>
        <w:t>地下水环境影响途径</w:t>
      </w:r>
    </w:p>
    <w:p w14:paraId="2D2F2D4B">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根据本项目特点，运营期对区域地下水的污染源主要为骆驼圈舍、医疗废物暂存间、黑膜池等，上述区块防渗措施受损，污染物（主要为</w:t>
      </w:r>
      <w:r>
        <w:rPr>
          <w:rFonts w:hint="default" w:ascii="Times New Roman" w:hAnsi="Times New Roman" w:eastAsia="宋体" w:cs="宋体"/>
          <w:strike w:val="0"/>
          <w:dstrike w:val="0"/>
          <w:color w:val="auto"/>
          <w:spacing w:val="0"/>
          <w:position w:val="0"/>
          <w:sz w:val="24"/>
          <w:szCs w:val="24"/>
          <w:highlight w:val="none"/>
          <w:lang w:val="en-US" w:eastAsia="zh-CN"/>
        </w:rPr>
        <w:t>pH</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SS</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COD</w:t>
      </w:r>
      <w:r>
        <w:rPr>
          <w:rFonts w:hint="eastAsia" w:ascii="Times New Roman" w:hAnsi="Times New Roman" w:eastAsia="宋体" w:cs="宋体"/>
          <w:strike w:val="0"/>
          <w:dstrike w:val="0"/>
          <w:color w:val="auto"/>
          <w:spacing w:val="0"/>
          <w:position w:val="0"/>
          <w:sz w:val="24"/>
          <w:szCs w:val="24"/>
          <w:highlight w:val="none"/>
          <w:lang w:val="en-US" w:eastAsia="zh-CN"/>
        </w:rPr>
        <w:t>、氨氮）通过垂直渗透进入包气带，进入包气带的污染物在物理、化学和生物作用下经吸附、转化、迁移和分解后输入地下水。</w:t>
      </w:r>
    </w:p>
    <w:p w14:paraId="4128F125">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本项目不以地下水作为供水水源，不会因地下水抽采对当地的地下水水位及水资源量产生影响，对地下水的影响主要是项目污水及固体废物对地下水水质的影响</w:t>
      </w:r>
      <w:r>
        <w:rPr>
          <w:rFonts w:hint="eastAsia" w:ascii="Times New Roman" w:hAnsi="Times New Roman" w:eastAsia="宋体" w:cs="宋体"/>
          <w:strike w:val="0"/>
          <w:dstrike w:val="0"/>
          <w:color w:val="auto"/>
          <w:spacing w:val="0"/>
          <w:position w:val="0"/>
          <w:sz w:val="24"/>
          <w:szCs w:val="24"/>
          <w:highlight w:val="none"/>
          <w:lang w:eastAsia="zh-CN"/>
        </w:rPr>
        <w:t>。</w:t>
      </w:r>
    </w:p>
    <w:p w14:paraId="32D2E452">
      <w:pPr>
        <w:keepNext w:val="0"/>
        <w:keepLines w:val="0"/>
        <w:pageBreakBefore w:val="0"/>
        <w:widowControl w:val="0"/>
        <w:kinsoku/>
        <w:wordWrap/>
        <w:overflowPunct/>
        <w:topLinePunct w:val="0"/>
        <w:autoSpaceDE/>
        <w:autoSpaceDN/>
        <w:bidi w:val="0"/>
        <w:adjustRightInd/>
        <w:snapToGrid/>
        <w:spacing w:line="360" w:lineRule="auto"/>
        <w:ind w:left="0" w:right="0" w:firstLine="489"/>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项目厂区内生产装置和污水管道等跑、冒、滴、漏的有毒有害物料首先污染土壤，再通过降雨淋溶经包气带渗透至潜水层而污染浅层地下水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一般情况下，包气带的厚度越薄，透水性越好，越容易造成潜水含水层的污染；反之，包气带的厚度越厚、透水性越差，则不容易造成潜水污染</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渗透污染是导致浅层地下水污染的主要方式</w:t>
      </w:r>
      <w:r>
        <w:rPr>
          <w:rFonts w:hint="eastAsia" w:ascii="Times New Roman" w:hAnsi="Times New Roman" w:eastAsia="宋体" w:cs="宋体"/>
          <w:strike w:val="0"/>
          <w:dstrike w:val="0"/>
          <w:color w:val="auto"/>
          <w:spacing w:val="0"/>
          <w:position w:val="0"/>
          <w:sz w:val="24"/>
          <w:szCs w:val="24"/>
          <w:highlight w:val="none"/>
          <w:lang w:eastAsia="zh-CN"/>
        </w:rPr>
        <w:t>。</w:t>
      </w:r>
    </w:p>
    <w:p w14:paraId="178D90C5">
      <w:pPr>
        <w:keepNext w:val="0"/>
        <w:keepLines w:val="0"/>
        <w:pageBreakBefore w:val="0"/>
        <w:widowControl w:val="0"/>
        <w:kinsoku/>
        <w:wordWrap/>
        <w:overflowPunct/>
        <w:topLinePunct w:val="0"/>
        <w:autoSpaceDE/>
        <w:autoSpaceDN/>
        <w:bidi w:val="0"/>
        <w:adjustRightInd/>
        <w:snapToGrid/>
        <w:spacing w:line="360" w:lineRule="auto"/>
        <w:ind w:left="0" w:right="0" w:firstLine="489"/>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4、</w:t>
      </w:r>
      <w:r>
        <w:rPr>
          <w:rFonts w:ascii="Times New Roman" w:hAnsi="Times New Roman" w:eastAsia="宋体" w:cs="宋体"/>
          <w:strike w:val="0"/>
          <w:dstrike w:val="0"/>
          <w:color w:val="auto"/>
          <w:spacing w:val="0"/>
          <w:position w:val="0"/>
          <w:sz w:val="24"/>
          <w:szCs w:val="24"/>
          <w:highlight w:val="none"/>
        </w:rPr>
        <w:t>地下水现状监测</w:t>
      </w:r>
    </w:p>
    <w:p w14:paraId="559A0F24">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本项目地下水现状监测设置三个点位</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经过监测数据可知，评价区地下水均未超过《地下水质量标准》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GB/T14848-2017</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中Ⅲ类标准要求</w:t>
      </w:r>
      <w:r>
        <w:rPr>
          <w:rFonts w:hint="eastAsia" w:ascii="Times New Roman" w:hAnsi="Times New Roman" w:eastAsia="宋体" w:cs="宋体"/>
          <w:strike w:val="0"/>
          <w:dstrike w:val="0"/>
          <w:color w:val="auto"/>
          <w:spacing w:val="0"/>
          <w:position w:val="0"/>
          <w:sz w:val="24"/>
          <w:szCs w:val="24"/>
          <w:highlight w:val="none"/>
          <w:lang w:eastAsia="zh-CN"/>
        </w:rPr>
        <w:t>。</w:t>
      </w:r>
    </w:p>
    <w:p w14:paraId="40CFFB1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宋体"/>
          <w:strike w:val="0"/>
          <w:dstrike w:val="0"/>
          <w:color w:val="auto"/>
          <w:spacing w:val="0"/>
          <w:position w:val="0"/>
          <w:sz w:val="24"/>
          <w:szCs w:val="24"/>
          <w:highlight w:val="none"/>
        </w:rPr>
        <w:t>废水及影响途径</w:t>
      </w:r>
    </w:p>
    <w:p w14:paraId="7EEF0F5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1</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正常情况下地下水影响分析</w:t>
      </w:r>
    </w:p>
    <w:p w14:paraId="605A825F">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本项目影响地下水质主要有两方面，一是废水收集以及排放过程中的下渗对地下水的影响，二是由于固体废物收集处经雨水淋溶污染地下水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06CCDD9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①废水排放对地下水质的影响</w:t>
      </w:r>
    </w:p>
    <w:p w14:paraId="5400F3DC">
      <w:pPr>
        <w:keepNext w:val="0"/>
        <w:keepLines w:val="0"/>
        <w:pageBreakBefore w:val="0"/>
        <w:widowControl w:val="0"/>
        <w:kinsoku/>
        <w:wordWrap/>
        <w:overflowPunct/>
        <w:topLinePunct w:val="0"/>
        <w:autoSpaceDE/>
        <w:autoSpaceDN/>
        <w:bidi w:val="0"/>
        <w:adjustRightInd/>
        <w:snapToGrid/>
        <w:spacing w:line="360" w:lineRule="auto"/>
        <w:ind w:left="0" w:right="0" w:firstLine="482"/>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position w:val="0"/>
          <w:sz w:val="24"/>
          <w:szCs w:val="24"/>
          <w:highlight w:val="none"/>
        </w:rPr>
        <w:t>，不直接和地表联系，不会通过地表水和地下水的水力联系而进入地下水从而引地下水水质的变化</w:t>
      </w:r>
      <w:r>
        <w:rPr>
          <w:rFonts w:hint="eastAsia" w:ascii="Times New Roman" w:hAnsi="Times New Roman" w:eastAsia="宋体" w:cs="宋体"/>
          <w:strike w:val="0"/>
          <w:dstrike w:val="0"/>
          <w:color w:val="auto"/>
          <w:spacing w:val="0"/>
          <w:position w:val="0"/>
          <w:sz w:val="24"/>
          <w:szCs w:val="24"/>
          <w:highlight w:val="none"/>
          <w:lang w:eastAsia="zh-CN"/>
        </w:rPr>
        <w:t>。</w:t>
      </w:r>
    </w:p>
    <w:p w14:paraId="39C99783">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此外，本项目所在区域地下有粘土层存在，可以减少下渗水量，即使有微量废水渗入地下水，由于土壤的自净作用，对区域内地下水的水质影响也很微弱，不会改变区域地下水的现状使用功能</w:t>
      </w:r>
      <w:r>
        <w:rPr>
          <w:rFonts w:hint="eastAsia" w:ascii="Times New Roman" w:hAnsi="Times New Roman" w:eastAsia="宋体" w:cs="宋体"/>
          <w:strike w:val="0"/>
          <w:dstrike w:val="0"/>
          <w:color w:val="auto"/>
          <w:spacing w:val="0"/>
          <w:position w:val="0"/>
          <w:sz w:val="24"/>
          <w:szCs w:val="24"/>
          <w:highlight w:val="none"/>
          <w:lang w:eastAsia="zh-CN"/>
        </w:rPr>
        <w:t>。</w:t>
      </w:r>
    </w:p>
    <w:p w14:paraId="45B0D99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②固体废物对地下水水质的影响</w:t>
      </w:r>
    </w:p>
    <w:p w14:paraId="56669A58">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本项目产生的固体废物主要为</w:t>
      </w:r>
      <w:r>
        <w:rPr>
          <w:rFonts w:hint="eastAsia" w:ascii="Times New Roman" w:hAnsi="Times New Roman" w:eastAsia="宋体" w:cs="宋体"/>
          <w:strike w:val="0"/>
          <w:dstrike w:val="0"/>
          <w:color w:val="auto"/>
          <w:spacing w:val="0"/>
          <w:position w:val="0"/>
          <w:sz w:val="24"/>
          <w:szCs w:val="24"/>
          <w:highlight w:val="none"/>
          <w:lang w:eastAsia="zh-CN"/>
        </w:rPr>
        <w:t>骆驼粪便、病死骆驼、分娩废弃物（胎衣、死胎、胎盘附属物）、挤奶大厅废弃的一次性挤奶耗材、塑料奶管、废弃包装物、生活垃圾、医疗废物、黑膜池污泥。</w:t>
      </w:r>
      <w:r>
        <w:rPr>
          <w:rFonts w:ascii="Times New Roman" w:hAnsi="Times New Roman" w:eastAsia="宋体" w:cs="宋体"/>
          <w:strike w:val="0"/>
          <w:dstrike w:val="0"/>
          <w:color w:val="auto"/>
          <w:spacing w:val="0"/>
          <w:position w:val="0"/>
          <w:sz w:val="24"/>
          <w:szCs w:val="24"/>
          <w:highlight w:val="none"/>
        </w:rPr>
        <w:t>其中，</w:t>
      </w:r>
      <w:r>
        <w:rPr>
          <w:rFonts w:hint="eastAsia" w:ascii="Times New Roman" w:hAnsi="Times New Roman" w:eastAsia="宋体" w:cs="宋体"/>
          <w:strike w:val="0"/>
          <w:dstrike w:val="0"/>
          <w:color w:val="auto"/>
          <w:spacing w:val="0"/>
          <w:position w:val="0"/>
          <w:sz w:val="24"/>
          <w:szCs w:val="24"/>
          <w:highlight w:val="none"/>
          <w:lang w:eastAsia="zh-CN"/>
        </w:rPr>
        <w:t>骆驼粪便</w:t>
      </w:r>
      <w:r>
        <w:rPr>
          <w:rFonts w:hint="eastAsia" w:ascii="Times New Roman" w:hAnsi="Times New Roman" w:eastAsia="宋体" w:cs="宋体"/>
          <w:strike w:val="0"/>
          <w:dstrike w:val="0"/>
          <w:color w:val="auto"/>
          <w:spacing w:val="0"/>
          <w:position w:val="0"/>
          <w:sz w:val="24"/>
          <w:szCs w:val="24"/>
          <w:highlight w:val="none"/>
          <w:lang w:val="en-US" w:eastAsia="zh-CN"/>
        </w:rPr>
        <w:t>清运至堆肥场，经发酵处理后作为有机肥外售</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val="en-US" w:eastAsia="zh-CN"/>
        </w:rPr>
        <w:t>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挤奶大厅废弃的一次性挤奶耗材、塑料奶管、废弃包装物</w:t>
      </w:r>
      <w:r>
        <w:rPr>
          <w:rFonts w:ascii="Times New Roman" w:hAnsi="Times New Roman" w:eastAsia="宋体" w:cs="宋体"/>
          <w:strike w:val="0"/>
          <w:dstrike w:val="0"/>
          <w:color w:val="auto"/>
          <w:spacing w:val="0"/>
          <w:position w:val="0"/>
          <w:sz w:val="24"/>
          <w:szCs w:val="24"/>
          <w:highlight w:val="none"/>
        </w:rPr>
        <w:t>进行外售，生活垃圾集中收集由当地环卫部门处置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医疗废物储存于</w:t>
      </w:r>
      <w:r>
        <w:rPr>
          <w:rFonts w:hint="eastAsia" w:ascii="Times New Roman" w:hAnsi="Times New Roman" w:eastAsia="宋体" w:cs="宋体"/>
          <w:strike w:val="0"/>
          <w:dstrike w:val="0"/>
          <w:color w:val="auto"/>
          <w:spacing w:val="0"/>
          <w:position w:val="0"/>
          <w:sz w:val="24"/>
          <w:szCs w:val="24"/>
          <w:highlight w:val="none"/>
          <w:lang w:eastAsia="zh-CN"/>
        </w:rPr>
        <w:t>医疗废物暂存间</w:t>
      </w:r>
      <w:r>
        <w:rPr>
          <w:rFonts w:ascii="Times New Roman" w:hAnsi="Times New Roman" w:eastAsia="宋体" w:cs="宋体"/>
          <w:strike w:val="0"/>
          <w:dstrike w:val="0"/>
          <w:color w:val="auto"/>
          <w:spacing w:val="0"/>
          <w:position w:val="0"/>
          <w:sz w:val="24"/>
          <w:szCs w:val="24"/>
          <w:highlight w:val="none"/>
        </w:rPr>
        <w:t>，交由有资质的单位进行处置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黑膜池污泥定期运至堆肥场，经过处理后作为同骆驼粪便一同作为有机肥外售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厂区固废临时堆放处做好防雨、防渗处理等就可基本解决固废污染当地地下水问题，对地下水水质影响不大</w:t>
      </w:r>
      <w:r>
        <w:rPr>
          <w:rFonts w:hint="eastAsia" w:ascii="Times New Roman" w:hAnsi="Times New Roman" w:eastAsia="宋体" w:cs="宋体"/>
          <w:strike w:val="0"/>
          <w:dstrike w:val="0"/>
          <w:color w:val="auto"/>
          <w:spacing w:val="0"/>
          <w:position w:val="0"/>
          <w:sz w:val="24"/>
          <w:szCs w:val="24"/>
          <w:highlight w:val="none"/>
          <w:lang w:eastAsia="zh-CN"/>
        </w:rPr>
        <w:t>。</w:t>
      </w:r>
    </w:p>
    <w:p w14:paraId="79D09AE6">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本项目所在区域地下有较好的粘土层防渗，只要本项目做好防渗措施，本项目废水对地下水影响较小</w:t>
      </w:r>
      <w:r>
        <w:rPr>
          <w:rFonts w:hint="eastAsia" w:ascii="Times New Roman" w:hAnsi="Times New Roman" w:eastAsia="宋体" w:cs="宋体"/>
          <w:strike w:val="0"/>
          <w:dstrike w:val="0"/>
          <w:color w:val="auto"/>
          <w:spacing w:val="0"/>
          <w:position w:val="0"/>
          <w:sz w:val="24"/>
          <w:szCs w:val="24"/>
          <w:highlight w:val="none"/>
          <w:lang w:eastAsia="zh-CN"/>
        </w:rPr>
        <w:t>。</w:t>
      </w:r>
    </w:p>
    <w:p w14:paraId="7D0E197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2</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非正常情况下地下水影响分析</w:t>
      </w:r>
    </w:p>
    <w:p w14:paraId="1DD7D1B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①影响途径</w:t>
      </w:r>
    </w:p>
    <w:p w14:paraId="2CE96EE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本项目对地下水的影响主要是项目污水及固体废物对地下水水质的影响</w:t>
      </w:r>
      <w:r>
        <w:rPr>
          <w:rFonts w:hint="eastAsia" w:ascii="Times New Roman" w:hAnsi="Times New Roman" w:eastAsia="宋体" w:cs="宋体"/>
          <w:strike w:val="0"/>
          <w:dstrike w:val="0"/>
          <w:color w:val="auto"/>
          <w:spacing w:val="0"/>
          <w:position w:val="0"/>
          <w:sz w:val="24"/>
          <w:szCs w:val="24"/>
          <w:highlight w:val="none"/>
          <w:lang w:eastAsia="zh-CN"/>
        </w:rPr>
        <w:t>。</w:t>
      </w:r>
    </w:p>
    <w:p w14:paraId="0504CD88">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项目厂区内</w:t>
      </w:r>
      <w:r>
        <w:rPr>
          <w:rFonts w:hint="eastAsia" w:ascii="Times New Roman" w:hAnsi="Times New Roman" w:eastAsia="宋体" w:cs="宋体"/>
          <w:strike w:val="0"/>
          <w:dstrike w:val="0"/>
          <w:color w:val="auto"/>
          <w:spacing w:val="0"/>
          <w:position w:val="0"/>
          <w:sz w:val="24"/>
          <w:szCs w:val="24"/>
          <w:highlight w:val="none"/>
          <w:lang w:val="en-US" w:eastAsia="zh-CN"/>
        </w:rPr>
        <w:t>黑膜池</w:t>
      </w:r>
      <w:r>
        <w:rPr>
          <w:rFonts w:ascii="Times New Roman" w:hAnsi="Times New Roman" w:eastAsia="宋体" w:cs="宋体"/>
          <w:strike w:val="0"/>
          <w:dstrike w:val="0"/>
          <w:color w:val="auto"/>
          <w:spacing w:val="0"/>
          <w:position w:val="0"/>
          <w:sz w:val="24"/>
          <w:szCs w:val="24"/>
          <w:highlight w:val="none"/>
        </w:rPr>
        <w:t>泄露和污水管道等跑、冒、滴、漏的有毒有害物料首先污染土壤，再通过降雨淋溶经包气带渗透至潜水层而污染浅层地下水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一般情况下，包气带的厚度越薄，透水性越好，越容易造成潜水含水层的污染；反之，包气带的厚度越厚、透水性越差，则不容易造成潜水污染</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渗透污染是导致浅层地下水污染的主要方式</w:t>
      </w:r>
      <w:r>
        <w:rPr>
          <w:rFonts w:hint="eastAsia" w:ascii="Times New Roman" w:hAnsi="Times New Roman" w:eastAsia="宋体" w:cs="宋体"/>
          <w:strike w:val="0"/>
          <w:dstrike w:val="0"/>
          <w:color w:val="auto"/>
          <w:spacing w:val="0"/>
          <w:position w:val="0"/>
          <w:sz w:val="24"/>
          <w:szCs w:val="24"/>
          <w:highlight w:val="none"/>
          <w:lang w:eastAsia="zh-CN"/>
        </w:rPr>
        <w:t>。</w:t>
      </w:r>
    </w:p>
    <w:p w14:paraId="1CE4204E">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default"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②预测情景分析</w:t>
      </w:r>
    </w:p>
    <w:p w14:paraId="71E51FD9">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strike w:val="0"/>
          <w:dstrike w:val="0"/>
          <w:color w:val="auto"/>
        </w:rPr>
      </w:pPr>
      <w:r>
        <w:rPr>
          <w:rFonts w:hint="eastAsia" w:ascii="Times New Roman" w:hAnsi="Times New Roman" w:eastAsia="宋体" w:cs="宋体"/>
          <w:strike w:val="0"/>
          <w:dstrike w:val="0"/>
          <w:color w:val="auto"/>
          <w:spacing w:val="0"/>
          <w:position w:val="0"/>
          <w:sz w:val="24"/>
          <w:szCs w:val="24"/>
          <w:highlight w:val="none"/>
          <w:lang w:val="en-US" w:eastAsia="zh-CN"/>
        </w:rPr>
        <w:t>综合分析根据本项目特征，非正常状况下选取</w:t>
      </w:r>
      <w:r>
        <w:rPr>
          <w:rFonts w:hint="default" w:ascii="Times New Roman" w:hAnsi="Times New Roman" w:eastAsia="宋体" w:cs="宋体"/>
          <w:strike w:val="0"/>
          <w:dstrike w:val="0"/>
          <w:color w:val="auto"/>
          <w:spacing w:val="0"/>
          <w:position w:val="0"/>
          <w:sz w:val="24"/>
          <w:szCs w:val="24"/>
          <w:highlight w:val="none"/>
          <w:lang w:val="en-US" w:eastAsia="zh-CN"/>
        </w:rPr>
        <w:t>COD</w:t>
      </w:r>
      <w:r>
        <w:rPr>
          <w:rFonts w:hint="default" w:ascii="Times New Roman" w:hAnsi="Times New Roman" w:eastAsia="宋体" w:cs="宋体"/>
          <w:strike w:val="0"/>
          <w:dstrike w:val="0"/>
          <w:color w:val="auto"/>
          <w:spacing w:val="0"/>
          <w:position w:val="0"/>
          <w:sz w:val="24"/>
          <w:szCs w:val="24"/>
          <w:highlight w:val="none"/>
          <w:vertAlign w:val="superscript"/>
          <w:lang w:val="en-US" w:eastAsia="zh-CN"/>
        </w:rPr>
        <w:t>Mn</w:t>
      </w:r>
      <w:r>
        <w:rPr>
          <w:rFonts w:hint="eastAsia" w:ascii="Times New Roman" w:hAnsi="Times New Roman" w:eastAsia="宋体" w:cs="宋体"/>
          <w:strike w:val="0"/>
          <w:dstrike w:val="0"/>
          <w:color w:val="auto"/>
          <w:spacing w:val="0"/>
          <w:position w:val="0"/>
          <w:sz w:val="24"/>
          <w:szCs w:val="24"/>
          <w:highlight w:val="none"/>
          <w:lang w:val="en-US" w:eastAsia="zh-CN"/>
        </w:rPr>
        <w:t>和氨氮作为特征污染物进行</w:t>
      </w:r>
      <w:r>
        <w:rPr>
          <w:rFonts w:hint="eastAsia" w:ascii="Times New Roman" w:hAnsi="Times New Roman" w:eastAsia="宋体" w:cs="宋体"/>
          <w:strike w:val="0"/>
          <w:dstrike w:val="0"/>
          <w:color w:val="auto"/>
          <w:kern w:val="0"/>
          <w:sz w:val="24"/>
          <w:szCs w:val="24"/>
          <w:lang w:val="en-US" w:eastAsia="zh-CN" w:bidi="ar"/>
        </w:rPr>
        <w:t>预测。非正常状况情景设定为黑膜池泄漏，污染物直接穿透包气带进入地下水运移的情景，运用解析法进行模拟预测。</w:t>
      </w:r>
    </w:p>
    <w:p w14:paraId="51AE9754">
      <w:pPr>
        <w:keepNext w:val="0"/>
        <w:keepLines w:val="0"/>
        <w:widowControl/>
        <w:suppressLineNumbers w:val="0"/>
        <w:jc w:val="left"/>
        <w:rPr>
          <w:rFonts w:ascii="Times New Roman" w:hAnsi="Times New Roman" w:eastAsia="宋体"/>
          <w:strike w:val="0"/>
          <w:dstrike w:val="0"/>
          <w:color w:val="auto"/>
        </w:rPr>
      </w:pPr>
      <w:r>
        <w:rPr>
          <w:rFonts w:hint="eastAsia" w:ascii="Times New Roman" w:hAnsi="Times New Roman" w:eastAsia="宋体" w:cs="宋体"/>
          <w:strike w:val="0"/>
          <w:dstrike w:val="0"/>
          <w:color w:val="auto"/>
          <w:kern w:val="0"/>
          <w:sz w:val="24"/>
          <w:szCs w:val="24"/>
          <w:lang w:val="en-US" w:eastAsia="zh-CN" w:bidi="ar"/>
        </w:rPr>
        <w:t>由于预测时地下水影响的评价因子为耗氧量，为使污染因子</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与评价因子耗氧量在数值关系上对应统一，故在模型计算过程中，本次评价参照国内学者胡大琼（云南省水文水资源局普洱分局）《高锰酸盐指数与化学需氧量相关关系探讨》一文得出的耗氧量与</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线性回归方程</w:t>
      </w:r>
      <w:r>
        <w:rPr>
          <w:rFonts w:hint="default" w:ascii="Times New Roman" w:hAnsi="Times New Roman" w:eastAsia="宋体" w:cs="Times New Roman"/>
          <w:strike w:val="0"/>
          <w:dstrike w:val="0"/>
          <w:color w:val="auto"/>
          <w:kern w:val="0"/>
          <w:sz w:val="24"/>
          <w:szCs w:val="24"/>
          <w:lang w:val="en-US" w:eastAsia="zh-CN" w:bidi="ar"/>
        </w:rPr>
        <w:t>Y=4.76X+2.61</w:t>
      </w:r>
      <w:r>
        <w:rPr>
          <w:rFonts w:hint="eastAsia" w:ascii="Times New Roman" w:hAnsi="Times New Roman" w:eastAsia="宋体" w:cs="Times New Roman"/>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为耗氧量，</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为</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）进行换算。本次评价</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浓度取</w:t>
      </w:r>
      <w:r>
        <w:rPr>
          <w:rFonts w:hint="eastAsia" w:ascii="Times New Roman" w:hAnsi="Times New Roman" w:eastAsia="宋体" w:cs="Times New Roman"/>
          <w:strike w:val="0"/>
          <w:dstrike w:val="0"/>
          <w:color w:val="auto"/>
          <w:kern w:val="0"/>
          <w:sz w:val="24"/>
          <w:szCs w:val="24"/>
          <w:lang w:val="en-US" w:eastAsia="zh-CN" w:bidi="ar"/>
        </w:rPr>
        <w:t>3000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，则耗氧量浓度为</w:t>
      </w:r>
      <w:r>
        <w:rPr>
          <w:rFonts w:hint="eastAsia" w:ascii="Times New Roman" w:hAnsi="Times New Roman" w:eastAsia="宋体" w:cs="Times New Roman"/>
          <w:strike w:val="0"/>
          <w:dstrike w:val="0"/>
          <w:color w:val="auto"/>
          <w:kern w:val="0"/>
          <w:sz w:val="24"/>
          <w:szCs w:val="24"/>
          <w:lang w:val="en-US" w:eastAsia="zh-CN" w:bidi="ar"/>
        </w:rPr>
        <w:t>629.70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Times New Roman"/>
          <w:strike w:val="0"/>
          <w:dstrike w:val="0"/>
          <w:color w:val="auto"/>
          <w:kern w:val="0"/>
          <w:sz w:val="24"/>
          <w:szCs w:val="24"/>
          <w:lang w:val="en-US" w:eastAsia="zh-CN" w:bidi="ar"/>
        </w:rPr>
        <w:t>，氨氮浓度取100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w:t>
      </w:r>
    </w:p>
    <w:p w14:paraId="2213FF56">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源强计算：设定防渗过程中采取的渗漏自动检测发现及修复时间为</w:t>
      </w:r>
      <w:r>
        <w:rPr>
          <w:rFonts w:hint="default" w:ascii="Times New Roman" w:hAnsi="Times New Roman" w:eastAsia="宋体" w:cs="Times New Roman"/>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天；泄漏量：设定防渗过程中采取的渗漏自动检测发现及修复时间为</w:t>
      </w:r>
      <w:r>
        <w:rPr>
          <w:rFonts w:hint="default" w:ascii="Times New Roman" w:hAnsi="Times New Roman" w:eastAsia="宋体" w:cs="Times New Roman"/>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天；非正常工况下泄漏量按储存池的</w:t>
      </w:r>
      <w:r>
        <w:rPr>
          <w:rFonts w:hint="default" w:ascii="Times New Roman" w:hAnsi="Times New Roman" w:eastAsia="宋体" w:cs="Times New Roman"/>
          <w:strike w:val="0"/>
          <w:dstrike w:val="0"/>
          <w:color w:val="auto"/>
          <w:kern w:val="0"/>
          <w:sz w:val="24"/>
          <w:szCs w:val="24"/>
          <w:lang w:val="en-US" w:eastAsia="zh-CN" w:bidi="ar"/>
        </w:rPr>
        <w:t>0.1%</w:t>
      </w:r>
      <w:r>
        <w:rPr>
          <w:rFonts w:hint="eastAsia" w:ascii="Times New Roman" w:hAnsi="Times New Roman" w:eastAsia="宋体" w:cs="宋体"/>
          <w:strike w:val="0"/>
          <w:dstrike w:val="0"/>
          <w:color w:val="auto"/>
          <w:kern w:val="0"/>
          <w:sz w:val="24"/>
          <w:szCs w:val="24"/>
          <w:lang w:val="en-US" w:eastAsia="zh-CN" w:bidi="ar"/>
        </w:rPr>
        <w:t>计算，产生量为</w:t>
      </w:r>
      <w:r>
        <w:rPr>
          <w:rFonts w:hint="eastAsia" w:ascii="Times New Roman" w:hAnsi="Times New Roman" w:eastAsia="宋体" w:cs="Times New Roman"/>
          <w:strike w:val="0"/>
          <w:dstrike w:val="0"/>
          <w:color w:val="auto"/>
          <w:kern w:val="0"/>
          <w:sz w:val="24"/>
          <w:szCs w:val="24"/>
          <w:lang w:val="en-US" w:eastAsia="zh-CN" w:bidi="ar"/>
        </w:rPr>
        <w:t>1.5</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3</w:t>
      </w:r>
      <w:r>
        <w:rPr>
          <w:rFonts w:hint="eastAsia" w:ascii="Times New Roman" w:hAnsi="Times New Roman" w:eastAsia="宋体" w:cs="宋体"/>
          <w:strike w:val="0"/>
          <w:dstrike w:val="0"/>
          <w:color w:val="auto"/>
          <w:kern w:val="0"/>
          <w:sz w:val="24"/>
          <w:szCs w:val="24"/>
          <w:lang w:val="en-US" w:eastAsia="zh-CN" w:bidi="ar"/>
        </w:rPr>
        <w:t>。源强核算结果见表5.2-11</w:t>
      </w:r>
    </w:p>
    <w:p w14:paraId="238C9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表5.2-11非正常工况渗漏源强计算一览表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780"/>
        <w:gridCol w:w="897"/>
        <w:gridCol w:w="1387"/>
        <w:gridCol w:w="1687"/>
        <w:gridCol w:w="1320"/>
        <w:gridCol w:w="1325"/>
      </w:tblGrid>
      <w:tr w14:paraId="39AA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Align w:val="center"/>
          </w:tcPr>
          <w:p w14:paraId="5F6F0B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情景设定</w:t>
            </w:r>
          </w:p>
        </w:tc>
        <w:tc>
          <w:tcPr>
            <w:tcW w:w="470" w:type="pct"/>
            <w:vAlign w:val="center"/>
          </w:tcPr>
          <w:p w14:paraId="2C7F21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泄露位置</w:t>
            </w:r>
          </w:p>
        </w:tc>
        <w:tc>
          <w:tcPr>
            <w:tcW w:w="541" w:type="pct"/>
            <w:vAlign w:val="center"/>
          </w:tcPr>
          <w:p w14:paraId="394C8B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特征污染物</w:t>
            </w:r>
          </w:p>
        </w:tc>
        <w:tc>
          <w:tcPr>
            <w:tcW w:w="836" w:type="pct"/>
            <w:vAlign w:val="center"/>
          </w:tcPr>
          <w:p w14:paraId="0A1A7A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渗漏量（m</w:t>
            </w:r>
            <w:r>
              <w:rPr>
                <w:rFonts w:hint="eastAsia" w:ascii="Times New Roman" w:hAnsi="Times New Roman" w:eastAsia="宋体"/>
                <w:strike w:val="0"/>
                <w:dstrike w:val="0"/>
                <w:color w:val="auto"/>
                <w:sz w:val="21"/>
                <w:highlight w:val="none"/>
                <w:vertAlign w:val="superscript"/>
                <w:lang w:val="en-US" w:eastAsia="zh-CN"/>
              </w:rPr>
              <w:t>3</w:t>
            </w:r>
            <w:r>
              <w:rPr>
                <w:rFonts w:hint="eastAsia" w:ascii="Times New Roman" w:hAnsi="Times New Roman" w:eastAsia="宋体"/>
                <w:strike w:val="0"/>
                <w:dstrike w:val="0"/>
                <w:color w:val="auto"/>
                <w:sz w:val="21"/>
                <w:highlight w:val="none"/>
                <w:vertAlign w:val="baseline"/>
                <w:lang w:val="en-US" w:eastAsia="zh-CN"/>
              </w:rPr>
              <w:t>/d）</w:t>
            </w:r>
          </w:p>
        </w:tc>
        <w:tc>
          <w:tcPr>
            <w:tcW w:w="1017" w:type="pct"/>
            <w:vAlign w:val="center"/>
          </w:tcPr>
          <w:p w14:paraId="182D2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污染物浓度（mg/L）</w:t>
            </w:r>
          </w:p>
        </w:tc>
        <w:tc>
          <w:tcPr>
            <w:tcW w:w="796" w:type="pct"/>
            <w:vAlign w:val="center"/>
          </w:tcPr>
          <w:p w14:paraId="4B096B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污染源强（kg）</w:t>
            </w:r>
          </w:p>
        </w:tc>
        <w:tc>
          <w:tcPr>
            <w:tcW w:w="1358" w:type="dxa"/>
            <w:vAlign w:val="center"/>
          </w:tcPr>
          <w:p w14:paraId="795ED5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标准限值（mg/L）</w:t>
            </w:r>
          </w:p>
        </w:tc>
      </w:tr>
      <w:tr w14:paraId="10E9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Merge w:val="restart"/>
            <w:vAlign w:val="center"/>
          </w:tcPr>
          <w:p w14:paraId="72B27F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非正常工况</w:t>
            </w:r>
          </w:p>
        </w:tc>
        <w:tc>
          <w:tcPr>
            <w:tcW w:w="470" w:type="pct"/>
            <w:vMerge w:val="restart"/>
            <w:vAlign w:val="center"/>
          </w:tcPr>
          <w:p w14:paraId="1711C8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黑膜池</w:t>
            </w:r>
          </w:p>
        </w:tc>
        <w:tc>
          <w:tcPr>
            <w:tcW w:w="541" w:type="pct"/>
            <w:vAlign w:val="center"/>
          </w:tcPr>
          <w:p w14:paraId="2C80E3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耗氧量</w:t>
            </w:r>
          </w:p>
        </w:tc>
        <w:tc>
          <w:tcPr>
            <w:tcW w:w="836" w:type="pct"/>
            <w:vMerge w:val="restart"/>
            <w:vAlign w:val="center"/>
          </w:tcPr>
          <w:p w14:paraId="4CB67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1.5</w:t>
            </w:r>
          </w:p>
        </w:tc>
        <w:tc>
          <w:tcPr>
            <w:tcW w:w="1017" w:type="pct"/>
            <w:vAlign w:val="center"/>
          </w:tcPr>
          <w:p w14:paraId="575B7F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629.70</w:t>
            </w:r>
          </w:p>
        </w:tc>
        <w:tc>
          <w:tcPr>
            <w:tcW w:w="796" w:type="pct"/>
            <w:vAlign w:val="center"/>
          </w:tcPr>
          <w:p w14:paraId="4E14B8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0.9446</w:t>
            </w:r>
          </w:p>
        </w:tc>
        <w:tc>
          <w:tcPr>
            <w:tcW w:w="1358" w:type="dxa"/>
            <w:vAlign w:val="center"/>
          </w:tcPr>
          <w:p w14:paraId="48584B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3</w:t>
            </w:r>
          </w:p>
        </w:tc>
      </w:tr>
      <w:tr w14:paraId="2A5A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Merge w:val="continue"/>
            <w:vAlign w:val="center"/>
          </w:tcPr>
          <w:p w14:paraId="436DB2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470" w:type="pct"/>
            <w:vMerge w:val="continue"/>
            <w:vAlign w:val="center"/>
          </w:tcPr>
          <w:p w14:paraId="361532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541" w:type="pct"/>
            <w:vAlign w:val="center"/>
          </w:tcPr>
          <w:p w14:paraId="72AB1B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氨氮</w:t>
            </w:r>
          </w:p>
        </w:tc>
        <w:tc>
          <w:tcPr>
            <w:tcW w:w="836" w:type="pct"/>
            <w:vMerge w:val="continue"/>
            <w:vAlign w:val="center"/>
          </w:tcPr>
          <w:p w14:paraId="0363D3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1017" w:type="pct"/>
            <w:vAlign w:val="center"/>
          </w:tcPr>
          <w:p w14:paraId="1E2A9F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100</w:t>
            </w:r>
          </w:p>
        </w:tc>
        <w:tc>
          <w:tcPr>
            <w:tcW w:w="796" w:type="pct"/>
            <w:vAlign w:val="center"/>
          </w:tcPr>
          <w:p w14:paraId="201861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0.1500</w:t>
            </w:r>
          </w:p>
        </w:tc>
        <w:tc>
          <w:tcPr>
            <w:tcW w:w="1358" w:type="dxa"/>
            <w:vAlign w:val="center"/>
          </w:tcPr>
          <w:p w14:paraId="18596D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0.5</w:t>
            </w:r>
          </w:p>
        </w:tc>
      </w:tr>
    </w:tbl>
    <w:p w14:paraId="30A5DF07">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③预测模型的概化</w:t>
      </w:r>
    </w:p>
    <w:p w14:paraId="5EC2E7DC">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非正常状况下，主要考虑事故的泄漏污水直接进入浅层地下水，污染物在项目场地含水层中的运移情况。模型可概化为一维稳定流动二维水动力弥散问题的瞬时注入示踪剂—平面瞬时点源的预测模型，其主要假设条件为：</w:t>
      </w:r>
    </w:p>
    <w:p w14:paraId="410497F1">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①评价区内含水层的基本参数（如渗透系数、有效孔隙度等）不变或变化很小；</w:t>
      </w:r>
    </w:p>
    <w:p w14:paraId="3CA9604A">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②污染物的排放对地下水流场没有明显的影响。</w:t>
      </w:r>
    </w:p>
    <w:p w14:paraId="2E6E7C41">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④数学模型的建立与参数的确定</w:t>
      </w:r>
    </w:p>
    <w:p w14:paraId="6355FB65">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污染物在含水层中的运移模型为《环境影响评价技术导则地下水环境》（HJ610－2016），一维稳定流动二维水动力弥散问题的瞬时注入示踪剂—平面瞬时点源的预测模型：</w:t>
      </w:r>
    </w:p>
    <w:p w14:paraId="51D0EB7A">
      <w:pPr>
        <w:keepNext w:val="0"/>
        <w:keepLines w:val="0"/>
        <w:widowControl/>
        <w:suppressLineNumbers w:val="0"/>
        <w:jc w:val="center"/>
        <w:rPr>
          <w:rFonts w:hint="eastAsia" w:ascii="Times New Roman" w:hAnsi="Times New Roman" w:eastAsia="宋体"/>
          <w:strike w:val="0"/>
          <w:dstrike w:val="0"/>
          <w:color w:val="auto"/>
          <w:sz w:val="24"/>
          <w:lang w:val="en-US" w:eastAsia="zh-CN"/>
        </w:rPr>
      </w:pPr>
      <w:r>
        <w:rPr>
          <w:rFonts w:ascii="Times New Roman" w:hAnsi="Times New Roman" w:eastAsia="宋体"/>
          <w:strike w:val="0"/>
          <w:dstrike w:val="0"/>
          <w:color w:val="auto"/>
        </w:rPr>
        <w:drawing>
          <wp:inline distT="0" distB="0" distL="114300" distR="114300">
            <wp:extent cx="2790825" cy="714375"/>
            <wp:effectExtent l="0" t="0" r="9525" b="9525"/>
            <wp:docPr id="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pic:cNvPicPr>
                      <a:picLocks noChangeAspect="1"/>
                    </pic:cNvPicPr>
                  </pic:nvPicPr>
                  <pic:blipFill>
                    <a:blip r:embed="rId46"/>
                    <a:stretch>
                      <a:fillRect/>
                    </a:stretch>
                  </pic:blipFill>
                  <pic:spPr>
                    <a:xfrm>
                      <a:off x="0" y="0"/>
                      <a:ext cx="2790825" cy="714375"/>
                    </a:xfrm>
                    <a:prstGeom prst="rect">
                      <a:avLst/>
                    </a:prstGeom>
                    <a:noFill/>
                    <a:ln>
                      <a:noFill/>
                    </a:ln>
                  </pic:spPr>
                </pic:pic>
              </a:graphicData>
            </a:graphic>
          </wp:inline>
        </w:drawing>
      </w:r>
    </w:p>
    <w:p w14:paraId="1B069377">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式中：</w:t>
      </w:r>
    </w:p>
    <w:p w14:paraId="21FF4A94">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default" w:ascii="Times New Roman" w:hAnsi="Times New Roman" w:eastAsia="宋体" w:cs="宋体"/>
          <w:strike w:val="0"/>
          <w:dstrike w:val="0"/>
          <w:color w:val="auto"/>
          <w:spacing w:val="0"/>
          <w:position w:val="0"/>
          <w:sz w:val="24"/>
          <w:szCs w:val="24"/>
          <w:highlight w:val="none"/>
          <w:lang w:val="en-US" w:eastAsia="zh-CN"/>
        </w:rPr>
        <w:t>x</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y</w:t>
      </w:r>
      <w:r>
        <w:rPr>
          <w:rFonts w:hint="eastAsia" w:ascii="Times New Roman" w:hAnsi="Times New Roman" w:eastAsia="宋体" w:cs="宋体"/>
          <w:strike w:val="0"/>
          <w:dstrike w:val="0"/>
          <w:color w:val="auto"/>
          <w:spacing w:val="0"/>
          <w:position w:val="0"/>
          <w:sz w:val="24"/>
          <w:szCs w:val="24"/>
          <w:highlight w:val="none"/>
          <w:lang w:val="en-US" w:eastAsia="zh-CN"/>
        </w:rPr>
        <w:t>——计算点处的位置坐标；</w:t>
      </w:r>
      <w:r>
        <w:rPr>
          <w:rFonts w:hint="default" w:ascii="Times New Roman" w:hAnsi="Times New Roman" w:eastAsia="宋体" w:cs="宋体"/>
          <w:strike w:val="0"/>
          <w:dstrike w:val="0"/>
          <w:color w:val="auto"/>
          <w:spacing w:val="0"/>
          <w:position w:val="0"/>
          <w:sz w:val="24"/>
          <w:szCs w:val="24"/>
          <w:highlight w:val="none"/>
          <w:lang w:val="en-US" w:eastAsia="zh-CN"/>
        </w:rPr>
        <w:t>t</w:t>
      </w:r>
      <w:r>
        <w:rPr>
          <w:rFonts w:hint="eastAsia" w:ascii="Times New Roman" w:hAnsi="Times New Roman" w:eastAsia="宋体" w:cs="宋体"/>
          <w:strike w:val="0"/>
          <w:dstrike w:val="0"/>
          <w:color w:val="auto"/>
          <w:spacing w:val="0"/>
          <w:position w:val="0"/>
          <w:sz w:val="24"/>
          <w:szCs w:val="24"/>
          <w:highlight w:val="none"/>
          <w:lang w:val="en-US" w:eastAsia="zh-CN"/>
        </w:rPr>
        <w:t>——时间，</w:t>
      </w:r>
      <w:r>
        <w:rPr>
          <w:rFonts w:hint="default" w:ascii="Times New Roman" w:hAnsi="Times New Roman" w:eastAsia="宋体" w:cs="宋体"/>
          <w:strike w:val="0"/>
          <w:dstrike w:val="0"/>
          <w:color w:val="auto"/>
          <w:spacing w:val="0"/>
          <w:position w:val="0"/>
          <w:sz w:val="24"/>
          <w:szCs w:val="24"/>
          <w:highlight w:val="none"/>
          <w:lang w:val="en-US" w:eastAsia="zh-CN"/>
        </w:rPr>
        <w:t>d</w:t>
      </w:r>
      <w:r>
        <w:rPr>
          <w:rFonts w:hint="eastAsia" w:ascii="Times New Roman" w:hAnsi="Times New Roman" w:eastAsia="宋体" w:cs="宋体"/>
          <w:strike w:val="0"/>
          <w:dstrike w:val="0"/>
          <w:color w:val="auto"/>
          <w:spacing w:val="0"/>
          <w:position w:val="0"/>
          <w:sz w:val="24"/>
          <w:szCs w:val="24"/>
          <w:highlight w:val="none"/>
          <w:lang w:val="en-US" w:eastAsia="zh-CN"/>
        </w:rPr>
        <w:t>；</w:t>
      </w:r>
    </w:p>
    <w:p w14:paraId="79F414DE">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C</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t</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t</w:t>
      </w:r>
      <w:r>
        <w:rPr>
          <w:rFonts w:hint="eastAsia" w:ascii="Times New Roman" w:hAnsi="Times New Roman" w:eastAsia="宋体" w:cs="宋体"/>
          <w:strike w:val="0"/>
          <w:dstrike w:val="0"/>
          <w:color w:val="auto"/>
          <w:kern w:val="0"/>
          <w:sz w:val="24"/>
          <w:szCs w:val="24"/>
          <w:lang w:val="en-US" w:eastAsia="zh-CN" w:bidi="ar"/>
        </w:rPr>
        <w:t>时刻点</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处的污染物浓度，</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w:t>
      </w:r>
    </w:p>
    <w:p w14:paraId="02BA186E">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——含水层厚度，</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；本项目浅层地下水含水层厚度约</w:t>
      </w:r>
      <w:r>
        <w:rPr>
          <w:rFonts w:hint="default" w:ascii="Times New Roman" w:hAnsi="Times New Roman" w:eastAsia="宋体" w:cs="Times New Roman"/>
          <w:strike w:val="0"/>
          <w:dstrike w:val="0"/>
          <w:color w:val="auto"/>
          <w:kern w:val="0"/>
          <w:sz w:val="24"/>
          <w:szCs w:val="24"/>
          <w:lang w:val="en-US" w:eastAsia="zh-CN" w:bidi="ar"/>
        </w:rPr>
        <w:t>95m</w:t>
      </w:r>
      <w:r>
        <w:rPr>
          <w:rFonts w:hint="eastAsia" w:ascii="Times New Roman" w:hAnsi="Times New Roman" w:eastAsia="宋体" w:cs="宋体"/>
          <w:strike w:val="0"/>
          <w:dstrike w:val="0"/>
          <w:color w:val="auto"/>
          <w:kern w:val="0"/>
          <w:sz w:val="24"/>
          <w:szCs w:val="24"/>
          <w:lang w:val="en-US" w:eastAsia="zh-CN" w:bidi="ar"/>
        </w:rPr>
        <w:t>；</w:t>
      </w:r>
    </w:p>
    <w:p w14:paraId="0FE54946">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m</w:t>
      </w:r>
      <w:r>
        <w:rPr>
          <w:rFonts w:hint="default" w:ascii="Times New Roman" w:hAnsi="Times New Roman" w:eastAsia="宋体" w:cs="Times New Roman"/>
          <w:strike w:val="0"/>
          <w:dstrike w:val="0"/>
          <w:color w:val="auto"/>
          <w:kern w:val="0"/>
          <w:sz w:val="24"/>
          <w:szCs w:val="16"/>
          <w:vertAlign w:val="subscript"/>
          <w:lang w:val="en-US" w:eastAsia="zh-CN" w:bidi="ar"/>
        </w:rPr>
        <w:t>M</w:t>
      </w:r>
      <w:r>
        <w:rPr>
          <w:rFonts w:hint="eastAsia" w:ascii="Times New Roman" w:hAnsi="Times New Roman" w:eastAsia="宋体" w:cs="宋体"/>
          <w:strike w:val="0"/>
          <w:dstrike w:val="0"/>
          <w:color w:val="auto"/>
          <w:kern w:val="0"/>
          <w:sz w:val="24"/>
          <w:szCs w:val="24"/>
          <w:lang w:val="en-US" w:eastAsia="zh-CN" w:bidi="ar"/>
        </w:rPr>
        <w:t>——长度为</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的线源瞬时注入示踪剂的质量；</w:t>
      </w:r>
    </w:p>
    <w:p w14:paraId="5F160A82">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n</w:t>
      </w:r>
      <w:r>
        <w:rPr>
          <w:rFonts w:hint="eastAsia" w:ascii="Times New Roman" w:hAnsi="Times New Roman" w:eastAsia="宋体" w:cs="宋体"/>
          <w:strike w:val="0"/>
          <w:dstrike w:val="0"/>
          <w:color w:val="auto"/>
          <w:kern w:val="0"/>
          <w:sz w:val="24"/>
          <w:szCs w:val="24"/>
          <w:lang w:val="en-US" w:eastAsia="zh-CN" w:bidi="ar"/>
        </w:rPr>
        <w:t>——有效孔隙度，量纲为一，含水层岩性主要为粉细砂，</w:t>
      </w:r>
      <w:r>
        <w:rPr>
          <w:rFonts w:hint="default" w:ascii="Times New Roman" w:hAnsi="Times New Roman" w:eastAsia="宋体" w:cs="Times New Roman"/>
          <w:strike w:val="0"/>
          <w:dstrike w:val="0"/>
          <w:color w:val="auto"/>
          <w:kern w:val="0"/>
          <w:sz w:val="24"/>
          <w:szCs w:val="24"/>
          <w:lang w:val="en-US" w:eastAsia="zh-CN" w:bidi="ar"/>
        </w:rPr>
        <w:t>n=0.21</w:t>
      </w:r>
      <w:r>
        <w:rPr>
          <w:rFonts w:hint="eastAsia" w:ascii="Times New Roman" w:hAnsi="Times New Roman" w:eastAsia="宋体" w:cs="宋体"/>
          <w:strike w:val="0"/>
          <w:dstrike w:val="0"/>
          <w:color w:val="auto"/>
          <w:kern w:val="0"/>
          <w:sz w:val="24"/>
          <w:szCs w:val="24"/>
          <w:lang w:val="en-US" w:eastAsia="zh-CN" w:bidi="ar"/>
        </w:rPr>
        <w:t>；</w:t>
      </w:r>
    </w:p>
    <w:p w14:paraId="0671FA04">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u</w:t>
      </w:r>
      <w:r>
        <w:rPr>
          <w:rFonts w:hint="eastAsia" w:ascii="Times New Roman" w:hAnsi="Times New Roman" w:eastAsia="宋体" w:cs="宋体"/>
          <w:strike w:val="0"/>
          <w:dstrike w:val="0"/>
          <w:color w:val="auto"/>
          <w:kern w:val="0"/>
          <w:sz w:val="24"/>
          <w:szCs w:val="24"/>
          <w:lang w:val="en-US" w:eastAsia="zh-CN" w:bidi="ar"/>
        </w:rPr>
        <w:t>——地下水流速度，</w:t>
      </w:r>
      <w:r>
        <w:rPr>
          <w:rFonts w:hint="default" w:ascii="Times New Roman" w:hAnsi="Times New Roman" w:eastAsia="宋体" w:cs="Times New Roman"/>
          <w:strike w:val="0"/>
          <w:dstrike w:val="0"/>
          <w:color w:val="auto"/>
          <w:kern w:val="0"/>
          <w:sz w:val="24"/>
          <w:szCs w:val="24"/>
          <w:lang w:val="en-US" w:eastAsia="zh-CN" w:bidi="ar"/>
        </w:rPr>
        <w:t>m/d</w:t>
      </w:r>
      <w:r>
        <w:rPr>
          <w:rFonts w:hint="eastAsia" w:ascii="Times New Roman" w:hAnsi="Times New Roman" w:eastAsia="宋体" w:cs="宋体"/>
          <w:strike w:val="0"/>
          <w:dstrike w:val="0"/>
          <w:color w:val="auto"/>
          <w:kern w:val="0"/>
          <w:sz w:val="24"/>
          <w:szCs w:val="24"/>
          <w:lang w:val="en-US" w:eastAsia="zh-CN" w:bidi="ar"/>
        </w:rPr>
        <w:t>。根据项目场地地层岩性，参照地下水导则附录</w:t>
      </w:r>
      <w:r>
        <w:rPr>
          <w:rFonts w:hint="default" w:ascii="Times New Roman" w:hAnsi="Times New Roman" w:eastAsia="宋体" w:cs="Times New Roman"/>
          <w:strike w:val="0"/>
          <w:dstrike w:val="0"/>
          <w:color w:val="auto"/>
          <w:kern w:val="0"/>
          <w:sz w:val="24"/>
          <w:szCs w:val="24"/>
          <w:lang w:val="en-US" w:eastAsia="zh-CN" w:bidi="ar"/>
        </w:rPr>
        <w:t>B</w:t>
      </w:r>
      <w:r>
        <w:rPr>
          <w:rFonts w:hint="eastAsia" w:ascii="Times New Roman" w:hAnsi="Times New Roman" w:eastAsia="宋体" w:cs="宋体"/>
          <w:strike w:val="0"/>
          <w:dstrike w:val="0"/>
          <w:color w:val="auto"/>
          <w:kern w:val="0"/>
          <w:sz w:val="24"/>
          <w:szCs w:val="24"/>
          <w:lang w:val="en-US" w:eastAsia="zh-CN" w:bidi="ar"/>
        </w:rPr>
        <w:t>，潜水含水层平均渗透系数</w:t>
      </w:r>
      <w:r>
        <w:rPr>
          <w:rFonts w:hint="default" w:ascii="Times New Roman" w:hAnsi="Times New Roman" w:eastAsia="宋体" w:cs="Times New Roman"/>
          <w:strike w:val="0"/>
          <w:dstrike w:val="0"/>
          <w:color w:val="auto"/>
          <w:kern w:val="0"/>
          <w:sz w:val="24"/>
          <w:szCs w:val="24"/>
          <w:lang w:val="en-US" w:eastAsia="zh-CN" w:bidi="ar"/>
        </w:rPr>
        <w:t>K</w:t>
      </w:r>
      <w:r>
        <w:rPr>
          <w:rFonts w:hint="eastAsia" w:ascii="Times New Roman" w:hAnsi="Times New Roman" w:eastAsia="宋体" w:cs="宋体"/>
          <w:strike w:val="0"/>
          <w:dstrike w:val="0"/>
          <w:color w:val="auto"/>
          <w:kern w:val="0"/>
          <w:sz w:val="24"/>
          <w:szCs w:val="24"/>
          <w:lang w:val="en-US" w:eastAsia="zh-CN" w:bidi="ar"/>
        </w:rPr>
        <w:t>取值为</w:t>
      </w:r>
      <w:r>
        <w:rPr>
          <w:rFonts w:hint="default" w:ascii="Times New Roman" w:hAnsi="Times New Roman" w:eastAsia="宋体" w:cs="Times New Roman"/>
          <w:strike w:val="0"/>
          <w:dstrike w:val="0"/>
          <w:color w:val="auto"/>
          <w:kern w:val="0"/>
          <w:sz w:val="24"/>
          <w:szCs w:val="24"/>
          <w:lang w:val="en-US" w:eastAsia="zh-CN" w:bidi="ar"/>
        </w:rPr>
        <w:t>5m/d</w:t>
      </w:r>
      <w:r>
        <w:rPr>
          <w:rFonts w:hint="eastAsia" w:ascii="Times New Roman" w:hAnsi="Times New Roman" w:eastAsia="宋体" w:cs="宋体"/>
          <w:strike w:val="0"/>
          <w:dstrike w:val="0"/>
          <w:color w:val="auto"/>
          <w:kern w:val="0"/>
          <w:sz w:val="24"/>
          <w:szCs w:val="24"/>
          <w:lang w:val="en-US" w:eastAsia="zh-CN" w:bidi="ar"/>
        </w:rPr>
        <w:t>，水力坡度</w:t>
      </w:r>
      <w:r>
        <w:rPr>
          <w:rFonts w:hint="default" w:ascii="Times New Roman" w:hAnsi="Times New Roman" w:eastAsia="宋体" w:cs="Times New Roman"/>
          <w:strike w:val="0"/>
          <w:dstrike w:val="0"/>
          <w:color w:val="auto"/>
          <w:kern w:val="0"/>
          <w:sz w:val="24"/>
          <w:szCs w:val="24"/>
          <w:lang w:val="en-US" w:eastAsia="zh-CN" w:bidi="ar"/>
        </w:rPr>
        <w:t>I</w:t>
      </w:r>
      <w:r>
        <w:rPr>
          <w:rFonts w:hint="eastAsia" w:ascii="Times New Roman" w:hAnsi="Times New Roman" w:eastAsia="宋体" w:cs="宋体"/>
          <w:strike w:val="0"/>
          <w:dstrike w:val="0"/>
          <w:color w:val="auto"/>
          <w:kern w:val="0"/>
          <w:sz w:val="24"/>
          <w:szCs w:val="24"/>
          <w:lang w:val="en-US" w:eastAsia="zh-CN" w:bidi="ar"/>
        </w:rPr>
        <w:t>为</w:t>
      </w:r>
      <w:r>
        <w:rPr>
          <w:rFonts w:hint="default" w:ascii="Times New Roman" w:hAnsi="Times New Roman" w:eastAsia="宋体" w:cs="Times New Roman"/>
          <w:strike w:val="0"/>
          <w:dstrike w:val="0"/>
          <w:color w:val="auto"/>
          <w:kern w:val="0"/>
          <w:sz w:val="24"/>
          <w:szCs w:val="24"/>
          <w:lang w:val="en-US" w:eastAsia="zh-CN" w:bidi="ar"/>
        </w:rPr>
        <w:t>2.78‰</w:t>
      </w:r>
      <w:r>
        <w:rPr>
          <w:rFonts w:hint="eastAsia" w:ascii="Times New Roman" w:hAnsi="Times New Roman" w:eastAsia="宋体" w:cs="宋体"/>
          <w:strike w:val="0"/>
          <w:dstrike w:val="0"/>
          <w:color w:val="auto"/>
          <w:kern w:val="0"/>
          <w:sz w:val="24"/>
          <w:szCs w:val="24"/>
          <w:lang w:val="en-US" w:eastAsia="zh-CN" w:bidi="ar"/>
        </w:rPr>
        <w:t>，因此地下水的渗透流速</w:t>
      </w:r>
      <w:r>
        <w:rPr>
          <w:rFonts w:hint="default" w:ascii="Times New Roman" w:hAnsi="Times New Roman" w:eastAsia="宋体" w:cs="Times New Roman"/>
          <w:strike w:val="0"/>
          <w:dstrike w:val="0"/>
          <w:color w:val="auto"/>
          <w:kern w:val="0"/>
          <w:sz w:val="24"/>
          <w:szCs w:val="24"/>
          <w:lang w:val="en-US" w:eastAsia="zh-CN" w:bidi="ar"/>
        </w:rPr>
        <w:t>u=K×I/n=0.066m/d</w:t>
      </w:r>
      <w:r>
        <w:rPr>
          <w:rFonts w:hint="eastAsia" w:ascii="Times New Roman" w:hAnsi="Times New Roman" w:eastAsia="宋体" w:cs="宋体"/>
          <w:strike w:val="0"/>
          <w:dstrike w:val="0"/>
          <w:color w:val="auto"/>
          <w:kern w:val="0"/>
          <w:sz w:val="24"/>
          <w:szCs w:val="24"/>
          <w:lang w:val="en-US" w:eastAsia="zh-CN" w:bidi="ar"/>
        </w:rPr>
        <w:t>；</w:t>
      </w:r>
    </w:p>
    <w:p w14:paraId="0D666F68">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L</w:t>
      </w:r>
      <w:r>
        <w:rPr>
          <w:rFonts w:hint="eastAsia" w:ascii="Times New Roman" w:hAnsi="Times New Roman" w:eastAsia="宋体" w:cs="宋体"/>
          <w:strike w:val="0"/>
          <w:dstrike w:val="0"/>
          <w:color w:val="auto"/>
          <w:kern w:val="0"/>
          <w:sz w:val="24"/>
          <w:szCs w:val="24"/>
          <w:lang w:val="en-US" w:eastAsia="zh-CN" w:bidi="ar"/>
        </w:rPr>
        <w:t>——纵向</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方向的弥散系数，</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，根据资料，纵向弥散度</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=10m</w:t>
      </w:r>
      <w:r>
        <w:rPr>
          <w:rFonts w:hint="eastAsia" w:ascii="Times New Roman" w:hAnsi="Times New Roman" w:eastAsia="宋体" w:cs="宋体"/>
          <w:strike w:val="0"/>
          <w:dstrike w:val="0"/>
          <w:color w:val="auto"/>
          <w:kern w:val="0"/>
          <w:sz w:val="24"/>
          <w:szCs w:val="24"/>
          <w:lang w:val="en-US" w:eastAsia="zh-CN" w:bidi="ar"/>
        </w:rPr>
        <w:t>，纵向弥散系数</w:t>
      </w: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×u=0.66m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w:t>
      </w:r>
    </w:p>
    <w:p w14:paraId="4A762A57">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T</w:t>
      </w:r>
      <w:r>
        <w:rPr>
          <w:rFonts w:hint="eastAsia" w:ascii="Times New Roman" w:hAnsi="Times New Roman" w:eastAsia="宋体" w:cs="宋体"/>
          <w:strike w:val="0"/>
          <w:dstrike w:val="0"/>
          <w:color w:val="auto"/>
          <w:kern w:val="0"/>
          <w:sz w:val="24"/>
          <w:szCs w:val="24"/>
          <w:lang w:val="en-US" w:eastAsia="zh-CN" w:bidi="ar"/>
        </w:rPr>
        <w:t>——横向</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方向的弥散系数，</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，横向弥散度</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×0.1</w:t>
      </w:r>
      <w:r>
        <w:rPr>
          <w:rFonts w:hint="eastAsia" w:ascii="Times New Roman" w:hAnsi="Times New Roman" w:eastAsia="宋体" w:cs="宋体"/>
          <w:strike w:val="0"/>
          <w:dstrike w:val="0"/>
          <w:color w:val="auto"/>
          <w:kern w:val="0"/>
          <w:sz w:val="24"/>
          <w:szCs w:val="24"/>
          <w:lang w:val="en-US" w:eastAsia="zh-CN" w:bidi="ar"/>
        </w:rPr>
        <w:t>，横向弥散系数</w:t>
      </w: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×u=0.066m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w:t>
      </w:r>
    </w:p>
    <w:p w14:paraId="514C1564">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Π</w:t>
      </w:r>
      <w:r>
        <w:rPr>
          <w:rFonts w:hint="eastAsia" w:ascii="Times New Roman" w:hAnsi="Times New Roman" w:eastAsia="宋体" w:cs="宋体"/>
          <w:strike w:val="0"/>
          <w:dstrike w:val="0"/>
          <w:color w:val="auto"/>
          <w:kern w:val="0"/>
          <w:sz w:val="24"/>
          <w:szCs w:val="24"/>
          <w:lang w:val="en-US" w:eastAsia="zh-CN" w:bidi="ar"/>
        </w:rPr>
        <w:t>——圆周率。</w:t>
      </w:r>
    </w:p>
    <w:p w14:paraId="7AEDC7C6">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⑤预测结果与分析</w:t>
      </w:r>
    </w:p>
    <w:p w14:paraId="09DC67E0">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非正常状况下污染物在含水层中运移，在水动力弥散作用下，瞬时注入的污染物示踪剂将产生呈椭圆形的污染晕，污染晕中污染物的浓度由中心向四周逐渐降低。随着水动力弥散作用的进行，污染晕将不断沿水流方向运移，污染晕的范围也会发生变化。</w:t>
      </w:r>
    </w:p>
    <w:p w14:paraId="6C3FD300">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在本次预测中，预测了耗氧量、氨氮在不同时间段的运移情况，主要分析了预测因子的在厂界的污染晕的最大浓度。预测结果见下图。</w:t>
      </w:r>
    </w:p>
    <w:p w14:paraId="1F7390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ascii="Times New Roman" w:hAnsi="Times New Roman" w:eastAsia="宋体"/>
          <w:color w:val="auto"/>
        </w:rPr>
      </w:pPr>
      <w:r>
        <w:rPr>
          <w:rFonts w:ascii="Times New Roman" w:hAnsi="Times New Roman" w:eastAsia="宋体"/>
          <w:color w:val="auto"/>
        </w:rPr>
        <w:drawing>
          <wp:inline distT="0" distB="0" distL="114300" distR="114300">
            <wp:extent cx="5271770" cy="3234055"/>
            <wp:effectExtent l="0" t="0" r="5080" b="4445"/>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47"/>
                    <a:stretch>
                      <a:fillRect/>
                    </a:stretch>
                  </pic:blipFill>
                  <pic:spPr>
                    <a:xfrm>
                      <a:off x="0" y="0"/>
                      <a:ext cx="5271770" cy="3234055"/>
                    </a:xfrm>
                    <a:prstGeom prst="rect">
                      <a:avLst/>
                    </a:prstGeom>
                    <a:noFill/>
                    <a:ln>
                      <a:noFill/>
                    </a:ln>
                  </pic:spPr>
                </pic:pic>
              </a:graphicData>
            </a:graphic>
          </wp:inline>
        </w:drawing>
      </w:r>
    </w:p>
    <w:p w14:paraId="7DCDF8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图5.2-1耗氧量厂界浓度预测</w:t>
      </w:r>
    </w:p>
    <w:p w14:paraId="1B0C54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rPr>
      </w:pPr>
      <w:r>
        <w:rPr>
          <w:rFonts w:ascii="Times New Roman" w:hAnsi="Times New Roman" w:eastAsia="宋体"/>
          <w:color w:val="auto"/>
        </w:rPr>
        <w:drawing>
          <wp:inline distT="0" distB="0" distL="114300" distR="114300">
            <wp:extent cx="5270500" cy="3289300"/>
            <wp:effectExtent l="0" t="0" r="6350" b="6350"/>
            <wp:docPr id="1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3"/>
                    <pic:cNvPicPr>
                      <a:picLocks noChangeAspect="1"/>
                    </pic:cNvPicPr>
                  </pic:nvPicPr>
                  <pic:blipFill>
                    <a:blip r:embed="rId48"/>
                    <a:stretch>
                      <a:fillRect/>
                    </a:stretch>
                  </pic:blipFill>
                  <pic:spPr>
                    <a:xfrm>
                      <a:off x="0" y="0"/>
                      <a:ext cx="5270500" cy="3289300"/>
                    </a:xfrm>
                    <a:prstGeom prst="rect">
                      <a:avLst/>
                    </a:prstGeom>
                    <a:noFill/>
                    <a:ln>
                      <a:noFill/>
                    </a:ln>
                  </pic:spPr>
                </pic:pic>
              </a:graphicData>
            </a:graphic>
          </wp:inline>
        </w:drawing>
      </w:r>
    </w:p>
    <w:p w14:paraId="4B30CA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图5.2-2氨氮厂界浓度预测</w:t>
      </w:r>
    </w:p>
    <w:p w14:paraId="264B6334">
      <w:pPr>
        <w:ind w:firstLine="480"/>
        <w:rPr>
          <w:rFonts w:hint="eastAsia" w:ascii="Times New Roman" w:hAnsi="Times New Roman" w:eastAsia="宋体" w:cs="宋体"/>
          <w:color w:val="auto"/>
          <w:szCs w:val="24"/>
          <w:lang w:eastAsia="zh-CN"/>
        </w:rPr>
      </w:pPr>
      <w:r>
        <w:rPr>
          <w:rFonts w:hint="eastAsia" w:ascii="Times New Roman" w:hAnsi="Times New Roman" w:eastAsia="宋体" w:cs="宋体"/>
          <w:color w:val="auto"/>
          <w:szCs w:val="24"/>
        </w:rPr>
        <w:t>由预测结果可知，耗氧量</w:t>
      </w:r>
      <w:r>
        <w:rPr>
          <w:rFonts w:hint="eastAsia" w:ascii="Times New Roman" w:hAnsi="Times New Roman" w:eastAsia="宋体" w:cs="宋体"/>
          <w:color w:val="auto"/>
          <w:szCs w:val="24"/>
          <w:lang w:val="en-US" w:eastAsia="zh-CN"/>
        </w:rPr>
        <w:t>和氨氮厂界</w:t>
      </w:r>
      <w:r>
        <w:rPr>
          <w:rFonts w:hint="eastAsia" w:ascii="Times New Roman" w:hAnsi="Times New Roman" w:eastAsia="宋体" w:cs="宋体"/>
          <w:color w:val="auto"/>
          <w:szCs w:val="24"/>
        </w:rPr>
        <w:t>污染晕中心点最高浓度</w:t>
      </w:r>
      <w:r>
        <w:rPr>
          <w:rFonts w:hint="eastAsia" w:ascii="Times New Roman" w:hAnsi="Times New Roman" w:eastAsia="宋体" w:cs="宋体"/>
          <w:color w:val="auto"/>
          <w:szCs w:val="24"/>
          <w:lang w:val="en-US" w:eastAsia="zh-CN"/>
        </w:rPr>
        <w:t>出现时间为110天，分别为</w:t>
      </w:r>
      <w:r>
        <w:rPr>
          <w:rFonts w:hint="eastAsia" w:ascii="Times New Roman" w:hAnsi="Times New Roman" w:eastAsia="宋体" w:cs="宋体"/>
          <w:color w:val="auto"/>
          <w:szCs w:val="24"/>
        </w:rPr>
        <w:t>0.0</w:t>
      </w:r>
      <w:r>
        <w:rPr>
          <w:rFonts w:hint="eastAsia" w:ascii="Times New Roman" w:hAnsi="Times New Roman" w:eastAsia="宋体" w:cs="宋体"/>
          <w:color w:val="auto"/>
          <w:szCs w:val="24"/>
          <w:lang w:val="en-US" w:eastAsia="zh-CN"/>
        </w:rPr>
        <w:t>712</w:t>
      </w:r>
      <w:r>
        <w:rPr>
          <w:rFonts w:hint="eastAsia" w:ascii="Times New Roman" w:hAnsi="Times New Roman" w:eastAsia="宋体" w:cs="宋体"/>
          <w:color w:val="auto"/>
          <w:szCs w:val="24"/>
        </w:rPr>
        <w:t>mg/L</w:t>
      </w:r>
      <w:r>
        <w:rPr>
          <w:rFonts w:hint="eastAsia" w:ascii="Times New Roman" w:hAnsi="Times New Roman" w:eastAsia="宋体" w:cs="宋体"/>
          <w:color w:val="auto"/>
          <w:szCs w:val="24"/>
          <w:lang w:val="en-US" w:eastAsia="zh-CN"/>
        </w:rPr>
        <w:t>和0.0107</w:t>
      </w:r>
      <w:r>
        <w:rPr>
          <w:rFonts w:hint="eastAsia" w:ascii="Times New Roman" w:hAnsi="Times New Roman" w:eastAsia="宋体" w:cs="宋体"/>
          <w:color w:val="auto"/>
          <w:szCs w:val="24"/>
        </w:rPr>
        <w:t>mg/L，污染晕中心点最高浓度</w:t>
      </w:r>
      <w:r>
        <w:rPr>
          <w:rFonts w:hint="eastAsia" w:ascii="Times New Roman" w:hAnsi="Times New Roman" w:eastAsia="宋体" w:cs="宋体"/>
          <w:color w:val="auto"/>
          <w:szCs w:val="24"/>
          <w:lang w:val="en-US" w:eastAsia="zh-CN"/>
        </w:rPr>
        <w:t>均</w:t>
      </w:r>
      <w:r>
        <w:rPr>
          <w:rFonts w:hint="eastAsia" w:ascii="Times New Roman" w:hAnsi="Times New Roman" w:eastAsia="宋体" w:cs="宋体"/>
          <w:color w:val="auto"/>
          <w:szCs w:val="24"/>
        </w:rPr>
        <w:t>低于标准值</w:t>
      </w:r>
      <w:r>
        <w:rPr>
          <w:rFonts w:hint="eastAsia" w:ascii="Times New Roman" w:hAnsi="Times New Roman" w:eastAsia="宋体" w:cs="宋体"/>
          <w:color w:val="auto"/>
          <w:szCs w:val="24"/>
          <w:lang w:eastAsia="zh-CN"/>
        </w:rPr>
        <w:t>。</w:t>
      </w:r>
    </w:p>
    <w:p w14:paraId="0BE86A9C">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综上所述，非正常状况下，如果项目不进行防渗处理措施，污染物进入地下水后会对场界内地下水环境造成污染，但污染物对地下水污染最远运移距离未超出厂界。因此，需要建设单位加强设施的维护和管理，防止管道、阀门的跑冒滴漏和非正常状况情况发生，按《环境影响评价技术导则地下水环境》（HJ610－2016）中防渗技术要求进行场区地面防渗处理。</w:t>
      </w:r>
    </w:p>
    <w:p w14:paraId="7E403F5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⑥</w:t>
      </w:r>
      <w:r>
        <w:rPr>
          <w:rFonts w:ascii="Times New Roman" w:hAnsi="Times New Roman" w:eastAsia="宋体" w:cs="宋体"/>
          <w:strike w:val="0"/>
          <w:dstrike w:val="0"/>
          <w:color w:val="auto"/>
          <w:spacing w:val="0"/>
          <w:position w:val="0"/>
          <w:sz w:val="24"/>
          <w:szCs w:val="24"/>
          <w:highlight w:val="none"/>
        </w:rPr>
        <w:t>预防措施</w:t>
      </w:r>
    </w:p>
    <w:p w14:paraId="1CA9AD8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A</w:t>
      </w:r>
      <w:r>
        <w:rPr>
          <w:rFonts w:ascii="Times New Roman" w:hAnsi="Times New Roman" w:eastAsia="宋体" w:cs="宋体"/>
          <w:strike w:val="0"/>
          <w:dstrike w:val="0"/>
          <w:color w:val="auto"/>
          <w:spacing w:val="0"/>
          <w:position w:val="0"/>
          <w:sz w:val="24"/>
          <w:szCs w:val="24"/>
          <w:highlight w:val="none"/>
        </w:rPr>
        <w:t>、污染源控制措施</w:t>
      </w:r>
    </w:p>
    <w:p w14:paraId="4A3EA91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本项目严格按照国家相关规范要求，对工艺、管道、设备、污水储存采取相应的措施，以防止和降低污染物的跑、冒、滴、漏，将污染物泄漏的环境风险事故降低到最低程度；加强管理，</w:t>
      </w:r>
      <w:r>
        <w:rPr>
          <w:rFonts w:hint="eastAsia" w:ascii="Times New Roman" w:hAnsi="Times New Roman" w:eastAsia="宋体" w:cs="宋体"/>
          <w:strike w:val="0"/>
          <w:dstrike w:val="0"/>
          <w:color w:val="auto"/>
          <w:spacing w:val="0"/>
          <w:position w:val="0"/>
          <w:sz w:val="24"/>
          <w:szCs w:val="24"/>
          <w:highlight w:val="none"/>
          <w:lang w:eastAsia="zh-CN"/>
        </w:rPr>
        <w:t>骆驼圈舍</w:t>
      </w:r>
      <w:r>
        <w:rPr>
          <w:rFonts w:ascii="Times New Roman" w:hAnsi="Times New Roman" w:eastAsia="宋体" w:cs="宋体"/>
          <w:strike w:val="0"/>
          <w:dstrike w:val="0"/>
          <w:color w:val="auto"/>
          <w:spacing w:val="0"/>
          <w:position w:val="0"/>
          <w:sz w:val="24"/>
          <w:szCs w:val="24"/>
          <w:highlight w:val="none"/>
        </w:rPr>
        <w:t>产生的粪便做到日产日清，特别是雨天来临之前要及时清理干净；</w:t>
      </w: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p>
    <w:p w14:paraId="703B8D8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根据《畜禽养殖业污染防治技术规范》</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HJ/T81-2001</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中相关规定：</w:t>
      </w:r>
    </w:p>
    <w:p w14:paraId="55008FD2">
      <w:pPr>
        <w:keepNext w:val="0"/>
        <w:keepLines w:val="0"/>
        <w:pageBreakBefore w:val="0"/>
        <w:widowControl w:val="0"/>
        <w:kinsoku/>
        <w:wordWrap/>
        <w:overflowPunct/>
        <w:topLinePunct w:val="0"/>
        <w:autoSpaceDE/>
        <w:autoSpaceDN/>
        <w:bidi w:val="0"/>
        <w:adjustRightInd/>
        <w:snapToGrid/>
        <w:spacing w:line="360" w:lineRule="auto"/>
        <w:ind w:left="0" w:right="0" w:firstLine="476"/>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Times New Roman"/>
          <w:strike w:val="0"/>
          <w:dstrike w:val="0"/>
          <w:color w:val="auto"/>
          <w:spacing w:val="0"/>
          <w:position w:val="0"/>
          <w:sz w:val="24"/>
          <w:szCs w:val="24"/>
          <w:highlight w:val="none"/>
        </w:rPr>
        <w:t>a</w:t>
      </w:r>
      <w:r>
        <w:rPr>
          <w:rFonts w:ascii="Times New Roman" w:hAnsi="Times New Roman" w:eastAsia="宋体" w:cs="宋体"/>
          <w:strike w:val="0"/>
          <w:dstrike w:val="0"/>
          <w:color w:val="auto"/>
          <w:spacing w:val="0"/>
          <w:position w:val="0"/>
          <w:sz w:val="24"/>
          <w:szCs w:val="24"/>
          <w:highlight w:val="none"/>
        </w:rPr>
        <w:t>、养殖场的排水系统应实行雨水和污水收集输送系统分离，在场区内外设置的污水收集输送系统，不得采取明沟布设</w:t>
      </w:r>
      <w:r>
        <w:rPr>
          <w:rFonts w:hint="eastAsia" w:ascii="Times New Roman" w:hAnsi="Times New Roman" w:eastAsia="宋体" w:cs="宋体"/>
          <w:strike w:val="0"/>
          <w:dstrike w:val="0"/>
          <w:color w:val="auto"/>
          <w:spacing w:val="0"/>
          <w:position w:val="0"/>
          <w:sz w:val="24"/>
          <w:szCs w:val="24"/>
          <w:highlight w:val="none"/>
          <w:lang w:eastAsia="zh-CN"/>
        </w:rPr>
        <w:t>。</w:t>
      </w:r>
    </w:p>
    <w:p w14:paraId="3FB1CBE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Times New Roman"/>
          <w:strike w:val="0"/>
          <w:dstrike w:val="0"/>
          <w:color w:val="auto"/>
          <w:spacing w:val="0"/>
          <w:position w:val="0"/>
          <w:sz w:val="24"/>
          <w:szCs w:val="24"/>
          <w:highlight w:val="none"/>
        </w:rPr>
        <w:t>b</w:t>
      </w:r>
      <w:r>
        <w:rPr>
          <w:rFonts w:ascii="Times New Roman" w:hAnsi="Times New Roman" w:eastAsia="宋体" w:cs="宋体"/>
          <w:strike w:val="0"/>
          <w:dstrike w:val="0"/>
          <w:color w:val="auto"/>
          <w:spacing w:val="0"/>
          <w:position w:val="0"/>
          <w:sz w:val="24"/>
          <w:szCs w:val="24"/>
          <w:highlight w:val="none"/>
        </w:rPr>
        <w:t>、贮存设施应采取有效的防渗处理工艺，防止畜禽粪便污染地下水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08C2B99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B</w:t>
      </w:r>
      <w:r>
        <w:rPr>
          <w:rFonts w:ascii="Times New Roman" w:hAnsi="Times New Roman" w:eastAsia="宋体" w:cs="宋体"/>
          <w:strike w:val="0"/>
          <w:dstrike w:val="0"/>
          <w:color w:val="auto"/>
          <w:spacing w:val="0"/>
          <w:position w:val="0"/>
          <w:sz w:val="24"/>
          <w:szCs w:val="24"/>
          <w:highlight w:val="none"/>
        </w:rPr>
        <w:t>、防渗措施</w:t>
      </w:r>
    </w:p>
    <w:p w14:paraId="54ED727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根据《环境影响评价技术导则地下水环境》</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HJ610-2016</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要求，将地下水污染防渗分区分为三个级别：重点防渗区、一般防渗区、简单防渗区，防渗分区判定如下</w:t>
      </w:r>
      <w:r>
        <w:rPr>
          <w:rFonts w:hint="eastAsia" w:ascii="Times New Roman" w:hAnsi="Times New Roman" w:eastAsia="宋体" w:cs="宋体"/>
          <w:strike w:val="0"/>
          <w:dstrike w:val="0"/>
          <w:color w:val="auto"/>
          <w:spacing w:val="0"/>
          <w:position w:val="0"/>
          <w:sz w:val="24"/>
          <w:szCs w:val="24"/>
          <w:highlight w:val="none"/>
          <w:lang w:eastAsia="zh-CN"/>
        </w:rPr>
        <w:t>。</w:t>
      </w:r>
    </w:p>
    <w:p w14:paraId="3D42FE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表5.2-13污染控制难易程度分级参照表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99"/>
        <w:gridCol w:w="6301"/>
      </w:tblGrid>
      <w:tr w14:paraId="598C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00C0D4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污染控制难易程度</w:t>
            </w:r>
          </w:p>
        </w:tc>
        <w:tc>
          <w:tcPr>
            <w:tcW w:w="3795" w:type="pct"/>
            <w:vAlign w:val="center"/>
          </w:tcPr>
          <w:p w14:paraId="2F76D8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污染物类型</w:t>
            </w:r>
          </w:p>
        </w:tc>
      </w:tr>
      <w:tr w14:paraId="45091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173657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3795" w:type="pct"/>
            <w:vAlign w:val="center"/>
          </w:tcPr>
          <w:p w14:paraId="50A9B7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对地下水环境有污染的物料或污染物泄漏后，不能及时发现和处理</w:t>
            </w:r>
          </w:p>
        </w:tc>
      </w:tr>
      <w:tr w14:paraId="721AE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531BCC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3795" w:type="pct"/>
            <w:vAlign w:val="center"/>
          </w:tcPr>
          <w:p w14:paraId="102C4DA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对地下水环境有污染的物料或污染物泄漏后，可及时发现和处理</w:t>
            </w:r>
          </w:p>
        </w:tc>
      </w:tr>
    </w:tbl>
    <w:p w14:paraId="1853D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表5.2-14天然包气带防污性能分级参照表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1"/>
        <w:gridCol w:w="7659"/>
      </w:tblGrid>
      <w:tr w14:paraId="3F8F3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64C593B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分级</w:t>
            </w:r>
          </w:p>
        </w:tc>
        <w:tc>
          <w:tcPr>
            <w:tcW w:w="4613" w:type="pct"/>
            <w:vAlign w:val="center"/>
          </w:tcPr>
          <w:p w14:paraId="2D69F7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包气带岩土的渗透性能</w:t>
            </w:r>
          </w:p>
        </w:tc>
      </w:tr>
      <w:tr w14:paraId="146D3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5531F0E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强</w:t>
            </w:r>
          </w:p>
        </w:tc>
        <w:tc>
          <w:tcPr>
            <w:tcW w:w="4613" w:type="pct"/>
            <w:vAlign w:val="center"/>
          </w:tcPr>
          <w:p w14:paraId="157F51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Mb≥1.0m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K≤1X10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w:t>
            </w:r>
          </w:p>
        </w:tc>
      </w:tr>
      <w:tr w14:paraId="70012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7221FB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p>
        </w:tc>
        <w:tc>
          <w:tcPr>
            <w:tcW w:w="4613" w:type="pct"/>
            <w:vAlign w:val="center"/>
          </w:tcPr>
          <w:p w14:paraId="676C9D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0.5m≤Mb</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K≤1×10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Mb≥1.0m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1×10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K≤1×10</w:t>
            </w:r>
            <w:r>
              <w:rPr>
                <w:rFonts w:ascii="Times New Roman" w:hAnsi="Times New Roman" w:eastAsia="宋体" w:cs="Times New Roman"/>
                <w:strike w:val="0"/>
                <w:dstrike w:val="0"/>
                <w:color w:val="auto"/>
                <w:spacing w:val="0"/>
                <w:position w:val="0"/>
                <w:sz w:val="21"/>
                <w:szCs w:val="14"/>
                <w:highlight w:val="none"/>
                <w:vertAlign w:val="superscript"/>
              </w:rPr>
              <w:t>-4</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w:t>
            </w:r>
          </w:p>
        </w:tc>
      </w:tr>
      <w:tr w14:paraId="274A4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5DF8C9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4613" w:type="pct"/>
            <w:vAlign w:val="center"/>
          </w:tcPr>
          <w:p w14:paraId="19D2E1E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层不满足上述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强</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和</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条件</w:t>
            </w:r>
          </w:p>
        </w:tc>
      </w:tr>
    </w:tbl>
    <w:p w14:paraId="623E0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表5.2-15地下水污染防渗分区参照表</w:t>
      </w:r>
    </w:p>
    <w:tbl>
      <w:tblPr>
        <w:tblStyle w:val="183"/>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83"/>
        <w:gridCol w:w="1408"/>
        <w:gridCol w:w="1284"/>
        <w:gridCol w:w="1664"/>
        <w:gridCol w:w="2594"/>
      </w:tblGrid>
      <w:tr w14:paraId="5C82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Align w:val="center"/>
          </w:tcPr>
          <w:p w14:paraId="753161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防渗分区</w:t>
            </w:r>
          </w:p>
        </w:tc>
        <w:tc>
          <w:tcPr>
            <w:tcW w:w="845" w:type="pct"/>
            <w:vAlign w:val="center"/>
          </w:tcPr>
          <w:p w14:paraId="0B43702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天然包气带防污性能</w:t>
            </w:r>
          </w:p>
        </w:tc>
        <w:tc>
          <w:tcPr>
            <w:tcW w:w="770" w:type="pct"/>
            <w:vAlign w:val="center"/>
          </w:tcPr>
          <w:p w14:paraId="7E5AFE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污染控制难易程度</w:t>
            </w:r>
          </w:p>
        </w:tc>
        <w:tc>
          <w:tcPr>
            <w:tcW w:w="998" w:type="pct"/>
            <w:vAlign w:val="center"/>
          </w:tcPr>
          <w:p w14:paraId="2392774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污染物类型</w:t>
            </w:r>
          </w:p>
        </w:tc>
        <w:tc>
          <w:tcPr>
            <w:tcW w:w="1556" w:type="pct"/>
            <w:vAlign w:val="center"/>
          </w:tcPr>
          <w:p w14:paraId="091582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防渗技术要求</w:t>
            </w:r>
          </w:p>
        </w:tc>
      </w:tr>
      <w:tr w14:paraId="7CA7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restart"/>
            <w:vAlign w:val="center"/>
          </w:tcPr>
          <w:p w14:paraId="2DD8F9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重点防渗区</w:t>
            </w:r>
          </w:p>
        </w:tc>
        <w:tc>
          <w:tcPr>
            <w:tcW w:w="845" w:type="pct"/>
            <w:vAlign w:val="center"/>
          </w:tcPr>
          <w:p w14:paraId="0FBBAE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770" w:type="pct"/>
            <w:vAlign w:val="center"/>
          </w:tcPr>
          <w:p w14:paraId="23DDF7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易-</w:t>
            </w:r>
            <w:r>
              <w:rPr>
                <w:rFonts w:ascii="Times New Roman" w:hAnsi="Times New Roman" w:eastAsia="宋体" w:cs="宋体"/>
                <w:strike w:val="0"/>
                <w:dstrike w:val="0"/>
                <w:color w:val="auto"/>
                <w:spacing w:val="0"/>
                <w:position w:val="0"/>
                <w:sz w:val="21"/>
                <w:szCs w:val="21"/>
                <w:highlight w:val="none"/>
              </w:rPr>
              <w:t>难</w:t>
            </w:r>
          </w:p>
        </w:tc>
        <w:tc>
          <w:tcPr>
            <w:tcW w:w="998" w:type="pct"/>
            <w:vMerge w:val="restart"/>
            <w:vAlign w:val="center"/>
          </w:tcPr>
          <w:p w14:paraId="0D4A5A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重金属、持久性有机物污染物</w:t>
            </w:r>
          </w:p>
        </w:tc>
        <w:tc>
          <w:tcPr>
            <w:tcW w:w="1556" w:type="pct"/>
            <w:vMerge w:val="restart"/>
            <w:vAlign w:val="center"/>
          </w:tcPr>
          <w:p w14:paraId="403172C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p>
        </w:tc>
      </w:tr>
      <w:tr w14:paraId="19F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continue"/>
            <w:vAlign w:val="center"/>
          </w:tcPr>
          <w:p w14:paraId="2D5511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07A2FF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0085EEC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998" w:type="pct"/>
            <w:vMerge w:val="continue"/>
            <w:vAlign w:val="center"/>
          </w:tcPr>
          <w:p w14:paraId="357557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556" w:type="pct"/>
            <w:vMerge w:val="continue"/>
            <w:vAlign w:val="center"/>
          </w:tcPr>
          <w:p w14:paraId="72E57B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4B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restart"/>
            <w:vAlign w:val="center"/>
          </w:tcPr>
          <w:p w14:paraId="127D7E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一般防渗区</w:t>
            </w:r>
          </w:p>
        </w:tc>
        <w:tc>
          <w:tcPr>
            <w:tcW w:w="845" w:type="pct"/>
            <w:vAlign w:val="center"/>
          </w:tcPr>
          <w:p w14:paraId="1E585A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770" w:type="pct"/>
            <w:vAlign w:val="center"/>
          </w:tcPr>
          <w:p w14:paraId="60C157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难</w:t>
            </w:r>
          </w:p>
        </w:tc>
        <w:tc>
          <w:tcPr>
            <w:tcW w:w="998" w:type="pct"/>
            <w:vMerge w:val="restart"/>
            <w:vAlign w:val="center"/>
          </w:tcPr>
          <w:p w14:paraId="0585ED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其他类型</w:t>
            </w:r>
          </w:p>
        </w:tc>
        <w:tc>
          <w:tcPr>
            <w:tcW w:w="1556" w:type="pct"/>
            <w:vMerge w:val="restart"/>
            <w:vAlign w:val="center"/>
          </w:tcPr>
          <w:p w14:paraId="44B916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 xml:space="preserve">cm/s；或参照GB 16889 执行 </w:t>
            </w:r>
          </w:p>
        </w:tc>
      </w:tr>
      <w:tr w14:paraId="4D67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continue"/>
            <w:vAlign w:val="center"/>
          </w:tcPr>
          <w:p w14:paraId="46064B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151AE81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4C12AA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998" w:type="pct"/>
            <w:vMerge w:val="continue"/>
            <w:vAlign w:val="center"/>
          </w:tcPr>
          <w:p w14:paraId="23BE5BA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556" w:type="pct"/>
            <w:vMerge w:val="continue"/>
            <w:vAlign w:val="center"/>
          </w:tcPr>
          <w:p w14:paraId="403829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B8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continue"/>
            <w:vAlign w:val="center"/>
          </w:tcPr>
          <w:p w14:paraId="5626D1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2C4060E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中</w:t>
            </w:r>
            <w:r>
              <w:rPr>
                <w:rFonts w:hint="eastAsia" w:ascii="Times New Roman" w:hAnsi="Times New Roman" w:eastAsia="宋体" w:cs="宋体"/>
                <w:strike w:val="0"/>
                <w:dstrike w:val="0"/>
                <w:color w:val="auto"/>
                <w:spacing w:val="0"/>
                <w:position w:val="0"/>
                <w:sz w:val="21"/>
                <w:szCs w:val="21"/>
                <w:highlight w:val="none"/>
                <w:lang w:val="en-US" w:eastAsia="zh-CN"/>
              </w:rPr>
              <w:t>-强</w:t>
            </w:r>
          </w:p>
        </w:tc>
        <w:tc>
          <w:tcPr>
            <w:tcW w:w="770" w:type="pct"/>
            <w:vAlign w:val="center"/>
          </w:tcPr>
          <w:p w14:paraId="42D314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998" w:type="pct"/>
            <w:vAlign w:val="center"/>
          </w:tcPr>
          <w:p w14:paraId="326B1F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重金属、持久性有机物污染物</w:t>
            </w:r>
          </w:p>
        </w:tc>
        <w:tc>
          <w:tcPr>
            <w:tcW w:w="1556" w:type="pct"/>
            <w:vMerge w:val="continue"/>
            <w:vAlign w:val="center"/>
          </w:tcPr>
          <w:p w14:paraId="15419B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4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Align w:val="center"/>
          </w:tcPr>
          <w:p w14:paraId="6144B4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简单防渗区</w:t>
            </w:r>
          </w:p>
        </w:tc>
        <w:tc>
          <w:tcPr>
            <w:tcW w:w="845" w:type="pct"/>
            <w:vAlign w:val="center"/>
          </w:tcPr>
          <w:p w14:paraId="02B2A7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767DAB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998" w:type="pct"/>
            <w:vAlign w:val="center"/>
          </w:tcPr>
          <w:p w14:paraId="4D311F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其他类型</w:t>
            </w:r>
          </w:p>
        </w:tc>
        <w:tc>
          <w:tcPr>
            <w:tcW w:w="1556" w:type="pct"/>
            <w:vAlign w:val="center"/>
          </w:tcPr>
          <w:p w14:paraId="43EC05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一般地面硬化</w:t>
            </w:r>
          </w:p>
        </w:tc>
      </w:tr>
    </w:tbl>
    <w:p w14:paraId="3513D62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结合项目特点，项目拟建工程防渗工程分为一般防渗区和简单防渗区、重点防渗区，分区防渗要求见表</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Times New Roman"/>
          <w:strike w:val="0"/>
          <w:dstrike w:val="0"/>
          <w:color w:val="auto"/>
          <w:spacing w:val="0"/>
          <w:position w:val="0"/>
          <w:sz w:val="24"/>
          <w:szCs w:val="24"/>
          <w:highlight w:val="none"/>
          <w:lang w:val="en-US" w:eastAsia="zh-CN"/>
        </w:rPr>
        <w:t>6</w:t>
      </w:r>
      <w:r>
        <w:rPr>
          <w:rFonts w:ascii="Times New Roman" w:hAnsi="Times New Roman" w:eastAsia="宋体" w:cs="宋体"/>
          <w:strike w:val="0"/>
          <w:dstrike w:val="0"/>
          <w:color w:val="auto"/>
          <w:spacing w:val="0"/>
          <w:position w:val="0"/>
          <w:sz w:val="24"/>
          <w:szCs w:val="24"/>
          <w:highlight w:val="none"/>
        </w:rPr>
        <w:t>，分区防渗图见</w:t>
      </w:r>
      <w:r>
        <w:rPr>
          <w:rFonts w:hint="eastAsia" w:ascii="Times New Roman" w:hAnsi="Times New Roman" w:eastAsia="宋体" w:cs="宋体"/>
          <w:strike w:val="0"/>
          <w:dstrike w:val="0"/>
          <w:color w:val="auto"/>
          <w:spacing w:val="0"/>
          <w:position w:val="0"/>
          <w:sz w:val="24"/>
          <w:szCs w:val="24"/>
          <w:highlight w:val="none"/>
          <w:lang w:val="en-US" w:eastAsia="zh-CN"/>
        </w:rPr>
        <w:t>附</w:t>
      </w:r>
      <w:r>
        <w:rPr>
          <w:rFonts w:ascii="Times New Roman" w:hAnsi="Times New Roman" w:eastAsia="宋体" w:cs="宋体"/>
          <w:strike w:val="0"/>
          <w:dstrike w:val="0"/>
          <w:color w:val="auto"/>
          <w:spacing w:val="0"/>
          <w:position w:val="0"/>
          <w:sz w:val="24"/>
          <w:szCs w:val="24"/>
          <w:highlight w:val="none"/>
        </w:rPr>
        <w:t>图</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宋体"/>
          <w:strike w:val="0"/>
          <w:dstrike w:val="0"/>
          <w:color w:val="auto"/>
          <w:spacing w:val="0"/>
          <w:position w:val="0"/>
          <w:sz w:val="24"/>
          <w:szCs w:val="24"/>
          <w:highlight w:val="none"/>
          <w:lang w:eastAsia="zh-CN"/>
        </w:rPr>
        <w:t>。</w:t>
      </w:r>
    </w:p>
    <w:p w14:paraId="3C9AA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表5.2-16拟建项目分区防渗要求表</w:t>
      </w:r>
    </w:p>
    <w:tbl>
      <w:tblPr>
        <w:tblStyle w:val="183"/>
        <w:tblW w:w="504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58"/>
        <w:gridCol w:w="2069"/>
        <w:gridCol w:w="4448"/>
      </w:tblGrid>
      <w:tr w14:paraId="1404D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439370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主要环节</w:t>
            </w:r>
          </w:p>
        </w:tc>
        <w:tc>
          <w:tcPr>
            <w:tcW w:w="1235" w:type="pct"/>
            <w:tcBorders>
              <w:tl2br w:val="nil"/>
              <w:tr2bl w:val="nil"/>
            </w:tcBorders>
            <w:vAlign w:val="center"/>
          </w:tcPr>
          <w:p w14:paraId="5E2600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防渗级别</w:t>
            </w:r>
          </w:p>
        </w:tc>
        <w:tc>
          <w:tcPr>
            <w:tcW w:w="2655" w:type="pct"/>
            <w:tcBorders>
              <w:tl2br w:val="nil"/>
              <w:tr2bl w:val="nil"/>
            </w:tcBorders>
            <w:vAlign w:val="center"/>
          </w:tcPr>
          <w:p w14:paraId="11E5E3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防渗要求</w:t>
            </w:r>
          </w:p>
        </w:tc>
      </w:tr>
      <w:tr w14:paraId="59ACC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4F129B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医疗废物暂存间</w:t>
            </w:r>
          </w:p>
        </w:tc>
        <w:tc>
          <w:tcPr>
            <w:tcW w:w="1235" w:type="pct"/>
            <w:vMerge w:val="restart"/>
            <w:tcBorders>
              <w:tl2br w:val="nil"/>
              <w:tr2bl w:val="nil"/>
            </w:tcBorders>
            <w:vAlign w:val="center"/>
          </w:tcPr>
          <w:p w14:paraId="60C800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重点防渗区</w:t>
            </w:r>
          </w:p>
        </w:tc>
        <w:tc>
          <w:tcPr>
            <w:tcW w:w="2655" w:type="pct"/>
            <w:vMerge w:val="restart"/>
            <w:tcBorders>
              <w:tl2br w:val="nil"/>
              <w:tr2bl w:val="nil"/>
            </w:tcBorders>
            <w:vAlign w:val="center"/>
          </w:tcPr>
          <w:p w14:paraId="11BD2F0A">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p>
        </w:tc>
      </w:tr>
      <w:tr w14:paraId="2D8F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1CF04B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1235" w:type="pct"/>
            <w:vMerge w:val="continue"/>
            <w:tcBorders>
              <w:tl2br w:val="nil"/>
              <w:tr2bl w:val="nil"/>
            </w:tcBorders>
            <w:vAlign w:val="center"/>
          </w:tcPr>
          <w:p w14:paraId="40392C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74FD8C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EF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21BB21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1235" w:type="pct"/>
            <w:vMerge w:val="continue"/>
            <w:tcBorders>
              <w:tl2br w:val="nil"/>
              <w:tr2bl w:val="nil"/>
            </w:tcBorders>
            <w:vAlign w:val="center"/>
          </w:tcPr>
          <w:p w14:paraId="565006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54183A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939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6DBAC2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骆驼</w:t>
            </w:r>
            <w:r>
              <w:rPr>
                <w:rFonts w:ascii="Times New Roman" w:hAnsi="Times New Roman" w:eastAsia="宋体" w:cs="宋体"/>
                <w:strike w:val="0"/>
                <w:dstrike w:val="0"/>
                <w:color w:val="auto"/>
                <w:spacing w:val="0"/>
                <w:position w:val="0"/>
                <w:sz w:val="21"/>
                <w:szCs w:val="21"/>
                <w:highlight w:val="none"/>
              </w:rPr>
              <w:t>圈舍</w:t>
            </w:r>
          </w:p>
        </w:tc>
        <w:tc>
          <w:tcPr>
            <w:tcW w:w="1235" w:type="pct"/>
            <w:vMerge w:val="restart"/>
            <w:tcBorders>
              <w:tl2br w:val="nil"/>
              <w:tr2bl w:val="nil"/>
            </w:tcBorders>
            <w:vAlign w:val="center"/>
          </w:tcPr>
          <w:p w14:paraId="1D4437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一般防渗区</w:t>
            </w:r>
          </w:p>
        </w:tc>
        <w:tc>
          <w:tcPr>
            <w:tcW w:w="2655" w:type="pct"/>
            <w:vMerge w:val="restart"/>
            <w:tcBorders>
              <w:tl2br w:val="nil"/>
              <w:tr2bl w:val="nil"/>
            </w:tcBorders>
            <w:vAlign w:val="center"/>
          </w:tcPr>
          <w:p w14:paraId="770F01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 xml:space="preserve">cm/s；或参照GB 16889 执行 </w:t>
            </w:r>
          </w:p>
        </w:tc>
      </w:tr>
      <w:tr w14:paraId="60F64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22EB2F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挤奶大厅</w:t>
            </w:r>
          </w:p>
        </w:tc>
        <w:tc>
          <w:tcPr>
            <w:tcW w:w="1235" w:type="pct"/>
            <w:vMerge w:val="continue"/>
            <w:tcBorders>
              <w:tl2br w:val="nil"/>
              <w:tr2bl w:val="nil"/>
            </w:tcBorders>
            <w:vAlign w:val="center"/>
          </w:tcPr>
          <w:p w14:paraId="5B270C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50A9AB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04338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668435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c>
          <w:tcPr>
            <w:tcW w:w="1235" w:type="pct"/>
            <w:tcBorders>
              <w:tl2br w:val="nil"/>
              <w:tr2bl w:val="nil"/>
            </w:tcBorders>
            <w:vAlign w:val="center"/>
          </w:tcPr>
          <w:p w14:paraId="18453B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简单防渗区</w:t>
            </w:r>
          </w:p>
        </w:tc>
        <w:tc>
          <w:tcPr>
            <w:tcW w:w="2655" w:type="pct"/>
            <w:tcBorders>
              <w:tl2br w:val="nil"/>
              <w:tr2bl w:val="nil"/>
            </w:tcBorders>
            <w:vAlign w:val="center"/>
          </w:tcPr>
          <w:p w14:paraId="42615A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一般地面硬化</w:t>
            </w:r>
          </w:p>
        </w:tc>
      </w:tr>
    </w:tbl>
    <w:p w14:paraId="6CEFB7F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w:t>
      </w:r>
      <w:r>
        <w:rPr>
          <w:rFonts w:ascii="Times New Roman" w:hAnsi="Times New Roman" w:eastAsia="宋体" w:cs="宋体"/>
          <w:strike w:val="0"/>
          <w:dstrike w:val="0"/>
          <w:color w:val="auto"/>
          <w:spacing w:val="0"/>
          <w:position w:val="0"/>
          <w:sz w:val="24"/>
          <w:szCs w:val="24"/>
          <w:highlight w:val="none"/>
        </w:rPr>
        <w:t>、重点防渗区防渗措施</w:t>
      </w:r>
    </w:p>
    <w:p w14:paraId="0C01B5FD">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项目医疗废物暂存间</w:t>
      </w:r>
      <w:r>
        <w:rPr>
          <w:rFonts w:hint="eastAsia" w:ascii="Times New Roman" w:hAnsi="Times New Roman" w:eastAsia="宋体" w:cs="宋体"/>
          <w:strike w:val="0"/>
          <w:dstrike w:val="0"/>
          <w:color w:val="auto"/>
          <w:spacing w:val="0"/>
          <w:position w:val="0"/>
          <w:sz w:val="24"/>
          <w:szCs w:val="24"/>
          <w:highlight w:val="none"/>
          <w:lang w:val="en-US" w:eastAsia="zh-CN"/>
        </w:rPr>
        <w:t>、堆肥场、黑膜池</w:t>
      </w:r>
      <w:r>
        <w:rPr>
          <w:rFonts w:ascii="Times New Roman" w:hAnsi="Times New Roman" w:eastAsia="宋体" w:cs="宋体"/>
          <w:strike w:val="0"/>
          <w:dstrike w:val="0"/>
          <w:color w:val="auto"/>
          <w:spacing w:val="0"/>
          <w:position w:val="0"/>
          <w:sz w:val="24"/>
          <w:szCs w:val="24"/>
          <w:highlight w:val="none"/>
        </w:rPr>
        <w:t>在施工图设计及施工阶段对基础层进行防渗处理，采用符合要求的天然基础层或人工合成衬里材料</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HDPE</w:t>
      </w:r>
      <w:r>
        <w:rPr>
          <w:rFonts w:ascii="Times New Roman" w:hAnsi="Times New Roman" w:eastAsia="宋体" w:cs="宋体"/>
          <w:strike w:val="0"/>
          <w:dstrike w:val="0"/>
          <w:color w:val="auto"/>
          <w:spacing w:val="0"/>
          <w:position w:val="0"/>
          <w:sz w:val="24"/>
          <w:szCs w:val="24"/>
          <w:highlight w:val="none"/>
        </w:rPr>
        <w:t>膜</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，具体要求依据《危险废物填埋污染控制标准》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GB18598-</w:t>
      </w:r>
      <w:r>
        <w:rPr>
          <w:rFonts w:hint="eastAsia" w:ascii="Times New Roman" w:hAnsi="Times New Roman" w:eastAsia="宋体" w:cs="Times New Roman"/>
          <w:strike w:val="0"/>
          <w:dstrike w:val="0"/>
          <w:color w:val="auto"/>
          <w:spacing w:val="0"/>
          <w:position w:val="0"/>
          <w:sz w:val="24"/>
          <w:szCs w:val="24"/>
          <w:highlight w:val="none"/>
          <w:lang w:val="en-US" w:eastAsia="zh-CN"/>
        </w:rPr>
        <w:t>2019</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进行实施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防渗层防渗性能不能低于</w:t>
      </w:r>
      <w:r>
        <w:rPr>
          <w:rFonts w:ascii="Times New Roman" w:hAnsi="Times New Roman" w:eastAsia="宋体" w:cs="Times New Roman"/>
          <w:strike w:val="0"/>
          <w:dstrike w:val="0"/>
          <w:color w:val="auto"/>
          <w:spacing w:val="0"/>
          <w:position w:val="0"/>
          <w:sz w:val="24"/>
          <w:szCs w:val="24"/>
          <w:highlight w:val="none"/>
        </w:rPr>
        <w:t>6m</w:t>
      </w:r>
      <w:r>
        <w:rPr>
          <w:rFonts w:ascii="Times New Roman" w:hAnsi="Times New Roman" w:eastAsia="宋体" w:cs="宋体"/>
          <w:strike w:val="0"/>
          <w:dstrike w:val="0"/>
          <w:color w:val="auto"/>
          <w:spacing w:val="0"/>
          <w:position w:val="0"/>
          <w:sz w:val="24"/>
          <w:szCs w:val="24"/>
          <w:highlight w:val="none"/>
        </w:rPr>
        <w:t>厚，渗透系数</w:t>
      </w:r>
      <w:r>
        <w:rPr>
          <w:rFonts w:ascii="Times New Roman" w:hAnsi="Times New Roman" w:eastAsia="宋体" w:cs="Times New Roman"/>
          <w:strike w:val="0"/>
          <w:dstrike w:val="0"/>
          <w:color w:val="auto"/>
          <w:spacing w:val="0"/>
          <w:position w:val="0"/>
          <w:sz w:val="24"/>
          <w:szCs w:val="24"/>
          <w:highlight w:val="none"/>
        </w:rPr>
        <w:t>≤10</w:t>
      </w:r>
      <w:r>
        <w:rPr>
          <w:rFonts w:ascii="Times New Roman" w:hAnsi="Times New Roman" w:eastAsia="宋体" w:cs="Times New Roman"/>
          <w:strike w:val="0"/>
          <w:dstrike w:val="0"/>
          <w:color w:val="auto"/>
          <w:spacing w:val="0"/>
          <w:position w:val="0"/>
          <w:sz w:val="24"/>
          <w:szCs w:val="15"/>
          <w:highlight w:val="none"/>
          <w:vertAlign w:val="superscript"/>
        </w:rPr>
        <w:t>-7</w:t>
      </w:r>
      <w:r>
        <w:rPr>
          <w:rFonts w:ascii="Times New Roman" w:hAnsi="Times New Roman" w:eastAsia="宋体" w:cs="Times New Roman"/>
          <w:strike w:val="0"/>
          <w:dstrike w:val="0"/>
          <w:color w:val="auto"/>
          <w:spacing w:val="0"/>
          <w:position w:val="0"/>
          <w:sz w:val="24"/>
          <w:szCs w:val="24"/>
          <w:highlight w:val="none"/>
        </w:rPr>
        <w:t>cm/s</w:t>
      </w:r>
      <w:r>
        <w:rPr>
          <w:rFonts w:ascii="Times New Roman" w:hAnsi="Times New Roman" w:eastAsia="宋体" w:cs="宋体"/>
          <w:strike w:val="0"/>
          <w:dstrike w:val="0"/>
          <w:color w:val="auto"/>
          <w:spacing w:val="0"/>
          <w:position w:val="0"/>
          <w:sz w:val="24"/>
          <w:szCs w:val="24"/>
          <w:highlight w:val="none"/>
        </w:rPr>
        <w:t>的防渗性能，防止泄漏污染地下水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27354A1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II</w:t>
      </w:r>
      <w:r>
        <w:rPr>
          <w:rFonts w:ascii="Times New Roman" w:hAnsi="Times New Roman" w:eastAsia="宋体" w:cs="宋体"/>
          <w:strike w:val="0"/>
          <w:dstrike w:val="0"/>
          <w:color w:val="auto"/>
          <w:spacing w:val="0"/>
          <w:position w:val="0"/>
          <w:sz w:val="24"/>
          <w:szCs w:val="24"/>
          <w:highlight w:val="none"/>
        </w:rPr>
        <w:t>、一般防渗区</w:t>
      </w:r>
    </w:p>
    <w:p w14:paraId="0CB29938">
      <w:pPr>
        <w:keepNext w:val="0"/>
        <w:keepLines w:val="0"/>
        <w:pageBreakBefore w:val="0"/>
        <w:widowControl w:val="0"/>
        <w:kinsoku/>
        <w:wordWrap/>
        <w:overflowPunct/>
        <w:topLinePunct w:val="0"/>
        <w:autoSpaceDE/>
        <w:autoSpaceDN/>
        <w:bidi w:val="0"/>
        <w:adjustRightInd/>
        <w:snapToGrid/>
        <w:spacing w:line="360" w:lineRule="auto"/>
        <w:ind w:left="0" w:right="0" w:firstLine="49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w:t>
      </w:r>
      <w:r>
        <w:rPr>
          <w:rFonts w:hint="eastAsia" w:ascii="Times New Roman" w:hAnsi="Times New Roman" w:eastAsia="宋体" w:cs="宋体"/>
          <w:strike w:val="0"/>
          <w:dstrike w:val="0"/>
          <w:color w:val="auto"/>
          <w:spacing w:val="0"/>
          <w:position w:val="0"/>
          <w:sz w:val="24"/>
          <w:szCs w:val="24"/>
          <w:highlight w:val="none"/>
          <w:lang w:val="en-US" w:eastAsia="zh-CN"/>
        </w:rPr>
        <w:t>骆驼圈舍、挤奶大厅</w:t>
      </w:r>
      <w:r>
        <w:rPr>
          <w:rFonts w:ascii="Times New Roman" w:hAnsi="Times New Roman" w:eastAsia="宋体" w:cs="宋体"/>
          <w:strike w:val="0"/>
          <w:dstrike w:val="0"/>
          <w:color w:val="auto"/>
          <w:spacing w:val="0"/>
          <w:position w:val="0"/>
          <w:sz w:val="24"/>
          <w:szCs w:val="24"/>
          <w:highlight w:val="none"/>
        </w:rPr>
        <w:t>在施工图设计及施工阶段对基础层进行防渗处理，具体要求依据《</w:t>
      </w:r>
      <w:r>
        <w:rPr>
          <w:rFonts w:hint="eastAsia" w:ascii="Times New Roman" w:hAnsi="Times New Roman" w:eastAsia="宋体" w:cs="宋体"/>
          <w:strike w:val="0"/>
          <w:dstrike w:val="0"/>
          <w:color w:val="auto"/>
          <w:spacing w:val="0"/>
          <w:position w:val="0"/>
          <w:sz w:val="24"/>
          <w:szCs w:val="24"/>
          <w:highlight w:val="none"/>
        </w:rPr>
        <w:t>生活垃圾填埋场污染控制标准</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w:t>
      </w:r>
      <w:r>
        <w:rPr>
          <w:rFonts w:hint="eastAsia" w:ascii="Times New Roman" w:hAnsi="Times New Roman" w:eastAsia="宋体" w:cs="Times New Roman"/>
          <w:strike w:val="0"/>
          <w:dstrike w:val="0"/>
          <w:color w:val="auto"/>
          <w:spacing w:val="0"/>
          <w:position w:val="0"/>
          <w:sz w:val="24"/>
          <w:szCs w:val="24"/>
          <w:highlight w:val="none"/>
          <w:lang w:val="en-US" w:eastAsia="zh-CN"/>
        </w:rPr>
        <w:t>16889</w:t>
      </w:r>
      <w:r>
        <w:rPr>
          <w:rFonts w:ascii="Times New Roman" w:hAnsi="Times New Roman" w:eastAsia="宋体" w:cs="Times New Roman"/>
          <w:strike w:val="0"/>
          <w:dstrike w:val="0"/>
          <w:color w:val="auto"/>
          <w:spacing w:val="0"/>
          <w:position w:val="0"/>
          <w:sz w:val="24"/>
          <w:szCs w:val="24"/>
          <w:highlight w:val="none"/>
        </w:rPr>
        <w:t>-202</w:t>
      </w:r>
      <w:r>
        <w:rPr>
          <w:rFonts w:hint="eastAsia" w:ascii="Times New Roman" w:hAnsi="Times New Roman" w:eastAsia="宋体" w:cs="Times New Roman"/>
          <w:strike w:val="0"/>
          <w:dstrike w:val="0"/>
          <w:color w:val="auto"/>
          <w:spacing w:val="0"/>
          <w:position w:val="0"/>
          <w:sz w:val="24"/>
          <w:szCs w:val="24"/>
          <w:highlight w:val="none"/>
          <w:lang w:val="en-US" w:eastAsia="zh-CN"/>
        </w:rPr>
        <w:t>4</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进行实施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构筑物除需做基础防渗处理外，应根据生产过程中接触到的物料腐蚀性情况根据要求采取相应的防腐蚀处理措施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采取防渗措施后的基础层等效黏土防渗层</w:t>
      </w:r>
      <w:r>
        <w:rPr>
          <w:rFonts w:ascii="Times New Roman" w:hAnsi="Times New Roman" w:eastAsia="宋体" w:cs="Times New Roman"/>
          <w:strike w:val="0"/>
          <w:dstrike w:val="0"/>
          <w:color w:val="auto"/>
          <w:spacing w:val="0"/>
          <w:position w:val="0"/>
          <w:sz w:val="24"/>
          <w:szCs w:val="24"/>
          <w:highlight w:val="none"/>
        </w:rPr>
        <w:t>Mb≥1.5m</w:t>
      </w:r>
      <w:r>
        <w:rPr>
          <w:rFonts w:ascii="Times New Roman" w:hAnsi="Times New Roman" w:eastAsia="宋体" w:cs="宋体"/>
          <w:strike w:val="0"/>
          <w:dstrike w:val="0"/>
          <w:color w:val="auto"/>
          <w:spacing w:val="0"/>
          <w:position w:val="0"/>
          <w:sz w:val="24"/>
          <w:szCs w:val="24"/>
          <w:highlight w:val="none"/>
        </w:rPr>
        <w:t>，</w:t>
      </w:r>
      <w:r>
        <w:rPr>
          <w:rFonts w:ascii="Times New Roman" w:hAnsi="Times New Roman" w:eastAsia="宋体" w:cs="Times New Roman"/>
          <w:strike w:val="0"/>
          <w:dstrike w:val="0"/>
          <w:color w:val="auto"/>
          <w:spacing w:val="0"/>
          <w:position w:val="0"/>
          <w:sz w:val="24"/>
          <w:szCs w:val="24"/>
          <w:highlight w:val="none"/>
        </w:rPr>
        <w:t>k≤10</w:t>
      </w:r>
      <w:r>
        <w:rPr>
          <w:rFonts w:ascii="Times New Roman" w:hAnsi="Times New Roman" w:eastAsia="宋体" w:cs="Times New Roman"/>
          <w:strike w:val="0"/>
          <w:dstrike w:val="0"/>
          <w:color w:val="auto"/>
          <w:spacing w:val="0"/>
          <w:position w:val="0"/>
          <w:sz w:val="24"/>
          <w:szCs w:val="15"/>
          <w:highlight w:val="none"/>
          <w:vertAlign w:val="superscript"/>
        </w:rPr>
        <w:t>-7</w:t>
      </w:r>
      <w:r>
        <w:rPr>
          <w:rFonts w:ascii="Times New Roman" w:hAnsi="Times New Roman" w:eastAsia="宋体" w:cs="Times New Roman"/>
          <w:strike w:val="0"/>
          <w:dstrike w:val="0"/>
          <w:color w:val="auto"/>
          <w:spacing w:val="0"/>
          <w:position w:val="0"/>
          <w:sz w:val="24"/>
          <w:szCs w:val="24"/>
          <w:highlight w:val="none"/>
        </w:rPr>
        <w:t>cm/s</w:t>
      </w:r>
      <w:r>
        <w:rPr>
          <w:rFonts w:hint="eastAsia" w:ascii="Times New Roman" w:hAnsi="Times New Roman" w:eastAsia="宋体" w:cs="宋体"/>
          <w:strike w:val="0"/>
          <w:dstrike w:val="0"/>
          <w:color w:val="auto"/>
          <w:spacing w:val="0"/>
          <w:position w:val="0"/>
          <w:sz w:val="24"/>
          <w:szCs w:val="24"/>
          <w:highlight w:val="none"/>
          <w:lang w:eastAsia="zh-CN"/>
        </w:rPr>
        <w:t>。</w:t>
      </w:r>
    </w:p>
    <w:p w14:paraId="22B6C58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III</w:t>
      </w:r>
      <w:r>
        <w:rPr>
          <w:rFonts w:ascii="Times New Roman" w:hAnsi="Times New Roman" w:eastAsia="宋体" w:cs="宋体"/>
          <w:strike w:val="0"/>
          <w:dstrike w:val="0"/>
          <w:color w:val="auto"/>
          <w:spacing w:val="0"/>
          <w:position w:val="0"/>
          <w:sz w:val="24"/>
          <w:szCs w:val="24"/>
          <w:highlight w:val="none"/>
        </w:rPr>
        <w:t>、简单防渗区</w:t>
      </w:r>
    </w:p>
    <w:p w14:paraId="2D9F0EAE">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简单防渗区采用水泥硬化防渗</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厂区其他地面除绿化用地外均采取灰土铺底，再在上层铺</w:t>
      </w:r>
      <w:r>
        <w:rPr>
          <w:rFonts w:ascii="Times New Roman" w:hAnsi="Times New Roman" w:eastAsia="宋体" w:cs="Times New Roman"/>
          <w:strike w:val="0"/>
          <w:dstrike w:val="0"/>
          <w:color w:val="auto"/>
          <w:spacing w:val="0"/>
          <w:position w:val="0"/>
          <w:sz w:val="24"/>
          <w:szCs w:val="24"/>
          <w:highlight w:val="none"/>
        </w:rPr>
        <w:t>10</w:t>
      </w:r>
      <w:r>
        <w:rPr>
          <w:rFonts w:ascii="Times New Roman" w:hAnsi="Times New Roman" w:eastAsia="宋体" w:cs="宋体"/>
          <w:strike w:val="0"/>
          <w:dstrike w:val="0"/>
          <w:color w:val="auto"/>
          <w:spacing w:val="0"/>
          <w:position w:val="0"/>
          <w:sz w:val="24"/>
          <w:szCs w:val="24"/>
          <w:highlight w:val="none"/>
        </w:rPr>
        <w:t>~</w:t>
      </w:r>
      <w:r>
        <w:rPr>
          <w:rFonts w:ascii="Times New Roman" w:hAnsi="Times New Roman" w:eastAsia="宋体" w:cs="Times New Roman"/>
          <w:strike w:val="0"/>
          <w:dstrike w:val="0"/>
          <w:color w:val="auto"/>
          <w:spacing w:val="0"/>
          <w:position w:val="0"/>
          <w:sz w:val="24"/>
          <w:szCs w:val="24"/>
          <w:highlight w:val="none"/>
        </w:rPr>
        <w:t>15cm</w:t>
      </w:r>
      <w:r>
        <w:rPr>
          <w:rFonts w:ascii="Times New Roman" w:hAnsi="Times New Roman" w:eastAsia="宋体" w:cs="宋体"/>
          <w:strike w:val="0"/>
          <w:dstrike w:val="0"/>
          <w:color w:val="auto"/>
          <w:spacing w:val="0"/>
          <w:position w:val="0"/>
          <w:sz w:val="24"/>
          <w:szCs w:val="24"/>
          <w:highlight w:val="none"/>
        </w:rPr>
        <w:t>的混凝土进行硬化</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具体见分区防渗示意图</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宋体"/>
          <w:strike w:val="0"/>
          <w:dstrike w:val="0"/>
          <w:color w:val="auto"/>
          <w:spacing w:val="0"/>
          <w:position w:val="0"/>
          <w:sz w:val="24"/>
          <w:szCs w:val="24"/>
          <w:highlight w:val="none"/>
          <w:lang w:eastAsia="zh-CN"/>
        </w:rPr>
        <w:t>。</w:t>
      </w:r>
    </w:p>
    <w:p w14:paraId="30887FB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IV</w:t>
      </w:r>
      <w:r>
        <w:rPr>
          <w:rFonts w:ascii="Times New Roman" w:hAnsi="Times New Roman" w:eastAsia="宋体" w:cs="宋体"/>
          <w:strike w:val="0"/>
          <w:dstrike w:val="0"/>
          <w:color w:val="auto"/>
          <w:spacing w:val="0"/>
          <w:position w:val="0"/>
          <w:sz w:val="24"/>
          <w:szCs w:val="24"/>
          <w:highlight w:val="none"/>
        </w:rPr>
        <w:t>、废水管道防渗措施</w:t>
      </w:r>
    </w:p>
    <w:p w14:paraId="6C004842">
      <w:pPr>
        <w:keepNext w:val="0"/>
        <w:keepLines w:val="0"/>
        <w:pageBreakBefore w:val="0"/>
        <w:widowControl w:val="0"/>
        <w:kinsoku/>
        <w:wordWrap/>
        <w:overflowPunct/>
        <w:topLinePunct w:val="0"/>
        <w:autoSpaceDE/>
        <w:autoSpaceDN/>
        <w:bidi w:val="0"/>
        <w:adjustRightInd/>
        <w:snapToGrid/>
        <w:spacing w:line="360" w:lineRule="auto"/>
        <w:ind w:left="0" w:right="0" w:firstLine="482"/>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污水管线接口应采取严格的密封措施，防止污水泄漏污染地下水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在铺设管线过程中，挖土和回填土按环境保护要求放置，防止扬尘和降水污染环境，施工完成后要绿化和定期巡护，为了保护下游区域地下水环境，在工程设计、施工和运行的同时，必须严格控制拟建</w:t>
      </w:r>
      <w:r>
        <w:rPr>
          <w:rFonts w:hint="eastAsia" w:ascii="Times New Roman" w:hAnsi="Times New Roman" w:eastAsia="宋体" w:cs="宋体"/>
          <w:strike w:val="0"/>
          <w:dstrike w:val="0"/>
          <w:color w:val="auto"/>
          <w:spacing w:val="0"/>
          <w:position w:val="0"/>
          <w:sz w:val="24"/>
          <w:szCs w:val="24"/>
          <w:highlight w:val="none"/>
          <w:lang w:eastAsia="zh-CN"/>
        </w:rPr>
        <w:t>场区污水</w:t>
      </w:r>
      <w:r>
        <w:rPr>
          <w:rFonts w:ascii="Times New Roman" w:hAnsi="Times New Roman" w:eastAsia="宋体" w:cs="宋体"/>
          <w:strike w:val="0"/>
          <w:dstrike w:val="0"/>
          <w:color w:val="auto"/>
          <w:spacing w:val="0"/>
          <w:position w:val="0"/>
          <w:sz w:val="24"/>
          <w:szCs w:val="24"/>
          <w:highlight w:val="none"/>
        </w:rPr>
        <w:t>的无组织泄漏，严把质量关，杜绝因材制、制管、防腐涂层、焊接缺陷及与运行失误而造成管线泄漏，生产运行过程中，必须强化监控手段，定期检查，对厂区及其附近环境敏感地区的水井定期进行检测，保护评价区地下水环境</w:t>
      </w:r>
      <w:r>
        <w:rPr>
          <w:rFonts w:hint="eastAsia" w:ascii="Times New Roman" w:hAnsi="Times New Roman" w:eastAsia="宋体" w:cs="宋体"/>
          <w:strike w:val="0"/>
          <w:dstrike w:val="0"/>
          <w:color w:val="auto"/>
          <w:spacing w:val="0"/>
          <w:position w:val="0"/>
          <w:sz w:val="24"/>
          <w:szCs w:val="24"/>
          <w:highlight w:val="none"/>
          <w:lang w:eastAsia="zh-CN"/>
        </w:rPr>
        <w:t>。</w:t>
      </w:r>
    </w:p>
    <w:p w14:paraId="13809DC3">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V</w:t>
      </w:r>
      <w:r>
        <w:rPr>
          <w:rFonts w:ascii="Times New Roman" w:hAnsi="Times New Roman" w:eastAsia="宋体" w:cs="宋体"/>
          <w:strike w:val="0"/>
          <w:dstrike w:val="0"/>
          <w:color w:val="auto"/>
          <w:spacing w:val="0"/>
          <w:position w:val="0"/>
          <w:sz w:val="24"/>
          <w:szCs w:val="24"/>
          <w:highlight w:val="none"/>
        </w:rPr>
        <w:t>、管理措施</w:t>
      </w:r>
    </w:p>
    <w:p w14:paraId="5FCC2D5D">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项目运行后，配备专兼职技术人员，加强地下水环境管理及巡查，定期对</w:t>
      </w:r>
      <w:r>
        <w:rPr>
          <w:rFonts w:hint="eastAsia" w:ascii="Times New Roman" w:hAnsi="Times New Roman" w:eastAsia="宋体" w:cs="宋体"/>
          <w:strike w:val="0"/>
          <w:dstrike w:val="0"/>
          <w:color w:val="auto"/>
          <w:spacing w:val="0"/>
          <w:position w:val="0"/>
          <w:sz w:val="24"/>
          <w:szCs w:val="24"/>
          <w:highlight w:val="none"/>
          <w:lang w:val="en-US" w:eastAsia="zh-CN"/>
        </w:rPr>
        <w:t>黑膜池</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医疗废物暂存间</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堆肥场</w:t>
      </w:r>
      <w:r>
        <w:rPr>
          <w:rFonts w:ascii="Times New Roman" w:hAnsi="Times New Roman" w:eastAsia="宋体" w:cs="宋体"/>
          <w:strike w:val="0"/>
          <w:dstrike w:val="0"/>
          <w:color w:val="auto"/>
          <w:spacing w:val="0"/>
          <w:position w:val="0"/>
          <w:sz w:val="24"/>
          <w:szCs w:val="24"/>
          <w:highlight w:val="none"/>
        </w:rPr>
        <w:t>等环节进行检漏工作，确保各防渗漏措施运行的长期性、稳定性和可靠性</w:t>
      </w:r>
      <w:r>
        <w:rPr>
          <w:rFonts w:hint="eastAsia" w:ascii="Times New Roman" w:hAnsi="Times New Roman" w:eastAsia="宋体" w:cs="宋体"/>
          <w:strike w:val="0"/>
          <w:dstrike w:val="0"/>
          <w:color w:val="auto"/>
          <w:spacing w:val="0"/>
          <w:position w:val="0"/>
          <w:sz w:val="24"/>
          <w:szCs w:val="24"/>
          <w:highlight w:val="none"/>
          <w:lang w:eastAsia="zh-CN"/>
        </w:rPr>
        <w:t>。</w:t>
      </w:r>
    </w:p>
    <w:p w14:paraId="01A8AB5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6、</w:t>
      </w:r>
      <w:r>
        <w:rPr>
          <w:rFonts w:ascii="Times New Roman" w:hAnsi="Times New Roman" w:eastAsia="宋体" w:cs="宋体"/>
          <w:strike w:val="0"/>
          <w:dstrike w:val="0"/>
          <w:color w:val="auto"/>
          <w:spacing w:val="0"/>
          <w:position w:val="0"/>
          <w:sz w:val="24"/>
          <w:szCs w:val="24"/>
          <w:highlight w:val="none"/>
        </w:rPr>
        <w:t>小结</w:t>
      </w:r>
    </w:p>
    <w:p w14:paraId="61CFCEDD">
      <w:pPr>
        <w:pStyle w:val="161"/>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bCs/>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综上所述，通过认真落实并且严格执行本次环评提出的上述废</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污</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水防治措施后，本项目运营期间产生废</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污</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水对项目区及周边区域水环境产生影响较小</w:t>
      </w:r>
      <w:bookmarkEnd w:id="234"/>
      <w:r>
        <w:rPr>
          <w:rFonts w:hint="eastAsia" w:ascii="Times New Roman" w:hAnsi="Times New Roman" w:eastAsia="宋体" w:cs="宋体"/>
          <w:strike w:val="0"/>
          <w:dstrike w:val="0"/>
          <w:color w:val="auto"/>
          <w:spacing w:val="0"/>
          <w:position w:val="0"/>
          <w:sz w:val="24"/>
          <w:szCs w:val="24"/>
          <w:highlight w:val="none"/>
          <w:lang w:eastAsia="zh-CN"/>
        </w:rPr>
        <w:t>。</w:t>
      </w:r>
    </w:p>
    <w:p w14:paraId="48B03065">
      <w:pPr>
        <w:pStyle w:val="4"/>
        <w:rPr>
          <w:rFonts w:ascii="Times New Roman" w:hAnsi="Times New Roman" w:eastAsia="宋体"/>
          <w:strike w:val="0"/>
          <w:dstrike w:val="0"/>
          <w:color w:val="auto"/>
          <w:highlight w:val="none"/>
        </w:rPr>
      </w:pPr>
      <w:bookmarkStart w:id="235" w:name="_Toc106663502"/>
      <w:bookmarkStart w:id="236" w:name="_Toc31830"/>
      <w:r>
        <w:rPr>
          <w:rFonts w:hint="eastAsia" w:ascii="Times New Roman" w:hAnsi="Times New Roman" w:eastAsia="宋体"/>
          <w:strike w:val="0"/>
          <w:dstrike w:val="0"/>
          <w:color w:val="auto"/>
          <w:highlight w:val="none"/>
        </w:rPr>
        <w:t>5.2.3声环境影响分析</w:t>
      </w:r>
      <w:bookmarkEnd w:id="235"/>
      <w:bookmarkEnd w:id="236"/>
    </w:p>
    <w:p w14:paraId="3A9B58C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1、噪声源</w:t>
      </w:r>
    </w:p>
    <w:p w14:paraId="79A3B41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rPr>
        <w:t>施工期间主要噪声源为施工机械产生的噪声，</w:t>
      </w:r>
      <w:r>
        <w:rPr>
          <w:rFonts w:ascii="Times New Roman" w:hAnsi="Times New Roman" w:eastAsia="宋体"/>
          <w:strike w:val="0"/>
          <w:dstrike w:val="0"/>
          <w:color w:val="auto"/>
          <w:highlight w:val="none"/>
        </w:rPr>
        <w:t>建成后主要噪声源为</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通风机及</w:t>
      </w:r>
      <w:r>
        <w:rPr>
          <w:rFonts w:hint="eastAsia" w:ascii="Times New Roman" w:hAnsi="Times New Roman" w:eastAsia="宋体"/>
          <w:strike w:val="0"/>
          <w:dstrike w:val="0"/>
          <w:color w:val="auto"/>
          <w:highlight w:val="none"/>
          <w:lang w:val="en-US" w:eastAsia="zh-CN"/>
        </w:rPr>
        <w:t>骆驼叫</w:t>
      </w:r>
      <w:r>
        <w:rPr>
          <w:rFonts w:hint="eastAsia" w:ascii="Times New Roman" w:hAnsi="Times New Roman" w:eastAsia="宋体"/>
          <w:strike w:val="0"/>
          <w:dstrike w:val="0"/>
          <w:color w:val="auto"/>
          <w:highlight w:val="none"/>
        </w:rPr>
        <w:t>声产生的噪声</w:t>
      </w:r>
      <w:r>
        <w:rPr>
          <w:rFonts w:ascii="Times New Roman" w:hAnsi="Times New Roman" w:eastAsia="宋体"/>
          <w:strike w:val="0"/>
          <w:dstrike w:val="0"/>
          <w:color w:val="auto"/>
          <w:highlight w:val="none"/>
        </w:rPr>
        <w:t>等，详见下表5.2-</w:t>
      </w:r>
      <w:r>
        <w:rPr>
          <w:rFonts w:hint="eastAsia" w:ascii="Times New Roman" w:hAnsi="Times New Roman" w:eastAsia="宋体"/>
          <w:strike w:val="0"/>
          <w:dstrike w:val="0"/>
          <w:color w:val="auto"/>
          <w:highlight w:val="none"/>
          <w:lang w:val="en-US" w:eastAsia="zh-CN"/>
        </w:rPr>
        <w:t>17</w:t>
      </w:r>
      <w:r>
        <w:rPr>
          <w:rFonts w:hint="eastAsia" w:ascii="Times New Roman" w:hAnsi="Times New Roman" w:eastAsia="宋体"/>
          <w:strike w:val="0"/>
          <w:dstrike w:val="0"/>
          <w:color w:val="auto"/>
          <w:highlight w:val="none"/>
          <w:lang w:eastAsia="zh-CN"/>
        </w:rPr>
        <w:t>。</w:t>
      </w:r>
    </w:p>
    <w:p w14:paraId="197B6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表5.2-17主要噪声源</w:t>
      </w:r>
    </w:p>
    <w:tbl>
      <w:tblPr>
        <w:tblStyle w:val="39"/>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21"/>
        <w:gridCol w:w="971"/>
        <w:gridCol w:w="993"/>
        <w:gridCol w:w="704"/>
        <w:gridCol w:w="849"/>
        <w:gridCol w:w="3075"/>
        <w:gridCol w:w="973"/>
      </w:tblGrid>
      <w:tr w14:paraId="656472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jc w:val="center"/>
        </w:trPr>
        <w:tc>
          <w:tcPr>
            <w:tcW w:w="435" w:type="pct"/>
            <w:vMerge w:val="restart"/>
            <w:tcBorders>
              <w:tl2br w:val="nil"/>
              <w:tr2bl w:val="nil"/>
            </w:tcBorders>
            <w:shd w:val="clear" w:color="auto" w:fill="auto"/>
            <w:vAlign w:val="center"/>
          </w:tcPr>
          <w:p w14:paraId="3FCBEAC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bookmarkStart w:id="237" w:name="_Hlk107742220"/>
            <w:r>
              <w:rPr>
                <w:rFonts w:hint="eastAsia" w:ascii="Times New Roman" w:hAnsi="Times New Roman" w:eastAsia="宋体"/>
                <w:b w:val="0"/>
                <w:bCs w:val="0"/>
                <w:strike w:val="0"/>
                <w:dstrike w:val="0"/>
                <w:color w:val="auto"/>
                <w:szCs w:val="21"/>
                <w:highlight w:val="none"/>
              </w:rPr>
              <w:t>序号</w:t>
            </w:r>
          </w:p>
        </w:tc>
        <w:tc>
          <w:tcPr>
            <w:tcW w:w="586" w:type="pct"/>
            <w:vMerge w:val="restart"/>
            <w:tcBorders>
              <w:tl2br w:val="nil"/>
              <w:tr2bl w:val="nil"/>
            </w:tcBorders>
            <w:shd w:val="clear" w:color="auto" w:fill="auto"/>
            <w:vAlign w:val="center"/>
          </w:tcPr>
          <w:p w14:paraId="022A7C64">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时段</w:t>
            </w:r>
          </w:p>
        </w:tc>
        <w:tc>
          <w:tcPr>
            <w:tcW w:w="599" w:type="pct"/>
            <w:vMerge w:val="restart"/>
            <w:tcBorders>
              <w:tl2br w:val="nil"/>
              <w:tr2bl w:val="nil"/>
            </w:tcBorders>
            <w:shd w:val="clear" w:color="auto" w:fill="auto"/>
            <w:vAlign w:val="center"/>
          </w:tcPr>
          <w:p w14:paraId="33BB93D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来源</w:t>
            </w:r>
          </w:p>
        </w:tc>
        <w:tc>
          <w:tcPr>
            <w:tcW w:w="425" w:type="pct"/>
            <w:vMerge w:val="restart"/>
            <w:tcBorders>
              <w:tl2br w:val="nil"/>
              <w:tr2bl w:val="nil"/>
            </w:tcBorders>
            <w:shd w:val="clear" w:color="auto" w:fill="auto"/>
            <w:vAlign w:val="center"/>
          </w:tcPr>
          <w:p w14:paraId="2CFD620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产生方式</w:t>
            </w:r>
          </w:p>
        </w:tc>
        <w:tc>
          <w:tcPr>
            <w:tcW w:w="2954" w:type="pct"/>
            <w:gridSpan w:val="3"/>
            <w:tcBorders>
              <w:tl2br w:val="nil"/>
              <w:tr2bl w:val="nil"/>
            </w:tcBorders>
            <w:shd w:val="clear" w:color="auto" w:fill="auto"/>
            <w:vAlign w:val="center"/>
          </w:tcPr>
          <w:p w14:paraId="36D1062F">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eastAsia="zh-CN"/>
              </w:rPr>
            </w:pPr>
            <w:r>
              <w:rPr>
                <w:rFonts w:hint="eastAsia" w:ascii="Times New Roman" w:hAnsi="Times New Roman" w:eastAsia="宋体"/>
                <w:b w:val="0"/>
                <w:bCs w:val="0"/>
                <w:strike w:val="0"/>
                <w:dstrike w:val="0"/>
                <w:color w:val="auto"/>
                <w:szCs w:val="21"/>
                <w:highlight w:val="none"/>
              </w:rPr>
              <w:t>噪声源强</w:t>
            </w:r>
            <w:r>
              <w:rPr>
                <w:rFonts w:ascii="Times New Roman" w:hAnsi="Times New Roman" w:eastAsia="宋体"/>
                <w:b w:val="0"/>
                <w:bCs w:val="0"/>
                <w:strike w:val="0"/>
                <w:dstrike w:val="0"/>
                <w:color w:val="auto"/>
                <w:szCs w:val="21"/>
                <w:highlight w:val="none"/>
              </w:rPr>
              <w:t>dB</w:t>
            </w:r>
            <w:r>
              <w:rPr>
                <w:rFonts w:hint="eastAsia" w:ascii="Times New Roman" w:hAnsi="Times New Roman" w:eastAsia="宋体"/>
                <w:b w:val="0"/>
                <w:bCs w:val="0"/>
                <w:strike w:val="0"/>
                <w:dstrike w:val="0"/>
                <w:color w:val="auto"/>
                <w:szCs w:val="21"/>
                <w:highlight w:val="none"/>
                <w:lang w:eastAsia="zh-CN"/>
              </w:rPr>
              <w:t>（</w:t>
            </w:r>
            <w:r>
              <w:rPr>
                <w:rFonts w:ascii="Times New Roman" w:hAnsi="Times New Roman" w:eastAsia="宋体"/>
                <w:b w:val="0"/>
                <w:bCs w:val="0"/>
                <w:strike w:val="0"/>
                <w:dstrike w:val="0"/>
                <w:color w:val="auto"/>
                <w:szCs w:val="21"/>
                <w:highlight w:val="none"/>
              </w:rPr>
              <w:t>A</w:t>
            </w:r>
            <w:r>
              <w:rPr>
                <w:rFonts w:hint="eastAsia" w:ascii="Times New Roman" w:hAnsi="Times New Roman" w:eastAsia="宋体"/>
                <w:b w:val="0"/>
                <w:bCs w:val="0"/>
                <w:strike w:val="0"/>
                <w:dstrike w:val="0"/>
                <w:color w:val="auto"/>
                <w:szCs w:val="21"/>
                <w:highlight w:val="none"/>
                <w:lang w:eastAsia="zh-CN"/>
              </w:rPr>
              <w:t>）</w:t>
            </w:r>
          </w:p>
        </w:tc>
      </w:tr>
      <w:tr w14:paraId="10B19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435" w:type="pct"/>
            <w:vMerge w:val="continue"/>
            <w:tcBorders>
              <w:tl2br w:val="nil"/>
              <w:tr2bl w:val="nil"/>
            </w:tcBorders>
            <w:shd w:val="clear" w:color="auto" w:fill="auto"/>
            <w:vAlign w:val="center"/>
          </w:tcPr>
          <w:p w14:paraId="758C4E8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686941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vMerge w:val="continue"/>
            <w:tcBorders>
              <w:tl2br w:val="nil"/>
              <w:tr2bl w:val="nil"/>
            </w:tcBorders>
            <w:shd w:val="clear" w:color="auto" w:fill="auto"/>
            <w:vAlign w:val="center"/>
          </w:tcPr>
          <w:p w14:paraId="0E17321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425" w:type="pct"/>
            <w:vMerge w:val="continue"/>
            <w:tcBorders>
              <w:tl2br w:val="nil"/>
              <w:tr2bl w:val="nil"/>
            </w:tcBorders>
            <w:shd w:val="clear" w:color="auto" w:fill="auto"/>
            <w:vAlign w:val="center"/>
          </w:tcPr>
          <w:p w14:paraId="5507716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12" w:type="pct"/>
            <w:tcBorders>
              <w:tl2br w:val="nil"/>
              <w:tr2bl w:val="nil"/>
            </w:tcBorders>
            <w:shd w:val="clear" w:color="auto" w:fill="auto"/>
            <w:vAlign w:val="center"/>
          </w:tcPr>
          <w:p w14:paraId="1C4EF72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治理前</w:t>
            </w:r>
          </w:p>
        </w:tc>
        <w:tc>
          <w:tcPr>
            <w:tcW w:w="1855" w:type="pct"/>
            <w:tcBorders>
              <w:tl2br w:val="nil"/>
              <w:tr2bl w:val="nil"/>
            </w:tcBorders>
            <w:shd w:val="clear" w:color="auto" w:fill="auto"/>
            <w:vAlign w:val="center"/>
          </w:tcPr>
          <w:p w14:paraId="07C01C6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治理措施</w:t>
            </w:r>
          </w:p>
        </w:tc>
        <w:tc>
          <w:tcPr>
            <w:tcW w:w="586" w:type="pct"/>
            <w:tcBorders>
              <w:tl2br w:val="nil"/>
              <w:tr2bl w:val="nil"/>
            </w:tcBorders>
            <w:shd w:val="clear" w:color="auto" w:fill="auto"/>
            <w:vAlign w:val="center"/>
          </w:tcPr>
          <w:p w14:paraId="3E65293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治理后</w:t>
            </w:r>
          </w:p>
        </w:tc>
      </w:tr>
      <w:tr w14:paraId="0071DE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435" w:type="pct"/>
            <w:tcBorders>
              <w:tl2br w:val="nil"/>
              <w:tr2bl w:val="nil"/>
            </w:tcBorders>
            <w:shd w:val="clear" w:color="auto" w:fill="auto"/>
            <w:vAlign w:val="center"/>
          </w:tcPr>
          <w:p w14:paraId="3380198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w:t>
            </w:r>
          </w:p>
        </w:tc>
        <w:tc>
          <w:tcPr>
            <w:tcW w:w="586" w:type="pct"/>
            <w:tcBorders>
              <w:tl2br w:val="nil"/>
              <w:tr2bl w:val="nil"/>
            </w:tcBorders>
            <w:shd w:val="clear" w:color="auto" w:fill="auto"/>
            <w:vAlign w:val="center"/>
          </w:tcPr>
          <w:p w14:paraId="5DB36CC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施工期</w:t>
            </w:r>
          </w:p>
        </w:tc>
        <w:tc>
          <w:tcPr>
            <w:tcW w:w="599" w:type="pct"/>
            <w:tcBorders>
              <w:tl2br w:val="nil"/>
              <w:tr2bl w:val="nil"/>
            </w:tcBorders>
            <w:shd w:val="clear" w:color="auto" w:fill="auto"/>
            <w:vAlign w:val="center"/>
          </w:tcPr>
          <w:p w14:paraId="23B5FE9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施工机械噪声</w:t>
            </w:r>
          </w:p>
        </w:tc>
        <w:tc>
          <w:tcPr>
            <w:tcW w:w="425" w:type="pct"/>
            <w:tcBorders>
              <w:tl2br w:val="nil"/>
              <w:tr2bl w:val="nil"/>
            </w:tcBorders>
            <w:shd w:val="clear" w:color="auto" w:fill="auto"/>
            <w:vAlign w:val="center"/>
          </w:tcPr>
          <w:p w14:paraId="570058D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74D83C0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8</w:t>
            </w:r>
            <w:r>
              <w:rPr>
                <w:rFonts w:ascii="Times New Roman" w:hAnsi="Times New Roman" w:eastAsia="宋体"/>
                <w:b w:val="0"/>
                <w:bCs w:val="0"/>
                <w:strike w:val="0"/>
                <w:dstrike w:val="0"/>
                <w:color w:val="auto"/>
                <w:szCs w:val="21"/>
                <w:highlight w:val="none"/>
              </w:rPr>
              <w:t>0</w:t>
            </w:r>
          </w:p>
        </w:tc>
        <w:tc>
          <w:tcPr>
            <w:tcW w:w="1855" w:type="pct"/>
            <w:tcBorders>
              <w:tl2br w:val="nil"/>
              <w:tr2bl w:val="nil"/>
            </w:tcBorders>
            <w:shd w:val="clear" w:color="auto" w:fill="auto"/>
            <w:vAlign w:val="center"/>
          </w:tcPr>
          <w:p w14:paraId="687535C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距离衰减、优化施工组织设计</w:t>
            </w:r>
          </w:p>
        </w:tc>
        <w:tc>
          <w:tcPr>
            <w:tcW w:w="586" w:type="pct"/>
            <w:tcBorders>
              <w:tl2br w:val="nil"/>
              <w:tr2bl w:val="nil"/>
            </w:tcBorders>
            <w:shd w:val="clear" w:color="auto" w:fill="auto"/>
            <w:vAlign w:val="center"/>
          </w:tcPr>
          <w:p w14:paraId="169974A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60</w:t>
            </w:r>
          </w:p>
        </w:tc>
      </w:tr>
      <w:tr w14:paraId="2622EC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restart"/>
            <w:tcBorders>
              <w:tl2br w:val="nil"/>
              <w:tr2bl w:val="nil"/>
            </w:tcBorders>
            <w:shd w:val="clear" w:color="auto" w:fill="auto"/>
            <w:vAlign w:val="center"/>
          </w:tcPr>
          <w:p w14:paraId="729998CE">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2</w:t>
            </w:r>
          </w:p>
        </w:tc>
        <w:tc>
          <w:tcPr>
            <w:tcW w:w="586" w:type="pct"/>
            <w:vMerge w:val="restart"/>
            <w:tcBorders>
              <w:tl2br w:val="nil"/>
              <w:tr2bl w:val="nil"/>
            </w:tcBorders>
            <w:shd w:val="clear" w:color="auto" w:fill="auto"/>
            <w:vAlign w:val="center"/>
          </w:tcPr>
          <w:p w14:paraId="3E4A099A">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运营期</w:t>
            </w:r>
          </w:p>
        </w:tc>
        <w:tc>
          <w:tcPr>
            <w:tcW w:w="599" w:type="pct"/>
            <w:tcBorders>
              <w:tl2br w:val="nil"/>
              <w:tr2bl w:val="nil"/>
            </w:tcBorders>
            <w:shd w:val="clear" w:color="auto" w:fill="auto"/>
            <w:vAlign w:val="center"/>
          </w:tcPr>
          <w:p w14:paraId="6E0D48C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b w:val="0"/>
                <w:bCs w:val="0"/>
                <w:strike w:val="0"/>
                <w:dstrike w:val="0"/>
                <w:color w:val="auto"/>
                <w:szCs w:val="21"/>
                <w:highlight w:val="none"/>
              </w:rPr>
            </w:pPr>
            <w:r>
              <w:rPr>
                <w:rFonts w:ascii="Times New Roman" w:hAnsi="Times New Roman" w:eastAsia="宋体" w:cs="宋体"/>
                <w:strike w:val="0"/>
                <w:dstrike w:val="0"/>
                <w:color w:val="auto"/>
                <w:spacing w:val="0"/>
                <w:position w:val="0"/>
                <w:sz w:val="21"/>
                <w:szCs w:val="21"/>
                <w:highlight w:val="none"/>
              </w:rPr>
              <w:t>排风扇</w:t>
            </w:r>
          </w:p>
        </w:tc>
        <w:tc>
          <w:tcPr>
            <w:tcW w:w="425" w:type="pct"/>
            <w:tcBorders>
              <w:tl2br w:val="nil"/>
              <w:tr2bl w:val="nil"/>
            </w:tcBorders>
            <w:shd w:val="clear" w:color="auto" w:fill="auto"/>
            <w:vAlign w:val="center"/>
          </w:tcPr>
          <w:p w14:paraId="6793E50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连续</w:t>
            </w:r>
          </w:p>
        </w:tc>
        <w:tc>
          <w:tcPr>
            <w:tcW w:w="512" w:type="pct"/>
            <w:tcBorders>
              <w:tl2br w:val="nil"/>
              <w:tr2bl w:val="nil"/>
            </w:tcBorders>
            <w:shd w:val="clear" w:color="auto" w:fill="auto"/>
            <w:vAlign w:val="center"/>
          </w:tcPr>
          <w:p w14:paraId="31F4A09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75</w:t>
            </w:r>
          </w:p>
        </w:tc>
        <w:tc>
          <w:tcPr>
            <w:tcW w:w="1855" w:type="pct"/>
            <w:tcBorders>
              <w:tl2br w:val="nil"/>
              <w:tr2bl w:val="nil"/>
            </w:tcBorders>
            <w:shd w:val="clear" w:color="auto" w:fill="auto"/>
            <w:vAlign w:val="center"/>
          </w:tcPr>
          <w:p w14:paraId="4377E52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4C322CA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55</w:t>
            </w:r>
          </w:p>
        </w:tc>
      </w:tr>
      <w:tr w14:paraId="1078A5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2CD916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C34AC4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5BEE100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b w:val="0"/>
                <w:bCs w:val="0"/>
                <w:strike w:val="0"/>
                <w:dstrike w:val="0"/>
                <w:color w:val="auto"/>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挤奶真空泵</w:t>
            </w:r>
          </w:p>
        </w:tc>
        <w:tc>
          <w:tcPr>
            <w:tcW w:w="425" w:type="pct"/>
            <w:tcBorders>
              <w:tl2br w:val="nil"/>
              <w:tr2bl w:val="nil"/>
            </w:tcBorders>
            <w:shd w:val="clear" w:color="auto" w:fill="auto"/>
            <w:vAlign w:val="center"/>
          </w:tcPr>
          <w:p w14:paraId="73A2B3E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0D592A48">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val="en-US" w:eastAsia="zh-CN"/>
              </w:rPr>
            </w:pPr>
            <w:r>
              <w:rPr>
                <w:rFonts w:ascii="Times New Roman" w:hAnsi="Times New Roman" w:eastAsia="宋体"/>
                <w:b w:val="0"/>
                <w:bCs w:val="0"/>
                <w:strike w:val="0"/>
                <w:dstrike w:val="0"/>
                <w:color w:val="auto"/>
                <w:szCs w:val="21"/>
                <w:highlight w:val="none"/>
              </w:rPr>
              <w:t>7</w:t>
            </w:r>
            <w:r>
              <w:rPr>
                <w:rFonts w:hint="eastAsia" w:ascii="Times New Roman" w:hAnsi="Times New Roman" w:eastAsia="宋体"/>
                <w:b w:val="0"/>
                <w:bCs w:val="0"/>
                <w:strike w:val="0"/>
                <w:dstrike w:val="0"/>
                <w:color w:val="auto"/>
                <w:szCs w:val="21"/>
                <w:highlight w:val="none"/>
                <w:lang w:val="en-US" w:eastAsia="zh-CN"/>
              </w:rPr>
              <w:t>0</w:t>
            </w:r>
          </w:p>
        </w:tc>
        <w:tc>
          <w:tcPr>
            <w:tcW w:w="1855" w:type="pct"/>
            <w:tcBorders>
              <w:tl2br w:val="nil"/>
              <w:tr2bl w:val="nil"/>
            </w:tcBorders>
            <w:shd w:val="clear" w:color="auto" w:fill="auto"/>
            <w:vAlign w:val="center"/>
          </w:tcPr>
          <w:p w14:paraId="74B3B85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00E503B0">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50</w:t>
            </w:r>
          </w:p>
        </w:tc>
      </w:tr>
      <w:tr w14:paraId="73B1D9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306F9E0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1AFB32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429F8E9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清洗高压水泵</w:t>
            </w:r>
          </w:p>
        </w:tc>
        <w:tc>
          <w:tcPr>
            <w:tcW w:w="425" w:type="pct"/>
            <w:tcBorders>
              <w:tl2br w:val="nil"/>
              <w:tr2bl w:val="nil"/>
            </w:tcBorders>
            <w:shd w:val="clear" w:color="auto" w:fill="auto"/>
            <w:vAlign w:val="center"/>
          </w:tcPr>
          <w:p w14:paraId="4E58636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673C2ED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75</w:t>
            </w:r>
          </w:p>
        </w:tc>
        <w:tc>
          <w:tcPr>
            <w:tcW w:w="3162" w:type="dxa"/>
            <w:tcBorders>
              <w:tl2br w:val="nil"/>
              <w:tr2bl w:val="nil"/>
            </w:tcBorders>
            <w:shd w:val="clear" w:color="auto" w:fill="auto"/>
            <w:vAlign w:val="center"/>
          </w:tcPr>
          <w:p w14:paraId="18AF73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291078F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55</w:t>
            </w:r>
          </w:p>
        </w:tc>
      </w:tr>
      <w:tr w14:paraId="39F40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264AC5F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2C4A657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1884832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饲料粉碎机</w:t>
            </w:r>
          </w:p>
        </w:tc>
        <w:tc>
          <w:tcPr>
            <w:tcW w:w="425" w:type="pct"/>
            <w:tcBorders>
              <w:tl2br w:val="nil"/>
              <w:tr2bl w:val="nil"/>
            </w:tcBorders>
            <w:shd w:val="clear" w:color="auto" w:fill="auto"/>
            <w:vAlign w:val="center"/>
          </w:tcPr>
          <w:p w14:paraId="4E9AD63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3502CA1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85</w:t>
            </w:r>
          </w:p>
        </w:tc>
        <w:tc>
          <w:tcPr>
            <w:tcW w:w="3162" w:type="dxa"/>
            <w:tcBorders>
              <w:tl2br w:val="nil"/>
              <w:tr2bl w:val="nil"/>
            </w:tcBorders>
            <w:shd w:val="clear" w:color="auto" w:fill="auto"/>
            <w:vAlign w:val="center"/>
          </w:tcPr>
          <w:p w14:paraId="1CD6864D">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1E2F6CE3">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65</w:t>
            </w:r>
          </w:p>
        </w:tc>
      </w:tr>
      <w:tr w14:paraId="63E74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59C5886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3D48569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335B1F4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饲料搅拌机</w:t>
            </w:r>
          </w:p>
        </w:tc>
        <w:tc>
          <w:tcPr>
            <w:tcW w:w="425" w:type="pct"/>
            <w:tcBorders>
              <w:tl2br w:val="nil"/>
              <w:tr2bl w:val="nil"/>
            </w:tcBorders>
            <w:shd w:val="clear" w:color="auto" w:fill="auto"/>
            <w:vAlign w:val="center"/>
          </w:tcPr>
          <w:p w14:paraId="3382D12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2B01CBA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75</w:t>
            </w:r>
          </w:p>
        </w:tc>
        <w:tc>
          <w:tcPr>
            <w:tcW w:w="3162" w:type="dxa"/>
            <w:tcBorders>
              <w:tl2br w:val="nil"/>
              <w:tr2bl w:val="nil"/>
            </w:tcBorders>
            <w:shd w:val="clear" w:color="auto" w:fill="auto"/>
            <w:vAlign w:val="center"/>
          </w:tcPr>
          <w:p w14:paraId="664819C5">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097F1881">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55</w:t>
            </w:r>
          </w:p>
        </w:tc>
      </w:tr>
      <w:tr w14:paraId="41E947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04D26F6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73352F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5398A4F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运输车辆噪声</w:t>
            </w:r>
          </w:p>
        </w:tc>
        <w:tc>
          <w:tcPr>
            <w:tcW w:w="425" w:type="pct"/>
            <w:tcBorders>
              <w:tl2br w:val="nil"/>
              <w:tr2bl w:val="nil"/>
            </w:tcBorders>
            <w:shd w:val="clear" w:color="auto" w:fill="auto"/>
            <w:vAlign w:val="center"/>
          </w:tcPr>
          <w:p w14:paraId="57312E9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171F631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80</w:t>
            </w:r>
          </w:p>
        </w:tc>
        <w:tc>
          <w:tcPr>
            <w:tcW w:w="3162" w:type="dxa"/>
            <w:tcBorders>
              <w:tl2br w:val="nil"/>
              <w:tr2bl w:val="nil"/>
            </w:tcBorders>
            <w:shd w:val="clear" w:color="auto" w:fill="auto"/>
            <w:vAlign w:val="center"/>
          </w:tcPr>
          <w:p w14:paraId="53B809DE">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控制车速、禁止鸣笛</w:t>
            </w:r>
          </w:p>
        </w:tc>
        <w:tc>
          <w:tcPr>
            <w:tcW w:w="586" w:type="pct"/>
            <w:tcBorders>
              <w:tl2br w:val="nil"/>
              <w:tr2bl w:val="nil"/>
            </w:tcBorders>
            <w:shd w:val="clear" w:color="auto" w:fill="auto"/>
            <w:vAlign w:val="center"/>
          </w:tcPr>
          <w:p w14:paraId="7A4E3B64">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60</w:t>
            </w:r>
          </w:p>
        </w:tc>
      </w:tr>
      <w:tr w14:paraId="36540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44E6F4A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77EE814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7CD345C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骆驼叫声</w:t>
            </w:r>
          </w:p>
        </w:tc>
        <w:tc>
          <w:tcPr>
            <w:tcW w:w="425" w:type="pct"/>
            <w:tcBorders>
              <w:tl2br w:val="nil"/>
              <w:tr2bl w:val="nil"/>
            </w:tcBorders>
            <w:shd w:val="clear" w:color="auto" w:fill="auto"/>
            <w:vAlign w:val="center"/>
          </w:tcPr>
          <w:p w14:paraId="7DAEDAD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116E054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70</w:t>
            </w:r>
          </w:p>
        </w:tc>
        <w:tc>
          <w:tcPr>
            <w:tcW w:w="1855" w:type="pct"/>
            <w:tcBorders>
              <w:tl2br w:val="nil"/>
              <w:tr2bl w:val="nil"/>
            </w:tcBorders>
            <w:shd w:val="clear" w:color="auto" w:fill="auto"/>
            <w:vAlign w:val="center"/>
          </w:tcPr>
          <w:p w14:paraId="4B27C6EF">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精心饲养、厂房隔声</w:t>
            </w:r>
          </w:p>
        </w:tc>
        <w:tc>
          <w:tcPr>
            <w:tcW w:w="586" w:type="pct"/>
            <w:tcBorders>
              <w:tl2br w:val="nil"/>
              <w:tr2bl w:val="nil"/>
            </w:tcBorders>
            <w:shd w:val="clear" w:color="auto" w:fill="auto"/>
            <w:vAlign w:val="center"/>
          </w:tcPr>
          <w:p w14:paraId="24C3D8A4">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50</w:t>
            </w:r>
          </w:p>
        </w:tc>
      </w:tr>
      <w:bookmarkEnd w:id="237"/>
    </w:tbl>
    <w:p w14:paraId="49E8433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2、预测方法及模式</w:t>
      </w:r>
    </w:p>
    <w:p w14:paraId="1F5F42FD">
      <w:pPr>
        <w:ind w:firstLine="472"/>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spacing w:val="-2"/>
          <w:highlight w:val="none"/>
        </w:rPr>
        <w:t>根据各发声建筑内发声设备噪声源强和分布，采用适当计算模式，并参照有关资料及类比调查数据，确定发声设备1米处的噪声级</w:t>
      </w:r>
      <w:r>
        <w:rPr>
          <w:rFonts w:hint="eastAsia" w:ascii="Times New Roman" w:hAnsi="Times New Roman" w:eastAsia="宋体"/>
          <w:strike w:val="0"/>
          <w:dstrike w:val="0"/>
          <w:color w:val="auto"/>
          <w:spacing w:val="-2"/>
          <w:highlight w:val="none"/>
          <w:lang w:eastAsia="zh-CN"/>
        </w:rPr>
        <w:t>。</w:t>
      </w:r>
      <w:r>
        <w:rPr>
          <w:rFonts w:hint="eastAsia" w:ascii="Times New Roman" w:hAnsi="Times New Roman" w:eastAsia="宋体"/>
          <w:strike w:val="0"/>
          <w:dstrike w:val="0"/>
          <w:color w:val="auto"/>
          <w:spacing w:val="-2"/>
          <w:highlight w:val="none"/>
          <w:lang w:val="en-US" w:eastAsia="zh-CN"/>
        </w:rPr>
        <w:t>本项目噪声源距离厂界约2m的距离。</w:t>
      </w:r>
      <w:r>
        <w:rPr>
          <w:rFonts w:ascii="Times New Roman" w:hAnsi="Times New Roman" w:eastAsia="宋体"/>
          <w:strike w:val="0"/>
          <w:dstrike w:val="0"/>
          <w:color w:val="auto"/>
          <w:spacing w:val="-2"/>
          <w:highlight w:val="none"/>
        </w:rPr>
        <w:t>最后将每个发声设备作为一个声源（面、点），按噪声传播、衰减、叠加规律，考虑本底值，得出厂界环境噪声分布</w:t>
      </w:r>
      <w:r>
        <w:rPr>
          <w:rFonts w:hint="eastAsia" w:ascii="Times New Roman" w:hAnsi="Times New Roman" w:eastAsia="宋体"/>
          <w:strike w:val="0"/>
          <w:dstrike w:val="0"/>
          <w:color w:val="auto"/>
          <w:spacing w:val="-2"/>
          <w:highlight w:val="none"/>
          <w:lang w:eastAsia="zh-CN"/>
        </w:rPr>
        <w:t>。</w:t>
      </w:r>
    </w:p>
    <w:p w14:paraId="4AA30C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据《环境影响评价技术导则声环境》（H</w:t>
      </w:r>
      <w:r>
        <w:rPr>
          <w:rFonts w:ascii="Times New Roman" w:hAnsi="Times New Roman" w:eastAsia="宋体"/>
          <w:strike w:val="0"/>
          <w:dstrike w:val="0"/>
          <w:color w:val="auto"/>
          <w:highlight w:val="none"/>
        </w:rPr>
        <w:t>J2.4-2021</w:t>
      </w:r>
      <w:r>
        <w:rPr>
          <w:rFonts w:hint="eastAsia" w:ascii="Times New Roman" w:hAnsi="Times New Roman" w:eastAsia="宋体"/>
          <w:strike w:val="0"/>
          <w:dstrike w:val="0"/>
          <w:color w:val="auto"/>
          <w:highlight w:val="none"/>
        </w:rPr>
        <w:t>）附录A，</w:t>
      </w:r>
      <w:r>
        <w:rPr>
          <w:rFonts w:ascii="Times New Roman" w:hAnsi="Times New Roman" w:eastAsia="宋体"/>
          <w:strike w:val="0"/>
          <w:dstrike w:val="0"/>
          <w:color w:val="auto"/>
          <w:highlight w:val="none"/>
        </w:rPr>
        <w:t>噪声预测模式如下：</w:t>
      </w:r>
    </w:p>
    <w:p w14:paraId="104BC851">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（1）基本计算公式</w:t>
      </w:r>
    </w:p>
    <w:p w14:paraId="05EFCC43">
      <w:pPr>
        <w:ind w:firstLine="480"/>
        <w:rPr>
          <w:rFonts w:ascii="Times New Roman" w:hAnsi="Times New Roman" w:eastAsia="宋体"/>
          <w:strike w:val="0"/>
          <w:dstrike w:val="0"/>
          <w:color w:val="auto"/>
          <w:highlight w:val="none"/>
        </w:rPr>
      </w:pPr>
      <w:bookmarkStart w:id="238" w:name="_Toc9163"/>
      <w:bookmarkStart w:id="239" w:name="_Toc13360"/>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单个室外点声源在预测点产生的声级计算公式</w:t>
      </w:r>
      <w:bookmarkEnd w:id="238"/>
      <w:bookmarkEnd w:id="239"/>
    </w:p>
    <w:p w14:paraId="105AC76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在环境影响评价中，应根据声源声功率级或靠近声源某一参考位置处的已知声级（如实测得到的）、户外声传播衰减，计算距离声源较远处的预测点的声级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在已知距离无指向性点声源参考点r</w:t>
      </w:r>
      <w:r>
        <w:rPr>
          <w:rFonts w:ascii="Times New Roman" w:hAnsi="Times New Roman" w:eastAsia="宋体"/>
          <w:strike w:val="0"/>
          <w:dstrike w:val="0"/>
          <w:color w:val="auto"/>
          <w:highlight w:val="none"/>
          <w:vertAlign w:val="subscript"/>
        </w:rPr>
        <w:t>0</w:t>
      </w:r>
      <w:r>
        <w:rPr>
          <w:rFonts w:ascii="Times New Roman" w:hAnsi="Times New Roman" w:eastAsia="宋体"/>
          <w:strike w:val="0"/>
          <w:dstrike w:val="0"/>
          <w:color w:val="auto"/>
          <w:highlight w:val="none"/>
        </w:rPr>
        <w:t>处的倍频带（用63Hz到8KHz的8个标称倍频带中心频率）声压级LP</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ascii="Times New Roman" w:hAnsi="Times New Roman" w:eastAsia="宋体"/>
          <w:strike w:val="0"/>
          <w:dstrike w:val="0"/>
          <w:color w:val="auto"/>
          <w:highlight w:val="none"/>
          <w:vertAlign w:val="subscript"/>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和计算出参考点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ascii="Times New Roman" w:hAnsi="Times New Roman" w:eastAsia="宋体"/>
          <w:strike w:val="0"/>
          <w:dstrike w:val="0"/>
          <w:color w:val="auto"/>
          <w:highlight w:val="none"/>
          <w:vertAlign w:val="subscript"/>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和预测点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处之间的户外声传播衰减后，预测点8个倍频带声压级可分别用下列公式计算：</w:t>
      </w:r>
    </w:p>
    <w:p w14:paraId="761E385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3111500" cy="241300"/>
            <wp:effectExtent l="0" t="0" r="0" b="635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111500" cy="2413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w:t>
      </w:r>
    </w:p>
    <w:p w14:paraId="2870A579">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公式中：</w:t>
      </w:r>
    </w:p>
    <w:p w14:paraId="323490B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Dc--指向性校正，dB；他描述点声源的等效声压级与产生声功率级Lw的全向点声源在规定方向的级的偏差程度</w:t>
      </w:r>
      <w:r>
        <w:rPr>
          <w:rFonts w:hint="eastAsia" w:ascii="Times New Roman" w:hAnsi="Times New Roman" w:eastAsia="宋体"/>
          <w:strike w:val="0"/>
          <w:dstrike w:val="0"/>
          <w:color w:val="auto"/>
          <w:highlight w:val="none"/>
          <w:lang w:eastAsia="zh-CN"/>
        </w:rPr>
        <w:t>。</w:t>
      </w:r>
    </w:p>
    <w:p w14:paraId="5223A399">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div</w:t>
      </w:r>
      <w:r>
        <w:rPr>
          <w:rFonts w:ascii="Times New Roman" w:hAnsi="Times New Roman" w:eastAsia="宋体"/>
          <w:strike w:val="0"/>
          <w:dstrike w:val="0"/>
          <w:color w:val="auto"/>
          <w:highlight w:val="none"/>
        </w:rPr>
        <w:t>--几何发散引起的倍频带衰减，dB；</w:t>
      </w:r>
    </w:p>
    <w:p w14:paraId="24C3E9A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atm</w:t>
      </w:r>
      <w:r>
        <w:rPr>
          <w:rFonts w:ascii="Times New Roman" w:hAnsi="Times New Roman" w:eastAsia="宋体"/>
          <w:strike w:val="0"/>
          <w:dstrike w:val="0"/>
          <w:color w:val="auto"/>
          <w:highlight w:val="none"/>
        </w:rPr>
        <w:t>--大气吸收引起的倍频带衰减，dB；</w:t>
      </w:r>
    </w:p>
    <w:p w14:paraId="0C43E8D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--地面效应引起的倍频带衰减，dB；</w:t>
      </w:r>
    </w:p>
    <w:p w14:paraId="1523062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--声屏障引起的倍频带衰减，dB；</w:t>
      </w:r>
    </w:p>
    <w:p w14:paraId="51C5111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misc</w:t>
      </w:r>
      <w:r>
        <w:rPr>
          <w:rFonts w:ascii="Times New Roman" w:hAnsi="Times New Roman" w:eastAsia="宋体"/>
          <w:strike w:val="0"/>
          <w:dstrike w:val="0"/>
          <w:color w:val="auto"/>
          <w:highlight w:val="none"/>
        </w:rPr>
        <w:t>--其他多方面效应引起的倍频带衰减，dB；</w:t>
      </w:r>
    </w:p>
    <w:p w14:paraId="2AD19F93">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B、预测点的A声级LA</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可按下列公式计算，即将8个倍频带声压级合成，计算出预测点的A声级（LA</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656CB7E9">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28"/>
          <w:highlight w:val="none"/>
        </w:rPr>
        <w:object>
          <v:shape id="_x0000_i1032" o:spt="75" type="#_x0000_t75" style="height:34.1pt;width:158.9pt;" o:ole="t" fillcolor="#000005" filled="f" o:preferrelative="t" stroked="f" coordsize="21600,21600">
            <v:path/>
            <v:fill on="f" focussize="0,0"/>
            <v:stroke on="f" joinstyle="miter"/>
            <v:imagedata r:id="rId51" o:title=""/>
            <o:lock v:ext="edit" aspectratio="t"/>
            <w10:wrap type="none"/>
            <w10:anchorlock/>
          </v:shape>
          <o:OLEObject Type="Embed" ProgID="Equation.3" ShapeID="_x0000_i1032" DrawAspect="Content" ObjectID="_1468075732" r:id="rId50">
            <o:LockedField>false</o:LockedField>
          </o:OLEObject>
        </w:obje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w:t>
      </w:r>
    </w:p>
    <w:p w14:paraId="6C43976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371C99F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Pi</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--预测点（r）处，第i倍频带声压级，dB；</w:t>
      </w:r>
    </w:p>
    <w:p w14:paraId="58B425A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Δ</w:t>
      </w:r>
      <w:r>
        <w:rPr>
          <w:rFonts w:ascii="Times New Roman" w:hAnsi="Times New Roman" w:eastAsia="宋体"/>
          <w:strike w:val="0"/>
          <w:dstrike w:val="0"/>
          <w:color w:val="auto"/>
          <w:highlight w:val="none"/>
          <w:vertAlign w:val="subscript"/>
        </w:rPr>
        <w:t>Li</w:t>
      </w:r>
      <w:r>
        <w:rPr>
          <w:rFonts w:ascii="Times New Roman" w:hAnsi="Times New Roman" w:eastAsia="宋体"/>
          <w:strike w:val="0"/>
          <w:dstrike w:val="0"/>
          <w:color w:val="auto"/>
          <w:highlight w:val="none"/>
        </w:rPr>
        <w:t>--第i倍频带的A计权网络修正值</w:t>
      </w:r>
      <w:r>
        <w:rPr>
          <w:rFonts w:hint="eastAsia" w:ascii="Times New Roman" w:hAnsi="Times New Roman" w:eastAsia="宋体"/>
          <w:strike w:val="0"/>
          <w:dstrike w:val="0"/>
          <w:color w:val="auto"/>
          <w:highlight w:val="none"/>
          <w:lang w:eastAsia="zh-CN"/>
        </w:rPr>
        <w:t>。</w:t>
      </w:r>
    </w:p>
    <w:p w14:paraId="30C18E69">
      <w:pPr>
        <w:ind w:firstLine="480"/>
        <w:rPr>
          <w:rFonts w:ascii="Times New Roman" w:hAnsi="Times New Roman" w:eastAsia="宋体"/>
          <w:strike w:val="0"/>
          <w:dstrike w:val="0"/>
          <w:color w:val="auto"/>
          <w:highlight w:val="none"/>
        </w:rPr>
      </w:pPr>
      <w:bookmarkStart w:id="240" w:name="_Toc1797"/>
      <w:bookmarkStart w:id="241" w:name="_Toc1166"/>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室内声源等效室外声源声功率计算公式</w:t>
      </w:r>
      <w:bookmarkEnd w:id="240"/>
      <w:bookmarkEnd w:id="241"/>
    </w:p>
    <w:p w14:paraId="63A240EE">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声源位于室内，室内声源可采用等效室外声源声功率级法进行计算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设靠近开口处（或窗户）室内、室外某倍频带的声压级分别为L</w:t>
      </w:r>
      <w:r>
        <w:rPr>
          <w:rFonts w:ascii="Times New Roman" w:hAnsi="Times New Roman" w:eastAsia="宋体"/>
          <w:strike w:val="0"/>
          <w:dstrike w:val="0"/>
          <w:color w:val="auto"/>
          <w:highlight w:val="none"/>
          <w:vertAlign w:val="subscript"/>
        </w:rPr>
        <w:t>p1</w:t>
      </w:r>
      <w:r>
        <w:rPr>
          <w:rFonts w:ascii="Times New Roman" w:hAnsi="Times New Roman" w:eastAsia="宋体"/>
          <w:strike w:val="0"/>
          <w:dstrike w:val="0"/>
          <w:color w:val="auto"/>
          <w:highlight w:val="none"/>
        </w:rPr>
        <w:t>和L</w:t>
      </w:r>
      <w:r>
        <w:rPr>
          <w:rFonts w:ascii="Times New Roman" w:hAnsi="Times New Roman" w:eastAsia="宋体"/>
          <w:strike w:val="0"/>
          <w:dstrike w:val="0"/>
          <w:color w:val="auto"/>
          <w:highlight w:val="none"/>
          <w:vertAlign w:val="subscript"/>
        </w:rPr>
        <w:t>p2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若声源所在室内声场为近似扩散声场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则室外得倍频带的声压级公式为：</w:t>
      </w:r>
    </w:p>
    <w:p w14:paraId="036934C5">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12"/>
          <w:highlight w:val="none"/>
        </w:rPr>
        <w:object>
          <v:shape id="_x0000_i1033" o:spt="75" type="#_x0000_t75" style="height:18.25pt;width:109.9pt;" o:ole="t" fillcolor="#000005" filled="f" o:preferrelative="t" stroked="f" coordsize="21600,21600">
            <v:path/>
            <v:fill on="f" focussize="0,0"/>
            <v:stroke on="f" joinstyle="miter"/>
            <v:imagedata r:id="rId53" o:title=""/>
            <o:lock v:ext="edit" aspectratio="t"/>
            <w10:wrap type="none"/>
            <w10:anchorlock/>
          </v:shape>
          <o:OLEObject Type="Embed" ProgID="Equation.3" ShapeID="_x0000_i1033" DrawAspect="Content" ObjectID="_1468075733" r:id="rId52">
            <o:LockedField>false</o:LockedField>
          </o:OLEObject>
        </w:obje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.3）</w:t>
      </w:r>
    </w:p>
    <w:p w14:paraId="43C9C61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62840E1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TL--隔墙（或窗户）倍频带的隔声量，dB；</w:t>
      </w:r>
    </w:p>
    <w:p w14:paraId="355819F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69" o:spid="_x0000_s2079" o:spt="75" type="#_x0000_t75" style="position:absolute;left:0pt;margin-left:68.15pt;margin-top:20.75pt;height:30.75pt;width:140.6pt;z-index:251723776;mso-width-relative:page;mso-height-relative:page;" o:ole="t" fillcolor="#000005" filled="f" o:preferrelative="t" stroked="f" coordsize="21600,21600">
            <v:path/>
            <v:fill on="f" focussize="0,0"/>
            <v:stroke on="f" joinstyle="miter"/>
            <v:imagedata r:id="rId55" o:title=""/>
            <o:lock v:ext="edit" aspectratio="t"/>
          </v:shape>
          <o:OLEObject Type="Embed" ProgID="Equation.3" ShapeID="Picture 4369" DrawAspect="Content" ObjectID="_1468075734" r:id="rId54">
            <o:LockedField>false</o:LockedField>
          </o:OLEObject>
        </w:pict>
      </w:r>
      <w:r>
        <w:rPr>
          <w:rFonts w:ascii="Times New Roman" w:hAnsi="Times New Roman" w:eastAsia="宋体"/>
          <w:strike w:val="0"/>
          <w:dstrike w:val="0"/>
          <w:color w:val="auto"/>
          <w:highlight w:val="none"/>
        </w:rPr>
        <w:t>计算某一室内声源靠近围护结构处产生的倍频带声压级公式：</w:t>
      </w:r>
    </w:p>
    <w:p w14:paraId="60644270">
      <w:pPr>
        <w:wordWrap w:val="0"/>
        <w:spacing w:line="500" w:lineRule="exact"/>
        <w:ind w:firstLine="480"/>
        <w:jc w:val="right"/>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.4）</w:t>
      </w:r>
    </w:p>
    <w:p w14:paraId="15B8315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19744A8D">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Q--指向性因子；</w:t>
      </w:r>
    </w:p>
    <w:p w14:paraId="309CD4F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R--房间常数；</w:t>
      </w:r>
    </w:p>
    <w:p w14:paraId="0B713BE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r--声源到靠近围护结构某点处的距离，m</w:t>
      </w:r>
      <w:r>
        <w:rPr>
          <w:rFonts w:hint="eastAsia" w:ascii="Times New Roman" w:hAnsi="Times New Roman" w:eastAsia="宋体"/>
          <w:strike w:val="0"/>
          <w:dstrike w:val="0"/>
          <w:color w:val="auto"/>
          <w:highlight w:val="none"/>
          <w:lang w:eastAsia="zh-CN"/>
        </w:rPr>
        <w:t>。</w:t>
      </w:r>
    </w:p>
    <w:p w14:paraId="513D83D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70" o:spid="_x0000_s2081" o:spt="75" type="#_x0000_t75" style="position:absolute;left:0pt;margin-left:131.35pt;margin-top:18.4pt;height:36pt;width:138.65pt;z-index:251725824;mso-width-relative:page;mso-height-relative:page;" o:ole="t" fillcolor="#000005" filled="f" o:preferrelative="t" stroked="f" coordsize="21600,21600">
            <v:path/>
            <v:fill on="f" focussize="0,0"/>
            <v:stroke on="f" joinstyle="miter"/>
            <v:imagedata r:id="rId57" o:title=""/>
            <o:lock v:ext="edit" aspectratio="t"/>
          </v:shape>
          <o:OLEObject Type="Embed" ProgID="Equation.3" ShapeID="Picture 4370" DrawAspect="Content" ObjectID="_1468075735" r:id="rId56">
            <o:LockedField>false</o:LockedField>
          </o:OLEObject>
        </w:pict>
      </w:r>
      <w:r>
        <w:rPr>
          <w:rFonts w:ascii="Times New Roman" w:hAnsi="Times New Roman" w:eastAsia="宋体"/>
          <w:strike w:val="0"/>
          <w:dstrike w:val="0"/>
          <w:color w:val="auto"/>
          <w:highlight w:val="none"/>
        </w:rPr>
        <w:t>由上式可知，所有室内声源在围护结构处产生的i倍频带叠加声压级公式：</w:t>
      </w:r>
    </w:p>
    <w:p w14:paraId="7951F4FB">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.5）</w:t>
      </w:r>
    </w:p>
    <w:p w14:paraId="040380B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36B8027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p1i</w:t>
      </w:r>
      <w:r>
        <w:rPr>
          <w:rFonts w:ascii="Times New Roman" w:hAnsi="Times New Roman" w:eastAsia="宋体"/>
          <w:strike w:val="0"/>
          <w:dstrike w:val="0"/>
          <w:color w:val="auto"/>
          <w:highlight w:val="none"/>
        </w:rPr>
        <w:t>（T）--靠近维护结构室内N个声源i倍频带的叠加声压级，dB；</w:t>
      </w:r>
    </w:p>
    <w:p w14:paraId="56663A5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p1ij</w:t>
      </w:r>
      <w:r>
        <w:rPr>
          <w:rFonts w:ascii="Times New Roman" w:hAnsi="Times New Roman" w:eastAsia="宋体"/>
          <w:strike w:val="0"/>
          <w:dstrike w:val="0"/>
          <w:color w:val="auto"/>
          <w:highlight w:val="none"/>
        </w:rPr>
        <w:t>--室内j声源i倍频带的声压级，dB；</w:t>
      </w:r>
    </w:p>
    <w:p w14:paraId="18A6841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N--室内声源总数</w:t>
      </w:r>
      <w:r>
        <w:rPr>
          <w:rFonts w:hint="eastAsia" w:ascii="Times New Roman" w:hAnsi="Times New Roman" w:eastAsia="宋体"/>
          <w:strike w:val="0"/>
          <w:dstrike w:val="0"/>
          <w:color w:val="auto"/>
          <w:highlight w:val="none"/>
          <w:lang w:eastAsia="zh-CN"/>
        </w:rPr>
        <w:t>。</w:t>
      </w:r>
    </w:p>
    <w:p w14:paraId="4F301F67">
      <w:pPr>
        <w:spacing w:line="500" w:lineRule="exact"/>
        <w:ind w:firstLine="480"/>
        <w:rPr>
          <w:rFonts w:ascii="Times New Roman" w:hAnsi="Times New Roman" w:eastAsia="宋体"/>
          <w:strike w:val="0"/>
          <w:dstrike w:val="0"/>
          <w:color w:val="auto"/>
          <w:highlight w:val="none"/>
        </w:rPr>
      </w:pPr>
      <w:bookmarkStart w:id="242" w:name="_Toc984"/>
      <w:bookmarkStart w:id="243" w:name="_Toc13636"/>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靠近声源处的预测点预测模式</w:t>
      </w:r>
      <w:bookmarkEnd w:id="242"/>
      <w:bookmarkEnd w:id="243"/>
    </w:p>
    <w:p w14:paraId="343E90D1">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如预测点在靠近声源处，但不能满足声源条件时，需按线声源或面生源模式计算</w:t>
      </w:r>
      <w:r>
        <w:rPr>
          <w:rFonts w:hint="eastAsia" w:ascii="Times New Roman" w:hAnsi="Times New Roman" w:eastAsia="宋体"/>
          <w:strike w:val="0"/>
          <w:dstrike w:val="0"/>
          <w:color w:val="auto"/>
          <w:highlight w:val="none"/>
          <w:lang w:eastAsia="zh-CN"/>
        </w:rPr>
        <w:t>。</w:t>
      </w:r>
    </w:p>
    <w:p w14:paraId="07F54019">
      <w:pPr>
        <w:spacing w:line="500" w:lineRule="exact"/>
        <w:ind w:firstLine="480"/>
        <w:rPr>
          <w:rFonts w:ascii="Times New Roman" w:hAnsi="Times New Roman" w:eastAsia="宋体"/>
          <w:strike w:val="0"/>
          <w:dstrike w:val="0"/>
          <w:color w:val="auto"/>
          <w:highlight w:val="none"/>
        </w:rPr>
      </w:pPr>
      <w:bookmarkStart w:id="244" w:name="_Toc1424"/>
      <w:bookmarkStart w:id="245" w:name="_Toc1304"/>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噪声贡献值计算</w:t>
      </w:r>
      <w:bookmarkEnd w:id="244"/>
      <w:bookmarkEnd w:id="245"/>
    </w:p>
    <w:p w14:paraId="7A1CA01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声源对预测点产生的贡献值（Leqg）公式为</w:t>
      </w:r>
    </w:p>
    <w:p w14:paraId="326539F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71" o:spid="_x0000_s2080" o:spt="75" type="#_x0000_t75" style="position:absolute;left:0pt;margin-left:99pt;margin-top:-3.6pt;height:36pt;width:230.95pt;z-index:251724800;mso-width-relative:page;mso-height-relative:page;" o:ole="t" fillcolor="#000005" filled="f" o:preferrelative="t" stroked="f" coordsize="21600,21600">
            <v:path/>
            <v:fill on="f" focussize="0,0"/>
            <v:stroke on="f" joinstyle="miter"/>
            <v:imagedata r:id="rId59" o:title=""/>
            <o:lock v:ext="edit" aspectratio="t"/>
          </v:shape>
          <o:OLEObject Type="Embed" ProgID="Equation.3" ShapeID="Picture 4371" DrawAspect="Content" ObjectID="_1468075736" r:id="rId58">
            <o:LockedField>false</o:LockedField>
          </o:OLEObject>
        </w:pi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.6）</w:t>
      </w:r>
    </w:p>
    <w:p w14:paraId="045EB90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（2）传播衰减公式</w:t>
      </w:r>
    </w:p>
    <w:p w14:paraId="3066B414">
      <w:pPr>
        <w:spacing w:line="500" w:lineRule="exact"/>
        <w:ind w:firstLine="480"/>
        <w:rPr>
          <w:rFonts w:hint="eastAsia" w:ascii="Times New Roman" w:hAnsi="Times New Roman" w:eastAsia="宋体"/>
          <w:strike w:val="0"/>
          <w:dstrike w:val="0"/>
          <w:color w:val="auto"/>
          <w:highlight w:val="none"/>
          <w:lang w:eastAsia="zh-CN"/>
        </w:rPr>
      </w:pPr>
      <w:bookmarkStart w:id="246" w:name="_Toc21277"/>
      <w:bookmarkStart w:id="247" w:name="_Toc6926"/>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几何发散衰减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Adiv</w:t>
      </w:r>
      <w:bookmarkEnd w:id="246"/>
      <w:bookmarkEnd w:id="247"/>
      <w:r>
        <w:rPr>
          <w:rFonts w:hint="eastAsia" w:ascii="Times New Roman" w:hAnsi="Times New Roman" w:eastAsia="宋体"/>
          <w:strike w:val="0"/>
          <w:dstrike w:val="0"/>
          <w:color w:val="auto"/>
          <w:highlight w:val="none"/>
          <w:lang w:eastAsia="zh-CN"/>
        </w:rPr>
        <w:t>）</w:t>
      </w:r>
    </w:p>
    <w:p w14:paraId="2AFB901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A、点声源的几何发散衰减</w:t>
      </w:r>
    </w:p>
    <w:p w14:paraId="3CDF74A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无指向性点声源几何发散衰减的基本公式是</w:t>
      </w:r>
    </w:p>
    <w:p w14:paraId="58ADB17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727200" cy="203200"/>
            <wp:effectExtent l="0" t="0" r="6350" b="635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7272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.7）</w:t>
      </w:r>
    </w:p>
    <w:p w14:paraId="4ABDB5D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公示（4）中第二项表示了点声源的几何发散衰减：</w:t>
      </w:r>
    </w:p>
    <w:p w14:paraId="1D4AC53D">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028700" cy="2286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028700" cy="2286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.8）</w:t>
      </w:r>
    </w:p>
    <w:p w14:paraId="73DC6507">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如果已知点声源的倍频带声功率级Lw或A声功率级（L</w:t>
      </w:r>
      <w:r>
        <w:rPr>
          <w:rFonts w:ascii="Times New Roman" w:hAnsi="Times New Roman" w:eastAsia="宋体"/>
          <w:strike w:val="0"/>
          <w:dstrike w:val="0"/>
          <w:color w:val="auto"/>
          <w:highlight w:val="none"/>
          <w:vertAlign w:val="subscript"/>
        </w:rPr>
        <w:t>AW</w:t>
      </w:r>
      <w:r>
        <w:rPr>
          <w:rFonts w:ascii="Times New Roman" w:hAnsi="Times New Roman" w:eastAsia="宋体"/>
          <w:strike w:val="0"/>
          <w:dstrike w:val="0"/>
          <w:color w:val="auto"/>
          <w:highlight w:val="none"/>
        </w:rPr>
        <w:t>），且声源处于自由声场，则公式（4）等效为下列公式：</w:t>
      </w:r>
    </w:p>
    <w:p w14:paraId="02535899">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562100" cy="203200"/>
            <wp:effectExtent l="0" t="0" r="0"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5621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.9）</w:t>
      </w:r>
    </w:p>
    <w:p w14:paraId="7467E4CE">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612900" cy="203200"/>
            <wp:effectExtent l="0" t="0" r="635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6129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.10）</w:t>
      </w:r>
    </w:p>
    <w:p w14:paraId="1E65ED96">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反射体引起的修正</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ΔLr</w:t>
      </w:r>
      <w:r>
        <w:rPr>
          <w:rFonts w:hint="eastAsia" w:ascii="Times New Roman" w:hAnsi="Times New Roman" w:eastAsia="宋体"/>
          <w:strike w:val="0"/>
          <w:dstrike w:val="0"/>
          <w:color w:val="auto"/>
          <w:highlight w:val="none"/>
          <w:lang w:eastAsia="zh-CN"/>
        </w:rPr>
        <w:t>）</w:t>
      </w:r>
    </w:p>
    <w:p w14:paraId="16D2910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当点声源与预测点处在反射体同侧附近时，到达预测点的声级是直达声与反射声叠加的结果，从而使预测点声级增高</w:t>
      </w:r>
      <w:r>
        <w:rPr>
          <w:rFonts w:hint="eastAsia" w:ascii="Times New Roman" w:hAnsi="Times New Roman" w:eastAsia="宋体"/>
          <w:strike w:val="0"/>
          <w:dstrike w:val="0"/>
          <w:color w:val="auto"/>
          <w:highlight w:val="none"/>
          <w:lang w:eastAsia="zh-CN"/>
        </w:rPr>
        <w:t>。</w:t>
      </w:r>
    </w:p>
    <w:p w14:paraId="4A91FC1A">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B、线声源的几何发散衰减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Adiv</w:t>
      </w:r>
      <w:r>
        <w:rPr>
          <w:rFonts w:hint="eastAsia" w:ascii="Times New Roman" w:hAnsi="Times New Roman" w:eastAsia="宋体"/>
          <w:strike w:val="0"/>
          <w:dstrike w:val="0"/>
          <w:color w:val="auto"/>
          <w:highlight w:val="none"/>
          <w:lang w:eastAsia="zh-CN"/>
        </w:rPr>
        <w:t>）</w:t>
      </w:r>
    </w:p>
    <w:p w14:paraId="2F4E035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a.无限长线声源</w:t>
      </w:r>
    </w:p>
    <w:p w14:paraId="0F305AA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无限长线声源几何发散衰减的基本公式是：</w:t>
      </w:r>
    </w:p>
    <w:p w14:paraId="51D9AA05">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574800" cy="381000"/>
            <wp:effectExtent l="0" t="0" r="635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4800" cy="3810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.11）</w:t>
      </w:r>
    </w:p>
    <w:p w14:paraId="60EE9F2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上式中的第二项表示了无限长线声源的几何发散衰减：</w:t>
      </w:r>
    </w:p>
    <w:p w14:paraId="0E2688CD">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028700" cy="2286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028700" cy="2286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.12）</w:t>
      </w:r>
    </w:p>
    <w:p w14:paraId="56FADBF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b.有限长线声源</w:t>
      </w:r>
    </w:p>
    <w:p w14:paraId="328BBB7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2992" behindDoc="0" locked="0" layoutInCell="1" allowOverlap="1">
            <wp:simplePos x="0" y="0"/>
            <wp:positionH relativeFrom="column">
              <wp:posOffset>1257300</wp:posOffset>
            </wp:positionH>
            <wp:positionV relativeFrom="paragraph">
              <wp:posOffset>572770</wp:posOffset>
            </wp:positionV>
            <wp:extent cx="2152650" cy="428625"/>
            <wp:effectExtent l="0" t="0" r="0" b="9525"/>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152650" cy="428625"/>
                    </a:xfrm>
                    <a:prstGeom prst="rect">
                      <a:avLst/>
                    </a:prstGeom>
                    <a:noFill/>
                    <a:ln>
                      <a:noFill/>
                    </a:ln>
                  </pic:spPr>
                </pic:pic>
              </a:graphicData>
            </a:graphic>
          </wp:anchor>
        </w:drawing>
      </w:r>
      <w:r>
        <w:rPr>
          <w:rFonts w:ascii="Times New Roman" w:hAnsi="Times New Roman" w:eastAsia="宋体"/>
          <w:strike w:val="0"/>
          <w:dstrike w:val="0"/>
          <w:color w:val="auto"/>
          <w:highlight w:val="none"/>
        </w:rPr>
        <w:t>设线声源长度为l0，单位长度线声源辐射的倍频带声功率级为Lw</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在线声源垂直平分线上距声源r处的声压级为：</w:t>
      </w:r>
    </w:p>
    <w:p w14:paraId="0FE7DCA6">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.13）</w:t>
      </w:r>
    </w:p>
    <w:p w14:paraId="7DD5762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drawing>
          <wp:anchor distT="0" distB="0" distL="114300" distR="114300" simplePos="0" relativeHeight="251731968" behindDoc="0" locked="0" layoutInCell="1" allowOverlap="1">
            <wp:simplePos x="0" y="0"/>
            <wp:positionH relativeFrom="column">
              <wp:posOffset>1028700</wp:posOffset>
            </wp:positionH>
            <wp:positionV relativeFrom="paragraph">
              <wp:posOffset>153670</wp:posOffset>
            </wp:positionV>
            <wp:extent cx="2305050" cy="800100"/>
            <wp:effectExtent l="0" t="0" r="0" b="0"/>
            <wp:wrapNone/>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305050" cy="800100"/>
                    </a:xfrm>
                    <a:prstGeom prst="rect">
                      <a:avLst/>
                    </a:prstGeom>
                    <a:noFill/>
                    <a:ln>
                      <a:noFill/>
                    </a:ln>
                  </pic:spPr>
                </pic:pic>
              </a:graphicData>
            </a:graphic>
          </wp:anchor>
        </w:drawing>
      </w:r>
      <w:r>
        <w:rPr>
          <w:rFonts w:ascii="Times New Roman" w:hAnsi="Times New Roman" w:eastAsia="宋体"/>
          <w:strike w:val="0"/>
          <w:dstrike w:val="0"/>
          <w:color w:val="auto"/>
          <w:highlight w:val="none"/>
        </w:rPr>
        <w:t>或</w:t>
      </w:r>
    </w:p>
    <w:p w14:paraId="7BED42BE">
      <w:pPr>
        <w:spacing w:line="500" w:lineRule="exact"/>
        <w:ind w:firstLine="480"/>
        <w:rPr>
          <w:rFonts w:hint="eastAsia" w:ascii="Times New Roman" w:hAnsi="Times New Roman" w:eastAsia="宋体"/>
          <w:strike w:val="0"/>
          <w:dstrike w:val="0"/>
          <w:color w:val="auto"/>
          <w:highlight w:val="none"/>
          <w:lang w:eastAsia="zh-CN"/>
        </w:rPr>
      </w:pPr>
    </w:p>
    <w:p w14:paraId="3CEBF5C1">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.14）</w:t>
      </w:r>
    </w:p>
    <w:p w14:paraId="495DB2C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9136" behindDoc="0" locked="0" layoutInCell="1" allowOverlap="1">
            <wp:simplePos x="0" y="0"/>
            <wp:positionH relativeFrom="column">
              <wp:posOffset>1183640</wp:posOffset>
            </wp:positionH>
            <wp:positionV relativeFrom="paragraph">
              <wp:posOffset>208915</wp:posOffset>
            </wp:positionV>
            <wp:extent cx="1571625" cy="390525"/>
            <wp:effectExtent l="0" t="0" r="9525" b="952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当r＞l0且r0＞l0时，上式可近似简化为：</w:t>
      </w:r>
    </w:p>
    <w:p w14:paraId="31288425">
      <w:pPr>
        <w:ind w:firstLine="5016" w:firstLineChars="2200"/>
        <w:rPr>
          <w:rFonts w:ascii="Times New Roman" w:hAnsi="Times New Roman" w:eastAsia="宋体"/>
          <w:strike w:val="0"/>
          <w:dstrike w:val="0"/>
          <w:color w:val="auto"/>
          <w:highlight w:val="none"/>
        </w:rPr>
      </w:pPr>
      <w:r>
        <w:rPr>
          <w:rFonts w:ascii="Times New Roman" w:hAnsi="Times New Roman" w:eastAsia="宋体"/>
          <w:strike w:val="0"/>
          <w:dstrike w:val="0"/>
          <w:color w:val="auto"/>
          <w:spacing w:val="-6"/>
          <w:highlight w:val="none"/>
        </w:rPr>
        <w:t>………………………（</w:t>
      </w:r>
      <w:r>
        <w:rPr>
          <w:rFonts w:hint="eastAsia" w:ascii="Times New Roman" w:hAnsi="Times New Roman" w:eastAsia="宋体"/>
          <w:strike w:val="0"/>
          <w:dstrike w:val="0"/>
          <w:color w:val="auto"/>
          <w:spacing w:val="-6"/>
          <w:highlight w:val="none"/>
        </w:rPr>
        <w:t>A</w:t>
      </w:r>
      <w:r>
        <w:rPr>
          <w:rFonts w:ascii="Times New Roman" w:hAnsi="Times New Roman" w:eastAsia="宋体"/>
          <w:strike w:val="0"/>
          <w:dstrike w:val="0"/>
          <w:color w:val="auto"/>
          <w:spacing w:val="-6"/>
          <w:highlight w:val="none"/>
        </w:rPr>
        <w:t>.</w:t>
      </w:r>
      <w:r>
        <w:rPr>
          <w:rFonts w:ascii="Times New Roman" w:hAnsi="Times New Roman" w:eastAsia="宋体"/>
          <w:strike w:val="0"/>
          <w:dstrike w:val="0"/>
          <w:color w:val="auto"/>
          <w:highlight w:val="none"/>
        </w:rPr>
        <w:t>15）</w:t>
      </w:r>
    </w:p>
    <w:p w14:paraId="7B949EF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即在近场区，有限长线声源可当作点声源处理</w:t>
      </w:r>
      <w:r>
        <w:rPr>
          <w:rFonts w:hint="eastAsia" w:ascii="Times New Roman" w:hAnsi="Times New Roman" w:eastAsia="宋体"/>
          <w:strike w:val="0"/>
          <w:dstrike w:val="0"/>
          <w:color w:val="auto"/>
          <w:highlight w:val="none"/>
          <w:lang w:eastAsia="zh-CN"/>
        </w:rPr>
        <w:t>。</w:t>
      </w:r>
    </w:p>
    <w:p w14:paraId="1AA75B2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4016" behindDoc="0" locked="0" layoutInCell="1" allowOverlap="1">
            <wp:simplePos x="0" y="0"/>
            <wp:positionH relativeFrom="column">
              <wp:posOffset>1371600</wp:posOffset>
            </wp:positionH>
            <wp:positionV relativeFrom="paragraph">
              <wp:posOffset>271780</wp:posOffset>
            </wp:positionV>
            <wp:extent cx="1571625" cy="390525"/>
            <wp:effectExtent l="0" t="0" r="9525" b="9525"/>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当r＜l0/3且r0＜l0/3时，该式可近似简化为：</w:t>
      </w:r>
    </w:p>
    <w:p w14:paraId="4CF20B0E">
      <w:pPr>
        <w:ind w:firstLine="5472" w:firstLineChars="2400"/>
        <w:rPr>
          <w:rFonts w:ascii="Times New Roman" w:hAnsi="Times New Roman" w:eastAsia="宋体"/>
          <w:strike w:val="0"/>
          <w:dstrike w:val="0"/>
          <w:color w:val="auto"/>
          <w:highlight w:val="none"/>
        </w:rPr>
      </w:pPr>
      <w:r>
        <w:rPr>
          <w:rFonts w:ascii="Times New Roman" w:hAnsi="Times New Roman" w:eastAsia="宋体"/>
          <w:strike w:val="0"/>
          <w:dstrike w:val="0"/>
          <w:color w:val="auto"/>
          <w:spacing w:val="-6"/>
          <w:highlight w:val="none"/>
        </w:rPr>
        <w:t>……………………（</w:t>
      </w:r>
      <w:r>
        <w:rPr>
          <w:rFonts w:hint="eastAsia" w:ascii="Times New Roman" w:hAnsi="Times New Roman" w:eastAsia="宋体"/>
          <w:strike w:val="0"/>
          <w:dstrike w:val="0"/>
          <w:color w:val="auto"/>
          <w:spacing w:val="-6"/>
          <w:highlight w:val="none"/>
        </w:rPr>
        <w:t>A</w:t>
      </w:r>
      <w:r>
        <w:rPr>
          <w:rFonts w:ascii="Times New Roman" w:hAnsi="Times New Roman" w:eastAsia="宋体"/>
          <w:strike w:val="0"/>
          <w:dstrike w:val="0"/>
          <w:color w:val="auto"/>
          <w:spacing w:val="-6"/>
          <w:highlight w:val="none"/>
        </w:rPr>
        <w:t>.</w:t>
      </w:r>
      <w:r>
        <w:rPr>
          <w:rFonts w:ascii="Times New Roman" w:hAnsi="Times New Roman" w:eastAsia="宋体"/>
          <w:strike w:val="0"/>
          <w:dstrike w:val="0"/>
          <w:color w:val="auto"/>
          <w:highlight w:val="none"/>
        </w:rPr>
        <w:t>16）</w:t>
      </w:r>
    </w:p>
    <w:p w14:paraId="13D7FC38">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即在近场区，有限长线声源可当作无限长线声源处理</w:t>
      </w:r>
      <w:r>
        <w:rPr>
          <w:rFonts w:hint="eastAsia" w:ascii="Times New Roman" w:hAnsi="Times New Roman" w:eastAsia="宋体"/>
          <w:strike w:val="0"/>
          <w:dstrike w:val="0"/>
          <w:color w:val="auto"/>
          <w:highlight w:val="none"/>
          <w:lang w:eastAsia="zh-CN"/>
        </w:rPr>
        <w:t>。</w:t>
      </w:r>
    </w:p>
    <w:p w14:paraId="0811EB2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当l0/3＜r＜l0且l0/3＜r</w:t>
      </w:r>
      <w:r>
        <w:rPr>
          <w:rFonts w:ascii="Times New Roman" w:hAnsi="Times New Roman" w:eastAsia="宋体"/>
          <w:strike w:val="0"/>
          <w:dstrike w:val="0"/>
          <w:color w:val="auto"/>
          <w:highlight w:val="none"/>
          <w:vertAlign w:val="subscript"/>
        </w:rPr>
        <w:t>0</w:t>
      </w:r>
      <w:r>
        <w:rPr>
          <w:rFonts w:ascii="Times New Roman" w:hAnsi="Times New Roman" w:eastAsia="宋体"/>
          <w:strike w:val="0"/>
          <w:dstrike w:val="0"/>
          <w:color w:val="auto"/>
          <w:highlight w:val="none"/>
        </w:rPr>
        <w:t>＜l0时，该式可近似简化为：</w:t>
      </w:r>
    </w:p>
    <w:p w14:paraId="5B92ED8C">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5040" behindDoc="0" locked="0" layoutInCell="1" allowOverlap="1">
            <wp:simplePos x="0" y="0"/>
            <wp:positionH relativeFrom="column">
              <wp:posOffset>1485900</wp:posOffset>
            </wp:positionH>
            <wp:positionV relativeFrom="paragraph">
              <wp:posOffset>0</wp:posOffset>
            </wp:positionV>
            <wp:extent cx="1571625" cy="390525"/>
            <wp:effectExtent l="0" t="0" r="9525" b="9525"/>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.17）</w:t>
      </w:r>
    </w:p>
    <w:p w14:paraId="659B688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C、面声源的几何发散衰减</w:t>
      </w:r>
    </w:p>
    <w:p w14:paraId="5914B0F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一个大型机器设备的振动表面，车间透声的墙壁，均可以认为是面声源</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如果已知面声源单位面积的声功率为W，各面积元噪声的位相是随机的，面声源可看作由无数点声源连续分布组合而成，其合成声级可按能量叠加法求出</w:t>
      </w:r>
      <w:r>
        <w:rPr>
          <w:rFonts w:hint="eastAsia" w:ascii="Times New Roman" w:hAnsi="Times New Roman" w:eastAsia="宋体"/>
          <w:strike w:val="0"/>
          <w:dstrike w:val="0"/>
          <w:color w:val="auto"/>
          <w:highlight w:val="none"/>
          <w:lang w:eastAsia="zh-CN"/>
        </w:rPr>
        <w:t>。</w:t>
      </w:r>
    </w:p>
    <w:p w14:paraId="61273A06">
      <w:pPr>
        <w:spacing w:line="500" w:lineRule="exact"/>
        <w:ind w:firstLine="480"/>
        <w:rPr>
          <w:rFonts w:hint="eastAsia" w:ascii="Times New Roman" w:hAnsi="Times New Roman" w:eastAsia="宋体"/>
          <w:strike w:val="0"/>
          <w:dstrike w:val="0"/>
          <w:color w:val="auto"/>
          <w:highlight w:val="none"/>
          <w:lang w:eastAsia="zh-CN"/>
        </w:rPr>
      </w:pPr>
      <w:bookmarkStart w:id="248" w:name="_Toc32354"/>
      <w:bookmarkStart w:id="249" w:name="_Toc2292"/>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空气吸收引起的衰减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Aatm</w:t>
      </w:r>
      <w:bookmarkEnd w:id="248"/>
      <w:bookmarkEnd w:id="249"/>
      <w:r>
        <w:rPr>
          <w:rFonts w:hint="eastAsia" w:ascii="Times New Roman" w:hAnsi="Times New Roman" w:eastAsia="宋体"/>
          <w:strike w:val="0"/>
          <w:dstrike w:val="0"/>
          <w:color w:val="auto"/>
          <w:highlight w:val="none"/>
          <w:lang w:eastAsia="zh-CN"/>
        </w:rPr>
        <w:t>）</w:t>
      </w:r>
    </w:p>
    <w:p w14:paraId="1F98B210">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空气吸收引起的衰减按下列公式计算：</w:t>
      </w:r>
    </w:p>
    <w:p w14:paraId="415CB39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6064" behindDoc="0" locked="0" layoutInCell="1" allowOverlap="1">
            <wp:simplePos x="0" y="0"/>
            <wp:positionH relativeFrom="column">
              <wp:posOffset>2133600</wp:posOffset>
            </wp:positionH>
            <wp:positionV relativeFrom="paragraph">
              <wp:posOffset>40640</wp:posOffset>
            </wp:positionV>
            <wp:extent cx="1019175" cy="390525"/>
            <wp:effectExtent l="0" t="0" r="9525" b="9525"/>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01917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.18）</w:t>
      </w:r>
    </w:p>
    <w:p w14:paraId="12AE96B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46E9CBD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α为温度、湿度和声波频率的函数，预测计算中一般根据建设项目所处区域常年平均气温和湿度选择相应的空气吸收系数（见表5.2-</w:t>
      </w:r>
      <w:r>
        <w:rPr>
          <w:rFonts w:hint="eastAsia" w:ascii="Times New Roman" w:hAnsi="Times New Roman" w:eastAsia="宋体"/>
          <w:strike w:val="0"/>
          <w:dstrike w:val="0"/>
          <w:color w:val="auto"/>
          <w:highlight w:val="none"/>
          <w:lang w:val="en-US" w:eastAsia="zh-CN"/>
        </w:rPr>
        <w:t>18</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734EF2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表5.2-18倍频带噪声的大气吸收衰减系数α</w:t>
      </w:r>
    </w:p>
    <w:tbl>
      <w:tblPr>
        <w:tblStyle w:val="39"/>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28"/>
        <w:gridCol w:w="1096"/>
        <w:gridCol w:w="743"/>
        <w:gridCol w:w="781"/>
        <w:gridCol w:w="781"/>
        <w:gridCol w:w="781"/>
        <w:gridCol w:w="830"/>
        <w:gridCol w:w="830"/>
        <w:gridCol w:w="830"/>
        <w:gridCol w:w="784"/>
      </w:tblGrid>
      <w:tr w14:paraId="06068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restart"/>
            <w:tcBorders>
              <w:tl2br w:val="nil"/>
              <w:tr2bl w:val="nil"/>
            </w:tcBorders>
            <w:shd w:val="clear" w:color="auto" w:fill="auto"/>
            <w:vAlign w:val="center"/>
          </w:tcPr>
          <w:p w14:paraId="77BB71C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温度</w:t>
            </w:r>
            <w:r>
              <w:rPr>
                <w:rFonts w:hint="eastAsia" w:ascii="Times New Roman" w:hAnsi="Times New Roman" w:eastAsia="宋体"/>
                <w:b w:val="0"/>
                <w:bCs w:val="0"/>
                <w:strike w:val="0"/>
                <w:dstrike w:val="0"/>
                <w:color w:val="auto"/>
                <w:szCs w:val="21"/>
                <w:highlight w:val="none"/>
              </w:rPr>
              <w:t>℃</w:t>
            </w:r>
          </w:p>
        </w:tc>
        <w:tc>
          <w:tcPr>
            <w:tcW w:w="661" w:type="pct"/>
            <w:vMerge w:val="restart"/>
            <w:tcBorders>
              <w:tl2br w:val="nil"/>
              <w:tr2bl w:val="nil"/>
            </w:tcBorders>
            <w:shd w:val="clear" w:color="auto" w:fill="auto"/>
            <w:vAlign w:val="center"/>
          </w:tcPr>
          <w:p w14:paraId="4213577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相对湿度%</w:t>
            </w:r>
          </w:p>
        </w:tc>
        <w:tc>
          <w:tcPr>
            <w:tcW w:w="3837" w:type="pct"/>
            <w:gridSpan w:val="8"/>
            <w:tcBorders>
              <w:tl2br w:val="nil"/>
              <w:tr2bl w:val="nil"/>
            </w:tcBorders>
            <w:shd w:val="clear" w:color="auto" w:fill="auto"/>
            <w:vAlign w:val="center"/>
          </w:tcPr>
          <w:p w14:paraId="24CBB17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大气吸收衰减系数α，dB/km</w:t>
            </w:r>
          </w:p>
        </w:tc>
      </w:tr>
      <w:tr w14:paraId="4A06EF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continue"/>
            <w:tcBorders>
              <w:tl2br w:val="nil"/>
              <w:tr2bl w:val="nil"/>
            </w:tcBorders>
            <w:shd w:val="clear" w:color="auto" w:fill="auto"/>
            <w:vAlign w:val="center"/>
          </w:tcPr>
          <w:p w14:paraId="5911327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661" w:type="pct"/>
            <w:vMerge w:val="continue"/>
            <w:tcBorders>
              <w:tl2br w:val="nil"/>
              <w:tr2bl w:val="nil"/>
            </w:tcBorders>
            <w:shd w:val="clear" w:color="auto" w:fill="auto"/>
            <w:vAlign w:val="center"/>
          </w:tcPr>
          <w:p w14:paraId="3921059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3837" w:type="pct"/>
            <w:gridSpan w:val="8"/>
            <w:tcBorders>
              <w:tl2br w:val="nil"/>
              <w:tr2bl w:val="nil"/>
            </w:tcBorders>
            <w:shd w:val="clear" w:color="auto" w:fill="auto"/>
            <w:vAlign w:val="center"/>
          </w:tcPr>
          <w:p w14:paraId="562DFF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倍频带中心频率Hz</w:t>
            </w:r>
          </w:p>
        </w:tc>
      </w:tr>
      <w:tr w14:paraId="14882C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continue"/>
            <w:tcBorders>
              <w:tl2br w:val="nil"/>
              <w:tr2bl w:val="nil"/>
            </w:tcBorders>
            <w:shd w:val="clear" w:color="auto" w:fill="auto"/>
            <w:vAlign w:val="center"/>
          </w:tcPr>
          <w:p w14:paraId="37E259F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661" w:type="pct"/>
            <w:vMerge w:val="continue"/>
            <w:tcBorders>
              <w:tl2br w:val="nil"/>
              <w:tr2bl w:val="nil"/>
            </w:tcBorders>
            <w:shd w:val="clear" w:color="auto" w:fill="auto"/>
            <w:vAlign w:val="center"/>
          </w:tcPr>
          <w:p w14:paraId="433D3C2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448" w:type="pct"/>
            <w:tcBorders>
              <w:tl2br w:val="nil"/>
              <w:tr2bl w:val="nil"/>
            </w:tcBorders>
            <w:shd w:val="clear" w:color="auto" w:fill="auto"/>
            <w:vAlign w:val="center"/>
          </w:tcPr>
          <w:p w14:paraId="278EB85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63</w:t>
            </w:r>
          </w:p>
        </w:tc>
        <w:tc>
          <w:tcPr>
            <w:tcW w:w="471" w:type="pct"/>
            <w:tcBorders>
              <w:tl2br w:val="nil"/>
              <w:tr2bl w:val="nil"/>
            </w:tcBorders>
            <w:shd w:val="clear" w:color="auto" w:fill="auto"/>
            <w:vAlign w:val="center"/>
          </w:tcPr>
          <w:p w14:paraId="3F314A8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125</w:t>
            </w:r>
          </w:p>
        </w:tc>
        <w:tc>
          <w:tcPr>
            <w:tcW w:w="471" w:type="pct"/>
            <w:tcBorders>
              <w:tl2br w:val="nil"/>
              <w:tr2bl w:val="nil"/>
            </w:tcBorders>
            <w:shd w:val="clear" w:color="auto" w:fill="auto"/>
            <w:vAlign w:val="center"/>
          </w:tcPr>
          <w:p w14:paraId="2875108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250</w:t>
            </w:r>
          </w:p>
        </w:tc>
        <w:tc>
          <w:tcPr>
            <w:tcW w:w="471" w:type="pct"/>
            <w:tcBorders>
              <w:tl2br w:val="nil"/>
              <w:tr2bl w:val="nil"/>
            </w:tcBorders>
            <w:shd w:val="clear" w:color="auto" w:fill="auto"/>
            <w:vAlign w:val="center"/>
          </w:tcPr>
          <w:p w14:paraId="3D387D1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500</w:t>
            </w:r>
          </w:p>
        </w:tc>
        <w:tc>
          <w:tcPr>
            <w:tcW w:w="501" w:type="pct"/>
            <w:tcBorders>
              <w:tl2br w:val="nil"/>
              <w:tr2bl w:val="nil"/>
            </w:tcBorders>
            <w:shd w:val="clear" w:color="auto" w:fill="auto"/>
            <w:vAlign w:val="center"/>
          </w:tcPr>
          <w:p w14:paraId="7200143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1000</w:t>
            </w:r>
          </w:p>
        </w:tc>
        <w:tc>
          <w:tcPr>
            <w:tcW w:w="501" w:type="pct"/>
            <w:tcBorders>
              <w:tl2br w:val="nil"/>
              <w:tr2bl w:val="nil"/>
            </w:tcBorders>
            <w:shd w:val="clear" w:color="auto" w:fill="auto"/>
            <w:vAlign w:val="center"/>
          </w:tcPr>
          <w:p w14:paraId="29D15C4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2000</w:t>
            </w:r>
          </w:p>
        </w:tc>
        <w:tc>
          <w:tcPr>
            <w:tcW w:w="501" w:type="pct"/>
            <w:tcBorders>
              <w:tl2br w:val="nil"/>
              <w:tr2bl w:val="nil"/>
            </w:tcBorders>
            <w:shd w:val="clear" w:color="auto" w:fill="auto"/>
            <w:vAlign w:val="center"/>
          </w:tcPr>
          <w:p w14:paraId="3D89161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4000</w:t>
            </w:r>
          </w:p>
        </w:tc>
        <w:tc>
          <w:tcPr>
            <w:tcW w:w="469" w:type="pct"/>
            <w:tcBorders>
              <w:tl2br w:val="nil"/>
              <w:tr2bl w:val="nil"/>
            </w:tcBorders>
            <w:shd w:val="clear" w:color="auto" w:fill="auto"/>
            <w:vAlign w:val="center"/>
          </w:tcPr>
          <w:p w14:paraId="7DF89D5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8000</w:t>
            </w:r>
          </w:p>
        </w:tc>
      </w:tr>
      <w:tr w14:paraId="195DB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7981C74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661" w:type="pct"/>
            <w:tcBorders>
              <w:tl2br w:val="nil"/>
              <w:tr2bl w:val="nil"/>
            </w:tcBorders>
            <w:shd w:val="clear" w:color="auto" w:fill="auto"/>
            <w:vAlign w:val="center"/>
          </w:tcPr>
          <w:p w14:paraId="0372FD4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6394136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0F5624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0.4</w:t>
            </w:r>
          </w:p>
        </w:tc>
        <w:tc>
          <w:tcPr>
            <w:tcW w:w="471" w:type="pct"/>
            <w:tcBorders>
              <w:tl2br w:val="nil"/>
              <w:tr2bl w:val="nil"/>
            </w:tcBorders>
            <w:shd w:val="clear" w:color="auto" w:fill="auto"/>
            <w:vAlign w:val="center"/>
          </w:tcPr>
          <w:p w14:paraId="04FFD1B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471" w:type="pct"/>
            <w:tcBorders>
              <w:tl2br w:val="nil"/>
              <w:tr2bl w:val="nil"/>
            </w:tcBorders>
            <w:shd w:val="clear" w:color="auto" w:fill="auto"/>
            <w:vAlign w:val="center"/>
          </w:tcPr>
          <w:p w14:paraId="73496C4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1.9</w:t>
            </w:r>
          </w:p>
        </w:tc>
        <w:tc>
          <w:tcPr>
            <w:tcW w:w="501" w:type="pct"/>
            <w:tcBorders>
              <w:tl2br w:val="nil"/>
              <w:tr2bl w:val="nil"/>
            </w:tcBorders>
            <w:shd w:val="clear" w:color="auto" w:fill="auto"/>
            <w:vAlign w:val="center"/>
          </w:tcPr>
          <w:p w14:paraId="609EE63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3.7</w:t>
            </w:r>
          </w:p>
        </w:tc>
        <w:tc>
          <w:tcPr>
            <w:tcW w:w="501" w:type="pct"/>
            <w:tcBorders>
              <w:tl2br w:val="nil"/>
              <w:tr2bl w:val="nil"/>
            </w:tcBorders>
            <w:shd w:val="clear" w:color="auto" w:fill="auto"/>
            <w:vAlign w:val="center"/>
          </w:tcPr>
          <w:p w14:paraId="701CF25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9.7</w:t>
            </w:r>
          </w:p>
        </w:tc>
        <w:tc>
          <w:tcPr>
            <w:tcW w:w="501" w:type="pct"/>
            <w:tcBorders>
              <w:tl2br w:val="nil"/>
              <w:tr2bl w:val="nil"/>
            </w:tcBorders>
            <w:shd w:val="clear" w:color="auto" w:fill="auto"/>
            <w:vAlign w:val="center"/>
          </w:tcPr>
          <w:p w14:paraId="0E7E5D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32.8</w:t>
            </w:r>
          </w:p>
        </w:tc>
        <w:tc>
          <w:tcPr>
            <w:tcW w:w="469" w:type="pct"/>
            <w:tcBorders>
              <w:tl2br w:val="nil"/>
              <w:tr2bl w:val="nil"/>
            </w:tcBorders>
            <w:shd w:val="clear" w:color="auto" w:fill="auto"/>
            <w:vAlign w:val="center"/>
          </w:tcPr>
          <w:p w14:paraId="51EF0BF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117.0</w:t>
            </w:r>
          </w:p>
        </w:tc>
      </w:tr>
      <w:tr w14:paraId="3A3E12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7D5A730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w:t>
            </w:r>
          </w:p>
        </w:tc>
        <w:tc>
          <w:tcPr>
            <w:tcW w:w="661" w:type="pct"/>
            <w:tcBorders>
              <w:tl2br w:val="nil"/>
              <w:tr2bl w:val="nil"/>
            </w:tcBorders>
            <w:shd w:val="clear" w:color="auto" w:fill="auto"/>
            <w:vAlign w:val="center"/>
          </w:tcPr>
          <w:p w14:paraId="451D1A6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295E19E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43F8147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4583B01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w:t>
            </w:r>
          </w:p>
        </w:tc>
        <w:tc>
          <w:tcPr>
            <w:tcW w:w="471" w:type="pct"/>
            <w:tcBorders>
              <w:tl2br w:val="nil"/>
              <w:tr2bl w:val="nil"/>
            </w:tcBorders>
            <w:shd w:val="clear" w:color="auto" w:fill="auto"/>
            <w:vAlign w:val="center"/>
          </w:tcPr>
          <w:p w14:paraId="49598D2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w:t>
            </w:r>
          </w:p>
        </w:tc>
        <w:tc>
          <w:tcPr>
            <w:tcW w:w="501" w:type="pct"/>
            <w:tcBorders>
              <w:tl2br w:val="nil"/>
              <w:tr2bl w:val="nil"/>
            </w:tcBorders>
            <w:shd w:val="clear" w:color="auto" w:fill="auto"/>
            <w:vAlign w:val="center"/>
          </w:tcPr>
          <w:p w14:paraId="4E27E35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w:t>
            </w:r>
          </w:p>
        </w:tc>
        <w:tc>
          <w:tcPr>
            <w:tcW w:w="501" w:type="pct"/>
            <w:tcBorders>
              <w:tl2br w:val="nil"/>
              <w:tr2bl w:val="nil"/>
            </w:tcBorders>
            <w:shd w:val="clear" w:color="auto" w:fill="auto"/>
            <w:vAlign w:val="center"/>
          </w:tcPr>
          <w:p w14:paraId="7BF9918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9.0</w:t>
            </w:r>
          </w:p>
        </w:tc>
        <w:tc>
          <w:tcPr>
            <w:tcW w:w="501" w:type="pct"/>
            <w:tcBorders>
              <w:tl2br w:val="nil"/>
              <w:tr2bl w:val="nil"/>
            </w:tcBorders>
            <w:shd w:val="clear" w:color="auto" w:fill="auto"/>
            <w:vAlign w:val="center"/>
          </w:tcPr>
          <w:p w14:paraId="1ADB1B6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22.9</w:t>
            </w:r>
          </w:p>
        </w:tc>
        <w:tc>
          <w:tcPr>
            <w:tcW w:w="469" w:type="pct"/>
            <w:tcBorders>
              <w:tl2br w:val="nil"/>
              <w:tr2bl w:val="nil"/>
            </w:tcBorders>
            <w:shd w:val="clear" w:color="auto" w:fill="auto"/>
            <w:vAlign w:val="center"/>
          </w:tcPr>
          <w:p w14:paraId="31A6CD6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76.6</w:t>
            </w:r>
          </w:p>
        </w:tc>
      </w:tr>
      <w:tr w14:paraId="4AB240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3C0CE4E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30</w:t>
            </w:r>
          </w:p>
        </w:tc>
        <w:tc>
          <w:tcPr>
            <w:tcW w:w="661" w:type="pct"/>
            <w:tcBorders>
              <w:tl2br w:val="nil"/>
              <w:tr2bl w:val="nil"/>
            </w:tcBorders>
            <w:shd w:val="clear" w:color="auto" w:fill="auto"/>
            <w:vAlign w:val="center"/>
          </w:tcPr>
          <w:p w14:paraId="3872F7F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29E16A2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572A8F3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37EF499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471" w:type="pct"/>
            <w:tcBorders>
              <w:tl2br w:val="nil"/>
              <w:tr2bl w:val="nil"/>
            </w:tcBorders>
            <w:shd w:val="clear" w:color="auto" w:fill="auto"/>
            <w:vAlign w:val="center"/>
          </w:tcPr>
          <w:p w14:paraId="3EFAADF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3.1</w:t>
            </w:r>
          </w:p>
        </w:tc>
        <w:tc>
          <w:tcPr>
            <w:tcW w:w="501" w:type="pct"/>
            <w:tcBorders>
              <w:tl2br w:val="nil"/>
              <w:tr2bl w:val="nil"/>
            </w:tcBorders>
            <w:shd w:val="clear" w:color="auto" w:fill="auto"/>
            <w:vAlign w:val="center"/>
          </w:tcPr>
          <w:p w14:paraId="061C4F5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7.4</w:t>
            </w:r>
          </w:p>
        </w:tc>
        <w:tc>
          <w:tcPr>
            <w:tcW w:w="501" w:type="pct"/>
            <w:tcBorders>
              <w:tl2br w:val="nil"/>
              <w:tr2bl w:val="nil"/>
            </w:tcBorders>
            <w:shd w:val="clear" w:color="auto" w:fill="auto"/>
            <w:vAlign w:val="center"/>
          </w:tcPr>
          <w:p w14:paraId="0DC24AF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12.7</w:t>
            </w:r>
          </w:p>
        </w:tc>
        <w:tc>
          <w:tcPr>
            <w:tcW w:w="501" w:type="pct"/>
            <w:tcBorders>
              <w:tl2br w:val="nil"/>
              <w:tr2bl w:val="nil"/>
            </w:tcBorders>
            <w:shd w:val="clear" w:color="auto" w:fill="auto"/>
            <w:vAlign w:val="center"/>
          </w:tcPr>
          <w:p w14:paraId="2BDE7DB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23.1</w:t>
            </w:r>
          </w:p>
        </w:tc>
        <w:tc>
          <w:tcPr>
            <w:tcW w:w="469" w:type="pct"/>
            <w:tcBorders>
              <w:tl2br w:val="nil"/>
              <w:tr2bl w:val="nil"/>
            </w:tcBorders>
            <w:shd w:val="clear" w:color="auto" w:fill="auto"/>
            <w:vAlign w:val="center"/>
          </w:tcPr>
          <w:p w14:paraId="50A9B0D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59.3</w:t>
            </w:r>
          </w:p>
        </w:tc>
      </w:tr>
      <w:tr w14:paraId="797919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455E1D9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7FEB30E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w:t>
            </w:r>
          </w:p>
        </w:tc>
        <w:tc>
          <w:tcPr>
            <w:tcW w:w="448" w:type="pct"/>
            <w:tcBorders>
              <w:tl2br w:val="nil"/>
              <w:tr2bl w:val="nil"/>
            </w:tcBorders>
            <w:shd w:val="clear" w:color="auto" w:fill="auto"/>
            <w:vAlign w:val="center"/>
          </w:tcPr>
          <w:p w14:paraId="0E580BA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64944A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0.6</w:t>
            </w:r>
          </w:p>
        </w:tc>
        <w:tc>
          <w:tcPr>
            <w:tcW w:w="471" w:type="pct"/>
            <w:tcBorders>
              <w:tl2br w:val="nil"/>
              <w:tr2bl w:val="nil"/>
            </w:tcBorders>
            <w:shd w:val="clear" w:color="auto" w:fill="auto"/>
            <w:vAlign w:val="center"/>
          </w:tcPr>
          <w:p w14:paraId="77E0C13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w:t>
            </w:r>
          </w:p>
        </w:tc>
        <w:tc>
          <w:tcPr>
            <w:tcW w:w="471" w:type="pct"/>
            <w:tcBorders>
              <w:tl2br w:val="nil"/>
              <w:tr2bl w:val="nil"/>
            </w:tcBorders>
            <w:shd w:val="clear" w:color="auto" w:fill="auto"/>
            <w:vAlign w:val="center"/>
          </w:tcPr>
          <w:p w14:paraId="184650B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2.7</w:t>
            </w:r>
          </w:p>
        </w:tc>
        <w:tc>
          <w:tcPr>
            <w:tcW w:w="501" w:type="pct"/>
            <w:tcBorders>
              <w:tl2br w:val="nil"/>
              <w:tr2bl w:val="nil"/>
            </w:tcBorders>
            <w:shd w:val="clear" w:color="auto" w:fill="auto"/>
            <w:vAlign w:val="center"/>
          </w:tcPr>
          <w:p w14:paraId="1142A70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8.2</w:t>
            </w:r>
          </w:p>
        </w:tc>
        <w:tc>
          <w:tcPr>
            <w:tcW w:w="501" w:type="pct"/>
            <w:tcBorders>
              <w:tl2br w:val="nil"/>
              <w:tr2bl w:val="nil"/>
            </w:tcBorders>
            <w:shd w:val="clear" w:color="auto" w:fill="auto"/>
            <w:vAlign w:val="center"/>
          </w:tcPr>
          <w:p w14:paraId="5625CB6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28.2</w:t>
            </w:r>
          </w:p>
        </w:tc>
        <w:tc>
          <w:tcPr>
            <w:tcW w:w="501" w:type="pct"/>
            <w:tcBorders>
              <w:tl2br w:val="nil"/>
              <w:tr2bl w:val="nil"/>
            </w:tcBorders>
            <w:shd w:val="clear" w:color="auto" w:fill="auto"/>
            <w:vAlign w:val="center"/>
          </w:tcPr>
          <w:p w14:paraId="75B0A17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28.8</w:t>
            </w:r>
          </w:p>
        </w:tc>
        <w:tc>
          <w:tcPr>
            <w:tcW w:w="469" w:type="pct"/>
            <w:tcBorders>
              <w:tl2br w:val="nil"/>
              <w:tr2bl w:val="nil"/>
            </w:tcBorders>
            <w:shd w:val="clear" w:color="auto" w:fill="auto"/>
            <w:vAlign w:val="center"/>
          </w:tcPr>
          <w:p w14:paraId="6BA083C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202.0</w:t>
            </w:r>
          </w:p>
        </w:tc>
      </w:tr>
      <w:tr w14:paraId="5E10F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53A6DA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513F508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w:t>
            </w:r>
          </w:p>
        </w:tc>
        <w:tc>
          <w:tcPr>
            <w:tcW w:w="448" w:type="pct"/>
            <w:tcBorders>
              <w:tl2br w:val="nil"/>
              <w:tr2bl w:val="nil"/>
            </w:tcBorders>
            <w:shd w:val="clear" w:color="auto" w:fill="auto"/>
            <w:vAlign w:val="center"/>
          </w:tcPr>
          <w:p w14:paraId="40DE5D2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3A449A6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0.5</w:t>
            </w:r>
          </w:p>
        </w:tc>
        <w:tc>
          <w:tcPr>
            <w:tcW w:w="471" w:type="pct"/>
            <w:tcBorders>
              <w:tl2br w:val="nil"/>
              <w:tr2bl w:val="nil"/>
            </w:tcBorders>
            <w:shd w:val="clear" w:color="auto" w:fill="auto"/>
            <w:vAlign w:val="center"/>
          </w:tcPr>
          <w:p w14:paraId="1D1F88D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w:t>
            </w:r>
          </w:p>
        </w:tc>
        <w:tc>
          <w:tcPr>
            <w:tcW w:w="471" w:type="pct"/>
            <w:tcBorders>
              <w:tl2br w:val="nil"/>
              <w:tr2bl w:val="nil"/>
            </w:tcBorders>
            <w:shd w:val="clear" w:color="auto" w:fill="auto"/>
            <w:vAlign w:val="center"/>
          </w:tcPr>
          <w:p w14:paraId="28AA8C3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2.2</w:t>
            </w:r>
          </w:p>
        </w:tc>
        <w:tc>
          <w:tcPr>
            <w:tcW w:w="501" w:type="pct"/>
            <w:tcBorders>
              <w:tl2br w:val="nil"/>
              <w:tr2bl w:val="nil"/>
            </w:tcBorders>
            <w:shd w:val="clear" w:color="auto" w:fill="auto"/>
            <w:vAlign w:val="center"/>
          </w:tcPr>
          <w:p w14:paraId="79525DC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4.2</w:t>
            </w:r>
          </w:p>
        </w:tc>
        <w:tc>
          <w:tcPr>
            <w:tcW w:w="501" w:type="pct"/>
            <w:tcBorders>
              <w:tl2br w:val="nil"/>
              <w:tr2bl w:val="nil"/>
            </w:tcBorders>
            <w:shd w:val="clear" w:color="auto" w:fill="auto"/>
            <w:vAlign w:val="center"/>
          </w:tcPr>
          <w:p w14:paraId="25084BD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10.8</w:t>
            </w:r>
          </w:p>
        </w:tc>
        <w:tc>
          <w:tcPr>
            <w:tcW w:w="501" w:type="pct"/>
            <w:tcBorders>
              <w:tl2br w:val="nil"/>
              <w:tr2bl w:val="nil"/>
            </w:tcBorders>
            <w:shd w:val="clear" w:color="auto" w:fill="auto"/>
            <w:vAlign w:val="center"/>
          </w:tcPr>
          <w:p w14:paraId="004A597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36.2</w:t>
            </w:r>
          </w:p>
        </w:tc>
        <w:tc>
          <w:tcPr>
            <w:tcW w:w="469" w:type="pct"/>
            <w:tcBorders>
              <w:tl2br w:val="nil"/>
              <w:tr2bl w:val="nil"/>
            </w:tcBorders>
            <w:shd w:val="clear" w:color="auto" w:fill="auto"/>
            <w:vAlign w:val="center"/>
          </w:tcPr>
          <w:p w14:paraId="10A503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129.0</w:t>
            </w:r>
          </w:p>
        </w:tc>
      </w:tr>
      <w:tr w14:paraId="68FE90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6BF145A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72D1F4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80</w:t>
            </w:r>
          </w:p>
        </w:tc>
        <w:tc>
          <w:tcPr>
            <w:tcW w:w="448" w:type="pct"/>
            <w:tcBorders>
              <w:tl2br w:val="nil"/>
              <w:tr2bl w:val="nil"/>
            </w:tcBorders>
            <w:shd w:val="clear" w:color="auto" w:fill="auto"/>
            <w:vAlign w:val="center"/>
          </w:tcPr>
          <w:p w14:paraId="5A7196A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1D28DDD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7A14A4C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w:t>
            </w:r>
          </w:p>
        </w:tc>
        <w:tc>
          <w:tcPr>
            <w:tcW w:w="471" w:type="pct"/>
            <w:tcBorders>
              <w:tl2br w:val="nil"/>
              <w:tr2bl w:val="nil"/>
            </w:tcBorders>
            <w:shd w:val="clear" w:color="auto" w:fill="auto"/>
            <w:vAlign w:val="center"/>
          </w:tcPr>
          <w:p w14:paraId="2A9F764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2.4</w:t>
            </w:r>
          </w:p>
        </w:tc>
        <w:tc>
          <w:tcPr>
            <w:tcW w:w="501" w:type="pct"/>
            <w:tcBorders>
              <w:tl2br w:val="nil"/>
              <w:tr2bl w:val="nil"/>
            </w:tcBorders>
            <w:shd w:val="clear" w:color="auto" w:fill="auto"/>
            <w:vAlign w:val="center"/>
          </w:tcPr>
          <w:p w14:paraId="2ABBF46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4.1</w:t>
            </w:r>
          </w:p>
        </w:tc>
        <w:tc>
          <w:tcPr>
            <w:tcW w:w="501" w:type="pct"/>
            <w:tcBorders>
              <w:tl2br w:val="nil"/>
              <w:tr2bl w:val="nil"/>
            </w:tcBorders>
            <w:shd w:val="clear" w:color="auto" w:fill="auto"/>
            <w:vAlign w:val="center"/>
          </w:tcPr>
          <w:p w14:paraId="4763A9C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8.3</w:t>
            </w:r>
          </w:p>
        </w:tc>
        <w:tc>
          <w:tcPr>
            <w:tcW w:w="501" w:type="pct"/>
            <w:tcBorders>
              <w:tl2br w:val="nil"/>
              <w:tr2bl w:val="nil"/>
            </w:tcBorders>
            <w:shd w:val="clear" w:color="auto" w:fill="auto"/>
            <w:vAlign w:val="center"/>
          </w:tcPr>
          <w:p w14:paraId="56A49A5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23.7</w:t>
            </w:r>
          </w:p>
        </w:tc>
        <w:tc>
          <w:tcPr>
            <w:tcW w:w="469" w:type="pct"/>
            <w:tcBorders>
              <w:tl2br w:val="nil"/>
              <w:tr2bl w:val="nil"/>
            </w:tcBorders>
            <w:shd w:val="clear" w:color="auto" w:fill="auto"/>
            <w:vAlign w:val="center"/>
          </w:tcPr>
          <w:p w14:paraId="43E785B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82.8</w:t>
            </w:r>
          </w:p>
        </w:tc>
      </w:tr>
    </w:tbl>
    <w:p w14:paraId="34D0A698">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地面效应衰减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Agr</w:t>
      </w:r>
      <w:r>
        <w:rPr>
          <w:rFonts w:hint="eastAsia" w:ascii="Times New Roman" w:hAnsi="Times New Roman" w:eastAsia="宋体"/>
          <w:strike w:val="0"/>
          <w:dstrike w:val="0"/>
          <w:color w:val="auto"/>
          <w:highlight w:val="none"/>
          <w:lang w:eastAsia="zh-CN"/>
        </w:rPr>
        <w:t>）</w:t>
      </w:r>
    </w:p>
    <w:p w14:paraId="0E8E48E4">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地面类型可分为：</w:t>
      </w:r>
    </w:p>
    <w:p w14:paraId="68B7B09E">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A、坚实地面，包括铺筑过的路面、水面、冰面以及夯实地面</w:t>
      </w:r>
      <w:r>
        <w:rPr>
          <w:rFonts w:hint="eastAsia" w:ascii="Times New Roman" w:hAnsi="Times New Roman" w:eastAsia="宋体"/>
          <w:strike w:val="0"/>
          <w:dstrike w:val="0"/>
          <w:color w:val="auto"/>
          <w:highlight w:val="none"/>
          <w:lang w:eastAsia="zh-CN"/>
        </w:rPr>
        <w:t>。</w:t>
      </w:r>
    </w:p>
    <w:p w14:paraId="0E633E3C">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B、疏松地面，包括被草或其他植物覆盖的地面，以及农田等适合于植物生长的地面</w:t>
      </w:r>
      <w:r>
        <w:rPr>
          <w:rFonts w:hint="eastAsia" w:ascii="Times New Roman" w:hAnsi="Times New Roman" w:eastAsia="宋体"/>
          <w:strike w:val="0"/>
          <w:dstrike w:val="0"/>
          <w:color w:val="auto"/>
          <w:highlight w:val="none"/>
          <w:lang w:eastAsia="zh-CN"/>
        </w:rPr>
        <w:t>。</w:t>
      </w:r>
    </w:p>
    <w:p w14:paraId="5693A97F">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C、混合地面，由坚实地面和疏松地面组成</w:t>
      </w:r>
      <w:r>
        <w:rPr>
          <w:rFonts w:hint="eastAsia" w:ascii="Times New Roman" w:hAnsi="Times New Roman" w:eastAsia="宋体"/>
          <w:strike w:val="0"/>
          <w:dstrike w:val="0"/>
          <w:color w:val="auto"/>
          <w:highlight w:val="none"/>
          <w:lang w:eastAsia="zh-CN"/>
        </w:rPr>
        <w:t>。</w:t>
      </w:r>
    </w:p>
    <w:p w14:paraId="4AC51494">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声波越过疏松地面传播时，或大部分为疏松地面的混合地面，在预测点仅计算A声级前提下，地面效应引起的倍频带衰减可用下列公式计算</w:t>
      </w:r>
      <w:r>
        <w:rPr>
          <w:rFonts w:hint="eastAsia" w:ascii="Times New Roman" w:hAnsi="Times New Roman" w:eastAsia="宋体"/>
          <w:strike w:val="0"/>
          <w:dstrike w:val="0"/>
          <w:color w:val="auto"/>
          <w:highlight w:val="none"/>
          <w:lang w:eastAsia="zh-CN"/>
        </w:rPr>
        <w:t>。</w:t>
      </w:r>
    </w:p>
    <w:p w14:paraId="0C44A08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8112" behindDoc="0" locked="0" layoutInCell="1" allowOverlap="1">
            <wp:simplePos x="0" y="0"/>
            <wp:positionH relativeFrom="column">
              <wp:posOffset>1345565</wp:posOffset>
            </wp:positionH>
            <wp:positionV relativeFrom="paragraph">
              <wp:posOffset>34925</wp:posOffset>
            </wp:positionV>
            <wp:extent cx="1914525" cy="428625"/>
            <wp:effectExtent l="0" t="0" r="9525" b="952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914525" cy="428625"/>
                    </a:xfrm>
                    <a:prstGeom prst="rect">
                      <a:avLst/>
                    </a:prstGeom>
                    <a:noFill/>
                    <a:ln>
                      <a:noFill/>
                    </a:ln>
                  </pic:spPr>
                </pic:pic>
              </a:graphicData>
            </a:graphic>
          </wp:anchor>
        </w:drawing>
      </w:r>
    </w:p>
    <w:p w14:paraId="41E4B6FF">
      <w:pPr>
        <w:spacing w:line="500" w:lineRule="exact"/>
        <w:ind w:firstLine="480"/>
        <w:jc w:val="right"/>
        <w:rPr>
          <w:rFonts w:ascii="Times New Roman" w:hAnsi="Times New Roman" w:eastAsia="宋体"/>
          <w:strike w:val="0"/>
          <w:dstrike w:val="0"/>
          <w:color w:val="auto"/>
          <w:highlight w:val="none"/>
        </w:rPr>
      </w:pPr>
      <w:bookmarkStart w:id="250" w:name="_Toc2094"/>
      <w:bookmarkStart w:id="251" w:name="_Toc1070"/>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.19）</w:t>
      </w:r>
      <w:bookmarkEnd w:id="250"/>
      <w:bookmarkEnd w:id="251"/>
    </w:p>
    <w:p w14:paraId="68E29A5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1FD9F37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r--声源到预测点的距离，m；</w:t>
      </w:r>
    </w:p>
    <w:p w14:paraId="319A9E7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hm--传播路径的平均离地高度，m；hm=F/r；F：面积，m2；r，m；</w:t>
      </w:r>
    </w:p>
    <w:p w14:paraId="5CE6290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若A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计算出负值，则A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可用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代替</w:t>
      </w:r>
      <w:r>
        <w:rPr>
          <w:rFonts w:hint="eastAsia" w:ascii="Times New Roman" w:hAnsi="Times New Roman" w:eastAsia="宋体"/>
          <w:strike w:val="0"/>
          <w:dstrike w:val="0"/>
          <w:color w:val="auto"/>
          <w:highlight w:val="none"/>
          <w:lang w:eastAsia="zh-CN"/>
        </w:rPr>
        <w:t>。</w:t>
      </w:r>
    </w:p>
    <w:p w14:paraId="3C94DA26">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其他情况可参照GB/T17247.2进行计算</w:t>
      </w:r>
      <w:r>
        <w:rPr>
          <w:rFonts w:hint="eastAsia" w:ascii="Times New Roman" w:hAnsi="Times New Roman" w:eastAsia="宋体"/>
          <w:strike w:val="0"/>
          <w:dstrike w:val="0"/>
          <w:color w:val="auto"/>
          <w:highlight w:val="none"/>
          <w:lang w:eastAsia="zh-CN"/>
        </w:rPr>
        <w:t>。</w:t>
      </w:r>
    </w:p>
    <w:p w14:paraId="547868A1">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屏障引起的衰减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bar</w:t>
      </w:r>
      <w:r>
        <w:rPr>
          <w:rFonts w:hint="eastAsia" w:ascii="Times New Roman" w:hAnsi="Times New Roman" w:eastAsia="宋体"/>
          <w:strike w:val="0"/>
          <w:dstrike w:val="0"/>
          <w:color w:val="auto"/>
          <w:highlight w:val="none"/>
          <w:lang w:eastAsia="zh-CN"/>
        </w:rPr>
        <w:t>）</w:t>
      </w:r>
    </w:p>
    <w:p w14:paraId="4526768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位于声源和预测点之间的实体障碍物，如围墙、建筑物、土坡或地堑等起声屏障作用，从而引起声能量的较大衰减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在环境影响评价中，可将各种形式的屏障简化为具有一定高度的薄屏障</w:t>
      </w:r>
      <w:r>
        <w:rPr>
          <w:rFonts w:hint="eastAsia" w:ascii="Times New Roman" w:hAnsi="Times New Roman" w:eastAsia="宋体"/>
          <w:strike w:val="0"/>
          <w:dstrike w:val="0"/>
          <w:color w:val="auto"/>
          <w:highlight w:val="none"/>
          <w:lang w:eastAsia="zh-CN"/>
        </w:rPr>
        <w:t>。</w:t>
      </w:r>
    </w:p>
    <w:p w14:paraId="0503A814">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S、O、P三点在同一平面内且垂直于地面</w:t>
      </w:r>
      <w:r>
        <w:rPr>
          <w:rFonts w:hint="eastAsia" w:ascii="Times New Roman" w:hAnsi="Times New Roman" w:eastAsia="宋体"/>
          <w:strike w:val="0"/>
          <w:dstrike w:val="0"/>
          <w:color w:val="auto"/>
          <w:highlight w:val="none"/>
          <w:lang w:eastAsia="zh-CN"/>
        </w:rPr>
        <w:t>。</w:t>
      </w:r>
    </w:p>
    <w:p w14:paraId="12BDB9A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定义δ=SO＋OP－SP为声程差，N=2δ/λ为菲涅尔数，其中λ为声波波长</w:t>
      </w:r>
      <w:r>
        <w:rPr>
          <w:rFonts w:hint="eastAsia" w:ascii="Times New Roman" w:hAnsi="Times New Roman" w:eastAsia="宋体"/>
          <w:strike w:val="0"/>
          <w:dstrike w:val="0"/>
          <w:color w:val="auto"/>
          <w:highlight w:val="none"/>
          <w:lang w:eastAsia="zh-CN"/>
        </w:rPr>
        <w:t>。</w:t>
      </w:r>
    </w:p>
    <w:p w14:paraId="4A9DA09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在噪声预测中，声屏障插入损失的计算方法应需要根据实际情况作简化处理</w:t>
      </w:r>
      <w:r>
        <w:rPr>
          <w:rFonts w:hint="eastAsia" w:ascii="Times New Roman" w:hAnsi="Times New Roman" w:eastAsia="宋体"/>
          <w:strike w:val="0"/>
          <w:dstrike w:val="0"/>
          <w:color w:val="auto"/>
          <w:highlight w:val="none"/>
          <w:lang w:eastAsia="zh-CN"/>
        </w:rPr>
        <w:t>。</w:t>
      </w:r>
    </w:p>
    <w:p w14:paraId="44D22465">
      <w:pPr>
        <w:spacing w:line="500" w:lineRule="exact"/>
        <w:ind w:firstLine="480"/>
        <w:rPr>
          <w:rFonts w:ascii="Times New Roman" w:hAnsi="Times New Roman" w:eastAsia="宋体"/>
          <w:strike w:val="0"/>
          <w:dstrike w:val="0"/>
          <w:color w:val="auto"/>
          <w:highlight w:val="none"/>
        </w:rPr>
      </w:pPr>
      <w:bookmarkStart w:id="252" w:name="_Toc20959"/>
      <w:bookmarkStart w:id="253" w:name="_Toc26353"/>
      <w:r>
        <w:rPr>
          <w:rFonts w:ascii="Times New Roman" w:hAnsi="Times New Roman" w:eastAsia="宋体"/>
          <w:strike w:val="0"/>
          <w:dstrike w:val="0"/>
          <w:color w:val="auto"/>
          <w:highlight w:val="none"/>
        </w:rPr>
        <w:t>A、有限长薄屏障在点声源声场中引起的衰减计算</w:t>
      </w:r>
      <w:bookmarkEnd w:id="252"/>
      <w:bookmarkEnd w:id="253"/>
    </w:p>
    <w:p w14:paraId="7719B36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首先计算三个传播途径的声程差δ1、δ2、δ3和相应的菲涅尔数N1、N2、N3；声屏障引起的衰减公式为：</w:t>
      </w:r>
    </w:p>
    <w:p w14:paraId="7CCFB79C">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66" o:spid="_x0000_s2074" o:spt="75" type="#_x0000_t75" style="position:absolute;left:0pt;margin-left:117pt;margin-top:-4.8pt;height:37.5pt;width:197.25pt;z-index:251721728;mso-width-relative:page;mso-height-relative:page;" o:ole="t" fillcolor="#000005" filled="f" o:preferrelative="t" stroked="f" coordsize="21600,21600">
            <v:path/>
            <v:fill on="f" focussize="0,0"/>
            <v:stroke on="f" joinstyle="miter"/>
            <v:imagedata r:id="rId72" o:title=""/>
            <o:lock v:ext="edit" aspectratio="t"/>
          </v:shape>
          <o:OLEObject Type="Embed" ProgID="Equation.3" ShapeID="Picture 4366" DrawAspect="Content" ObjectID="_1468075737" r:id="rId71">
            <o:LockedField>false</o:LockedField>
          </o:OLEObject>
        </w:pi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.20）</w:t>
      </w:r>
    </w:p>
    <w:p w14:paraId="39096FDA">
      <w:pPr>
        <w:spacing w:line="500" w:lineRule="exact"/>
        <w:ind w:firstLine="480"/>
        <w:rPr>
          <w:rFonts w:ascii="Times New Roman" w:hAnsi="Times New Roman" w:eastAsia="宋体"/>
          <w:strike w:val="0"/>
          <w:dstrike w:val="0"/>
          <w:color w:val="auto"/>
          <w:highlight w:val="none"/>
        </w:rPr>
      </w:pPr>
      <w:bookmarkStart w:id="254" w:name="_Toc16443"/>
      <w:bookmarkStart w:id="255" w:name="_Toc14662"/>
      <w:r>
        <w:rPr>
          <w:rFonts w:ascii="Times New Roman" w:hAnsi="Times New Roman" w:eastAsia="宋体"/>
          <w:strike w:val="0"/>
          <w:dstrike w:val="0"/>
          <w:color w:val="auto"/>
          <w:highlight w:val="none"/>
        </w:rPr>
        <w:t>B、双绕射计算</w:t>
      </w:r>
      <w:bookmarkEnd w:id="254"/>
      <w:bookmarkEnd w:id="255"/>
    </w:p>
    <w:p w14:paraId="6ED9B04A">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对于双绕射情景，可由下列公式计算绕射声与直达声之间的声程差δ：</w:t>
      </w:r>
    </w:p>
    <w:p w14:paraId="56408DA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7088" behindDoc="0" locked="0" layoutInCell="1" allowOverlap="1">
            <wp:simplePos x="0" y="0"/>
            <wp:positionH relativeFrom="column">
              <wp:posOffset>2051685</wp:posOffset>
            </wp:positionH>
            <wp:positionV relativeFrom="paragraph">
              <wp:posOffset>100965</wp:posOffset>
            </wp:positionV>
            <wp:extent cx="1819275" cy="314325"/>
            <wp:effectExtent l="0" t="0" r="9525" b="9525"/>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819275" cy="3143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.21）</w:t>
      </w:r>
    </w:p>
    <w:p w14:paraId="376F49C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4CCEE214">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a--声源和接收点之间的距离在平行于屏障上边界的投影长度，m</w:t>
      </w:r>
      <w:r>
        <w:rPr>
          <w:rFonts w:hint="eastAsia" w:ascii="Times New Roman" w:hAnsi="Times New Roman" w:eastAsia="宋体"/>
          <w:strike w:val="0"/>
          <w:dstrike w:val="0"/>
          <w:color w:val="auto"/>
          <w:highlight w:val="none"/>
          <w:lang w:eastAsia="zh-CN"/>
        </w:rPr>
        <w:t>。</w:t>
      </w:r>
    </w:p>
    <w:p w14:paraId="13F4E95F">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w:t>
      </w:r>
      <w:r>
        <w:rPr>
          <w:rFonts w:ascii="Times New Roman" w:hAnsi="Times New Roman" w:eastAsia="宋体"/>
          <w:strike w:val="0"/>
          <w:dstrike w:val="0"/>
          <w:color w:val="auto"/>
          <w:highlight w:val="none"/>
          <w:vertAlign w:val="subscript"/>
        </w:rPr>
        <w:t>ss</w:t>
      </w:r>
      <w:r>
        <w:rPr>
          <w:rFonts w:ascii="Times New Roman" w:hAnsi="Times New Roman" w:eastAsia="宋体"/>
          <w:strike w:val="0"/>
          <w:dstrike w:val="0"/>
          <w:color w:val="auto"/>
          <w:highlight w:val="none"/>
        </w:rPr>
        <w:t>--声源到第一绕射边的距离，m</w:t>
      </w:r>
      <w:r>
        <w:rPr>
          <w:rFonts w:hint="eastAsia" w:ascii="Times New Roman" w:hAnsi="Times New Roman" w:eastAsia="宋体"/>
          <w:strike w:val="0"/>
          <w:dstrike w:val="0"/>
          <w:color w:val="auto"/>
          <w:highlight w:val="none"/>
          <w:lang w:eastAsia="zh-CN"/>
        </w:rPr>
        <w:t>。</w:t>
      </w:r>
    </w:p>
    <w:p w14:paraId="438EA2B5">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w:t>
      </w:r>
      <w:r>
        <w:rPr>
          <w:rFonts w:ascii="Times New Roman" w:hAnsi="Times New Roman" w:eastAsia="宋体"/>
          <w:strike w:val="0"/>
          <w:dstrike w:val="0"/>
          <w:color w:val="auto"/>
          <w:highlight w:val="none"/>
          <w:vertAlign w:val="subscript"/>
        </w:rPr>
        <w:t>sr</w:t>
      </w:r>
      <w:r>
        <w:rPr>
          <w:rFonts w:ascii="Times New Roman" w:hAnsi="Times New Roman" w:eastAsia="宋体"/>
          <w:strike w:val="0"/>
          <w:dstrike w:val="0"/>
          <w:color w:val="auto"/>
          <w:highlight w:val="none"/>
        </w:rPr>
        <w:t>--（第二）绕射边到接收点的距离，m</w:t>
      </w:r>
      <w:r>
        <w:rPr>
          <w:rFonts w:hint="eastAsia" w:ascii="Times New Roman" w:hAnsi="Times New Roman" w:eastAsia="宋体"/>
          <w:strike w:val="0"/>
          <w:dstrike w:val="0"/>
          <w:color w:val="auto"/>
          <w:highlight w:val="none"/>
          <w:lang w:eastAsia="zh-CN"/>
        </w:rPr>
        <w:t>。</w:t>
      </w:r>
    </w:p>
    <w:p w14:paraId="1E0A70BD">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e--在双绕射情况下两个绕射边界之间的距离，m</w:t>
      </w:r>
      <w:r>
        <w:rPr>
          <w:rFonts w:hint="eastAsia" w:ascii="Times New Roman" w:hAnsi="Times New Roman" w:eastAsia="宋体"/>
          <w:strike w:val="0"/>
          <w:dstrike w:val="0"/>
          <w:color w:val="auto"/>
          <w:highlight w:val="none"/>
          <w:lang w:eastAsia="zh-CN"/>
        </w:rPr>
        <w:t>。</w:t>
      </w:r>
    </w:p>
    <w:p w14:paraId="661839B5">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（相当于GB/T17247.2中的DZ）参照GB/T17247.2进行计算</w:t>
      </w:r>
      <w:r>
        <w:rPr>
          <w:rFonts w:hint="eastAsia" w:ascii="Times New Roman" w:hAnsi="Times New Roman" w:eastAsia="宋体"/>
          <w:strike w:val="0"/>
          <w:dstrike w:val="0"/>
          <w:color w:val="auto"/>
          <w:highlight w:val="none"/>
          <w:lang w:eastAsia="zh-CN"/>
        </w:rPr>
        <w:t>。</w:t>
      </w:r>
    </w:p>
    <w:p w14:paraId="2DBD32FE">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在任何频带上，屏障衰减A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在单绕射（即薄屏障）情况，衰减最大取20dB；屏障衰减A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在双绕射（即厚屏障）情况，衰减最大取25dB</w:t>
      </w:r>
      <w:r>
        <w:rPr>
          <w:rFonts w:hint="eastAsia" w:ascii="Times New Roman" w:hAnsi="Times New Roman" w:eastAsia="宋体"/>
          <w:strike w:val="0"/>
          <w:dstrike w:val="0"/>
          <w:color w:val="auto"/>
          <w:highlight w:val="none"/>
          <w:lang w:eastAsia="zh-CN"/>
        </w:rPr>
        <w:t>。</w:t>
      </w:r>
    </w:p>
    <w:p w14:paraId="61A3A2B9">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计算了屏障衰减后，不再考虑地面效应衰减</w:t>
      </w:r>
      <w:r>
        <w:rPr>
          <w:rFonts w:hint="eastAsia" w:ascii="Times New Roman" w:hAnsi="Times New Roman" w:eastAsia="宋体"/>
          <w:strike w:val="0"/>
          <w:dstrike w:val="0"/>
          <w:color w:val="auto"/>
          <w:highlight w:val="none"/>
          <w:lang w:eastAsia="zh-CN"/>
        </w:rPr>
        <w:t>。</w:t>
      </w:r>
    </w:p>
    <w:p w14:paraId="6F43BF7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3、防治措施</w:t>
      </w:r>
    </w:p>
    <w:p w14:paraId="23BF5AC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（1）在设备选型上，应引进质量过关、通过质量认定的低噪声生产设备，主要设备要标明噪声的标准值，使其噪声控制在80-85dB（A）以下；</w:t>
      </w:r>
    </w:p>
    <w:p w14:paraId="3578BE4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（2）新增设施基础加减振装置，以控制设备振动噪声；</w:t>
      </w:r>
    </w:p>
    <w:p w14:paraId="788ED050">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（3）养殖中心内合理布局，使高噪声机泵远离厂界</w:t>
      </w:r>
      <w:r>
        <w:rPr>
          <w:rFonts w:hint="eastAsia" w:ascii="Times New Roman" w:hAnsi="Times New Roman" w:eastAsia="宋体"/>
          <w:strike w:val="0"/>
          <w:dstrike w:val="0"/>
          <w:color w:val="auto"/>
          <w:highlight w:val="none"/>
          <w:lang w:eastAsia="zh-CN"/>
        </w:rPr>
        <w:t>。</w:t>
      </w:r>
    </w:p>
    <w:p w14:paraId="377D468D">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4、预测结果及结论</w:t>
      </w:r>
    </w:p>
    <w:p w14:paraId="7736B47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（1）预测结果</w:t>
      </w:r>
    </w:p>
    <w:p w14:paraId="32377F72">
      <w:pPr>
        <w:spacing w:line="500" w:lineRule="exact"/>
        <w:ind w:firstLine="504"/>
        <w:rPr>
          <w:rFonts w:hint="eastAsia" w:ascii="Times New Roman" w:hAnsi="Times New Roman" w:eastAsia="宋体"/>
          <w:strike w:val="0"/>
          <w:dstrike w:val="0"/>
          <w:color w:val="auto"/>
          <w:spacing w:val="6"/>
          <w:highlight w:val="none"/>
          <w:lang w:eastAsia="zh-CN"/>
        </w:rPr>
      </w:pPr>
      <w:r>
        <w:rPr>
          <w:rFonts w:ascii="Times New Roman" w:hAnsi="Times New Roman" w:eastAsia="宋体"/>
          <w:strike w:val="0"/>
          <w:dstrike w:val="0"/>
          <w:color w:val="auto"/>
          <w:spacing w:val="6"/>
          <w:highlight w:val="none"/>
        </w:rPr>
        <w:t>在采取防治措施情况下，</w:t>
      </w:r>
      <w:r>
        <w:rPr>
          <w:rFonts w:hint="eastAsia" w:ascii="Times New Roman" w:hAnsi="Times New Roman" w:eastAsia="宋体"/>
          <w:strike w:val="0"/>
          <w:dstrike w:val="0"/>
          <w:color w:val="auto"/>
          <w:spacing w:val="6"/>
          <w:highlight w:val="none"/>
        </w:rPr>
        <w:t>本项目运营期间</w:t>
      </w:r>
      <w:r>
        <w:rPr>
          <w:rFonts w:ascii="Times New Roman" w:hAnsi="Times New Roman" w:eastAsia="宋体"/>
          <w:strike w:val="0"/>
          <w:dstrike w:val="0"/>
          <w:color w:val="auto"/>
          <w:spacing w:val="6"/>
          <w:highlight w:val="none"/>
        </w:rPr>
        <w:t>噪声</w:t>
      </w:r>
      <w:r>
        <w:rPr>
          <w:rFonts w:hint="eastAsia" w:ascii="Times New Roman" w:hAnsi="Times New Roman" w:eastAsia="宋体"/>
          <w:strike w:val="0"/>
          <w:dstrike w:val="0"/>
          <w:color w:val="auto"/>
          <w:spacing w:val="6"/>
          <w:highlight w:val="none"/>
        </w:rPr>
        <w:t>对</w:t>
      </w:r>
      <w:r>
        <w:rPr>
          <w:rFonts w:ascii="Times New Roman" w:hAnsi="Times New Roman" w:eastAsia="宋体"/>
          <w:strike w:val="0"/>
          <w:dstrike w:val="0"/>
          <w:color w:val="auto"/>
          <w:spacing w:val="6"/>
          <w:highlight w:val="none"/>
        </w:rPr>
        <w:t>厂界噪声贡献</w:t>
      </w:r>
      <w:r>
        <w:rPr>
          <w:rFonts w:hint="eastAsia" w:ascii="Times New Roman" w:hAnsi="Times New Roman" w:eastAsia="宋体"/>
          <w:strike w:val="0"/>
          <w:dstrike w:val="0"/>
          <w:color w:val="auto"/>
          <w:spacing w:val="6"/>
          <w:highlight w:val="none"/>
        </w:rPr>
        <w:t>值按有限线声源公式计算</w:t>
      </w:r>
      <w:r>
        <w:rPr>
          <w:rFonts w:hint="eastAsia" w:ascii="Times New Roman" w:hAnsi="Times New Roman" w:eastAsia="宋体"/>
          <w:strike w:val="0"/>
          <w:dstrike w:val="0"/>
          <w:color w:val="auto"/>
          <w:spacing w:val="6"/>
          <w:highlight w:val="none"/>
          <w:lang w:eastAsia="zh-CN"/>
        </w:rPr>
        <w:t>：</w:t>
      </w:r>
    </w:p>
    <w:p w14:paraId="4564FECC">
      <w:pPr>
        <w:spacing w:line="240" w:lineRule="auto"/>
        <w:ind w:firstLine="480"/>
        <w:jc w:val="center"/>
        <w:rPr>
          <w:rFonts w:ascii="Times New Roman" w:hAnsi="Times New Roman" w:eastAsia="宋体"/>
          <w:strike w:val="0"/>
          <w:dstrike w:val="0"/>
          <w:color w:val="auto"/>
          <w:spacing w:val="6"/>
          <w:highlight w:val="none"/>
        </w:rPr>
      </w:pPr>
      <w:r>
        <w:rPr>
          <w:rFonts w:ascii="Times New Roman" w:hAnsi="Times New Roman" w:eastAsia="宋体"/>
          <w:strike w:val="0"/>
          <w:dstrike w:val="0"/>
          <w:color w:val="auto"/>
          <w:highlight w:val="none"/>
        </w:rPr>
        <w:drawing>
          <wp:inline distT="0" distB="0" distL="0" distR="0">
            <wp:extent cx="2502535" cy="4686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74"/>
                    <a:srcRect r="48254"/>
                    <a:stretch>
                      <a:fillRect/>
                    </a:stretch>
                  </pic:blipFill>
                  <pic:spPr>
                    <a:xfrm>
                      <a:off x="0" y="0"/>
                      <a:ext cx="2502535" cy="475352"/>
                    </a:xfrm>
                    <a:prstGeom prst="rect">
                      <a:avLst/>
                    </a:prstGeom>
                  </pic:spPr>
                </pic:pic>
              </a:graphicData>
            </a:graphic>
          </wp:inline>
        </w:drawing>
      </w:r>
    </w:p>
    <w:p w14:paraId="288A07DF">
      <w:pPr>
        <w:spacing w:line="500" w:lineRule="exact"/>
        <w:ind w:firstLine="504"/>
        <w:rPr>
          <w:rFonts w:hint="eastAsia" w:ascii="Times New Roman" w:hAnsi="Times New Roman" w:eastAsia="宋体"/>
          <w:strike w:val="0"/>
          <w:dstrike w:val="0"/>
          <w:color w:val="auto"/>
          <w:spacing w:val="6"/>
          <w:highlight w:val="none"/>
          <w:lang w:eastAsia="zh-CN"/>
        </w:rPr>
      </w:pPr>
      <w:r>
        <w:rPr>
          <w:rFonts w:hint="eastAsia" w:ascii="Times New Roman" w:hAnsi="Times New Roman" w:eastAsia="宋体"/>
          <w:strike w:val="0"/>
          <w:dstrike w:val="0"/>
          <w:color w:val="auto"/>
          <w:spacing w:val="6"/>
          <w:highlight w:val="none"/>
        </w:rPr>
        <w:t>计算结果</w:t>
      </w:r>
      <w:r>
        <w:rPr>
          <w:rFonts w:ascii="Times New Roman" w:hAnsi="Times New Roman" w:eastAsia="宋体"/>
          <w:strike w:val="0"/>
          <w:dstrike w:val="0"/>
          <w:color w:val="auto"/>
          <w:spacing w:val="6"/>
          <w:highlight w:val="none"/>
        </w:rPr>
        <w:t>见表5.2-</w:t>
      </w:r>
      <w:r>
        <w:rPr>
          <w:rFonts w:hint="eastAsia" w:ascii="Times New Roman" w:hAnsi="Times New Roman" w:eastAsia="宋体"/>
          <w:strike w:val="0"/>
          <w:dstrike w:val="0"/>
          <w:color w:val="auto"/>
          <w:spacing w:val="6"/>
          <w:highlight w:val="none"/>
          <w:lang w:val="en-US" w:eastAsia="zh-CN"/>
        </w:rPr>
        <w:t>19</w:t>
      </w:r>
      <w:r>
        <w:rPr>
          <w:rFonts w:hint="eastAsia" w:ascii="Times New Roman" w:hAnsi="Times New Roman" w:eastAsia="宋体"/>
          <w:strike w:val="0"/>
          <w:dstrike w:val="0"/>
          <w:color w:val="auto"/>
          <w:spacing w:val="6"/>
          <w:highlight w:val="none"/>
          <w:lang w:eastAsia="zh-CN"/>
        </w:rPr>
        <w:t>。</w:t>
      </w:r>
    </w:p>
    <w:p w14:paraId="3AE1A0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表5.2-19运营期厂界噪声预测值[dB（A）]</w:t>
      </w:r>
    </w:p>
    <w:tbl>
      <w:tblPr>
        <w:tblStyle w:val="39"/>
        <w:tblW w:w="4998" w:type="pct"/>
        <w:tblInd w:w="-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39"/>
        <w:gridCol w:w="1273"/>
        <w:gridCol w:w="1273"/>
        <w:gridCol w:w="1274"/>
        <w:gridCol w:w="1276"/>
        <w:gridCol w:w="1258"/>
      </w:tblGrid>
      <w:tr w14:paraId="3DE80E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vMerge w:val="restart"/>
            <w:noWrap w:val="0"/>
            <w:vAlign w:val="center"/>
          </w:tcPr>
          <w:p w14:paraId="36284DD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预测点位</w:t>
            </w:r>
          </w:p>
        </w:tc>
        <w:tc>
          <w:tcPr>
            <w:tcW w:w="1534" w:type="pct"/>
            <w:gridSpan w:val="2"/>
            <w:noWrap w:val="0"/>
            <w:vAlign w:val="center"/>
          </w:tcPr>
          <w:p w14:paraId="0C80C8A5">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贡献值</w:t>
            </w:r>
          </w:p>
        </w:tc>
        <w:tc>
          <w:tcPr>
            <w:tcW w:w="1537" w:type="pct"/>
            <w:gridSpan w:val="2"/>
            <w:noWrap w:val="0"/>
            <w:vAlign w:val="center"/>
          </w:tcPr>
          <w:p w14:paraId="043D715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标准值</w:t>
            </w:r>
          </w:p>
        </w:tc>
        <w:tc>
          <w:tcPr>
            <w:tcW w:w="758" w:type="pct"/>
            <w:vMerge w:val="restart"/>
            <w:noWrap w:val="0"/>
            <w:vAlign w:val="center"/>
          </w:tcPr>
          <w:p w14:paraId="166F29F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评价结果</w:t>
            </w:r>
          </w:p>
        </w:tc>
      </w:tr>
      <w:tr w14:paraId="278FAB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vMerge w:val="continue"/>
            <w:noWrap w:val="0"/>
            <w:vAlign w:val="center"/>
          </w:tcPr>
          <w:p w14:paraId="6E41F745">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p>
        </w:tc>
        <w:tc>
          <w:tcPr>
            <w:tcW w:w="767" w:type="pct"/>
            <w:noWrap w:val="0"/>
            <w:vAlign w:val="center"/>
          </w:tcPr>
          <w:p w14:paraId="0917E367">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昼间</w:t>
            </w:r>
          </w:p>
        </w:tc>
        <w:tc>
          <w:tcPr>
            <w:tcW w:w="767" w:type="pct"/>
            <w:noWrap w:val="0"/>
            <w:vAlign w:val="center"/>
          </w:tcPr>
          <w:p w14:paraId="1BE625E6">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夜间</w:t>
            </w:r>
          </w:p>
        </w:tc>
        <w:tc>
          <w:tcPr>
            <w:tcW w:w="768" w:type="pct"/>
            <w:noWrap w:val="0"/>
            <w:vAlign w:val="center"/>
          </w:tcPr>
          <w:p w14:paraId="5122335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昼间</w:t>
            </w:r>
          </w:p>
        </w:tc>
        <w:tc>
          <w:tcPr>
            <w:tcW w:w="768" w:type="pct"/>
            <w:noWrap w:val="0"/>
            <w:vAlign w:val="center"/>
          </w:tcPr>
          <w:p w14:paraId="0B6E1FB9">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夜间</w:t>
            </w:r>
          </w:p>
        </w:tc>
        <w:tc>
          <w:tcPr>
            <w:tcW w:w="758" w:type="pct"/>
            <w:vMerge w:val="continue"/>
            <w:noWrap w:val="0"/>
            <w:vAlign w:val="center"/>
          </w:tcPr>
          <w:p w14:paraId="595D1A6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p>
        </w:tc>
      </w:tr>
      <w:tr w14:paraId="3B819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8678CEE">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厂界东面</w:t>
            </w:r>
          </w:p>
        </w:tc>
        <w:tc>
          <w:tcPr>
            <w:tcW w:w="1307" w:type="dxa"/>
            <w:noWrap w:val="0"/>
            <w:vAlign w:val="center"/>
          </w:tcPr>
          <w:p w14:paraId="4B811470">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33.73</w:t>
            </w:r>
          </w:p>
        </w:tc>
        <w:tc>
          <w:tcPr>
            <w:tcW w:w="1307" w:type="dxa"/>
            <w:noWrap w:val="0"/>
            <w:vAlign w:val="center"/>
          </w:tcPr>
          <w:p w14:paraId="350229EC">
            <w:pPr>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31.92</w:t>
            </w:r>
          </w:p>
        </w:tc>
        <w:tc>
          <w:tcPr>
            <w:tcW w:w="768" w:type="pct"/>
            <w:noWrap w:val="0"/>
            <w:vAlign w:val="center"/>
          </w:tcPr>
          <w:p w14:paraId="50FD7C89">
            <w:pPr>
              <w:pStyle w:val="152"/>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C72DD93">
            <w:pPr>
              <w:pStyle w:val="152"/>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center"/>
          </w:tcPr>
          <w:p w14:paraId="33A9D2BA">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1D775C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0C1FB604">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厂界南面</w:t>
            </w:r>
          </w:p>
        </w:tc>
        <w:tc>
          <w:tcPr>
            <w:tcW w:w="1307" w:type="dxa"/>
            <w:noWrap w:val="0"/>
            <w:vAlign w:val="center"/>
          </w:tcPr>
          <w:p w14:paraId="46E34125">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38.41</w:t>
            </w:r>
          </w:p>
        </w:tc>
        <w:tc>
          <w:tcPr>
            <w:tcW w:w="1307" w:type="dxa"/>
            <w:noWrap w:val="0"/>
            <w:vAlign w:val="center"/>
          </w:tcPr>
          <w:p w14:paraId="3C1FC5F4">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eastAsia="zh-CN"/>
              </w:rPr>
            </w:pPr>
            <w:r>
              <w:rPr>
                <w:rFonts w:hint="eastAsia" w:ascii="Times New Roman" w:hAnsi="Times New Roman" w:eastAsia="宋体" w:cs="Times New Roman"/>
                <w:b w:val="0"/>
                <w:bCs w:val="0"/>
                <w:strike w:val="0"/>
                <w:dstrike w:val="0"/>
                <w:color w:val="auto"/>
                <w:szCs w:val="21"/>
                <w:highlight w:val="none"/>
                <w:lang w:val="en-US" w:eastAsia="zh-CN"/>
              </w:rPr>
              <w:t>37.39</w:t>
            </w:r>
          </w:p>
        </w:tc>
        <w:tc>
          <w:tcPr>
            <w:tcW w:w="1309" w:type="dxa"/>
            <w:noWrap w:val="0"/>
            <w:vAlign w:val="center"/>
          </w:tcPr>
          <w:p w14:paraId="02A72020">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ABC1683">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top"/>
          </w:tcPr>
          <w:p w14:paraId="09BFA236">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4FBDFD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CD3332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厂界西面</w:t>
            </w:r>
          </w:p>
        </w:tc>
        <w:tc>
          <w:tcPr>
            <w:tcW w:w="1307" w:type="dxa"/>
            <w:noWrap w:val="0"/>
            <w:vAlign w:val="center"/>
          </w:tcPr>
          <w:p w14:paraId="7060AC5C">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36.61</w:t>
            </w:r>
          </w:p>
        </w:tc>
        <w:tc>
          <w:tcPr>
            <w:tcW w:w="1307" w:type="dxa"/>
            <w:noWrap w:val="0"/>
            <w:vAlign w:val="center"/>
          </w:tcPr>
          <w:p w14:paraId="5B2B6F7A">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34.15</w:t>
            </w:r>
          </w:p>
        </w:tc>
        <w:tc>
          <w:tcPr>
            <w:tcW w:w="1309" w:type="dxa"/>
            <w:noWrap w:val="0"/>
            <w:vAlign w:val="center"/>
          </w:tcPr>
          <w:p w14:paraId="2236ABD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2DB863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center"/>
          </w:tcPr>
          <w:p w14:paraId="3CDEEB9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4B6657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66740A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厂界北面</w:t>
            </w:r>
          </w:p>
        </w:tc>
        <w:tc>
          <w:tcPr>
            <w:tcW w:w="1307" w:type="dxa"/>
            <w:noWrap w:val="0"/>
            <w:vAlign w:val="center"/>
          </w:tcPr>
          <w:p w14:paraId="5939B7F1">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43.32</w:t>
            </w:r>
          </w:p>
        </w:tc>
        <w:tc>
          <w:tcPr>
            <w:tcW w:w="1307" w:type="dxa"/>
            <w:noWrap w:val="0"/>
            <w:vAlign w:val="center"/>
          </w:tcPr>
          <w:p w14:paraId="5850AF87">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35.10</w:t>
            </w:r>
          </w:p>
        </w:tc>
        <w:tc>
          <w:tcPr>
            <w:tcW w:w="1309" w:type="dxa"/>
            <w:noWrap w:val="0"/>
            <w:vAlign w:val="center"/>
          </w:tcPr>
          <w:p w14:paraId="1BA17204">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D0EF25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top"/>
          </w:tcPr>
          <w:p w14:paraId="4738E6B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bl>
    <w:p w14:paraId="2168F79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（2）结论</w:t>
      </w:r>
    </w:p>
    <w:p w14:paraId="15FF884F">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根据预测结果，项目</w:t>
      </w:r>
      <w:r>
        <w:rPr>
          <w:rFonts w:hint="eastAsia" w:ascii="Times New Roman" w:hAnsi="Times New Roman" w:eastAsia="宋体"/>
          <w:strike w:val="0"/>
          <w:dstrike w:val="0"/>
          <w:color w:val="auto"/>
          <w:highlight w:val="none"/>
        </w:rPr>
        <w:t>厂界</w:t>
      </w:r>
      <w:r>
        <w:rPr>
          <w:rFonts w:ascii="Times New Roman" w:hAnsi="Times New Roman" w:eastAsia="宋体"/>
          <w:strike w:val="0"/>
          <w:dstrike w:val="0"/>
          <w:color w:val="auto"/>
          <w:highlight w:val="none"/>
        </w:rPr>
        <w:t>环境噪声能够满足</w:t>
      </w:r>
      <w:r>
        <w:rPr>
          <w:rFonts w:hint="eastAsia" w:ascii="Times New Roman" w:hAnsi="Times New Roman" w:eastAsia="宋体"/>
          <w:strike w:val="0"/>
          <w:dstrike w:val="0"/>
          <w:color w:val="auto"/>
          <w:highlight w:val="none"/>
        </w:rPr>
        <w:t>《工业企业厂界环境噪声排放标准》（GB12348-2008）表1中的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类声环境功能区标准限值</w:t>
      </w:r>
      <w:r>
        <w:rPr>
          <w:rFonts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0F82E711">
      <w:pPr>
        <w:pStyle w:val="4"/>
        <w:rPr>
          <w:rFonts w:ascii="Times New Roman" w:hAnsi="Times New Roman" w:eastAsia="宋体"/>
          <w:strike w:val="0"/>
          <w:dstrike w:val="0"/>
          <w:color w:val="auto"/>
          <w:highlight w:val="none"/>
        </w:rPr>
      </w:pPr>
      <w:bookmarkStart w:id="256" w:name="_Toc29796"/>
      <w:bookmarkStart w:id="257" w:name="_Toc106663503"/>
      <w:r>
        <w:rPr>
          <w:rFonts w:hint="eastAsia" w:ascii="Times New Roman" w:hAnsi="Times New Roman" w:eastAsia="宋体"/>
          <w:strike w:val="0"/>
          <w:dstrike w:val="0"/>
          <w:color w:val="auto"/>
          <w:highlight w:val="none"/>
        </w:rPr>
        <w:t>5.2.4固体废弃物影响分析</w:t>
      </w:r>
      <w:bookmarkEnd w:id="256"/>
      <w:bookmarkEnd w:id="257"/>
    </w:p>
    <w:p w14:paraId="3128FD12">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本项目产生的固体废物主要为</w:t>
      </w:r>
      <w:r>
        <w:rPr>
          <w:rFonts w:hint="eastAsia" w:ascii="Times New Roman" w:hAnsi="Times New Roman" w:eastAsia="宋体" w:cs="宋体"/>
          <w:strike w:val="0"/>
          <w:dstrike w:val="0"/>
          <w:color w:val="auto"/>
          <w:spacing w:val="0"/>
          <w:kern w:val="0"/>
          <w:sz w:val="24"/>
          <w:szCs w:val="24"/>
          <w:highlight w:val="none"/>
          <w:lang w:eastAsia="zh-CN"/>
        </w:rPr>
        <w:t>骆驼粪便</w:t>
      </w:r>
      <w:r>
        <w:rPr>
          <w:rFonts w:ascii="Times New Roman" w:hAnsi="Times New Roman" w:eastAsia="宋体" w:cs="宋体"/>
          <w:strike w:val="0"/>
          <w:dstrike w:val="0"/>
          <w:color w:val="auto"/>
          <w:spacing w:val="0"/>
          <w:kern w:val="0"/>
          <w:sz w:val="24"/>
          <w:szCs w:val="24"/>
          <w:highlight w:val="none"/>
        </w:rPr>
        <w:t>、病死</w:t>
      </w:r>
      <w:r>
        <w:rPr>
          <w:rFonts w:hint="eastAsia" w:ascii="Times New Roman" w:hAnsi="Times New Roman" w:eastAsia="宋体" w:cs="宋体"/>
          <w:strike w:val="0"/>
          <w:dstrike w:val="0"/>
          <w:color w:val="auto"/>
          <w:spacing w:val="0"/>
          <w:kern w:val="0"/>
          <w:sz w:val="24"/>
          <w:szCs w:val="24"/>
          <w:highlight w:val="none"/>
          <w:lang w:eastAsia="zh-CN"/>
        </w:rPr>
        <w:t>骆驼</w:t>
      </w:r>
      <w:r>
        <w:rPr>
          <w:rFonts w:ascii="Times New Roman" w:hAnsi="Times New Roman" w:eastAsia="宋体" w:cs="宋体"/>
          <w:strike w:val="0"/>
          <w:dstrike w:val="0"/>
          <w:color w:val="auto"/>
          <w:spacing w:val="0"/>
          <w:kern w:val="0"/>
          <w:sz w:val="24"/>
          <w:szCs w:val="24"/>
          <w:highlight w:val="none"/>
        </w:rPr>
        <w:t>、</w:t>
      </w:r>
      <w:r>
        <w:rPr>
          <w:rFonts w:hint="eastAsia" w:ascii="Times New Roman" w:hAnsi="Times New Roman" w:eastAsia="宋体" w:cs="宋体"/>
          <w:strike w:val="0"/>
          <w:dstrike w:val="0"/>
          <w:color w:val="auto"/>
          <w:spacing w:val="0"/>
          <w:kern w:val="0"/>
          <w:sz w:val="24"/>
          <w:szCs w:val="24"/>
          <w:highlight w:val="none"/>
          <w:lang w:val="en-US" w:eastAsia="zh-CN"/>
        </w:rPr>
        <w:t>分娩废弃物（胎衣、死胎、胎盘附属物）、</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废弃包装物、生活垃圾、医疗废物</w:t>
      </w: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各类固体废物如果收集、贮放等处理不当，会造成土壤、地下水等污染，从而形成二次污染问题</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因此，必须对固体废物做到妥善的管理和处置</w:t>
      </w:r>
      <w:r>
        <w:rPr>
          <w:rFonts w:hint="eastAsia" w:ascii="Times New Roman" w:hAnsi="Times New Roman" w:eastAsia="宋体" w:cs="宋体"/>
          <w:strike w:val="0"/>
          <w:dstrike w:val="0"/>
          <w:color w:val="auto"/>
          <w:spacing w:val="0"/>
          <w:kern w:val="0"/>
          <w:sz w:val="24"/>
          <w:szCs w:val="24"/>
          <w:highlight w:val="none"/>
          <w:lang w:eastAsia="zh-CN"/>
        </w:rPr>
        <w:t>。</w:t>
      </w:r>
    </w:p>
    <w:p w14:paraId="51B1636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1</w:t>
      </w:r>
      <w:r>
        <w:rPr>
          <w:rFonts w:hint="eastAsia" w:ascii="Times New Roman" w:hAnsi="Times New Roman" w:eastAsia="宋体" w:cs="宋体"/>
          <w:strike w:val="0"/>
          <w:dstrike w:val="0"/>
          <w:color w:val="auto"/>
          <w:spacing w:val="0"/>
          <w:kern w:val="0"/>
          <w:sz w:val="24"/>
          <w:szCs w:val="24"/>
          <w:highlight w:val="none"/>
          <w:lang w:eastAsia="zh-CN"/>
        </w:rPr>
        <w:t>）骆驼粪便</w:t>
      </w:r>
    </w:p>
    <w:p w14:paraId="11524B49">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default"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eastAsia="zh-CN"/>
        </w:rPr>
        <w:t>骆驼</w:t>
      </w:r>
      <w:r>
        <w:rPr>
          <w:rFonts w:hint="eastAsia" w:ascii="Times New Roman" w:hAnsi="Times New Roman" w:eastAsia="宋体" w:cs="宋体"/>
          <w:strike w:val="0"/>
          <w:dstrike w:val="0"/>
          <w:color w:val="auto"/>
          <w:spacing w:val="0"/>
          <w:kern w:val="0"/>
          <w:sz w:val="24"/>
          <w:szCs w:val="24"/>
          <w:highlight w:val="none"/>
          <w:lang w:val="en-US" w:eastAsia="zh-CN"/>
        </w:rPr>
        <w:t>粪便定期清运至堆肥场，经过处理后作为有机肥外售。</w:t>
      </w:r>
    </w:p>
    <w:p w14:paraId="57B24AD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2</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病死</w:t>
      </w:r>
      <w:r>
        <w:rPr>
          <w:rFonts w:hint="eastAsia" w:ascii="Times New Roman" w:hAnsi="Times New Roman" w:eastAsia="宋体" w:cs="宋体"/>
          <w:strike w:val="0"/>
          <w:dstrike w:val="0"/>
          <w:color w:val="auto"/>
          <w:spacing w:val="0"/>
          <w:kern w:val="0"/>
          <w:sz w:val="24"/>
          <w:szCs w:val="24"/>
          <w:highlight w:val="none"/>
          <w:lang w:eastAsia="zh-CN"/>
        </w:rPr>
        <w:t>骆驼、</w:t>
      </w:r>
      <w:r>
        <w:rPr>
          <w:rFonts w:hint="eastAsia" w:ascii="Times New Roman" w:hAnsi="Times New Roman" w:eastAsia="宋体" w:cs="宋体"/>
          <w:strike w:val="0"/>
          <w:dstrike w:val="0"/>
          <w:color w:val="auto"/>
          <w:spacing w:val="0"/>
          <w:kern w:val="0"/>
          <w:sz w:val="24"/>
          <w:szCs w:val="24"/>
          <w:highlight w:val="none"/>
          <w:lang w:val="en-US" w:eastAsia="zh-CN"/>
        </w:rPr>
        <w:t>分娩废弃物（胎衣、死胎、胎盘附属物）</w:t>
      </w:r>
    </w:p>
    <w:p w14:paraId="7C3002D0">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根据环办函</w:t>
      </w:r>
      <w:r>
        <w:rPr>
          <w:rFonts w:hint="eastAsia" w:ascii="Times New Roman" w:hAnsi="Times New Roman" w:eastAsia="宋体" w:cs="宋体"/>
          <w:strike w:val="0"/>
          <w:dstrike w:val="0"/>
          <w:color w:val="auto"/>
          <w:spacing w:val="0"/>
          <w:kern w:val="0"/>
          <w:sz w:val="24"/>
          <w:szCs w:val="24"/>
          <w:highlight w:val="none"/>
          <w:lang w:eastAsia="zh-CN"/>
        </w:rPr>
        <w:t>〔2014〕789号</w:t>
      </w:r>
      <w:r>
        <w:rPr>
          <w:rFonts w:ascii="Times New Roman" w:hAnsi="Times New Roman" w:eastAsia="宋体" w:cs="宋体"/>
          <w:strike w:val="0"/>
          <w:dstrike w:val="0"/>
          <w:color w:val="auto"/>
          <w:spacing w:val="0"/>
          <w:kern w:val="0"/>
          <w:sz w:val="24"/>
          <w:szCs w:val="24"/>
          <w:highlight w:val="none"/>
        </w:rPr>
        <w:t>文《关于病害动物无害化处理有关意见的复函》：</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病害动物无害化处理项目由农业部门按照有关法律法规和技术规范进行监管，可以实现病害动物无害化处理和环境污染防控的目的，不宜再认定为危险废物集中处置项目</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病害动物的无害化处理应执行《中华人民共和国动物防疫法》</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eastAsia="zh-CN"/>
        </w:rPr>
        <w:t>。</w:t>
      </w:r>
    </w:p>
    <w:p w14:paraId="5E74EBD0">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olor w:val="auto"/>
          <w:highlight w:val="none"/>
          <w:lang w:val="en-US" w:eastAsia="zh-CN"/>
        </w:rPr>
      </w:pPr>
      <w:r>
        <w:rPr>
          <w:rFonts w:ascii="Times New Roman" w:hAnsi="Times New Roman" w:eastAsia="宋体" w:cs="宋体"/>
          <w:strike w:val="0"/>
          <w:dstrike w:val="0"/>
          <w:color w:val="auto"/>
          <w:spacing w:val="0"/>
          <w:kern w:val="0"/>
          <w:sz w:val="24"/>
          <w:szCs w:val="24"/>
          <w:highlight w:val="none"/>
        </w:rPr>
        <w:t>根据《畜禽养殖业污染防治技术规范》</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HJ/T81-2001</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和《病死及病害动物无害化处理技术规范》</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农医发</w:t>
      </w:r>
      <w:r>
        <w:rPr>
          <w:rFonts w:hint="eastAsia" w:ascii="Times New Roman" w:hAnsi="Times New Roman" w:eastAsia="宋体" w:cs="宋体"/>
          <w:strike w:val="0"/>
          <w:dstrike w:val="0"/>
          <w:color w:val="auto"/>
          <w:spacing w:val="0"/>
          <w:kern w:val="0"/>
          <w:sz w:val="24"/>
          <w:szCs w:val="24"/>
          <w:highlight w:val="none"/>
          <w:lang w:eastAsia="zh-CN"/>
        </w:rPr>
        <w:t>〔2017〕25号）</w:t>
      </w:r>
      <w:r>
        <w:rPr>
          <w:rFonts w:ascii="Times New Roman" w:hAnsi="Times New Roman" w:eastAsia="宋体" w:cs="宋体"/>
          <w:strike w:val="0"/>
          <w:dstrike w:val="0"/>
          <w:color w:val="auto"/>
          <w:spacing w:val="0"/>
          <w:kern w:val="0"/>
          <w:sz w:val="24"/>
          <w:szCs w:val="24"/>
          <w:highlight w:val="none"/>
        </w:rPr>
        <w:t>中无害化处置要求，</w:t>
      </w:r>
      <w:r>
        <w:rPr>
          <w:rFonts w:hint="eastAsia" w:ascii="Times New Roman" w:hAnsi="Times New Roman" w:eastAsia="宋体" w:cs="宋体"/>
          <w:strike w:val="0"/>
          <w:dstrike w:val="0"/>
          <w:color w:val="auto"/>
          <w:spacing w:val="0"/>
          <w:kern w:val="0"/>
          <w:sz w:val="24"/>
          <w:szCs w:val="24"/>
          <w:highlight w:val="none"/>
        </w:rPr>
        <w:t>本环评要求病死骆驼按照要求委托有资质的第三方处置</w:t>
      </w:r>
      <w:r>
        <w:rPr>
          <w:rFonts w:hint="eastAsia" w:ascii="Times New Roman" w:hAnsi="Times New Roman" w:eastAsia="宋体" w:cs="宋体"/>
          <w:strike w:val="0"/>
          <w:dstrike w:val="0"/>
          <w:color w:val="auto"/>
          <w:spacing w:val="0"/>
          <w:kern w:val="0"/>
          <w:sz w:val="24"/>
          <w:szCs w:val="24"/>
          <w:highlight w:val="none"/>
          <w:lang w:val="en-US" w:eastAsia="zh-CN"/>
        </w:rPr>
        <w:t>。</w:t>
      </w:r>
    </w:p>
    <w:p w14:paraId="4533971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3</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w:t>
      </w:r>
    </w:p>
    <w:p w14:paraId="0D75BE2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val="en-US" w:eastAsia="zh-CN"/>
        </w:rPr>
        <w:t>本项目挤奶过程中会产生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外购饲料会产生废包装袋，集中收集后进行外售</w:t>
      </w:r>
      <w:r>
        <w:rPr>
          <w:rFonts w:hint="eastAsia" w:ascii="Times New Roman" w:hAnsi="Times New Roman" w:eastAsia="宋体" w:cs="宋体"/>
          <w:strike w:val="0"/>
          <w:dstrike w:val="0"/>
          <w:color w:val="auto"/>
          <w:spacing w:val="0"/>
          <w:kern w:val="0"/>
          <w:sz w:val="24"/>
          <w:szCs w:val="24"/>
          <w:highlight w:val="none"/>
          <w:lang w:eastAsia="zh-CN"/>
        </w:rPr>
        <w:t>。</w:t>
      </w:r>
    </w:p>
    <w:p w14:paraId="294C361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4</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生活垃圾</w:t>
      </w:r>
    </w:p>
    <w:p w14:paraId="0A6F1885">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本项目职工人数为</w:t>
      </w:r>
      <w:r>
        <w:rPr>
          <w:rFonts w:hint="eastAsia" w:ascii="Times New Roman" w:hAnsi="Times New Roman" w:eastAsia="宋体" w:cs="Times New Roman"/>
          <w:strike w:val="0"/>
          <w:dstrike w:val="0"/>
          <w:color w:val="auto"/>
          <w:spacing w:val="0"/>
          <w:sz w:val="24"/>
          <w:szCs w:val="24"/>
          <w:highlight w:val="none"/>
          <w:lang w:val="en-US" w:eastAsia="zh-CN"/>
        </w:rPr>
        <w:t>50</w:t>
      </w:r>
      <w:r>
        <w:rPr>
          <w:rFonts w:ascii="Times New Roman" w:hAnsi="Times New Roman" w:eastAsia="宋体" w:cs="宋体"/>
          <w:strike w:val="0"/>
          <w:dstrike w:val="0"/>
          <w:color w:val="auto"/>
          <w:spacing w:val="0"/>
          <w:sz w:val="24"/>
          <w:szCs w:val="24"/>
          <w:highlight w:val="none"/>
        </w:rPr>
        <w:t>人，年工作</w:t>
      </w:r>
      <w:r>
        <w:rPr>
          <w:rFonts w:ascii="Times New Roman" w:hAnsi="Times New Roman" w:eastAsia="宋体" w:cs="Times New Roman"/>
          <w:strike w:val="0"/>
          <w:dstrike w:val="0"/>
          <w:color w:val="auto"/>
          <w:spacing w:val="0"/>
          <w:sz w:val="24"/>
          <w:szCs w:val="24"/>
          <w:highlight w:val="none"/>
        </w:rPr>
        <w:t>365</w:t>
      </w:r>
      <w:r>
        <w:rPr>
          <w:rFonts w:ascii="Times New Roman" w:hAnsi="Times New Roman" w:eastAsia="宋体" w:cs="宋体"/>
          <w:strike w:val="0"/>
          <w:dstrike w:val="0"/>
          <w:color w:val="auto"/>
          <w:spacing w:val="0"/>
          <w:sz w:val="24"/>
          <w:szCs w:val="24"/>
          <w:highlight w:val="none"/>
        </w:rPr>
        <w:t>天，生活垃圾按</w:t>
      </w:r>
      <w:r>
        <w:rPr>
          <w:rFonts w:ascii="Times New Roman" w:hAnsi="Times New Roman" w:eastAsia="宋体" w:cs="Times New Roman"/>
          <w:strike w:val="0"/>
          <w:dstrike w:val="0"/>
          <w:color w:val="auto"/>
          <w:spacing w:val="0"/>
          <w:sz w:val="24"/>
          <w:szCs w:val="24"/>
          <w:highlight w:val="none"/>
        </w:rPr>
        <w:t>0.5kg/</w:t>
      </w:r>
      <w:r>
        <w:rPr>
          <w:rFonts w:ascii="Times New Roman" w:hAnsi="Times New Roman" w:eastAsia="宋体" w:cs="宋体"/>
          <w:strike w:val="0"/>
          <w:dstrike w:val="0"/>
          <w:color w:val="auto"/>
          <w:spacing w:val="0"/>
          <w:sz w:val="24"/>
          <w:szCs w:val="24"/>
          <w:highlight w:val="none"/>
        </w:rPr>
        <w:t>人</w:t>
      </w:r>
      <w:r>
        <w:rPr>
          <w:rFonts w:ascii="Times New Roman" w:hAnsi="Times New Roman" w:eastAsia="宋体" w:cs="Times New Roman"/>
          <w:strike w:val="0"/>
          <w:dstrike w:val="0"/>
          <w:color w:val="auto"/>
          <w:spacing w:val="0"/>
          <w:sz w:val="24"/>
          <w:szCs w:val="24"/>
          <w:highlight w:val="none"/>
        </w:rPr>
        <w:t>·d</w:t>
      </w:r>
      <w:r>
        <w:rPr>
          <w:rFonts w:ascii="Times New Roman" w:hAnsi="Times New Roman" w:eastAsia="宋体" w:cs="宋体"/>
          <w:strike w:val="0"/>
          <w:dstrike w:val="0"/>
          <w:color w:val="auto"/>
          <w:spacing w:val="0"/>
          <w:sz w:val="24"/>
          <w:szCs w:val="24"/>
          <w:highlight w:val="none"/>
        </w:rPr>
        <w:t>计，生活垃圾产生量为</w:t>
      </w:r>
      <w:r>
        <w:rPr>
          <w:rFonts w:hint="eastAsia" w:ascii="Times New Roman" w:hAnsi="Times New Roman" w:eastAsia="宋体" w:cs="Times New Roman"/>
          <w:strike w:val="0"/>
          <w:dstrike w:val="0"/>
          <w:color w:val="auto"/>
          <w:spacing w:val="0"/>
          <w:sz w:val="24"/>
          <w:szCs w:val="24"/>
          <w:highlight w:val="none"/>
          <w:lang w:val="en-US" w:eastAsia="zh-CN"/>
        </w:rPr>
        <w:t>25</w:t>
      </w:r>
      <w:r>
        <w:rPr>
          <w:rFonts w:ascii="Times New Roman" w:hAnsi="Times New Roman" w:eastAsia="宋体" w:cs="Times New Roman"/>
          <w:strike w:val="0"/>
          <w:dstrike w:val="0"/>
          <w:color w:val="auto"/>
          <w:spacing w:val="0"/>
          <w:sz w:val="24"/>
          <w:szCs w:val="24"/>
          <w:highlight w:val="none"/>
        </w:rPr>
        <w:t>kg/d</w:t>
      </w:r>
      <w:r>
        <w:rPr>
          <w:rFonts w:ascii="Times New Roman" w:hAnsi="Times New Roman" w:eastAsia="宋体" w:cs="宋体"/>
          <w:strike w:val="0"/>
          <w:dstrike w:val="0"/>
          <w:color w:val="auto"/>
          <w:spacing w:val="0"/>
          <w:sz w:val="24"/>
          <w:szCs w:val="24"/>
          <w:highlight w:val="none"/>
        </w:rPr>
        <w:t>，即</w:t>
      </w:r>
      <w:r>
        <w:rPr>
          <w:rFonts w:hint="eastAsia" w:ascii="Times New Roman" w:hAnsi="Times New Roman" w:eastAsia="宋体" w:cs="Times New Roman"/>
          <w:strike w:val="0"/>
          <w:dstrike w:val="0"/>
          <w:color w:val="auto"/>
          <w:spacing w:val="0"/>
          <w:sz w:val="24"/>
          <w:szCs w:val="24"/>
          <w:highlight w:val="none"/>
          <w:lang w:val="en-US" w:eastAsia="zh-CN"/>
        </w:rPr>
        <w:t>9.125</w:t>
      </w:r>
      <w:r>
        <w:rPr>
          <w:rFonts w:ascii="Times New Roman" w:hAnsi="Times New Roman" w:eastAsia="宋体" w:cs="Times New Roman"/>
          <w:strike w:val="0"/>
          <w:dstrike w:val="0"/>
          <w:color w:val="auto"/>
          <w:spacing w:val="0"/>
          <w:sz w:val="24"/>
          <w:szCs w:val="24"/>
          <w:highlight w:val="none"/>
        </w:rPr>
        <w:t>t/a</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生活垃圾集中收集由当地环卫部门处置</w:t>
      </w:r>
      <w:r>
        <w:rPr>
          <w:rFonts w:hint="eastAsia" w:ascii="Times New Roman" w:hAnsi="Times New Roman" w:eastAsia="宋体" w:cs="宋体"/>
          <w:strike w:val="0"/>
          <w:dstrike w:val="0"/>
          <w:color w:val="auto"/>
          <w:spacing w:val="0"/>
          <w:kern w:val="0"/>
          <w:sz w:val="24"/>
          <w:szCs w:val="24"/>
          <w:highlight w:val="none"/>
          <w:lang w:eastAsia="zh-CN"/>
        </w:rPr>
        <w:t>。</w:t>
      </w:r>
    </w:p>
    <w:p w14:paraId="12DBC7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val="en-US" w:eastAsia="zh-CN" w:bidi="ar-SA"/>
        </w:rPr>
        <w:t>（5）</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p>
    <w:p w14:paraId="6D9C3431">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highlight w:val="none"/>
        </w:rPr>
      </w:pPr>
      <w:r>
        <w:rPr>
          <w:rFonts w:hint="eastAsia" w:ascii="Times New Roman" w:hAnsi="Times New Roman" w:eastAsia="宋体" w:cs="宋体"/>
          <w:color w:val="auto"/>
          <w:kern w:val="0"/>
          <w:sz w:val="24"/>
          <w:highlight w:val="none"/>
          <w:lang w:val="en-US" w:eastAsia="zh-CN" w:bidi="ar"/>
        </w:rPr>
        <w:t>本</w:t>
      </w:r>
      <w:r>
        <w:rPr>
          <w:rFonts w:hint="eastAsia" w:ascii="Times New Roman" w:hAnsi="Times New Roman" w:eastAsia="宋体" w:cs="宋体"/>
          <w:color w:val="auto"/>
          <w:kern w:val="0"/>
          <w:sz w:val="24"/>
          <w:highlight w:val="none"/>
          <w:lang w:bidi="ar"/>
        </w:rPr>
        <w:t>项目拟自建</w:t>
      </w:r>
      <w:r>
        <w:rPr>
          <w:rFonts w:hint="eastAsia" w:ascii="Times New Roman" w:hAnsi="Times New Roman" w:eastAsia="宋体"/>
          <w:color w:val="auto"/>
          <w:kern w:val="0"/>
          <w:sz w:val="24"/>
          <w:highlight w:val="none"/>
          <w:lang w:bidi="ar"/>
        </w:rPr>
        <w:t>1</w:t>
      </w:r>
      <w:r>
        <w:rPr>
          <w:rFonts w:hint="eastAsia" w:ascii="Times New Roman" w:hAnsi="Times New Roman" w:eastAsia="宋体" w:cs="宋体"/>
          <w:color w:val="auto"/>
          <w:kern w:val="0"/>
          <w:sz w:val="24"/>
          <w:highlight w:val="none"/>
          <w:lang w:bidi="ar"/>
        </w:rPr>
        <w:t>座黑膜池用于处理生产废水，正常工况下污水处理量为</w:t>
      </w:r>
      <w:r>
        <w:rPr>
          <w:rFonts w:hint="eastAsia" w:ascii="Times New Roman" w:hAnsi="Times New Roman" w:eastAsia="宋体"/>
          <w:color w:val="auto"/>
          <w:kern w:val="0"/>
          <w:sz w:val="24"/>
          <w:highlight w:val="none"/>
          <w:lang w:val="en-US" w:eastAsia="zh-CN" w:bidi="ar"/>
        </w:rPr>
        <w:t>2511.2</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bidi="ar"/>
        </w:rPr>
        <w:t>，污泥产生量按污水量的</w:t>
      </w:r>
      <w:r>
        <w:rPr>
          <w:rFonts w:ascii="Times New Roman" w:hAnsi="Times New Roman" w:eastAsia="宋体"/>
          <w:color w:val="auto"/>
          <w:kern w:val="0"/>
          <w:sz w:val="24"/>
          <w:highlight w:val="none"/>
          <w:lang w:bidi="ar"/>
        </w:rPr>
        <w:t>0.3‰</w:t>
      </w:r>
      <w:r>
        <w:rPr>
          <w:rFonts w:hint="eastAsia" w:ascii="Times New Roman" w:hAnsi="Times New Roman" w:eastAsia="宋体" w:cs="宋体"/>
          <w:color w:val="auto"/>
          <w:kern w:val="0"/>
          <w:sz w:val="24"/>
          <w:highlight w:val="none"/>
          <w:lang w:bidi="ar"/>
        </w:rPr>
        <w:t>核算（污水停留时间很长，大部分污泥已消化分解）</w:t>
      </w:r>
      <w:r>
        <w:rPr>
          <w:rFonts w:hint="eastAsia" w:ascii="Times New Roman" w:hAnsi="Times New Roman" w:eastAsia="宋体"/>
          <w:color w:val="auto"/>
          <w:kern w:val="0"/>
          <w:sz w:val="24"/>
          <w:highlight w:val="none"/>
          <w:lang w:eastAsia="zh-CN" w:bidi="ar"/>
        </w:rPr>
        <w:t>，污泥</w:t>
      </w:r>
      <w:r>
        <w:rPr>
          <w:rFonts w:hint="eastAsia" w:ascii="Times New Roman" w:hAnsi="Times New Roman" w:eastAsia="宋体"/>
          <w:color w:val="auto"/>
          <w:kern w:val="0"/>
          <w:sz w:val="24"/>
          <w:highlight w:val="none"/>
          <w:lang w:val="en-US" w:eastAsia="zh-CN" w:bidi="ar"/>
        </w:rPr>
        <w:t>产生量7.53</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eastAsia="zh-CN" w:bidi="ar"/>
        </w:rPr>
        <w:t>，</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highlight w:val="none"/>
          <w:lang w:bidi="ar"/>
        </w:rPr>
        <w:t>。</w:t>
      </w:r>
    </w:p>
    <w:p w14:paraId="2ED474A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6</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医疗废物</w:t>
      </w:r>
    </w:p>
    <w:p w14:paraId="41C17F41">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本项目对</w:t>
      </w:r>
      <w:r>
        <w:rPr>
          <w:rFonts w:hint="eastAsia" w:ascii="Times New Roman" w:hAnsi="Times New Roman" w:eastAsia="宋体" w:cs="宋体"/>
          <w:strike w:val="0"/>
          <w:dstrike w:val="0"/>
          <w:color w:val="auto"/>
          <w:spacing w:val="0"/>
          <w:kern w:val="0"/>
          <w:sz w:val="24"/>
          <w:szCs w:val="24"/>
          <w:highlight w:val="none"/>
          <w:lang w:eastAsia="zh-CN"/>
        </w:rPr>
        <w:t>骆驼</w:t>
      </w:r>
      <w:r>
        <w:rPr>
          <w:rFonts w:ascii="Times New Roman" w:hAnsi="Times New Roman" w:eastAsia="宋体" w:cs="宋体"/>
          <w:strike w:val="0"/>
          <w:dstrike w:val="0"/>
          <w:color w:val="auto"/>
          <w:spacing w:val="0"/>
          <w:kern w:val="0"/>
          <w:sz w:val="24"/>
          <w:szCs w:val="24"/>
          <w:highlight w:val="none"/>
        </w:rPr>
        <w:t>进行防疫、治疗过程中产生少量废弃药品、废针管等，产生量约为</w:t>
      </w:r>
      <w:r>
        <w:rPr>
          <w:rFonts w:ascii="Times New Roman" w:hAnsi="Times New Roman" w:eastAsia="宋体" w:cs="Times New Roman"/>
          <w:strike w:val="0"/>
          <w:dstrike w:val="0"/>
          <w:color w:val="auto"/>
          <w:spacing w:val="0"/>
          <w:kern w:val="0"/>
          <w:sz w:val="24"/>
          <w:szCs w:val="24"/>
          <w:highlight w:val="none"/>
        </w:rPr>
        <w:t>0.03t/a</w:t>
      </w:r>
      <w:r>
        <w:rPr>
          <w:rFonts w:ascii="Times New Roman" w:hAnsi="Times New Roman" w:eastAsia="宋体" w:cs="宋体"/>
          <w:strike w:val="0"/>
          <w:dstrike w:val="0"/>
          <w:color w:val="auto"/>
          <w:spacing w:val="0"/>
          <w:kern w:val="0"/>
          <w:sz w:val="24"/>
          <w:szCs w:val="24"/>
          <w:highlight w:val="none"/>
        </w:rPr>
        <w:t>，医疗废物属于</w:t>
      </w:r>
      <w:r>
        <w:rPr>
          <w:rFonts w:ascii="Times New Roman" w:hAnsi="Times New Roman" w:eastAsia="宋体" w:cs="Times New Roman"/>
          <w:strike w:val="0"/>
          <w:dstrike w:val="0"/>
          <w:color w:val="auto"/>
          <w:spacing w:val="0"/>
          <w:kern w:val="0"/>
          <w:sz w:val="24"/>
          <w:szCs w:val="24"/>
          <w:highlight w:val="none"/>
        </w:rPr>
        <w:t>HW01</w:t>
      </w:r>
      <w:r>
        <w:rPr>
          <w:rFonts w:ascii="Times New Roman" w:hAnsi="Times New Roman" w:eastAsia="宋体" w:cs="宋体"/>
          <w:strike w:val="0"/>
          <w:dstrike w:val="0"/>
          <w:color w:val="auto"/>
          <w:spacing w:val="0"/>
          <w:kern w:val="0"/>
          <w:sz w:val="24"/>
          <w:szCs w:val="24"/>
          <w:highlight w:val="none"/>
        </w:rPr>
        <w:t>类危险废物，储存于</w:t>
      </w:r>
      <w:r>
        <w:rPr>
          <w:rFonts w:hint="eastAsia" w:ascii="Times New Roman" w:hAnsi="Times New Roman" w:eastAsia="宋体" w:cs="宋体"/>
          <w:strike w:val="0"/>
          <w:dstrike w:val="0"/>
          <w:color w:val="auto"/>
          <w:spacing w:val="0"/>
          <w:kern w:val="0"/>
          <w:sz w:val="24"/>
          <w:szCs w:val="24"/>
          <w:highlight w:val="none"/>
          <w:lang w:eastAsia="zh-CN"/>
        </w:rPr>
        <w:t>医疗废物暂存间</w:t>
      </w:r>
      <w:r>
        <w:rPr>
          <w:rFonts w:ascii="Times New Roman" w:hAnsi="Times New Roman" w:eastAsia="宋体" w:cs="宋体"/>
          <w:strike w:val="0"/>
          <w:dstrike w:val="0"/>
          <w:color w:val="auto"/>
          <w:spacing w:val="0"/>
          <w:kern w:val="0"/>
          <w:sz w:val="24"/>
          <w:szCs w:val="24"/>
          <w:highlight w:val="none"/>
        </w:rPr>
        <w:t>，交由有资质的单位进行处置</w:t>
      </w:r>
      <w:r>
        <w:rPr>
          <w:rFonts w:hint="eastAsia" w:ascii="Times New Roman" w:hAnsi="Times New Roman" w:eastAsia="宋体" w:cs="宋体"/>
          <w:strike w:val="0"/>
          <w:dstrike w:val="0"/>
          <w:color w:val="auto"/>
          <w:spacing w:val="0"/>
          <w:kern w:val="0"/>
          <w:sz w:val="24"/>
          <w:szCs w:val="24"/>
          <w:highlight w:val="none"/>
          <w:lang w:eastAsia="zh-CN"/>
        </w:rPr>
        <w:t>。</w:t>
      </w:r>
    </w:p>
    <w:p w14:paraId="01C0AABA">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根据《医疗废物集中处置技术规范</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试行</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》、《医疗废物管理条例》</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国务院令第</w:t>
      </w:r>
      <w:r>
        <w:rPr>
          <w:rFonts w:ascii="Times New Roman" w:hAnsi="Times New Roman" w:eastAsia="宋体" w:cs="Times New Roman"/>
          <w:strike w:val="0"/>
          <w:dstrike w:val="0"/>
          <w:color w:val="auto"/>
          <w:spacing w:val="0"/>
          <w:kern w:val="0"/>
          <w:sz w:val="24"/>
          <w:szCs w:val="24"/>
          <w:highlight w:val="none"/>
        </w:rPr>
        <w:t>380</w:t>
      </w:r>
      <w:r>
        <w:rPr>
          <w:rFonts w:ascii="Times New Roman" w:hAnsi="Times New Roman" w:eastAsia="宋体" w:cs="宋体"/>
          <w:strike w:val="0"/>
          <w:dstrike w:val="0"/>
          <w:color w:val="auto"/>
          <w:spacing w:val="0"/>
          <w:kern w:val="0"/>
          <w:sz w:val="24"/>
          <w:szCs w:val="24"/>
          <w:highlight w:val="none"/>
        </w:rPr>
        <w:t>号</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和《医疗卫生机构医疗废物管理办法》</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卫生部令</w:t>
      </w:r>
      <w:r>
        <w:rPr>
          <w:rFonts w:ascii="Times New Roman" w:hAnsi="Times New Roman" w:eastAsia="宋体" w:cs="Times New Roman"/>
          <w:strike w:val="0"/>
          <w:dstrike w:val="0"/>
          <w:color w:val="auto"/>
          <w:spacing w:val="0"/>
          <w:kern w:val="0"/>
          <w:sz w:val="24"/>
          <w:szCs w:val="24"/>
          <w:highlight w:val="none"/>
        </w:rPr>
        <w:t>36</w:t>
      </w:r>
      <w:r>
        <w:rPr>
          <w:rFonts w:ascii="Times New Roman" w:hAnsi="Times New Roman" w:eastAsia="宋体" w:cs="宋体"/>
          <w:strike w:val="0"/>
          <w:dstrike w:val="0"/>
          <w:color w:val="auto"/>
          <w:spacing w:val="0"/>
          <w:kern w:val="0"/>
          <w:sz w:val="24"/>
          <w:szCs w:val="24"/>
          <w:highlight w:val="none"/>
        </w:rPr>
        <w:t>号</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w:t>
      </w:r>
      <w:r>
        <w:rPr>
          <w:rFonts w:hint="eastAsia" w:ascii="Times New Roman" w:hAnsi="Times New Roman" w:eastAsia="宋体" w:cs="Times New Roman"/>
          <w:strike w:val="0"/>
          <w:dstrike w:val="0"/>
          <w:color w:val="auto"/>
          <w:spacing w:val="0"/>
          <w:kern w:val="0"/>
          <w:sz w:val="24"/>
          <w:szCs w:val="24"/>
          <w:highlight w:val="none"/>
          <w:lang w:eastAsia="zh-CN"/>
        </w:rPr>
        <w:t>《医疗废物处理处置污染控制标准》（GB 39707—2020）</w:t>
      </w:r>
      <w:r>
        <w:rPr>
          <w:rFonts w:ascii="Times New Roman" w:hAnsi="Times New Roman" w:eastAsia="宋体" w:cs="宋体"/>
          <w:strike w:val="0"/>
          <w:dstrike w:val="0"/>
          <w:color w:val="auto"/>
          <w:spacing w:val="0"/>
          <w:kern w:val="0"/>
          <w:sz w:val="24"/>
          <w:szCs w:val="24"/>
          <w:highlight w:val="none"/>
        </w:rPr>
        <w:t>中相关要求，本次评价要求建设单位按照相关规定要求做到以下几点：</w:t>
      </w:r>
    </w:p>
    <w:p w14:paraId="36B6925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①医疗废物收集要求</w:t>
      </w:r>
    </w:p>
    <w:p w14:paraId="079E7A2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A</w:t>
      </w:r>
      <w:r>
        <w:rPr>
          <w:rFonts w:ascii="Times New Roman" w:hAnsi="Times New Roman" w:eastAsia="宋体" w:cs="宋体"/>
          <w:strike w:val="0"/>
          <w:dstrike w:val="0"/>
          <w:color w:val="auto"/>
          <w:spacing w:val="0"/>
          <w:kern w:val="0"/>
          <w:sz w:val="24"/>
          <w:szCs w:val="24"/>
          <w:highlight w:val="none"/>
        </w:rPr>
        <w:t>、根据医疗废物的类别，将医疗废物分置于符合《医疗废物专用包装物、容器的标准和警示标识的规定》的包装物或者容器内；在每个容器上应当说明医疗废物产生单位、产生日期、类别及特别说明等；</w:t>
      </w:r>
    </w:p>
    <w:p w14:paraId="656A659D">
      <w:pPr>
        <w:keepNext w:val="0"/>
        <w:keepLines w:val="0"/>
        <w:pageBreakBefore w:val="0"/>
        <w:widowControl w:val="0"/>
        <w:kinsoku/>
        <w:wordWrap/>
        <w:overflowPunct/>
        <w:topLinePunct w:val="0"/>
        <w:autoSpaceDE/>
        <w:autoSpaceDN/>
        <w:bidi w:val="0"/>
        <w:adjustRightInd/>
        <w:snapToGrid/>
        <w:spacing w:line="360" w:lineRule="auto"/>
        <w:ind w:left="0" w:right="0" w:firstLine="474"/>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B</w:t>
      </w:r>
      <w:r>
        <w:rPr>
          <w:rFonts w:ascii="Times New Roman" w:hAnsi="Times New Roman" w:eastAsia="宋体" w:cs="宋体"/>
          <w:strike w:val="0"/>
          <w:dstrike w:val="0"/>
          <w:color w:val="auto"/>
          <w:spacing w:val="0"/>
          <w:kern w:val="0"/>
          <w:sz w:val="24"/>
          <w:szCs w:val="24"/>
          <w:highlight w:val="none"/>
        </w:rPr>
        <w:t>、在盛装医疗废物前，应当对医疗废物包装物或者容器进行认真检查，确保无破损、渗漏和其它缺陷；</w:t>
      </w:r>
    </w:p>
    <w:p w14:paraId="2E167F94">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C</w:t>
      </w:r>
      <w:r>
        <w:rPr>
          <w:rFonts w:ascii="Times New Roman" w:hAnsi="Times New Roman" w:eastAsia="宋体" w:cs="宋体"/>
          <w:strike w:val="0"/>
          <w:dstrike w:val="0"/>
          <w:color w:val="auto"/>
          <w:spacing w:val="0"/>
          <w:kern w:val="0"/>
          <w:sz w:val="24"/>
          <w:szCs w:val="24"/>
          <w:highlight w:val="none"/>
        </w:rPr>
        <w:t>、感染性废物、药物性废物不能混合收集；少量的药物性废物可以混入感染性废物，但应当在标签上注明；</w:t>
      </w:r>
    </w:p>
    <w:p w14:paraId="36D3D6D4">
      <w:pPr>
        <w:keepNext w:val="0"/>
        <w:keepLines w:val="0"/>
        <w:pageBreakBefore w:val="0"/>
        <w:widowControl w:val="0"/>
        <w:kinsoku/>
        <w:wordWrap/>
        <w:overflowPunct/>
        <w:topLinePunct w:val="0"/>
        <w:autoSpaceDE/>
        <w:autoSpaceDN/>
        <w:bidi w:val="0"/>
        <w:adjustRightInd/>
        <w:snapToGrid/>
        <w:spacing w:line="360" w:lineRule="auto"/>
        <w:ind w:left="0" w:right="0" w:firstLine="475"/>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D</w:t>
      </w:r>
      <w:r>
        <w:rPr>
          <w:rFonts w:ascii="Times New Roman" w:hAnsi="Times New Roman" w:eastAsia="宋体" w:cs="宋体"/>
          <w:strike w:val="0"/>
          <w:dstrike w:val="0"/>
          <w:color w:val="auto"/>
          <w:spacing w:val="0"/>
          <w:kern w:val="0"/>
          <w:sz w:val="24"/>
          <w:szCs w:val="24"/>
          <w:highlight w:val="none"/>
        </w:rPr>
        <w:t>、对于能够刺伤或割伤人体的废弃医用锐器，按照类别分置于防渗漏、防锐器穿透的专用密闭的容器内，设置有明显的标识，防止转运人员被锐器割伤引起疾病感染；</w:t>
      </w:r>
    </w:p>
    <w:p w14:paraId="5240AFA4">
      <w:pPr>
        <w:keepNext w:val="0"/>
        <w:keepLines w:val="0"/>
        <w:pageBreakBefore w:val="0"/>
        <w:widowControl w:val="0"/>
        <w:kinsoku/>
        <w:wordWrap/>
        <w:overflowPunct/>
        <w:topLinePunct w:val="0"/>
        <w:autoSpaceDE/>
        <w:autoSpaceDN/>
        <w:bidi w:val="0"/>
        <w:adjustRightInd/>
        <w:snapToGrid/>
        <w:spacing w:line="360" w:lineRule="auto"/>
        <w:ind w:left="0" w:right="0" w:firstLine="475"/>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Times New Roman"/>
          <w:strike w:val="0"/>
          <w:dstrike w:val="0"/>
          <w:color w:val="auto"/>
          <w:spacing w:val="0"/>
          <w:kern w:val="0"/>
          <w:sz w:val="24"/>
          <w:szCs w:val="24"/>
          <w:highlight w:val="none"/>
        </w:rPr>
        <w:t>E</w:t>
      </w:r>
      <w:r>
        <w:rPr>
          <w:rFonts w:ascii="Times New Roman" w:hAnsi="Times New Roman" w:eastAsia="宋体" w:cs="宋体"/>
          <w:strike w:val="0"/>
          <w:dstrike w:val="0"/>
          <w:color w:val="auto"/>
          <w:spacing w:val="0"/>
          <w:kern w:val="0"/>
          <w:sz w:val="24"/>
          <w:szCs w:val="24"/>
          <w:highlight w:val="none"/>
        </w:rPr>
        <w:t>、医疗废物收集袋的颜色为黄色，印有医疗废物的文字说明和警示标示，根据盛装的医疗废物达到</w:t>
      </w:r>
      <w:r>
        <w:rPr>
          <w:rFonts w:ascii="Times New Roman" w:hAnsi="Times New Roman" w:eastAsia="宋体" w:cs="Times New Roman"/>
          <w:strike w:val="0"/>
          <w:dstrike w:val="0"/>
          <w:color w:val="auto"/>
          <w:spacing w:val="0"/>
          <w:kern w:val="0"/>
          <w:sz w:val="24"/>
          <w:szCs w:val="24"/>
          <w:highlight w:val="none"/>
        </w:rPr>
        <w:t>3/4</w:t>
      </w:r>
      <w:r>
        <w:rPr>
          <w:rFonts w:ascii="Times New Roman" w:hAnsi="Times New Roman" w:eastAsia="宋体" w:cs="宋体"/>
          <w:strike w:val="0"/>
          <w:dstrike w:val="0"/>
          <w:color w:val="auto"/>
          <w:spacing w:val="0"/>
          <w:kern w:val="0"/>
          <w:sz w:val="24"/>
          <w:szCs w:val="24"/>
          <w:highlight w:val="none"/>
        </w:rPr>
        <w:t>时，应当使用有效的封口方式，清运至医疗废物暂存桶</w:t>
      </w:r>
      <w:r>
        <w:rPr>
          <w:rFonts w:hint="eastAsia" w:ascii="Times New Roman" w:hAnsi="Times New Roman" w:eastAsia="宋体" w:cs="宋体"/>
          <w:strike w:val="0"/>
          <w:dstrike w:val="0"/>
          <w:color w:val="auto"/>
          <w:spacing w:val="0"/>
          <w:kern w:val="0"/>
          <w:sz w:val="24"/>
          <w:szCs w:val="24"/>
          <w:highlight w:val="none"/>
          <w:lang w:eastAsia="zh-CN"/>
        </w:rPr>
        <w:t>。</w:t>
      </w:r>
    </w:p>
    <w:p w14:paraId="1BB285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②医疗废物暂存要求</w:t>
      </w:r>
    </w:p>
    <w:p w14:paraId="7ABBBA20">
      <w:pPr>
        <w:keepNext w:val="0"/>
        <w:keepLines w:val="0"/>
        <w:pageBreakBefore w:val="0"/>
        <w:widowControl w:val="0"/>
        <w:kinsoku/>
        <w:wordWrap/>
        <w:overflowPunct/>
        <w:topLinePunct w:val="0"/>
        <w:autoSpaceDE/>
        <w:autoSpaceDN/>
        <w:bidi w:val="0"/>
        <w:adjustRightInd/>
        <w:snapToGrid/>
        <w:spacing w:line="360" w:lineRule="auto"/>
        <w:ind w:left="0" w:right="0" w:firstLine="472"/>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A</w:t>
      </w:r>
      <w:r>
        <w:rPr>
          <w:rFonts w:ascii="Times New Roman" w:hAnsi="Times New Roman" w:eastAsia="宋体" w:cs="宋体"/>
          <w:strike w:val="0"/>
          <w:dstrike w:val="0"/>
          <w:color w:val="auto"/>
          <w:spacing w:val="0"/>
          <w:kern w:val="0"/>
          <w:sz w:val="24"/>
          <w:szCs w:val="24"/>
          <w:highlight w:val="none"/>
        </w:rPr>
        <w:t>、医疗卫生机构应当建立医疗废物的暂时贮存设施、设备，不得露天存放医疗废物；</w:t>
      </w:r>
    </w:p>
    <w:p w14:paraId="7900B207">
      <w:pPr>
        <w:keepNext w:val="0"/>
        <w:keepLines w:val="0"/>
        <w:pageBreakBefore w:val="0"/>
        <w:widowControl w:val="0"/>
        <w:kinsoku/>
        <w:wordWrap/>
        <w:overflowPunct/>
        <w:topLinePunct w:val="0"/>
        <w:autoSpaceDE/>
        <w:autoSpaceDN/>
        <w:bidi w:val="0"/>
        <w:adjustRightInd/>
        <w:snapToGrid/>
        <w:spacing w:line="360" w:lineRule="auto"/>
        <w:ind w:left="0" w:right="0" w:firstLine="45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B</w:t>
      </w:r>
      <w:r>
        <w:rPr>
          <w:rFonts w:ascii="Times New Roman" w:hAnsi="Times New Roman" w:eastAsia="宋体" w:cs="宋体"/>
          <w:strike w:val="0"/>
          <w:dstrike w:val="0"/>
          <w:color w:val="auto"/>
          <w:spacing w:val="0"/>
          <w:kern w:val="0"/>
          <w:sz w:val="24"/>
          <w:szCs w:val="24"/>
          <w:highlight w:val="none"/>
        </w:rPr>
        <w:t>、医疗废物的暂时贮存设施、设备，应当远离医疗区、食品加工区和人员活动区以及生活垃圾存放场所，并设置明显的警示标识和防渗漏、防鼠、防蚊蝇、防蟑螂、防盗以及预防儿童接触等安全措施；</w:t>
      </w:r>
    </w:p>
    <w:p w14:paraId="2D042205">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C</w:t>
      </w:r>
      <w:r>
        <w:rPr>
          <w:rFonts w:ascii="Times New Roman" w:hAnsi="Times New Roman" w:eastAsia="宋体" w:cs="宋体"/>
          <w:strike w:val="0"/>
          <w:dstrike w:val="0"/>
          <w:color w:val="auto"/>
          <w:spacing w:val="0"/>
          <w:kern w:val="0"/>
          <w:sz w:val="24"/>
          <w:szCs w:val="24"/>
          <w:highlight w:val="none"/>
        </w:rPr>
        <w:t>、医疗废物转交出去后，应当对暂时贮存地点、设施及时进行清洁和消毒处理，冲洗暂存地点和设施的废水必须经过消毒池处理后排放；</w:t>
      </w:r>
    </w:p>
    <w:p w14:paraId="67674D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Times New Roman"/>
          <w:strike w:val="0"/>
          <w:dstrike w:val="0"/>
          <w:color w:val="auto"/>
          <w:spacing w:val="0"/>
          <w:kern w:val="0"/>
          <w:sz w:val="24"/>
          <w:szCs w:val="24"/>
          <w:highlight w:val="none"/>
        </w:rPr>
        <w:t>D</w:t>
      </w:r>
      <w:r>
        <w:rPr>
          <w:rFonts w:ascii="Times New Roman" w:hAnsi="Times New Roman" w:eastAsia="宋体" w:cs="宋体"/>
          <w:strike w:val="0"/>
          <w:dstrike w:val="0"/>
          <w:color w:val="auto"/>
          <w:spacing w:val="0"/>
          <w:kern w:val="0"/>
          <w:sz w:val="24"/>
          <w:szCs w:val="24"/>
          <w:highlight w:val="none"/>
        </w:rPr>
        <w:t>、医疗废物暂时贮存的时间不得超过</w:t>
      </w:r>
      <w:r>
        <w:rPr>
          <w:rFonts w:ascii="Times New Roman" w:hAnsi="Times New Roman" w:eastAsia="宋体" w:cs="Times New Roman"/>
          <w:strike w:val="0"/>
          <w:dstrike w:val="0"/>
          <w:color w:val="auto"/>
          <w:spacing w:val="0"/>
          <w:kern w:val="0"/>
          <w:sz w:val="24"/>
          <w:szCs w:val="24"/>
          <w:highlight w:val="none"/>
        </w:rPr>
        <w:t>2</w:t>
      </w:r>
      <w:r>
        <w:rPr>
          <w:rFonts w:ascii="Times New Roman" w:hAnsi="Times New Roman" w:eastAsia="宋体" w:cs="宋体"/>
          <w:strike w:val="0"/>
          <w:dstrike w:val="0"/>
          <w:color w:val="auto"/>
          <w:spacing w:val="0"/>
          <w:kern w:val="0"/>
          <w:sz w:val="24"/>
          <w:szCs w:val="24"/>
          <w:highlight w:val="none"/>
        </w:rPr>
        <w:t>天，尽量做到日产日清</w:t>
      </w:r>
      <w:r>
        <w:rPr>
          <w:rFonts w:hint="eastAsia" w:ascii="Times New Roman" w:hAnsi="Times New Roman" w:eastAsia="宋体" w:cs="宋体"/>
          <w:strike w:val="0"/>
          <w:dstrike w:val="0"/>
          <w:color w:val="auto"/>
          <w:spacing w:val="0"/>
          <w:kern w:val="0"/>
          <w:sz w:val="24"/>
          <w:szCs w:val="24"/>
          <w:highlight w:val="none"/>
          <w:lang w:eastAsia="zh-CN"/>
        </w:rPr>
        <w:t>。</w:t>
      </w:r>
    </w:p>
    <w:p w14:paraId="76F3FA20">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strike w:val="0"/>
          <w:dstrike w:val="0"/>
          <w:color w:val="auto"/>
          <w:spacing w:val="0"/>
          <w:kern w:val="0"/>
          <w:sz w:val="24"/>
          <w:highlight w:val="none"/>
          <w:lang w:eastAsia="zh-CN"/>
        </w:rPr>
      </w:pPr>
      <w:r>
        <w:rPr>
          <w:rFonts w:ascii="Times New Roman" w:hAnsi="Times New Roman" w:eastAsia="宋体" w:cs="宋体"/>
          <w:strike w:val="0"/>
          <w:dstrike w:val="0"/>
          <w:color w:val="auto"/>
          <w:spacing w:val="0"/>
          <w:kern w:val="0"/>
          <w:sz w:val="24"/>
          <w:szCs w:val="24"/>
          <w:highlight w:val="none"/>
        </w:rPr>
        <w:t>综上所述，本项目产生的固体废物在采取上述处置措施后，均得到合理处置与利用，对周围环境影响较小</w:t>
      </w:r>
      <w:r>
        <w:rPr>
          <w:rFonts w:hint="eastAsia" w:ascii="Times New Roman" w:hAnsi="Times New Roman" w:eastAsia="宋体" w:cs="宋体"/>
          <w:strike w:val="0"/>
          <w:dstrike w:val="0"/>
          <w:color w:val="auto"/>
          <w:spacing w:val="0"/>
          <w:kern w:val="0"/>
          <w:sz w:val="24"/>
          <w:szCs w:val="24"/>
          <w:highlight w:val="none"/>
          <w:lang w:eastAsia="zh-CN"/>
        </w:rPr>
        <w:t>。</w:t>
      </w:r>
    </w:p>
    <w:p w14:paraId="234F2162">
      <w:pPr>
        <w:pStyle w:val="4"/>
        <w:rPr>
          <w:rFonts w:ascii="Times New Roman" w:hAnsi="Times New Roman" w:eastAsia="宋体"/>
          <w:strike w:val="0"/>
          <w:dstrike w:val="0"/>
          <w:color w:val="auto"/>
          <w:highlight w:val="none"/>
        </w:rPr>
      </w:pPr>
      <w:bookmarkStart w:id="258" w:name="_Toc8826"/>
      <w:bookmarkStart w:id="259" w:name="_Toc106663504"/>
      <w:r>
        <w:rPr>
          <w:rFonts w:hint="eastAsia" w:ascii="Times New Roman" w:hAnsi="Times New Roman" w:eastAsia="宋体"/>
          <w:strike w:val="0"/>
          <w:dstrike w:val="0"/>
          <w:color w:val="auto"/>
          <w:highlight w:val="none"/>
        </w:rPr>
        <w:t>5.2.5土壤环境影响分析</w:t>
      </w:r>
      <w:bookmarkEnd w:id="258"/>
      <w:bookmarkEnd w:id="259"/>
    </w:p>
    <w:p w14:paraId="3DE0A56D">
      <w:pPr>
        <w:pStyle w:val="5"/>
        <w:ind w:firstLine="0" w:firstLineChars="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5.2.5.1</w:t>
      </w:r>
      <w:r>
        <w:rPr>
          <w:rFonts w:hint="eastAsia" w:ascii="Times New Roman" w:hAnsi="Times New Roman" w:eastAsia="宋体"/>
          <w:strike w:val="0"/>
          <w:dstrike w:val="0"/>
          <w:color w:val="auto"/>
          <w:highlight w:val="none"/>
        </w:rPr>
        <w:t>土壤现状</w:t>
      </w:r>
    </w:p>
    <w:p w14:paraId="4CDA5BEE">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.1土壤区域性质简述</w:t>
      </w:r>
    </w:p>
    <w:p w14:paraId="37C128D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土质以轻壤、中壤为主，其次是沙壤、重壤、粘土等，土壤有机质含量为</w:t>
      </w:r>
      <w:r>
        <w:rPr>
          <w:rFonts w:ascii="Times New Roman" w:hAnsi="Times New Roman" w:eastAsia="宋体" w:cs="Times New Roman"/>
          <w:strike w:val="0"/>
          <w:dstrike w:val="0"/>
          <w:color w:val="auto"/>
          <w:spacing w:val="0"/>
          <w:sz w:val="24"/>
          <w:szCs w:val="24"/>
          <w:highlight w:val="none"/>
        </w:rPr>
        <w:t>2.39%</w:t>
      </w:r>
      <w:r>
        <w:rPr>
          <w:rFonts w:ascii="Times New Roman" w:hAnsi="Times New Roman" w:eastAsia="宋体" w:cs="宋体"/>
          <w:strike w:val="0"/>
          <w:dstrike w:val="0"/>
          <w:color w:val="auto"/>
          <w:spacing w:val="0"/>
          <w:sz w:val="24"/>
          <w:szCs w:val="24"/>
          <w:highlight w:val="none"/>
        </w:rPr>
        <w:t>，含氮</w:t>
      </w:r>
      <w:r>
        <w:rPr>
          <w:rFonts w:ascii="Times New Roman" w:hAnsi="Times New Roman" w:eastAsia="宋体" w:cs="Times New Roman"/>
          <w:strike w:val="0"/>
          <w:dstrike w:val="0"/>
          <w:color w:val="auto"/>
          <w:spacing w:val="0"/>
          <w:sz w:val="24"/>
          <w:szCs w:val="24"/>
          <w:highlight w:val="none"/>
        </w:rPr>
        <w:t>0.14%</w:t>
      </w:r>
      <w:r>
        <w:rPr>
          <w:rFonts w:ascii="Times New Roman" w:hAnsi="Times New Roman" w:eastAsia="宋体" w:cs="宋体"/>
          <w:strike w:val="0"/>
          <w:dstrike w:val="0"/>
          <w:color w:val="auto"/>
          <w:spacing w:val="0"/>
          <w:sz w:val="24"/>
          <w:szCs w:val="24"/>
          <w:highlight w:val="none"/>
        </w:rPr>
        <w:t>、含磷</w:t>
      </w:r>
      <w:r>
        <w:rPr>
          <w:rFonts w:ascii="Times New Roman" w:hAnsi="Times New Roman" w:eastAsia="宋体" w:cs="Times New Roman"/>
          <w:strike w:val="0"/>
          <w:dstrike w:val="0"/>
          <w:color w:val="auto"/>
          <w:spacing w:val="0"/>
          <w:sz w:val="24"/>
          <w:szCs w:val="24"/>
          <w:highlight w:val="none"/>
        </w:rPr>
        <w:t>0.18%</w:t>
      </w:r>
      <w:r>
        <w:rPr>
          <w:rFonts w:ascii="Times New Roman" w:hAnsi="Times New Roman" w:eastAsia="宋体" w:cs="宋体"/>
          <w:strike w:val="0"/>
          <w:dstrike w:val="0"/>
          <w:color w:val="auto"/>
          <w:spacing w:val="0"/>
          <w:sz w:val="24"/>
          <w:szCs w:val="24"/>
          <w:highlight w:val="none"/>
        </w:rPr>
        <w:t>、碳酸钙</w:t>
      </w:r>
      <w:r>
        <w:rPr>
          <w:rFonts w:ascii="Times New Roman" w:hAnsi="Times New Roman" w:eastAsia="宋体" w:cs="Times New Roman"/>
          <w:strike w:val="0"/>
          <w:dstrike w:val="0"/>
          <w:color w:val="auto"/>
          <w:spacing w:val="0"/>
          <w:sz w:val="24"/>
          <w:szCs w:val="24"/>
          <w:highlight w:val="none"/>
        </w:rPr>
        <w:t>14.9%</w:t>
      </w:r>
      <w:r>
        <w:rPr>
          <w:rFonts w:ascii="Times New Roman" w:hAnsi="Times New Roman" w:eastAsia="宋体" w:cs="宋体"/>
          <w:strike w:val="0"/>
          <w:dstrike w:val="0"/>
          <w:color w:val="auto"/>
          <w:spacing w:val="0"/>
          <w:sz w:val="24"/>
          <w:szCs w:val="24"/>
          <w:highlight w:val="none"/>
        </w:rPr>
        <w:t>，土壤</w:t>
      </w:r>
      <w:r>
        <w:rPr>
          <w:rFonts w:ascii="Times New Roman" w:hAnsi="Times New Roman" w:eastAsia="宋体" w:cs="Times New Roman"/>
          <w:strike w:val="0"/>
          <w:dstrike w:val="0"/>
          <w:color w:val="auto"/>
          <w:spacing w:val="0"/>
          <w:sz w:val="24"/>
          <w:szCs w:val="24"/>
          <w:highlight w:val="none"/>
        </w:rPr>
        <w:t>PH</w:t>
      </w:r>
      <w:r>
        <w:rPr>
          <w:rFonts w:ascii="Times New Roman" w:hAnsi="Times New Roman" w:eastAsia="宋体" w:cs="宋体"/>
          <w:strike w:val="0"/>
          <w:dstrike w:val="0"/>
          <w:color w:val="auto"/>
          <w:spacing w:val="0"/>
          <w:sz w:val="24"/>
          <w:szCs w:val="24"/>
          <w:highlight w:val="none"/>
        </w:rPr>
        <w:t>值为</w:t>
      </w:r>
      <w:r>
        <w:rPr>
          <w:rFonts w:ascii="Times New Roman" w:hAnsi="Times New Roman" w:eastAsia="宋体" w:cs="Times New Roman"/>
          <w:strike w:val="0"/>
          <w:dstrike w:val="0"/>
          <w:color w:val="auto"/>
          <w:spacing w:val="0"/>
          <w:sz w:val="24"/>
          <w:szCs w:val="24"/>
          <w:highlight w:val="none"/>
        </w:rPr>
        <w:t>5.5</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6.5</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土壤理化和生物性能良好，土质宜农宜牧</w:t>
      </w:r>
      <w:r>
        <w:rPr>
          <w:rFonts w:hint="eastAsia" w:ascii="Times New Roman" w:hAnsi="Times New Roman" w:eastAsia="宋体" w:cs="宋体"/>
          <w:strike w:val="0"/>
          <w:dstrike w:val="0"/>
          <w:color w:val="auto"/>
          <w:spacing w:val="0"/>
          <w:sz w:val="24"/>
          <w:szCs w:val="24"/>
          <w:highlight w:val="none"/>
          <w:lang w:eastAsia="zh-CN"/>
        </w:rPr>
        <w:t>。</w:t>
      </w:r>
    </w:p>
    <w:p w14:paraId="30A46340">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.2土壤环境质量现状评价</w:t>
      </w:r>
    </w:p>
    <w:p w14:paraId="4DCC803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ascii="Times New Roman" w:hAnsi="Times New Roman" w:eastAsia="宋体" w:cs="宋体"/>
          <w:strike w:val="0"/>
          <w:dstrike w:val="0"/>
          <w:color w:val="auto"/>
          <w:spacing w:val="0"/>
          <w:sz w:val="24"/>
          <w:szCs w:val="24"/>
          <w:highlight w:val="none"/>
        </w:rPr>
        <w:t>本项目土壤现状监测设置3个点位，项目土壤各监测因子浓度均满足《土壤环境质量农用地土壤污染风险管控标准</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试行</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GB15618-2018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中其他</w:t>
      </w:r>
      <w:r>
        <w:rPr>
          <w:rFonts w:hint="eastAsia" w:ascii="Times New Roman" w:hAnsi="Times New Roman" w:eastAsia="宋体" w:cs="宋体"/>
          <w:strike w:val="0"/>
          <w:dstrike w:val="0"/>
          <w:color w:val="auto"/>
          <w:spacing w:val="0"/>
          <w:sz w:val="24"/>
          <w:szCs w:val="24"/>
          <w:highlight w:val="none"/>
          <w:lang w:val="en-US" w:eastAsia="zh-CN"/>
        </w:rPr>
        <w:t>农</w:t>
      </w:r>
      <w:r>
        <w:rPr>
          <w:rFonts w:ascii="Times New Roman" w:hAnsi="Times New Roman" w:eastAsia="宋体" w:cs="宋体"/>
          <w:strike w:val="0"/>
          <w:dstrike w:val="0"/>
          <w:color w:val="auto"/>
          <w:spacing w:val="0"/>
          <w:sz w:val="24"/>
          <w:szCs w:val="24"/>
          <w:highlight w:val="none"/>
        </w:rPr>
        <w:t>用地风险筛选值，当地土壤环境质量较好</w:t>
      </w:r>
    </w:p>
    <w:p w14:paraId="65C7143A">
      <w:pPr>
        <w:pStyle w:val="5"/>
        <w:ind w:firstLine="0" w:firstLineChars="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.3土壤影响</w:t>
      </w:r>
      <w:r>
        <w:rPr>
          <w:rFonts w:hint="eastAsia" w:ascii="Times New Roman" w:hAnsi="Times New Roman" w:eastAsia="宋体"/>
          <w:strike w:val="0"/>
          <w:dstrike w:val="0"/>
          <w:color w:val="auto"/>
          <w:highlight w:val="none"/>
          <w:lang w:val="en-US" w:eastAsia="zh-CN"/>
        </w:rPr>
        <w:t>识别</w:t>
      </w:r>
    </w:p>
    <w:p w14:paraId="3B703E04">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土壤污染是指人类活动所产生的物质（污染物），通过多种途径进入土壤，其数量和速度超过了土壤的容纳能力净化现象。土壤污染可使土壤的性质、组成及性状等发生变化，使污染物积累过程逐渐占据优势，破坏了土壤的自然动态平衡，从而导致土壤自然正常功能失调，土壤质量恶化，影响作物的生长发育，以致造成产量和质量的下降，并可通过食物链引起对生物和人类的直接危害，甚至形成对有机生命的超地方性的危害。</w:t>
      </w:r>
    </w:p>
    <w:p w14:paraId="6A0E78AD">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default" w:ascii="Times New Roman" w:hAnsi="Times New Roman" w:eastAsia="宋体" w:cs="宋体"/>
          <w:strike w:val="0"/>
          <w:dstrike w:val="0"/>
          <w:color w:val="auto"/>
          <w:spacing w:val="0"/>
          <w:sz w:val="24"/>
          <w:szCs w:val="24"/>
          <w:highlight w:val="none"/>
          <w:lang w:val="en-US" w:eastAsia="zh-CN"/>
        </w:rPr>
        <w:t>1</w:t>
      </w:r>
      <w:r>
        <w:rPr>
          <w:rFonts w:hint="eastAsia" w:ascii="Times New Roman" w:hAnsi="Times New Roman" w:eastAsia="宋体" w:cs="宋体"/>
          <w:strike w:val="0"/>
          <w:dstrike w:val="0"/>
          <w:color w:val="auto"/>
          <w:spacing w:val="0"/>
          <w:sz w:val="24"/>
          <w:szCs w:val="24"/>
          <w:highlight w:val="none"/>
          <w:lang w:val="en-US" w:eastAsia="zh-CN"/>
        </w:rPr>
        <w:t>、土壤环境影响类型及途径识别</w:t>
      </w:r>
    </w:p>
    <w:p w14:paraId="252DD0AF">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本项目不会引起土壤环境的酸化、盐化和碱化，不属于生态影响型，污染物如发生泄漏，主要为点状渗漏，可能会通过下渗污染土壤环境质量，因此属于污染影响型，其污染途径主要为垂直入渗，如表</w:t>
      </w:r>
      <w:r>
        <w:rPr>
          <w:rFonts w:hint="default" w:ascii="Times New Roman" w:hAnsi="Times New Roman" w:eastAsia="宋体" w:cs="宋体"/>
          <w:strike w:val="0"/>
          <w:dstrike w:val="0"/>
          <w:color w:val="auto"/>
          <w:spacing w:val="0"/>
          <w:sz w:val="24"/>
          <w:szCs w:val="24"/>
          <w:highlight w:val="none"/>
          <w:lang w:val="en-US" w:eastAsia="zh-CN"/>
        </w:rPr>
        <w:t>5.2-2</w:t>
      </w:r>
      <w:r>
        <w:rPr>
          <w:rFonts w:hint="eastAsia" w:ascii="Times New Roman" w:hAnsi="Times New Roman" w:eastAsia="宋体" w:cs="宋体"/>
          <w:strike w:val="0"/>
          <w:dstrike w:val="0"/>
          <w:color w:val="auto"/>
          <w:spacing w:val="0"/>
          <w:sz w:val="24"/>
          <w:szCs w:val="24"/>
          <w:highlight w:val="none"/>
          <w:lang w:val="en-US" w:eastAsia="zh-CN"/>
        </w:rPr>
        <w:t>0所示。</w:t>
      </w:r>
    </w:p>
    <w:p w14:paraId="56067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w:t>
      </w:r>
      <w:r>
        <w:rPr>
          <w:rFonts w:hint="default" w:ascii="Times New Roman" w:hAnsi="Times New Roman" w:eastAsia="宋体"/>
          <w:b/>
          <w:bCs/>
          <w:strike w:val="0"/>
          <w:dstrike w:val="0"/>
          <w:color w:val="auto"/>
          <w:highlight w:val="none"/>
          <w:lang w:val="en-US" w:eastAsia="zh-CN"/>
        </w:rPr>
        <w:t>5.2-2</w:t>
      </w:r>
      <w:r>
        <w:rPr>
          <w:rFonts w:hint="eastAsia" w:ascii="Times New Roman" w:hAnsi="Times New Roman" w:eastAsia="宋体"/>
          <w:b/>
          <w:bCs/>
          <w:strike w:val="0"/>
          <w:dstrike w:val="0"/>
          <w:color w:val="auto"/>
          <w:highlight w:val="none"/>
          <w:lang w:val="en-US" w:eastAsia="zh-CN"/>
        </w:rPr>
        <w:t>0土壤环境影响类型及途径识别一览表</w:t>
      </w:r>
    </w:p>
    <w:tbl>
      <w:tblPr>
        <w:tblStyle w:val="4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216"/>
        <w:gridCol w:w="1216"/>
        <w:gridCol w:w="1216"/>
        <w:gridCol w:w="738"/>
        <w:gridCol w:w="732"/>
        <w:gridCol w:w="732"/>
        <w:gridCol w:w="732"/>
        <w:gridCol w:w="738"/>
      </w:tblGrid>
      <w:tr w14:paraId="1329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Merge w:val="restart"/>
            <w:vAlign w:val="center"/>
          </w:tcPr>
          <w:p w14:paraId="4BA765B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时段</w:t>
            </w:r>
          </w:p>
        </w:tc>
        <w:tc>
          <w:tcPr>
            <w:tcW w:w="2644" w:type="pct"/>
            <w:gridSpan w:val="4"/>
            <w:vAlign w:val="center"/>
          </w:tcPr>
          <w:p w14:paraId="0BE4B47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污染影响型</w:t>
            </w:r>
          </w:p>
        </w:tc>
        <w:tc>
          <w:tcPr>
            <w:tcW w:w="1767" w:type="pct"/>
            <w:gridSpan w:val="4"/>
            <w:vAlign w:val="center"/>
          </w:tcPr>
          <w:p w14:paraId="45D2F90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生态影响型</w:t>
            </w:r>
          </w:p>
        </w:tc>
      </w:tr>
      <w:tr w14:paraId="5ED1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Merge w:val="continue"/>
            <w:vAlign w:val="center"/>
          </w:tcPr>
          <w:p w14:paraId="29A575C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33" w:type="pct"/>
            <w:vAlign w:val="center"/>
          </w:tcPr>
          <w:p w14:paraId="4BBF89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大气降尘</w:t>
            </w:r>
          </w:p>
        </w:tc>
        <w:tc>
          <w:tcPr>
            <w:tcW w:w="733" w:type="pct"/>
            <w:vAlign w:val="center"/>
          </w:tcPr>
          <w:p w14:paraId="65069C7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地面漫流</w:t>
            </w:r>
          </w:p>
        </w:tc>
        <w:tc>
          <w:tcPr>
            <w:tcW w:w="733" w:type="pct"/>
            <w:vAlign w:val="center"/>
          </w:tcPr>
          <w:p w14:paraId="75355ED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垂直入渗</w:t>
            </w:r>
          </w:p>
        </w:tc>
        <w:tc>
          <w:tcPr>
            <w:tcW w:w="443" w:type="pct"/>
            <w:vAlign w:val="center"/>
          </w:tcPr>
          <w:p w14:paraId="038D59D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c>
          <w:tcPr>
            <w:tcW w:w="441" w:type="pct"/>
            <w:vAlign w:val="center"/>
          </w:tcPr>
          <w:p w14:paraId="0C3F1F4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盐化</w:t>
            </w:r>
          </w:p>
        </w:tc>
        <w:tc>
          <w:tcPr>
            <w:tcW w:w="441" w:type="pct"/>
            <w:vAlign w:val="center"/>
          </w:tcPr>
          <w:p w14:paraId="05830C1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碱化</w:t>
            </w:r>
          </w:p>
        </w:tc>
        <w:tc>
          <w:tcPr>
            <w:tcW w:w="441" w:type="pct"/>
            <w:vAlign w:val="center"/>
          </w:tcPr>
          <w:p w14:paraId="717CE67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酸化</w:t>
            </w:r>
          </w:p>
        </w:tc>
        <w:tc>
          <w:tcPr>
            <w:tcW w:w="442" w:type="pct"/>
            <w:vAlign w:val="center"/>
          </w:tcPr>
          <w:p w14:paraId="1BE5E94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r>
      <w:tr w14:paraId="1B39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Align w:val="center"/>
          </w:tcPr>
          <w:p w14:paraId="31C1B91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运营期</w:t>
            </w:r>
          </w:p>
        </w:tc>
        <w:tc>
          <w:tcPr>
            <w:tcW w:w="733" w:type="pct"/>
            <w:vAlign w:val="center"/>
          </w:tcPr>
          <w:p w14:paraId="3BFDD66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733" w:type="pct"/>
            <w:vAlign w:val="center"/>
          </w:tcPr>
          <w:p w14:paraId="12C3483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733" w:type="pct"/>
            <w:vAlign w:val="center"/>
          </w:tcPr>
          <w:p w14:paraId="3A664CF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default" w:ascii="Times New Roman" w:hAnsi="Times New Roman" w:eastAsia="宋体" w:cs="Arial"/>
                <w:strike w:val="0"/>
                <w:dstrike w:val="0"/>
                <w:color w:val="auto"/>
                <w:spacing w:val="0"/>
                <w:sz w:val="21"/>
                <w:szCs w:val="24"/>
                <w:highlight w:val="none"/>
                <w:vertAlign w:val="baseline"/>
              </w:rPr>
              <w:t>√</w:t>
            </w:r>
          </w:p>
        </w:tc>
        <w:tc>
          <w:tcPr>
            <w:tcW w:w="443" w:type="pct"/>
            <w:vAlign w:val="center"/>
          </w:tcPr>
          <w:p w14:paraId="145D5C7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4CFB78E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0DBEF70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6629D83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2" w:type="pct"/>
            <w:vAlign w:val="center"/>
          </w:tcPr>
          <w:p w14:paraId="30DD2E8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bl>
    <w:p w14:paraId="343B108C">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default" w:ascii="Times New Roman" w:hAnsi="Times New Roman" w:eastAsia="宋体" w:cs="宋体"/>
          <w:strike w:val="0"/>
          <w:dstrike w:val="0"/>
          <w:color w:val="auto"/>
          <w:spacing w:val="0"/>
          <w:sz w:val="24"/>
          <w:szCs w:val="24"/>
          <w:highlight w:val="none"/>
          <w:lang w:val="en-US" w:eastAsia="zh-CN"/>
        </w:rPr>
        <w:t>2</w:t>
      </w:r>
      <w:r>
        <w:rPr>
          <w:rFonts w:hint="eastAsia" w:ascii="Times New Roman" w:hAnsi="Times New Roman" w:eastAsia="宋体" w:cs="宋体"/>
          <w:strike w:val="0"/>
          <w:dstrike w:val="0"/>
          <w:color w:val="auto"/>
          <w:spacing w:val="0"/>
          <w:sz w:val="24"/>
          <w:szCs w:val="24"/>
          <w:highlight w:val="none"/>
          <w:lang w:val="en-US" w:eastAsia="zh-CN"/>
        </w:rPr>
        <w:t>、污染物影响源及影响因子识别</w:t>
      </w:r>
    </w:p>
    <w:p w14:paraId="02D8E7B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本项目正常工况下不会对土壤产生不利影响，对土壤的潜在污染源主要为物料泄漏或污水泄漏。</w:t>
      </w:r>
    </w:p>
    <w:p w14:paraId="613DAC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w:t>
      </w:r>
      <w:r>
        <w:rPr>
          <w:rFonts w:hint="default" w:ascii="Times New Roman" w:hAnsi="Times New Roman" w:eastAsia="宋体"/>
          <w:b/>
          <w:bCs/>
          <w:strike w:val="0"/>
          <w:dstrike w:val="0"/>
          <w:color w:val="auto"/>
          <w:highlight w:val="none"/>
          <w:lang w:val="en-US" w:eastAsia="zh-CN"/>
        </w:rPr>
        <w:t>5.2-2</w:t>
      </w:r>
      <w:r>
        <w:rPr>
          <w:rFonts w:hint="eastAsia" w:ascii="Times New Roman" w:hAnsi="Times New Roman" w:eastAsia="宋体"/>
          <w:b/>
          <w:bCs/>
          <w:strike w:val="0"/>
          <w:dstrike w:val="0"/>
          <w:color w:val="auto"/>
          <w:highlight w:val="none"/>
          <w:lang w:val="en-US" w:eastAsia="zh-CN"/>
        </w:rPr>
        <w:t>1项目土壤环境影响源及影响因子识别一览表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840"/>
        <w:gridCol w:w="1566"/>
        <w:gridCol w:w="1315"/>
        <w:gridCol w:w="1722"/>
        <w:gridCol w:w="1111"/>
        <w:gridCol w:w="1049"/>
      </w:tblGrid>
      <w:tr w14:paraId="7982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gridSpan w:val="2"/>
            <w:vAlign w:val="center"/>
          </w:tcPr>
          <w:p w14:paraId="5DD407B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污染源</w:t>
            </w:r>
          </w:p>
        </w:tc>
        <w:tc>
          <w:tcPr>
            <w:tcW w:w="943" w:type="pct"/>
            <w:vAlign w:val="center"/>
          </w:tcPr>
          <w:p w14:paraId="5D50948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工艺流程/节点</w:t>
            </w:r>
          </w:p>
        </w:tc>
        <w:tc>
          <w:tcPr>
            <w:tcW w:w="792" w:type="pct"/>
            <w:vAlign w:val="center"/>
          </w:tcPr>
          <w:p w14:paraId="2AAFB7D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污染途径</w:t>
            </w:r>
          </w:p>
        </w:tc>
        <w:tc>
          <w:tcPr>
            <w:tcW w:w="1037" w:type="pct"/>
            <w:vAlign w:val="center"/>
          </w:tcPr>
          <w:p w14:paraId="2CDF919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全部污染物指标</w:t>
            </w:r>
          </w:p>
        </w:tc>
        <w:tc>
          <w:tcPr>
            <w:tcW w:w="669" w:type="pct"/>
            <w:vAlign w:val="center"/>
          </w:tcPr>
          <w:p w14:paraId="5812D1E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特征因子</w:t>
            </w:r>
          </w:p>
        </w:tc>
        <w:tc>
          <w:tcPr>
            <w:tcW w:w="632" w:type="pct"/>
            <w:vAlign w:val="center"/>
          </w:tcPr>
          <w:p w14:paraId="6B4344A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备注</w:t>
            </w:r>
          </w:p>
        </w:tc>
      </w:tr>
      <w:tr w14:paraId="0672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restart"/>
            <w:vAlign w:val="center"/>
          </w:tcPr>
          <w:p w14:paraId="78D9C5D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运营期</w:t>
            </w:r>
          </w:p>
        </w:tc>
        <w:tc>
          <w:tcPr>
            <w:tcW w:w="506" w:type="pct"/>
            <w:vMerge w:val="restart"/>
            <w:vAlign w:val="center"/>
          </w:tcPr>
          <w:p w14:paraId="435D60A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储运设施</w:t>
            </w:r>
          </w:p>
        </w:tc>
        <w:tc>
          <w:tcPr>
            <w:tcW w:w="943" w:type="pct"/>
            <w:vMerge w:val="restart"/>
            <w:vAlign w:val="center"/>
          </w:tcPr>
          <w:p w14:paraId="5659B0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eastAsia" w:ascii="Times New Roman" w:hAnsi="Times New Roman" w:eastAsia="宋体" w:cs="宋体"/>
                <w:strike w:val="0"/>
                <w:dstrike w:val="0"/>
                <w:color w:val="auto"/>
                <w:kern w:val="0"/>
                <w:sz w:val="21"/>
                <w:szCs w:val="20"/>
                <w:lang w:val="en-US" w:eastAsia="zh-CN" w:bidi="ar"/>
              </w:rPr>
              <w:t>黑膜池</w:t>
            </w:r>
          </w:p>
        </w:tc>
        <w:tc>
          <w:tcPr>
            <w:tcW w:w="792" w:type="pct"/>
            <w:vAlign w:val="center"/>
          </w:tcPr>
          <w:p w14:paraId="5F2A3A1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大气降尘</w:t>
            </w:r>
          </w:p>
        </w:tc>
        <w:tc>
          <w:tcPr>
            <w:tcW w:w="1037" w:type="pct"/>
            <w:vAlign w:val="center"/>
          </w:tcPr>
          <w:p w14:paraId="0AA3AF5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4E6F767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5C36EDD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r w14:paraId="5B60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2A1758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12C0119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572E1F3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2A857D4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地面漫流</w:t>
            </w:r>
          </w:p>
        </w:tc>
        <w:tc>
          <w:tcPr>
            <w:tcW w:w="1037" w:type="pct"/>
            <w:vAlign w:val="center"/>
          </w:tcPr>
          <w:p w14:paraId="22408A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5C223A1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60BFFAC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r w14:paraId="7CC7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6165ACA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6BEA726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09C36F2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63967CF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垂直入渗</w:t>
            </w:r>
          </w:p>
        </w:tc>
        <w:tc>
          <w:tcPr>
            <w:tcW w:w="1037" w:type="pct"/>
            <w:vAlign w:val="center"/>
          </w:tcPr>
          <w:p w14:paraId="7C3763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default" w:ascii="Times New Roman" w:hAnsi="Times New Roman" w:eastAsia="宋体" w:cs="Times New Roman"/>
                <w:strike w:val="0"/>
                <w:dstrike w:val="0"/>
                <w:color w:val="auto"/>
                <w:kern w:val="0"/>
                <w:sz w:val="21"/>
                <w:szCs w:val="20"/>
                <w:lang w:val="en-US" w:eastAsia="zh-CN" w:bidi="ar"/>
              </w:rPr>
              <w:t>COD</w:t>
            </w:r>
            <w:r>
              <w:rPr>
                <w:rFonts w:hint="eastAsia" w:ascii="Times New Roman" w:hAnsi="Times New Roman" w:eastAsia="宋体" w:cs="宋体"/>
                <w:strike w:val="0"/>
                <w:dstrike w:val="0"/>
                <w:color w:val="auto"/>
                <w:kern w:val="0"/>
                <w:sz w:val="21"/>
                <w:szCs w:val="20"/>
                <w:lang w:val="en-US" w:eastAsia="zh-CN" w:bidi="ar"/>
              </w:rPr>
              <w:t>、</w:t>
            </w:r>
            <w:r>
              <w:rPr>
                <w:rFonts w:hint="default" w:ascii="Times New Roman" w:hAnsi="Times New Roman" w:eastAsia="宋体" w:cs="Times New Roman"/>
                <w:strike w:val="0"/>
                <w:dstrike w:val="0"/>
                <w:color w:val="auto"/>
                <w:kern w:val="0"/>
                <w:sz w:val="21"/>
                <w:szCs w:val="20"/>
                <w:lang w:val="en-US" w:eastAsia="zh-CN" w:bidi="ar"/>
              </w:rPr>
              <w:t>BOD</w:t>
            </w:r>
            <w:r>
              <w:rPr>
                <w:rFonts w:hint="eastAsia" w:ascii="Times New Roman" w:hAnsi="Times New Roman" w:eastAsia="宋体" w:cs="宋体"/>
                <w:strike w:val="0"/>
                <w:dstrike w:val="0"/>
                <w:color w:val="auto"/>
                <w:kern w:val="0"/>
                <w:sz w:val="21"/>
                <w:szCs w:val="20"/>
                <w:lang w:val="en-US" w:eastAsia="zh-CN" w:bidi="ar"/>
              </w:rPr>
              <w:t>、</w:t>
            </w:r>
            <w:r>
              <w:rPr>
                <w:rFonts w:hint="default" w:ascii="Times New Roman" w:hAnsi="Times New Roman" w:eastAsia="宋体" w:cs="Times New Roman"/>
                <w:strike w:val="0"/>
                <w:dstrike w:val="0"/>
                <w:color w:val="auto"/>
                <w:kern w:val="0"/>
                <w:sz w:val="21"/>
                <w:szCs w:val="20"/>
                <w:lang w:val="en-US" w:eastAsia="zh-CN" w:bidi="ar"/>
              </w:rPr>
              <w:t>SS</w:t>
            </w:r>
            <w:r>
              <w:rPr>
                <w:rFonts w:hint="eastAsia" w:ascii="Times New Roman" w:hAnsi="Times New Roman" w:eastAsia="宋体" w:cs="宋体"/>
                <w:strike w:val="0"/>
                <w:dstrike w:val="0"/>
                <w:color w:val="auto"/>
                <w:kern w:val="0"/>
                <w:sz w:val="21"/>
                <w:szCs w:val="20"/>
                <w:lang w:val="en-US" w:eastAsia="zh-CN" w:bidi="ar"/>
              </w:rPr>
              <w:t>、氨氮</w:t>
            </w:r>
          </w:p>
        </w:tc>
        <w:tc>
          <w:tcPr>
            <w:tcW w:w="669" w:type="pct"/>
            <w:vAlign w:val="center"/>
          </w:tcPr>
          <w:p w14:paraId="7AC1937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6E180E8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事故状态</w:t>
            </w:r>
          </w:p>
        </w:tc>
      </w:tr>
      <w:tr w14:paraId="3CC6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0293A6E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504B225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68A942B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6A63C3F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c>
          <w:tcPr>
            <w:tcW w:w="1037" w:type="pct"/>
            <w:vAlign w:val="center"/>
          </w:tcPr>
          <w:p w14:paraId="05709A5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11EC2AA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2BC22BB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bl>
    <w:p w14:paraId="25315754">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.3土壤影响分析</w:t>
      </w:r>
    </w:p>
    <w:p w14:paraId="795F5A8E">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本项目施工期结束后大部分开挖面将由建筑（构）物所取代，工程施工对土壤和生态环境的影响会逐渐降低。本项目地面构筑物分布较多，主要管道位于地下，随着植被恢复措施的落实施工期影响消失。</w:t>
      </w:r>
    </w:p>
    <w:p w14:paraId="1E63BA6E">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本项目运营期对土壤环境的影响主要集中在土壤污染方面，废水、固废的随意排放、累积影响以及事故情况下污水渗漏，均可能会对土壤造成污染。本项目废气主要污染因子为</w:t>
      </w:r>
      <w:r>
        <w:rPr>
          <w:rFonts w:hint="default" w:ascii="Times New Roman" w:hAnsi="Times New Roman" w:eastAsia="宋体" w:cs="宋体"/>
          <w:strike w:val="0"/>
          <w:dstrike w:val="0"/>
          <w:color w:val="auto"/>
          <w:spacing w:val="0"/>
          <w:sz w:val="24"/>
          <w:szCs w:val="24"/>
          <w:highlight w:val="none"/>
          <w:lang w:val="en-US" w:eastAsia="zh-CN"/>
        </w:rPr>
        <w:t>H</w:t>
      </w:r>
      <w:r>
        <w:rPr>
          <w:rFonts w:hint="default" w:ascii="Times New Roman" w:hAnsi="Times New Roman" w:eastAsia="宋体" w:cs="宋体"/>
          <w:strike w:val="0"/>
          <w:dstrike w:val="0"/>
          <w:color w:val="auto"/>
          <w:spacing w:val="0"/>
          <w:sz w:val="24"/>
          <w:szCs w:val="24"/>
          <w:highlight w:val="none"/>
          <w:vertAlign w:val="subscript"/>
          <w:lang w:val="en-US" w:eastAsia="zh-CN"/>
        </w:rPr>
        <w:t>2</w:t>
      </w:r>
      <w:r>
        <w:rPr>
          <w:rFonts w:hint="default" w:ascii="Times New Roman" w:hAnsi="Times New Roman" w:eastAsia="宋体" w:cs="宋体"/>
          <w:strike w:val="0"/>
          <w:dstrike w:val="0"/>
          <w:color w:val="auto"/>
          <w:spacing w:val="0"/>
          <w:sz w:val="24"/>
          <w:szCs w:val="24"/>
          <w:highlight w:val="none"/>
          <w:lang w:val="en-US" w:eastAsia="zh-CN"/>
        </w:rPr>
        <w:t>S</w:t>
      </w:r>
      <w:r>
        <w:rPr>
          <w:rFonts w:hint="eastAsia" w:ascii="Times New Roman" w:hAnsi="Times New Roman" w:eastAsia="宋体" w:cs="宋体"/>
          <w:strike w:val="0"/>
          <w:dstrike w:val="0"/>
          <w:color w:val="auto"/>
          <w:spacing w:val="0"/>
          <w:sz w:val="24"/>
          <w:szCs w:val="24"/>
          <w:highlight w:val="none"/>
          <w:lang w:val="en-US" w:eastAsia="zh-CN"/>
        </w:rPr>
        <w:t>和</w:t>
      </w:r>
      <w:r>
        <w:rPr>
          <w:rFonts w:hint="default" w:ascii="Times New Roman" w:hAnsi="Times New Roman" w:eastAsia="宋体" w:cs="宋体"/>
          <w:strike w:val="0"/>
          <w:dstrike w:val="0"/>
          <w:color w:val="auto"/>
          <w:spacing w:val="0"/>
          <w:sz w:val="24"/>
          <w:szCs w:val="24"/>
          <w:highlight w:val="none"/>
          <w:lang w:val="en-US" w:eastAsia="zh-CN"/>
        </w:rPr>
        <w:t>NH</w:t>
      </w:r>
      <w:r>
        <w:rPr>
          <w:rFonts w:hint="default" w:ascii="Times New Roman" w:hAnsi="Times New Roman" w:eastAsia="宋体" w:cs="宋体"/>
          <w:strike w:val="0"/>
          <w:dstrike w:val="0"/>
          <w:color w:val="auto"/>
          <w:spacing w:val="0"/>
          <w:sz w:val="24"/>
          <w:szCs w:val="24"/>
          <w:highlight w:val="none"/>
          <w:vertAlign w:val="subscript"/>
          <w:lang w:val="en-US" w:eastAsia="zh-CN"/>
        </w:rPr>
        <w:t>3</w:t>
      </w:r>
      <w:r>
        <w:rPr>
          <w:rFonts w:hint="eastAsia" w:ascii="Times New Roman" w:hAnsi="Times New Roman" w:eastAsia="宋体" w:cs="宋体"/>
          <w:strike w:val="0"/>
          <w:dstrike w:val="0"/>
          <w:color w:val="auto"/>
          <w:spacing w:val="0"/>
          <w:sz w:val="24"/>
          <w:szCs w:val="24"/>
          <w:highlight w:val="none"/>
          <w:lang w:val="en-US" w:eastAsia="zh-CN"/>
        </w:rPr>
        <w:t>，排放量较少。该类废气污染因子大部分在空气中会与尘埃等颗粒物结合或被其他物质分解，极少量会降落至地面，随着时间的推移被土壤自行分解，不会发生富集现象，因此，废气对土壤环境影响很小。</w:t>
      </w:r>
    </w:p>
    <w:p w14:paraId="77498DB6">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本项目废水主要为生活污水和生产废水，主要污染因子</w:t>
      </w:r>
      <w:r>
        <w:rPr>
          <w:rFonts w:hint="default" w:ascii="Times New Roman" w:hAnsi="Times New Roman" w:eastAsia="宋体" w:cs="宋体"/>
          <w:strike w:val="0"/>
          <w:dstrike w:val="0"/>
          <w:color w:val="auto"/>
          <w:spacing w:val="0"/>
          <w:sz w:val="24"/>
          <w:szCs w:val="24"/>
          <w:highlight w:val="none"/>
          <w:lang w:val="en-US" w:eastAsia="zh-CN"/>
        </w:rPr>
        <w:t>pH</w:t>
      </w:r>
      <w:r>
        <w:rPr>
          <w:rFonts w:hint="eastAsia" w:ascii="Times New Roman" w:hAnsi="Times New Roman" w:eastAsia="宋体" w:cs="宋体"/>
          <w:strike w:val="0"/>
          <w:dstrike w:val="0"/>
          <w:color w:val="auto"/>
          <w:spacing w:val="0"/>
          <w:sz w:val="24"/>
          <w:szCs w:val="24"/>
          <w:highlight w:val="none"/>
          <w:lang w:val="en-US" w:eastAsia="zh-CN"/>
        </w:rPr>
        <w:t>、</w:t>
      </w:r>
      <w:r>
        <w:rPr>
          <w:rFonts w:hint="default" w:ascii="Times New Roman" w:hAnsi="Times New Roman" w:eastAsia="宋体" w:cs="宋体"/>
          <w:strike w:val="0"/>
          <w:dstrike w:val="0"/>
          <w:color w:val="auto"/>
          <w:spacing w:val="0"/>
          <w:sz w:val="24"/>
          <w:szCs w:val="24"/>
          <w:highlight w:val="none"/>
          <w:lang w:val="en-US" w:eastAsia="zh-CN"/>
        </w:rPr>
        <w:t>COD</w:t>
      </w:r>
      <w:r>
        <w:rPr>
          <w:rFonts w:hint="eastAsia" w:ascii="Times New Roman" w:hAnsi="Times New Roman" w:eastAsia="宋体" w:cs="宋体"/>
          <w:strike w:val="0"/>
          <w:dstrike w:val="0"/>
          <w:color w:val="auto"/>
          <w:spacing w:val="0"/>
          <w:sz w:val="24"/>
          <w:szCs w:val="24"/>
          <w:highlight w:val="none"/>
          <w:lang w:val="en-US" w:eastAsia="zh-CN"/>
        </w:rPr>
        <w:t>、</w:t>
      </w:r>
      <w:r>
        <w:rPr>
          <w:rFonts w:hint="default" w:ascii="Times New Roman" w:hAnsi="Times New Roman" w:eastAsia="宋体" w:cs="宋体"/>
          <w:strike w:val="0"/>
          <w:dstrike w:val="0"/>
          <w:color w:val="auto"/>
          <w:spacing w:val="0"/>
          <w:sz w:val="24"/>
          <w:szCs w:val="24"/>
          <w:highlight w:val="none"/>
          <w:lang w:val="en-US" w:eastAsia="zh-CN"/>
        </w:rPr>
        <w:t>BOD</w:t>
      </w:r>
      <w:r>
        <w:rPr>
          <w:rFonts w:hint="default" w:ascii="Times New Roman" w:hAnsi="Times New Roman" w:eastAsia="宋体" w:cs="宋体"/>
          <w:strike w:val="0"/>
          <w:dstrike w:val="0"/>
          <w:color w:val="auto"/>
          <w:spacing w:val="0"/>
          <w:sz w:val="24"/>
          <w:szCs w:val="24"/>
          <w:highlight w:val="none"/>
          <w:vertAlign w:val="subscript"/>
          <w:lang w:val="en-US" w:eastAsia="zh-CN"/>
        </w:rPr>
        <w:t>5</w:t>
      </w:r>
      <w:r>
        <w:rPr>
          <w:rFonts w:hint="eastAsia" w:ascii="Times New Roman" w:hAnsi="Times New Roman" w:eastAsia="宋体" w:cs="宋体"/>
          <w:strike w:val="0"/>
          <w:dstrike w:val="0"/>
          <w:color w:val="auto"/>
          <w:spacing w:val="0"/>
          <w:sz w:val="24"/>
          <w:szCs w:val="24"/>
          <w:highlight w:val="none"/>
          <w:lang w:val="en-US" w:eastAsia="zh-CN"/>
        </w:rPr>
        <w:t>、氨氮等。全厂严格按照设计规范要求采取防渗措施，将少量跑冒滴漏的渗漏废水污染物截留，正常情况下不会污染土壤；如若发生防渗失效等非正常情况，污染物可能会透过防渗层从而污染土壤。因此建设单位应该采取严格有效的防渗及应急措施，一旦发生非正常情况，立即采取相应的应急处理措施，切断污染源，将事故影响减小至最低。</w:t>
      </w:r>
    </w:p>
    <w:p w14:paraId="44D22F96">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sz w:val="24"/>
          <w:szCs w:val="24"/>
          <w:highlight w:val="none"/>
        </w:rPr>
        <w:t>通过评价分析，本项目产生的废水不会对土壤环境造成大的影响</w:t>
      </w:r>
      <w:r>
        <w:rPr>
          <w:rFonts w:hint="eastAsia" w:ascii="Times New Roman" w:hAnsi="Times New Roman" w:eastAsia="宋体" w:cs="宋体"/>
          <w:strike w:val="0"/>
          <w:dstrike w:val="0"/>
          <w:color w:val="auto"/>
          <w:spacing w:val="0"/>
          <w:sz w:val="24"/>
          <w:szCs w:val="24"/>
          <w:highlight w:val="none"/>
          <w:lang w:eastAsia="zh-CN"/>
        </w:rPr>
        <w:t>。</w:t>
      </w:r>
    </w:p>
    <w:p w14:paraId="12C0E393">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因此企业要严格实施环评提及的各项废水、固废防治措施治理，实现污水、固废的零排放，使其对周围土壤环境影响降至最低</w:t>
      </w:r>
      <w:r>
        <w:rPr>
          <w:rFonts w:hint="eastAsia" w:ascii="Times New Roman" w:hAnsi="Times New Roman" w:eastAsia="宋体" w:cs="宋体"/>
          <w:strike w:val="0"/>
          <w:dstrike w:val="0"/>
          <w:color w:val="auto"/>
          <w:spacing w:val="0"/>
          <w:sz w:val="24"/>
          <w:szCs w:val="24"/>
          <w:highlight w:val="none"/>
          <w:lang w:eastAsia="zh-CN"/>
        </w:rPr>
        <w:t>。</w:t>
      </w:r>
    </w:p>
    <w:p w14:paraId="7728D721">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土壤环境影响评价自查表见表</w:t>
      </w:r>
      <w:r>
        <w:rPr>
          <w:rFonts w:hint="eastAsia" w:ascii="Times New Roman" w:hAnsi="Times New Roman" w:eastAsia="宋体" w:cs="宋体"/>
          <w:strike w:val="0"/>
          <w:dstrike w:val="0"/>
          <w:color w:val="auto"/>
          <w:spacing w:val="0"/>
          <w:sz w:val="24"/>
          <w:szCs w:val="24"/>
          <w:highlight w:val="none"/>
          <w:lang w:val="en-US" w:eastAsia="zh-CN"/>
        </w:rPr>
        <w:t>5</w:t>
      </w:r>
      <w:r>
        <w:rPr>
          <w:rFonts w:ascii="Times New Roman" w:hAnsi="Times New Roman" w:eastAsia="宋体" w:cs="宋体"/>
          <w:strike w:val="0"/>
          <w:dstrike w:val="0"/>
          <w:color w:val="auto"/>
          <w:spacing w:val="0"/>
          <w:sz w:val="24"/>
          <w:szCs w:val="24"/>
          <w:highlight w:val="none"/>
        </w:rPr>
        <w:t>.2-</w:t>
      </w:r>
      <w:r>
        <w:rPr>
          <w:rFonts w:hint="eastAsia" w:ascii="Times New Roman" w:hAnsi="Times New Roman" w:eastAsia="宋体" w:cs="宋体"/>
          <w:strike w:val="0"/>
          <w:dstrike w:val="0"/>
          <w:color w:val="auto"/>
          <w:spacing w:val="0"/>
          <w:sz w:val="24"/>
          <w:szCs w:val="24"/>
          <w:highlight w:val="none"/>
          <w:lang w:val="en-US" w:eastAsia="zh-CN"/>
        </w:rPr>
        <w:t>22</w:t>
      </w:r>
      <w:r>
        <w:rPr>
          <w:rFonts w:hint="eastAsia" w:ascii="Times New Roman" w:hAnsi="Times New Roman" w:eastAsia="宋体" w:cs="宋体"/>
          <w:strike w:val="0"/>
          <w:dstrike w:val="0"/>
          <w:color w:val="auto"/>
          <w:spacing w:val="0"/>
          <w:sz w:val="24"/>
          <w:szCs w:val="24"/>
          <w:highlight w:val="none"/>
          <w:lang w:eastAsia="zh-CN"/>
        </w:rPr>
        <w:t>。</w:t>
      </w:r>
    </w:p>
    <w:p w14:paraId="6645F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表5.2-22土壤环境影响评价自查表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3"/>
        <w:gridCol w:w="1482"/>
        <w:gridCol w:w="1247"/>
        <w:gridCol w:w="1350"/>
        <w:gridCol w:w="953"/>
        <w:gridCol w:w="382"/>
        <w:gridCol w:w="1374"/>
        <w:gridCol w:w="1019"/>
      </w:tblGrid>
      <w:tr w14:paraId="6A22C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190" w:type="pct"/>
            <w:gridSpan w:val="2"/>
            <w:tcBorders>
              <w:tl2br w:val="nil"/>
              <w:tr2bl w:val="nil"/>
            </w:tcBorders>
            <w:vAlign w:val="center"/>
          </w:tcPr>
          <w:p w14:paraId="0EF16D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工作内容</w:t>
            </w:r>
          </w:p>
        </w:tc>
        <w:tc>
          <w:tcPr>
            <w:tcW w:w="3196" w:type="pct"/>
            <w:gridSpan w:val="5"/>
            <w:tcBorders>
              <w:tl2br w:val="nil"/>
              <w:tr2bl w:val="nil"/>
            </w:tcBorders>
            <w:vAlign w:val="center"/>
          </w:tcPr>
          <w:p w14:paraId="3DF2E2E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完成情况</w:t>
            </w:r>
          </w:p>
        </w:tc>
        <w:tc>
          <w:tcPr>
            <w:tcW w:w="613" w:type="pct"/>
            <w:tcBorders>
              <w:tl2br w:val="nil"/>
              <w:tr2bl w:val="nil"/>
            </w:tcBorders>
            <w:vAlign w:val="center"/>
          </w:tcPr>
          <w:p w14:paraId="6510AB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2561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restart"/>
            <w:tcBorders>
              <w:tl2br w:val="nil"/>
              <w:tr2bl w:val="nil"/>
            </w:tcBorders>
            <w:vAlign w:val="center"/>
          </w:tcPr>
          <w:p w14:paraId="205C02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影响识别</w:t>
            </w:r>
          </w:p>
        </w:tc>
        <w:tc>
          <w:tcPr>
            <w:tcW w:w="892" w:type="pct"/>
            <w:tcBorders>
              <w:tl2br w:val="nil"/>
              <w:tr2bl w:val="nil"/>
            </w:tcBorders>
            <w:vAlign w:val="center"/>
          </w:tcPr>
          <w:p w14:paraId="465FD37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影响类型</w:t>
            </w:r>
          </w:p>
        </w:tc>
        <w:tc>
          <w:tcPr>
            <w:tcW w:w="3196" w:type="pct"/>
            <w:gridSpan w:val="5"/>
            <w:tcBorders>
              <w:tl2br w:val="nil"/>
              <w:tr2bl w:val="nil"/>
            </w:tcBorders>
            <w:vAlign w:val="center"/>
          </w:tcPr>
          <w:p w14:paraId="0170565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污染影响型</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；生态影响型</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；两种兼有</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0734644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00AB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19582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EE144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3196" w:type="pct"/>
            <w:gridSpan w:val="5"/>
            <w:tcBorders>
              <w:tl2br w:val="nil"/>
              <w:tr2bl w:val="nil"/>
            </w:tcBorders>
            <w:vAlign w:val="center"/>
          </w:tcPr>
          <w:p w14:paraId="27391D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建设用地</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；农用地</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；未利用地</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5FA2EE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E02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continue"/>
            <w:tcBorders>
              <w:tl2br w:val="nil"/>
              <w:tr2bl w:val="nil"/>
            </w:tcBorders>
            <w:textDirection w:val="tbRlV"/>
            <w:vAlign w:val="center"/>
          </w:tcPr>
          <w:p w14:paraId="41CCE68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344DD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占地规模</w:t>
            </w:r>
          </w:p>
        </w:tc>
        <w:tc>
          <w:tcPr>
            <w:tcW w:w="3196" w:type="pct"/>
            <w:gridSpan w:val="5"/>
            <w:tcBorders>
              <w:tl2br w:val="nil"/>
              <w:tr2bl w:val="nil"/>
            </w:tcBorders>
            <w:vAlign w:val="center"/>
          </w:tcPr>
          <w:p w14:paraId="690FF8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13.487</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hm</w:t>
            </w:r>
            <w:r>
              <w:rPr>
                <w:rFonts w:ascii="Times New Roman" w:hAnsi="Times New Roman" w:eastAsia="宋体" w:cs="Times New Roman"/>
                <w:strike w:val="0"/>
                <w:dstrike w:val="0"/>
                <w:color w:val="auto"/>
                <w:spacing w:val="0"/>
                <w:position w:val="0"/>
                <w:sz w:val="21"/>
                <w:szCs w:val="21"/>
                <w:highlight w:val="none"/>
                <w:vertAlign w:val="superscript"/>
              </w:rPr>
              <w:t>2</w:t>
            </w:r>
          </w:p>
        </w:tc>
        <w:tc>
          <w:tcPr>
            <w:tcW w:w="613" w:type="pct"/>
            <w:tcBorders>
              <w:tl2br w:val="nil"/>
              <w:tr2bl w:val="nil"/>
            </w:tcBorders>
            <w:vAlign w:val="center"/>
          </w:tcPr>
          <w:p w14:paraId="0C41DF3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90E9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AB455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C204B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敏感目标信息</w:t>
            </w:r>
          </w:p>
        </w:tc>
        <w:tc>
          <w:tcPr>
            <w:tcW w:w="3196" w:type="pct"/>
            <w:gridSpan w:val="5"/>
            <w:tcBorders>
              <w:tl2br w:val="nil"/>
              <w:tr2bl w:val="nil"/>
            </w:tcBorders>
            <w:vAlign w:val="center"/>
          </w:tcPr>
          <w:p w14:paraId="21E1C11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敏感目标</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、方位</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、距离</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4827EC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92D9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continue"/>
            <w:tcBorders>
              <w:tl2br w:val="nil"/>
              <w:tr2bl w:val="nil"/>
            </w:tcBorders>
            <w:textDirection w:val="tbRlV"/>
            <w:vAlign w:val="center"/>
          </w:tcPr>
          <w:p w14:paraId="7BC817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2A470C0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影响途径</w:t>
            </w:r>
          </w:p>
        </w:tc>
        <w:tc>
          <w:tcPr>
            <w:tcW w:w="3196" w:type="pct"/>
            <w:gridSpan w:val="5"/>
            <w:tcBorders>
              <w:tl2br w:val="nil"/>
              <w:tr2bl w:val="nil"/>
            </w:tcBorders>
            <w:vAlign w:val="center"/>
          </w:tcPr>
          <w:p w14:paraId="1040790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大气沉降</w:t>
            </w:r>
            <w:r>
              <w:rPr>
                <w:rFonts w:hint="eastAsia" w:ascii="Times New Roman" w:hAnsi="Times New Roman" w:eastAsia="宋体" w:cs="MS Gothic"/>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；地面漫流</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；垂直入渗</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；地下水位</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598F12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D7E5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97" w:type="pct"/>
            <w:vMerge w:val="continue"/>
            <w:tcBorders>
              <w:tl2br w:val="nil"/>
              <w:tr2bl w:val="nil"/>
            </w:tcBorders>
            <w:textDirection w:val="tbRlV"/>
            <w:vAlign w:val="center"/>
          </w:tcPr>
          <w:p w14:paraId="16EDD4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91710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全部污染物</w:t>
            </w:r>
          </w:p>
        </w:tc>
        <w:tc>
          <w:tcPr>
            <w:tcW w:w="3196" w:type="pct"/>
            <w:gridSpan w:val="5"/>
            <w:tcBorders>
              <w:tl2br w:val="nil"/>
              <w:tr2bl w:val="nil"/>
            </w:tcBorders>
            <w:vAlign w:val="center"/>
          </w:tcPr>
          <w:p w14:paraId="55C70D4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06B8FDC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BD96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97" w:type="pct"/>
            <w:vMerge w:val="continue"/>
            <w:tcBorders>
              <w:tl2br w:val="nil"/>
              <w:tr2bl w:val="nil"/>
            </w:tcBorders>
            <w:textDirection w:val="tbRlV"/>
            <w:vAlign w:val="center"/>
          </w:tcPr>
          <w:p w14:paraId="56F3A9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50C9AB9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特征因子</w:t>
            </w:r>
          </w:p>
        </w:tc>
        <w:tc>
          <w:tcPr>
            <w:tcW w:w="3196" w:type="pct"/>
            <w:gridSpan w:val="5"/>
            <w:tcBorders>
              <w:tl2br w:val="nil"/>
              <w:tr2bl w:val="nil"/>
            </w:tcBorders>
            <w:vAlign w:val="center"/>
          </w:tcPr>
          <w:p w14:paraId="242FE2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1F1A86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C68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jc w:val="center"/>
        </w:trPr>
        <w:tc>
          <w:tcPr>
            <w:tcW w:w="297" w:type="pct"/>
            <w:vMerge w:val="continue"/>
            <w:tcBorders>
              <w:tl2br w:val="nil"/>
              <w:tr2bl w:val="nil"/>
            </w:tcBorders>
            <w:textDirection w:val="tbRlV"/>
            <w:vAlign w:val="center"/>
          </w:tcPr>
          <w:p w14:paraId="035723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C1B96E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所属土壤环境</w:t>
            </w:r>
          </w:p>
          <w:p w14:paraId="5A412F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影响评价项目</w:t>
            </w:r>
          </w:p>
          <w:p w14:paraId="476871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类别</w:t>
            </w:r>
          </w:p>
        </w:tc>
        <w:tc>
          <w:tcPr>
            <w:tcW w:w="3196" w:type="pct"/>
            <w:gridSpan w:val="5"/>
            <w:tcBorders>
              <w:tl2br w:val="nil"/>
              <w:tr2bl w:val="nil"/>
            </w:tcBorders>
            <w:vAlign w:val="center"/>
          </w:tcPr>
          <w:p w14:paraId="0D5C73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p w14:paraId="19E5AC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Ⅰ类</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；Ⅱ类</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；Ⅲ类</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；Ⅳ类</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4960981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1F8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010E3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5036D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敏感程度</w:t>
            </w:r>
          </w:p>
        </w:tc>
        <w:tc>
          <w:tcPr>
            <w:tcW w:w="3196" w:type="pct"/>
            <w:gridSpan w:val="5"/>
            <w:tcBorders>
              <w:tl2br w:val="nil"/>
              <w:tr2bl w:val="nil"/>
            </w:tcBorders>
            <w:vAlign w:val="center"/>
          </w:tcPr>
          <w:p w14:paraId="3648BA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敏感</w:t>
            </w:r>
            <w:r>
              <w:rPr>
                <w:rFonts w:hint="eastAsia" w:ascii="Times New Roman" w:hAnsi="Times New Roman" w:eastAsia="宋体" w:cs="MS Gothic"/>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；较敏感</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；不敏感</w:t>
            </w:r>
            <w:r>
              <w:rPr>
                <w:rFonts w:hint="eastAsia" w:ascii="Times New Roman" w:hAnsi="Times New Roman" w:eastAsia="宋体" w:cs="Times New Roman"/>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74E52E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AAA9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190" w:type="pct"/>
            <w:gridSpan w:val="2"/>
            <w:tcBorders>
              <w:tl2br w:val="nil"/>
              <w:tr2bl w:val="nil"/>
            </w:tcBorders>
            <w:vAlign w:val="center"/>
          </w:tcPr>
          <w:p w14:paraId="79E4C6C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评价工作等级</w:t>
            </w:r>
          </w:p>
        </w:tc>
        <w:tc>
          <w:tcPr>
            <w:tcW w:w="3196" w:type="pct"/>
            <w:gridSpan w:val="5"/>
            <w:tcBorders>
              <w:tl2br w:val="nil"/>
              <w:tr2bl w:val="nil"/>
            </w:tcBorders>
            <w:vAlign w:val="center"/>
          </w:tcPr>
          <w:p w14:paraId="58F95C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Segoe UI Symbol"/>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；二级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Segoe UI Symbol"/>
                <w:strike w:val="0"/>
                <w:dstrike w:val="0"/>
                <w:color w:val="auto"/>
                <w:spacing w:val="0"/>
                <w:position w:val="0"/>
                <w:sz w:val="21"/>
                <w:szCs w:val="21"/>
                <w:highlight w:val="none"/>
              </w:rPr>
              <w:t>☑</w:t>
            </w:r>
          </w:p>
        </w:tc>
        <w:tc>
          <w:tcPr>
            <w:tcW w:w="613" w:type="pct"/>
            <w:tcBorders>
              <w:tl2br w:val="nil"/>
              <w:tr2bl w:val="nil"/>
            </w:tcBorders>
            <w:vAlign w:val="center"/>
          </w:tcPr>
          <w:p w14:paraId="2EAA60F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FD31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restart"/>
            <w:tcBorders>
              <w:tl2br w:val="nil"/>
              <w:tr2bl w:val="nil"/>
            </w:tcBorders>
            <w:vAlign w:val="center"/>
          </w:tcPr>
          <w:p w14:paraId="3843211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现状调查内容</w:t>
            </w:r>
          </w:p>
        </w:tc>
        <w:tc>
          <w:tcPr>
            <w:tcW w:w="892" w:type="pct"/>
            <w:tcBorders>
              <w:tl2br w:val="nil"/>
              <w:tr2bl w:val="nil"/>
            </w:tcBorders>
            <w:vAlign w:val="center"/>
          </w:tcPr>
          <w:p w14:paraId="0C0888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资料收集</w:t>
            </w:r>
          </w:p>
        </w:tc>
        <w:tc>
          <w:tcPr>
            <w:tcW w:w="3196" w:type="pct"/>
            <w:gridSpan w:val="5"/>
            <w:tcBorders>
              <w:tl2br w:val="nil"/>
              <w:tr2bl w:val="nil"/>
            </w:tcBorders>
            <w:vAlign w:val="center"/>
          </w:tcPr>
          <w:p w14:paraId="71049F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c</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d</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MS Gothic"/>
                <w:strike w:val="0"/>
                <w:dstrike w:val="0"/>
                <w:color w:val="auto"/>
                <w:spacing w:val="0"/>
                <w:position w:val="0"/>
                <w:sz w:val="21"/>
                <w:szCs w:val="21"/>
                <w:highlight w:val="none"/>
              </w:rPr>
              <w:t>☑</w:t>
            </w:r>
          </w:p>
        </w:tc>
        <w:tc>
          <w:tcPr>
            <w:tcW w:w="613" w:type="pct"/>
            <w:tcBorders>
              <w:tl2br w:val="nil"/>
              <w:tr2bl w:val="nil"/>
            </w:tcBorders>
            <w:vAlign w:val="center"/>
          </w:tcPr>
          <w:p w14:paraId="17F1000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D163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297" w:type="pct"/>
            <w:vMerge w:val="continue"/>
            <w:tcBorders>
              <w:tl2br w:val="nil"/>
              <w:tr2bl w:val="nil"/>
            </w:tcBorders>
            <w:textDirection w:val="tbRlV"/>
            <w:vAlign w:val="center"/>
          </w:tcPr>
          <w:p w14:paraId="1DD749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223BA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理化特性</w:t>
            </w:r>
          </w:p>
        </w:tc>
        <w:tc>
          <w:tcPr>
            <w:tcW w:w="3196" w:type="pct"/>
            <w:gridSpan w:val="5"/>
            <w:tcBorders>
              <w:tl2br w:val="nil"/>
              <w:tr2bl w:val="nil"/>
            </w:tcBorders>
            <w:vAlign w:val="center"/>
          </w:tcPr>
          <w:p w14:paraId="1E650A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无酸化或碱化的中度盐化土</w:t>
            </w:r>
          </w:p>
        </w:tc>
        <w:tc>
          <w:tcPr>
            <w:tcW w:w="613" w:type="pct"/>
            <w:tcBorders>
              <w:tl2br w:val="nil"/>
              <w:tr2bl w:val="nil"/>
            </w:tcBorders>
            <w:vAlign w:val="center"/>
          </w:tcPr>
          <w:p w14:paraId="020FBBC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同附录</w:t>
            </w:r>
            <w:r>
              <w:rPr>
                <w:rFonts w:ascii="Times New Roman" w:hAnsi="Times New Roman" w:eastAsia="宋体" w:cs="Times New Roman"/>
                <w:strike w:val="0"/>
                <w:dstrike w:val="0"/>
                <w:color w:val="auto"/>
                <w:spacing w:val="0"/>
                <w:position w:val="0"/>
                <w:sz w:val="21"/>
                <w:szCs w:val="21"/>
                <w:highlight w:val="none"/>
              </w:rPr>
              <w:t>C</w:t>
            </w:r>
          </w:p>
        </w:tc>
      </w:tr>
      <w:tr w14:paraId="1224F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3E69BC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restart"/>
            <w:tcBorders>
              <w:tl2br w:val="nil"/>
              <w:tr2bl w:val="nil"/>
            </w:tcBorders>
            <w:vAlign w:val="center"/>
          </w:tcPr>
          <w:p w14:paraId="7EC83E5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现状监测点位</w:t>
            </w:r>
          </w:p>
        </w:tc>
        <w:tc>
          <w:tcPr>
            <w:tcW w:w="751" w:type="pct"/>
            <w:tcBorders>
              <w:tl2br w:val="nil"/>
              <w:tr2bl w:val="nil"/>
            </w:tcBorders>
            <w:vAlign w:val="center"/>
          </w:tcPr>
          <w:p w14:paraId="4CDB6F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13" w:type="pct"/>
            <w:tcBorders>
              <w:tl2br w:val="nil"/>
              <w:tr2bl w:val="nil"/>
            </w:tcBorders>
            <w:vAlign w:val="center"/>
          </w:tcPr>
          <w:p w14:paraId="74779B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占地范围内</w:t>
            </w:r>
          </w:p>
        </w:tc>
        <w:tc>
          <w:tcPr>
            <w:tcW w:w="804" w:type="pct"/>
            <w:gridSpan w:val="2"/>
            <w:tcBorders>
              <w:tl2br w:val="nil"/>
              <w:tr2bl w:val="nil"/>
            </w:tcBorders>
            <w:vAlign w:val="center"/>
          </w:tcPr>
          <w:p w14:paraId="56D848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占地范围外</w:t>
            </w:r>
          </w:p>
        </w:tc>
        <w:tc>
          <w:tcPr>
            <w:tcW w:w="826" w:type="pct"/>
            <w:tcBorders>
              <w:tl2br w:val="nil"/>
              <w:tr2bl w:val="nil"/>
            </w:tcBorders>
            <w:vAlign w:val="center"/>
          </w:tcPr>
          <w:p w14:paraId="66993E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深度</w:t>
            </w:r>
          </w:p>
        </w:tc>
        <w:tc>
          <w:tcPr>
            <w:tcW w:w="613" w:type="pct"/>
            <w:vMerge w:val="restart"/>
            <w:tcBorders>
              <w:tl2br w:val="nil"/>
              <w:tr2bl w:val="nil"/>
            </w:tcBorders>
            <w:vAlign w:val="center"/>
          </w:tcPr>
          <w:p w14:paraId="7BF640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点位布置图</w:t>
            </w:r>
          </w:p>
        </w:tc>
      </w:tr>
      <w:tr w14:paraId="6F991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continue"/>
            <w:tcBorders>
              <w:tl2br w:val="nil"/>
              <w:tr2bl w:val="nil"/>
            </w:tcBorders>
            <w:textDirection w:val="tbRlV"/>
            <w:vAlign w:val="center"/>
          </w:tcPr>
          <w:p w14:paraId="1FD410A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507C7A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074528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表层样点数</w:t>
            </w:r>
          </w:p>
        </w:tc>
        <w:tc>
          <w:tcPr>
            <w:tcW w:w="813" w:type="pct"/>
            <w:tcBorders>
              <w:tl2br w:val="nil"/>
              <w:tr2bl w:val="nil"/>
            </w:tcBorders>
            <w:vAlign w:val="center"/>
          </w:tcPr>
          <w:p w14:paraId="234BD7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3</w:t>
            </w:r>
          </w:p>
        </w:tc>
        <w:tc>
          <w:tcPr>
            <w:tcW w:w="804" w:type="pct"/>
            <w:gridSpan w:val="2"/>
            <w:tcBorders>
              <w:tl2br w:val="nil"/>
              <w:tr2bl w:val="nil"/>
            </w:tcBorders>
            <w:vAlign w:val="center"/>
          </w:tcPr>
          <w:p w14:paraId="6533A6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26" w:type="pct"/>
            <w:tcBorders>
              <w:tl2br w:val="nil"/>
              <w:tr2bl w:val="nil"/>
            </w:tcBorders>
            <w:vAlign w:val="center"/>
          </w:tcPr>
          <w:p w14:paraId="7969BF9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0.2m</w:t>
            </w:r>
          </w:p>
        </w:tc>
        <w:tc>
          <w:tcPr>
            <w:tcW w:w="613" w:type="pct"/>
            <w:vMerge w:val="continue"/>
            <w:tcBorders>
              <w:tl2br w:val="nil"/>
              <w:tr2bl w:val="nil"/>
            </w:tcBorders>
            <w:vAlign w:val="center"/>
          </w:tcPr>
          <w:p w14:paraId="28E7712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25AF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74891E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404165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6F5C64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柱状样点数</w:t>
            </w:r>
          </w:p>
        </w:tc>
        <w:tc>
          <w:tcPr>
            <w:tcW w:w="813" w:type="pct"/>
            <w:tcBorders>
              <w:tl2br w:val="nil"/>
              <w:tr2bl w:val="nil"/>
            </w:tcBorders>
            <w:vAlign w:val="center"/>
          </w:tcPr>
          <w:p w14:paraId="281B776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04" w:type="pct"/>
            <w:gridSpan w:val="2"/>
            <w:tcBorders>
              <w:tl2br w:val="nil"/>
              <w:tr2bl w:val="nil"/>
            </w:tcBorders>
            <w:vAlign w:val="center"/>
          </w:tcPr>
          <w:p w14:paraId="74D37B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26" w:type="pct"/>
            <w:tcBorders>
              <w:tl2br w:val="nil"/>
              <w:tr2bl w:val="nil"/>
            </w:tcBorders>
            <w:vAlign w:val="center"/>
          </w:tcPr>
          <w:p w14:paraId="78BCBB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13" w:type="pct"/>
            <w:vMerge w:val="continue"/>
            <w:tcBorders>
              <w:tl2br w:val="nil"/>
              <w:tr2bl w:val="nil"/>
            </w:tcBorders>
            <w:vAlign w:val="center"/>
          </w:tcPr>
          <w:p w14:paraId="4D5DB2B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282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97" w:type="pct"/>
            <w:vMerge w:val="continue"/>
            <w:tcBorders>
              <w:tl2br w:val="nil"/>
              <w:tr2bl w:val="nil"/>
            </w:tcBorders>
            <w:textDirection w:val="tbRlV"/>
            <w:vAlign w:val="center"/>
          </w:tcPr>
          <w:p w14:paraId="00C9C0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C6B640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现状监测因子</w:t>
            </w:r>
          </w:p>
        </w:tc>
        <w:tc>
          <w:tcPr>
            <w:tcW w:w="3196" w:type="pct"/>
            <w:gridSpan w:val="5"/>
            <w:tcBorders>
              <w:tl2br w:val="nil"/>
              <w:tr2bl w:val="nil"/>
            </w:tcBorders>
            <w:vAlign w:val="center"/>
          </w:tcPr>
          <w:p w14:paraId="50FA5FD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3D5EA1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427E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97" w:type="pct"/>
            <w:vMerge w:val="restart"/>
            <w:tcBorders>
              <w:tl2br w:val="nil"/>
              <w:tr2bl w:val="nil"/>
            </w:tcBorders>
            <w:vAlign w:val="center"/>
          </w:tcPr>
          <w:p w14:paraId="398112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w:t>
            </w:r>
          </w:p>
        </w:tc>
        <w:tc>
          <w:tcPr>
            <w:tcW w:w="892" w:type="pct"/>
            <w:tcBorders>
              <w:tl2br w:val="nil"/>
              <w:tr2bl w:val="nil"/>
            </w:tcBorders>
            <w:vAlign w:val="center"/>
          </w:tcPr>
          <w:p w14:paraId="349FF05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3196" w:type="pct"/>
            <w:gridSpan w:val="5"/>
            <w:tcBorders>
              <w:tl2br w:val="nil"/>
              <w:tr2bl w:val="nil"/>
            </w:tcBorders>
            <w:vAlign w:val="center"/>
          </w:tcPr>
          <w:p w14:paraId="300851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47A908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E58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continue"/>
            <w:tcBorders>
              <w:tl2br w:val="nil"/>
              <w:tr2bl w:val="nil"/>
            </w:tcBorders>
            <w:textDirection w:val="tbRlV"/>
            <w:vAlign w:val="center"/>
          </w:tcPr>
          <w:p w14:paraId="77155A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24BEEA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评价标准</w:t>
            </w:r>
          </w:p>
        </w:tc>
        <w:tc>
          <w:tcPr>
            <w:tcW w:w="3196" w:type="pct"/>
            <w:gridSpan w:val="5"/>
            <w:tcBorders>
              <w:tl2br w:val="nil"/>
              <w:tr2bl w:val="nil"/>
            </w:tcBorders>
            <w:vAlign w:val="center"/>
          </w:tcPr>
          <w:p w14:paraId="153BDF0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GB15618</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GB36600□</w:t>
            </w:r>
            <w:r>
              <w:rPr>
                <w:rFonts w:ascii="Times New Roman" w:hAnsi="Times New Roman" w:eastAsia="宋体" w:cs="宋体"/>
                <w:strike w:val="0"/>
                <w:dstrike w:val="0"/>
                <w:color w:val="auto"/>
                <w:spacing w:val="0"/>
                <w:position w:val="0"/>
                <w:sz w:val="21"/>
                <w:szCs w:val="21"/>
                <w:highlight w:val="none"/>
              </w:rPr>
              <w:t>；表</w:t>
            </w:r>
            <w:r>
              <w:rPr>
                <w:rFonts w:ascii="Times New Roman" w:hAnsi="Times New Roman" w:eastAsia="宋体" w:cs="Times New Roman"/>
                <w:strike w:val="0"/>
                <w:dstrike w:val="0"/>
                <w:color w:val="auto"/>
                <w:spacing w:val="0"/>
                <w:position w:val="0"/>
                <w:sz w:val="21"/>
                <w:szCs w:val="21"/>
                <w:highlight w:val="none"/>
              </w:rPr>
              <w:t>D.1□</w:t>
            </w:r>
            <w:r>
              <w:rPr>
                <w:rFonts w:ascii="Times New Roman" w:hAnsi="Times New Roman" w:eastAsia="宋体" w:cs="宋体"/>
                <w:strike w:val="0"/>
                <w:dstrike w:val="0"/>
                <w:color w:val="auto"/>
                <w:spacing w:val="0"/>
                <w:position w:val="0"/>
                <w:sz w:val="21"/>
                <w:szCs w:val="21"/>
                <w:highlight w:val="none"/>
              </w:rPr>
              <w:t>；表</w:t>
            </w:r>
            <w:r>
              <w:rPr>
                <w:rFonts w:ascii="Times New Roman" w:hAnsi="Times New Roman" w:eastAsia="宋体" w:cs="Times New Roman"/>
                <w:strike w:val="0"/>
                <w:dstrike w:val="0"/>
                <w:color w:val="auto"/>
                <w:spacing w:val="0"/>
                <w:position w:val="0"/>
                <w:sz w:val="21"/>
                <w:szCs w:val="21"/>
                <w:highlight w:val="none"/>
              </w:rPr>
              <w:t>D.2□</w:t>
            </w:r>
            <w:r>
              <w:rPr>
                <w:rFonts w:ascii="Times New Roman" w:hAnsi="Times New Roman" w:eastAsia="宋体" w:cs="宋体"/>
                <w:strike w:val="0"/>
                <w:dstrike w:val="0"/>
                <w:color w:val="auto"/>
                <w:spacing w:val="0"/>
                <w:position w:val="0"/>
                <w:sz w:val="21"/>
                <w:szCs w:val="21"/>
                <w:highlight w:val="none"/>
              </w:rPr>
              <w:t>；其他</w:t>
            </w:r>
          </w:p>
          <w:p w14:paraId="1C51F86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HJ568-2010</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362DFB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B0A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Merge w:val="continue"/>
            <w:tcBorders>
              <w:tl2br w:val="nil"/>
              <w:tr2bl w:val="nil"/>
            </w:tcBorders>
            <w:textDirection w:val="tbRlV"/>
            <w:vAlign w:val="center"/>
          </w:tcPr>
          <w:p w14:paraId="6E447E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FA323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现状评价结论</w:t>
            </w:r>
          </w:p>
        </w:tc>
        <w:tc>
          <w:tcPr>
            <w:tcW w:w="3196" w:type="pct"/>
            <w:gridSpan w:val="5"/>
            <w:tcBorders>
              <w:tl2br w:val="nil"/>
              <w:tr2bl w:val="nil"/>
            </w:tcBorders>
            <w:vAlign w:val="center"/>
          </w:tcPr>
          <w:p w14:paraId="7B10F74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项目区周边各监测点各监测因子浓度均满足《土壤环境质量农用地土壤污染风险管控标准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试行</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GB15618-2018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风险筛选值</w:t>
            </w:r>
          </w:p>
        </w:tc>
        <w:tc>
          <w:tcPr>
            <w:tcW w:w="613" w:type="pct"/>
            <w:tcBorders>
              <w:tl2br w:val="nil"/>
              <w:tr2bl w:val="nil"/>
            </w:tcBorders>
            <w:vAlign w:val="center"/>
          </w:tcPr>
          <w:p w14:paraId="742E36A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A68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restart"/>
            <w:tcBorders>
              <w:tl2br w:val="nil"/>
              <w:tr2bl w:val="nil"/>
            </w:tcBorders>
            <w:vAlign w:val="center"/>
          </w:tcPr>
          <w:p w14:paraId="4DCACDF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w:t>
            </w:r>
          </w:p>
          <w:p w14:paraId="59EBD54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w:t>
            </w:r>
          </w:p>
        </w:tc>
        <w:tc>
          <w:tcPr>
            <w:tcW w:w="892" w:type="pct"/>
            <w:tcBorders>
              <w:tl2br w:val="nil"/>
              <w:tr2bl w:val="nil"/>
            </w:tcBorders>
            <w:vAlign w:val="center"/>
          </w:tcPr>
          <w:p w14:paraId="1F213B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预测因子</w:t>
            </w:r>
          </w:p>
        </w:tc>
        <w:tc>
          <w:tcPr>
            <w:tcW w:w="3196" w:type="pct"/>
            <w:gridSpan w:val="5"/>
            <w:tcBorders>
              <w:tl2br w:val="nil"/>
              <w:tr2bl w:val="nil"/>
            </w:tcBorders>
            <w:vAlign w:val="center"/>
          </w:tcPr>
          <w:p w14:paraId="53A1BD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strike w:val="0"/>
                <w:dstrike w:val="0"/>
                <w:color w:val="auto"/>
                <w:spacing w:val="0"/>
                <w:position w:val="0"/>
                <w:sz w:val="21"/>
                <w:highlight w:val="none"/>
                <w:lang w:val="en-US" w:eastAsia="zh-CN"/>
              </w:rPr>
            </w:pPr>
            <w:r>
              <w:rPr>
                <w:rFonts w:hint="eastAsia" w:ascii="Times New Roman" w:hAnsi="Times New Roman" w:eastAsia="宋体"/>
                <w:strike w:val="0"/>
                <w:dstrike w:val="0"/>
                <w:color w:val="auto"/>
                <w:spacing w:val="0"/>
                <w:position w:val="0"/>
                <w:sz w:val="21"/>
                <w:highlight w:val="none"/>
                <w:lang w:val="en-US" w:eastAsia="zh-CN"/>
              </w:rPr>
              <w:t>/</w:t>
            </w:r>
          </w:p>
        </w:tc>
        <w:tc>
          <w:tcPr>
            <w:tcW w:w="613" w:type="pct"/>
            <w:tcBorders>
              <w:tl2br w:val="nil"/>
              <w:tr2bl w:val="nil"/>
            </w:tcBorders>
            <w:vAlign w:val="center"/>
          </w:tcPr>
          <w:p w14:paraId="6D8B65B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24BC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272D80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F77D2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预测方法</w:t>
            </w:r>
          </w:p>
        </w:tc>
        <w:tc>
          <w:tcPr>
            <w:tcW w:w="3196" w:type="pct"/>
            <w:gridSpan w:val="5"/>
            <w:tcBorders>
              <w:tl2br w:val="nil"/>
              <w:tr2bl w:val="nil"/>
            </w:tcBorders>
            <w:vAlign w:val="center"/>
          </w:tcPr>
          <w:p w14:paraId="7C21ADE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Segoe UI Symbol"/>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E□</w:t>
            </w: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F□</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类比法</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Segoe UI Symbol"/>
                <w:strike w:val="0"/>
                <w:dstrike w:val="0"/>
                <w:color w:val="auto"/>
                <w:spacing w:val="0"/>
                <w:position w:val="0"/>
                <w:sz w:val="21"/>
                <w:szCs w:val="21"/>
                <w:highlight w:val="none"/>
              </w:rPr>
              <w:t>☑</w:t>
            </w:r>
          </w:p>
        </w:tc>
        <w:tc>
          <w:tcPr>
            <w:tcW w:w="613" w:type="pct"/>
            <w:tcBorders>
              <w:tl2br w:val="nil"/>
              <w:tr2bl w:val="nil"/>
            </w:tcBorders>
            <w:vAlign w:val="center"/>
          </w:tcPr>
          <w:p w14:paraId="46603B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66CC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97" w:type="pct"/>
            <w:vMerge w:val="continue"/>
            <w:tcBorders>
              <w:tl2br w:val="nil"/>
              <w:tr2bl w:val="nil"/>
            </w:tcBorders>
            <w:textDirection w:val="tbRlV"/>
            <w:vAlign w:val="center"/>
          </w:tcPr>
          <w:p w14:paraId="12F08D5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B4795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预测分析内容</w:t>
            </w:r>
          </w:p>
        </w:tc>
        <w:tc>
          <w:tcPr>
            <w:tcW w:w="3196" w:type="pct"/>
            <w:gridSpan w:val="5"/>
            <w:tcBorders>
              <w:tl2br w:val="nil"/>
              <w:tr2bl w:val="nil"/>
            </w:tcBorders>
            <w:vAlign w:val="center"/>
          </w:tcPr>
          <w:p w14:paraId="69CBB7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影响范围</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厂界外</w:t>
            </w:r>
            <w:r>
              <w:rPr>
                <w:rFonts w:ascii="Times New Roman" w:hAnsi="Times New Roman" w:eastAsia="宋体" w:cs="Times New Roman"/>
                <w:strike w:val="0"/>
                <w:dstrike w:val="0"/>
                <w:color w:val="auto"/>
                <w:spacing w:val="0"/>
                <w:position w:val="0"/>
                <w:sz w:val="21"/>
                <w:szCs w:val="21"/>
                <w:highlight w:val="none"/>
              </w:rPr>
              <w:t>50m</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；影响程度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较小</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0C1776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8EF2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297" w:type="pct"/>
            <w:vMerge w:val="continue"/>
            <w:tcBorders>
              <w:tl2br w:val="nil"/>
              <w:tr2bl w:val="nil"/>
            </w:tcBorders>
            <w:textDirection w:val="tbRlV"/>
            <w:vAlign w:val="center"/>
          </w:tcPr>
          <w:p w14:paraId="4AB4F7D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892" w:type="pct"/>
            <w:tcBorders>
              <w:tl2br w:val="nil"/>
              <w:tr2bl w:val="nil"/>
            </w:tcBorders>
            <w:vAlign w:val="center"/>
          </w:tcPr>
          <w:p w14:paraId="3955279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预测结论</w:t>
            </w:r>
          </w:p>
        </w:tc>
        <w:tc>
          <w:tcPr>
            <w:tcW w:w="3196" w:type="pct"/>
            <w:gridSpan w:val="5"/>
            <w:tcBorders>
              <w:tl2br w:val="nil"/>
              <w:tr2bl w:val="nil"/>
            </w:tcBorders>
            <w:vAlign w:val="center"/>
          </w:tcPr>
          <w:p w14:paraId="27419E0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达标结论：</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c</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不达标结论：</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754923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859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restart"/>
            <w:tcBorders>
              <w:tl2br w:val="nil"/>
              <w:tr2bl w:val="nil"/>
            </w:tcBorders>
            <w:vAlign w:val="center"/>
          </w:tcPr>
          <w:p w14:paraId="78C2F5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防治措施</w:t>
            </w:r>
          </w:p>
        </w:tc>
        <w:tc>
          <w:tcPr>
            <w:tcW w:w="892" w:type="pct"/>
            <w:tcBorders>
              <w:tl2br w:val="nil"/>
              <w:tr2bl w:val="nil"/>
            </w:tcBorders>
            <w:vAlign w:val="center"/>
          </w:tcPr>
          <w:p w14:paraId="032FCFE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防控措施</w:t>
            </w:r>
          </w:p>
        </w:tc>
        <w:tc>
          <w:tcPr>
            <w:tcW w:w="3196" w:type="pct"/>
            <w:gridSpan w:val="5"/>
            <w:tcBorders>
              <w:tl2br w:val="nil"/>
              <w:tr2bl w:val="nil"/>
            </w:tcBorders>
            <w:vAlign w:val="center"/>
          </w:tcPr>
          <w:p w14:paraId="39C9DA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土壤环境质量现状保障</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；源头控制</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；过程防控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034571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7163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3DD8CE2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restart"/>
            <w:tcBorders>
              <w:tl2br w:val="nil"/>
              <w:tr2bl w:val="nil"/>
            </w:tcBorders>
            <w:vAlign w:val="center"/>
          </w:tcPr>
          <w:p w14:paraId="4AD9F1A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跟踪监测</w:t>
            </w:r>
          </w:p>
        </w:tc>
        <w:tc>
          <w:tcPr>
            <w:tcW w:w="751" w:type="pct"/>
            <w:tcBorders>
              <w:tl2br w:val="nil"/>
              <w:tr2bl w:val="nil"/>
            </w:tcBorders>
            <w:vAlign w:val="center"/>
          </w:tcPr>
          <w:p w14:paraId="7EDC1E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监测点数</w:t>
            </w:r>
          </w:p>
        </w:tc>
        <w:tc>
          <w:tcPr>
            <w:tcW w:w="1387" w:type="pct"/>
            <w:gridSpan w:val="2"/>
            <w:tcBorders>
              <w:tl2br w:val="nil"/>
              <w:tr2bl w:val="nil"/>
            </w:tcBorders>
            <w:vAlign w:val="center"/>
          </w:tcPr>
          <w:p w14:paraId="529844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监测指标</w:t>
            </w:r>
          </w:p>
        </w:tc>
        <w:tc>
          <w:tcPr>
            <w:tcW w:w="1057" w:type="pct"/>
            <w:gridSpan w:val="2"/>
            <w:tcBorders>
              <w:tl2br w:val="nil"/>
              <w:tr2bl w:val="nil"/>
            </w:tcBorders>
            <w:vAlign w:val="center"/>
          </w:tcPr>
          <w:p w14:paraId="182C099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监测频次</w:t>
            </w:r>
          </w:p>
        </w:tc>
        <w:tc>
          <w:tcPr>
            <w:tcW w:w="613" w:type="pct"/>
            <w:vMerge w:val="restart"/>
            <w:tcBorders>
              <w:tl2br w:val="nil"/>
              <w:tr2bl w:val="nil"/>
            </w:tcBorders>
            <w:vAlign w:val="center"/>
          </w:tcPr>
          <w:p w14:paraId="7938C12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C325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4" w:hRule="atLeast"/>
          <w:jc w:val="center"/>
        </w:trPr>
        <w:tc>
          <w:tcPr>
            <w:tcW w:w="297" w:type="pct"/>
            <w:vMerge w:val="continue"/>
            <w:tcBorders>
              <w:tl2br w:val="nil"/>
              <w:tr2bl w:val="nil"/>
            </w:tcBorders>
            <w:textDirection w:val="tbRlV"/>
            <w:vAlign w:val="center"/>
          </w:tcPr>
          <w:p w14:paraId="1189F0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2190B9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69A56A1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387" w:type="pct"/>
            <w:gridSpan w:val="2"/>
            <w:tcBorders>
              <w:tl2br w:val="nil"/>
              <w:tr2bl w:val="nil"/>
            </w:tcBorders>
            <w:vAlign w:val="center"/>
          </w:tcPr>
          <w:p w14:paraId="579434A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057" w:type="pct"/>
            <w:gridSpan w:val="2"/>
            <w:tcBorders>
              <w:tl2br w:val="nil"/>
              <w:tr2bl w:val="nil"/>
            </w:tcBorders>
            <w:vAlign w:val="center"/>
          </w:tcPr>
          <w:p w14:paraId="676B398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613" w:type="pct"/>
            <w:vMerge w:val="continue"/>
            <w:tcBorders>
              <w:tl2br w:val="nil"/>
              <w:tr2bl w:val="nil"/>
            </w:tcBorders>
            <w:vAlign w:val="center"/>
          </w:tcPr>
          <w:p w14:paraId="02EEE4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42E9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21974BB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00D8D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信息公开指标</w:t>
            </w:r>
          </w:p>
        </w:tc>
        <w:tc>
          <w:tcPr>
            <w:tcW w:w="3196" w:type="pct"/>
            <w:gridSpan w:val="5"/>
            <w:tcBorders>
              <w:tl2br w:val="nil"/>
              <w:tr2bl w:val="nil"/>
            </w:tcBorders>
            <w:vAlign w:val="center"/>
          </w:tcPr>
          <w:p w14:paraId="122AF5F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613" w:type="pct"/>
            <w:vMerge w:val="continue"/>
            <w:tcBorders>
              <w:tl2br w:val="nil"/>
              <w:tr2bl w:val="nil"/>
            </w:tcBorders>
            <w:vAlign w:val="center"/>
          </w:tcPr>
          <w:p w14:paraId="236119A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58A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jc w:val="center"/>
        </w:trPr>
        <w:tc>
          <w:tcPr>
            <w:tcW w:w="1190" w:type="pct"/>
            <w:gridSpan w:val="2"/>
            <w:tcBorders>
              <w:tl2br w:val="nil"/>
              <w:tr2bl w:val="nil"/>
            </w:tcBorders>
            <w:vAlign w:val="center"/>
          </w:tcPr>
          <w:p w14:paraId="7E55DA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196" w:type="pct"/>
            <w:gridSpan w:val="5"/>
            <w:tcBorders>
              <w:tl2br w:val="nil"/>
              <w:tr2bl w:val="nil"/>
            </w:tcBorders>
            <w:vAlign w:val="center"/>
          </w:tcPr>
          <w:p w14:paraId="11EF5C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项目建设对土壤环境影响可接受</w:t>
            </w:r>
          </w:p>
        </w:tc>
        <w:tc>
          <w:tcPr>
            <w:tcW w:w="613" w:type="pct"/>
            <w:tcBorders>
              <w:tl2br w:val="nil"/>
              <w:tr2bl w:val="nil"/>
            </w:tcBorders>
            <w:vAlign w:val="center"/>
          </w:tcPr>
          <w:p w14:paraId="3B36348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0FB5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5000" w:type="pct"/>
            <w:gridSpan w:val="8"/>
            <w:tcBorders>
              <w:tl2br w:val="nil"/>
              <w:tr2bl w:val="nil"/>
            </w:tcBorders>
            <w:vAlign w:val="center"/>
          </w:tcPr>
          <w:p w14:paraId="56440A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注</w:t>
            </w: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为勾选项，可</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为内容填写项；</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备注</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为其他补充内容</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注</w:t>
            </w:r>
            <w:r>
              <w:rPr>
                <w:rFonts w:ascii="Times New Roman" w:hAnsi="Times New Roman" w:eastAsia="宋体" w:cs="Times New Roman"/>
                <w:strike w:val="0"/>
                <w:dstrike w:val="0"/>
                <w:color w:val="auto"/>
                <w:spacing w:val="0"/>
                <w:position w:val="0"/>
                <w:sz w:val="21"/>
                <w:szCs w:val="21"/>
                <w:highlight w:val="none"/>
              </w:rPr>
              <w:t>2</w:t>
            </w:r>
            <w:r>
              <w:rPr>
                <w:rFonts w:ascii="Times New Roman" w:hAnsi="Times New Roman" w:eastAsia="宋体" w:cs="宋体"/>
                <w:strike w:val="0"/>
                <w:dstrike w:val="0"/>
                <w:color w:val="auto"/>
                <w:spacing w:val="0"/>
                <w:position w:val="0"/>
                <w:sz w:val="21"/>
                <w:szCs w:val="21"/>
                <w:highlight w:val="none"/>
              </w:rPr>
              <w:t>：需要分别开展土壤环境影响评级工作的，分别填写自查表</w:t>
            </w:r>
            <w:r>
              <w:rPr>
                <w:rFonts w:hint="eastAsia" w:ascii="Times New Roman" w:hAnsi="Times New Roman" w:eastAsia="宋体" w:cs="宋体"/>
                <w:strike w:val="0"/>
                <w:dstrike w:val="0"/>
                <w:color w:val="auto"/>
                <w:spacing w:val="0"/>
                <w:position w:val="0"/>
                <w:sz w:val="21"/>
                <w:szCs w:val="21"/>
                <w:highlight w:val="none"/>
                <w:lang w:eastAsia="zh-CN"/>
              </w:rPr>
              <w:t>。</w:t>
            </w:r>
          </w:p>
        </w:tc>
      </w:tr>
    </w:tbl>
    <w:p w14:paraId="5C90E1A5">
      <w:pPr>
        <w:pStyle w:val="4"/>
        <w:rPr>
          <w:rFonts w:ascii="Times New Roman" w:hAnsi="Times New Roman" w:eastAsia="宋体"/>
          <w:strike w:val="0"/>
          <w:dstrike w:val="0"/>
          <w:color w:val="auto"/>
          <w:highlight w:val="none"/>
        </w:rPr>
      </w:pPr>
      <w:bookmarkStart w:id="260" w:name="_Toc106663505"/>
      <w:bookmarkStart w:id="261" w:name="_Toc3173"/>
      <w:r>
        <w:rPr>
          <w:rFonts w:hint="eastAsia" w:ascii="Times New Roman" w:hAnsi="Times New Roman" w:eastAsia="宋体"/>
          <w:strike w:val="0"/>
          <w:dstrike w:val="0"/>
          <w:color w:val="auto"/>
          <w:highlight w:val="none"/>
        </w:rPr>
        <w:t>5.2.6生态环境影响分析</w:t>
      </w:r>
      <w:bookmarkEnd w:id="260"/>
      <w:bookmarkEnd w:id="261"/>
    </w:p>
    <w:p w14:paraId="5BD2AB32">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18"/>
          <w:highlight w:val="none"/>
        </w:rPr>
      </w:pPr>
      <w:r>
        <w:rPr>
          <w:rFonts w:hint="eastAsia" w:ascii="Times New Roman" w:hAnsi="Times New Roman" w:eastAsia="宋体"/>
          <w:b w:val="0"/>
          <w:bCs/>
          <w:strike w:val="0"/>
          <w:dstrike w:val="0"/>
          <w:color w:val="auto"/>
          <w:sz w:val="24"/>
          <w:szCs w:val="18"/>
          <w:highlight w:val="none"/>
        </w:rPr>
        <w:t>1、评价等级</w:t>
      </w:r>
    </w:p>
    <w:p w14:paraId="1A127F6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根据《环境影响评价技术导则生态影响》（HJ1.9-2022），确定生态环境评价工作等级</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根据生态影响评价工作等级划分内容</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生态影响评价工作等级划分如下原则确定：</w:t>
      </w:r>
    </w:p>
    <w:p w14:paraId="58B77977">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lang w:val="en-US" w:eastAsia="zh-CN"/>
        </w:rPr>
        <w:t>a）</w:t>
      </w:r>
      <w:r>
        <w:rPr>
          <w:rFonts w:hint="eastAsia" w:ascii="Times New Roman" w:hAnsi="Times New Roman" w:eastAsia="宋体"/>
          <w:b w:val="0"/>
          <w:strike w:val="0"/>
          <w:dstrike w:val="0"/>
          <w:color w:val="auto"/>
          <w:sz w:val="24"/>
          <w:highlight w:val="none"/>
        </w:rPr>
        <w:t>涉及国家公园、自然保护区、世界自然遗产、重要生境时，评价等级为一级；</w:t>
      </w:r>
    </w:p>
    <w:p w14:paraId="1059941C">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b）涉及自然公园时，评价等级为二级；</w:t>
      </w:r>
    </w:p>
    <w:p w14:paraId="56DCA2F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c）涉及生态保护红线时，评价等级不低于二级：</w:t>
      </w:r>
    </w:p>
    <w:p w14:paraId="7B18144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d）根据HJ2.3判断属于水文要素影响型且地表水评价等级不低于二级的建设项目，生态影响评价等级不低于二级；</w:t>
      </w:r>
    </w:p>
    <w:p w14:paraId="2BAF6AF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e）根据HJ610、HJ964判断地下水水位或土壤影响范围内分布有天然林、公益林、湿地等生态保护目标的建设项目，生态影响评价等级不低于二级；</w:t>
      </w:r>
    </w:p>
    <w:p w14:paraId="5EB10D14">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f）当工程占地规模大于20km</w:t>
      </w:r>
      <w:r>
        <w:rPr>
          <w:rFonts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时（包括永久和临时占用陆域和水域），评价等级不低于二级：改扩建项目的占地范围以新增占地（包括陆域和水域）确定；</w:t>
      </w:r>
    </w:p>
    <w:p w14:paraId="27742638">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g）除本条a）、b）、c）、d）、e）、f）以外的情况，评价等级为三级；</w:t>
      </w:r>
    </w:p>
    <w:p w14:paraId="1C04517F">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h）当评价等级判定同时符合上述多种情况时，应采用其中最高的评价等级</w:t>
      </w:r>
      <w:r>
        <w:rPr>
          <w:rFonts w:hint="eastAsia" w:ascii="Times New Roman" w:hAnsi="Times New Roman" w:eastAsia="宋体"/>
          <w:b w:val="0"/>
          <w:strike w:val="0"/>
          <w:dstrike w:val="0"/>
          <w:color w:val="auto"/>
          <w:sz w:val="24"/>
          <w:highlight w:val="none"/>
          <w:lang w:eastAsia="zh-CN"/>
        </w:rPr>
        <w:t>。</w:t>
      </w:r>
    </w:p>
    <w:p w14:paraId="0A2CE6ED">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（2）工程占地范围及环境敏感情况</w:t>
      </w:r>
    </w:p>
    <w:p w14:paraId="4ED56B25">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本项目总占地面积</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b w:val="0"/>
          <w:strike w:val="0"/>
          <w:dstrike w:val="0"/>
          <w:color w:val="auto"/>
          <w:sz w:val="24"/>
          <w:highlight w:val="none"/>
        </w:rPr>
        <w:t>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（折</w:t>
      </w:r>
      <w:r>
        <w:rPr>
          <w:rFonts w:hint="eastAsia" w:ascii="Times New Roman" w:hAnsi="Times New Roman" w:eastAsia="宋体"/>
          <w:b w:val="0"/>
          <w:strike w:val="0"/>
          <w:dstrike w:val="0"/>
          <w:color w:val="auto"/>
          <w:sz w:val="24"/>
          <w:highlight w:val="none"/>
          <w:lang w:val="en-US" w:eastAsia="zh-CN"/>
        </w:rPr>
        <w:t>0.13487</w:t>
      </w:r>
      <w:r>
        <w:rPr>
          <w:rFonts w:hint="eastAsia" w:ascii="Times New Roman" w:hAnsi="Times New Roman" w:eastAsia="宋体"/>
          <w:b w:val="0"/>
          <w:strike w:val="0"/>
          <w:dstrike w:val="0"/>
          <w:color w:val="auto"/>
          <w:sz w:val="24"/>
          <w:highlight w:val="none"/>
        </w:rPr>
        <w:t>km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），小于2</w:t>
      </w:r>
      <w:r>
        <w:rPr>
          <w:rFonts w:ascii="Times New Roman" w:hAnsi="Times New Roman" w:eastAsia="宋体"/>
          <w:b w:val="0"/>
          <w:strike w:val="0"/>
          <w:dstrike w:val="0"/>
          <w:color w:val="auto"/>
          <w:sz w:val="24"/>
          <w:highlight w:val="none"/>
        </w:rPr>
        <w:t>0</w:t>
      </w:r>
      <w:r>
        <w:rPr>
          <w:rFonts w:hint="eastAsia" w:ascii="Times New Roman" w:hAnsi="Times New Roman" w:eastAsia="宋体"/>
          <w:b w:val="0"/>
          <w:strike w:val="0"/>
          <w:dstrike w:val="0"/>
          <w:color w:val="auto"/>
          <w:sz w:val="24"/>
          <w:highlight w:val="none"/>
        </w:rPr>
        <w:t>km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本项目周边不涉及国家公园、自然保护区、世界自然遗产、重要生境时，不涉及自然公园，不涉及生态保护红线</w:t>
      </w:r>
      <w:r>
        <w:rPr>
          <w:rFonts w:hint="eastAsia" w:ascii="Times New Roman" w:hAnsi="Times New Roman" w:eastAsia="宋体"/>
          <w:b w:val="0"/>
          <w:strike w:val="0"/>
          <w:dstrike w:val="0"/>
          <w:color w:val="auto"/>
          <w:sz w:val="24"/>
          <w:highlight w:val="none"/>
          <w:lang w:eastAsia="zh-CN"/>
        </w:rPr>
        <w:t>。</w:t>
      </w:r>
    </w:p>
    <w:p w14:paraId="46C01EC7">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综上所述，本项目生态影响评价等级为三级</w:t>
      </w:r>
      <w:r>
        <w:rPr>
          <w:rFonts w:hint="eastAsia" w:ascii="Times New Roman" w:hAnsi="Times New Roman" w:eastAsia="宋体"/>
          <w:b w:val="0"/>
          <w:strike w:val="0"/>
          <w:dstrike w:val="0"/>
          <w:color w:val="auto"/>
          <w:sz w:val="24"/>
          <w:highlight w:val="none"/>
          <w:lang w:eastAsia="zh-CN"/>
        </w:rPr>
        <w:t>。</w:t>
      </w:r>
    </w:p>
    <w:p w14:paraId="639B8953">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18"/>
          <w:highlight w:val="none"/>
        </w:rPr>
      </w:pPr>
      <w:r>
        <w:rPr>
          <w:rFonts w:ascii="Times New Roman" w:hAnsi="Times New Roman" w:eastAsia="宋体"/>
          <w:b w:val="0"/>
          <w:bCs/>
          <w:strike w:val="0"/>
          <w:dstrike w:val="0"/>
          <w:color w:val="auto"/>
          <w:sz w:val="24"/>
          <w:szCs w:val="18"/>
          <w:highlight w:val="none"/>
        </w:rPr>
        <w:t>2</w:t>
      </w:r>
      <w:r>
        <w:rPr>
          <w:rFonts w:hint="eastAsia" w:ascii="Times New Roman" w:hAnsi="Times New Roman" w:eastAsia="宋体"/>
          <w:b w:val="0"/>
          <w:bCs/>
          <w:strike w:val="0"/>
          <w:dstrike w:val="0"/>
          <w:color w:val="auto"/>
          <w:sz w:val="24"/>
          <w:szCs w:val="18"/>
          <w:highlight w:val="none"/>
        </w:rPr>
        <w:t>、</w:t>
      </w:r>
      <w:r>
        <w:rPr>
          <w:rFonts w:hint="eastAsia" w:ascii="Times New Roman" w:hAnsi="Times New Roman" w:eastAsia="宋体"/>
          <w:b w:val="0"/>
          <w:bCs/>
          <w:strike w:val="0"/>
          <w:dstrike w:val="0"/>
          <w:color w:val="auto"/>
          <w:sz w:val="24"/>
          <w:szCs w:val="21"/>
          <w:highlight w:val="none"/>
        </w:rPr>
        <w:t>生态环境</w:t>
      </w:r>
      <w:r>
        <w:rPr>
          <w:rFonts w:hint="eastAsia" w:ascii="Times New Roman" w:hAnsi="Times New Roman" w:eastAsia="宋体"/>
          <w:b w:val="0"/>
          <w:bCs/>
          <w:strike w:val="0"/>
          <w:dstrike w:val="0"/>
          <w:color w:val="auto"/>
          <w:sz w:val="24"/>
          <w:szCs w:val="18"/>
          <w:highlight w:val="none"/>
        </w:rPr>
        <w:t>影响评价</w:t>
      </w:r>
    </w:p>
    <w:p w14:paraId="114525AB">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szCs w:val="16"/>
          <w:highlight w:val="none"/>
        </w:rPr>
        <w:t>本项目为三级评价，</w:t>
      </w:r>
      <w:r>
        <w:rPr>
          <w:rFonts w:hint="eastAsia" w:ascii="Times New Roman" w:hAnsi="Times New Roman" w:eastAsia="宋体"/>
          <w:b w:val="0"/>
          <w:strike w:val="0"/>
          <w:dstrike w:val="0"/>
          <w:color w:val="auto"/>
          <w:sz w:val="24"/>
          <w:highlight w:val="none"/>
        </w:rPr>
        <w:t>根据《环境影响评价技术导则生态影响》（HJ1.9-2022）采取生态机理分析法对本项目生态影响进行评价</w:t>
      </w:r>
      <w:r>
        <w:rPr>
          <w:rFonts w:hint="eastAsia" w:ascii="Times New Roman" w:hAnsi="Times New Roman" w:eastAsia="宋体"/>
          <w:b w:val="0"/>
          <w:strike w:val="0"/>
          <w:dstrike w:val="0"/>
          <w:color w:val="auto"/>
          <w:sz w:val="24"/>
          <w:highlight w:val="none"/>
          <w:lang w:eastAsia="zh-CN"/>
        </w:rPr>
        <w:t>。</w:t>
      </w:r>
    </w:p>
    <w:p w14:paraId="2A44977A">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1）环境背景现状调查</w:t>
      </w:r>
    </w:p>
    <w:p w14:paraId="3817D60A">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项目拟建养殖场场地植物分布较为单一，没有珍稀植被，项目区建设前土地利用状况为</w:t>
      </w:r>
      <w:r>
        <w:rPr>
          <w:rFonts w:hint="eastAsia" w:ascii="Times New Roman" w:hAnsi="Times New Roman" w:eastAsia="宋体"/>
          <w:b w:val="0"/>
          <w:strike w:val="0"/>
          <w:dstrike w:val="0"/>
          <w:color w:val="auto"/>
          <w:sz w:val="24"/>
          <w:szCs w:val="16"/>
          <w:highlight w:val="none"/>
          <w:lang w:eastAsia="zh-CN"/>
        </w:rPr>
        <w:t>荒草地</w:t>
      </w:r>
      <w:r>
        <w:rPr>
          <w:rFonts w:hint="eastAsia" w:ascii="Times New Roman" w:hAnsi="Times New Roman" w:eastAsia="宋体"/>
          <w:b w:val="0"/>
          <w:strike w:val="0"/>
          <w:dstrike w:val="0"/>
          <w:color w:val="auto"/>
          <w:sz w:val="24"/>
          <w:szCs w:val="16"/>
          <w:highlight w:val="none"/>
        </w:rPr>
        <w:t>；</w:t>
      </w:r>
    </w:p>
    <w:p w14:paraId="26AA9FFF">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2）植物和动物分布</w:t>
      </w:r>
    </w:p>
    <w:p w14:paraId="3D7B6014">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snapToGrid w:val="0"/>
          <w:color w:val="auto"/>
          <w:sz w:val="24"/>
          <w:szCs w:val="22"/>
          <w:highlight w:val="none"/>
        </w:rPr>
        <w:t>经</w:t>
      </w:r>
      <w:r>
        <w:rPr>
          <w:rFonts w:ascii="Times New Roman" w:hAnsi="Times New Roman" w:eastAsia="宋体"/>
          <w:b w:val="0"/>
          <w:strike w:val="0"/>
          <w:dstrike w:val="0"/>
          <w:snapToGrid w:val="0"/>
          <w:color w:val="auto"/>
          <w:sz w:val="24"/>
          <w:szCs w:val="22"/>
          <w:highlight w:val="none"/>
        </w:rPr>
        <w:t>实地调查，评价区</w:t>
      </w:r>
      <w:r>
        <w:rPr>
          <w:rFonts w:hint="eastAsia" w:ascii="Times New Roman" w:hAnsi="Times New Roman" w:eastAsia="宋体"/>
          <w:b w:val="0"/>
          <w:strike w:val="0"/>
          <w:dstrike w:val="0"/>
          <w:snapToGrid w:val="0"/>
          <w:color w:val="auto"/>
          <w:sz w:val="24"/>
          <w:szCs w:val="22"/>
          <w:highlight w:val="none"/>
        </w:rPr>
        <w:t>区域植被类型为温性荒漠类草原，植被主要有绢篙、猪毛菜、叉毛蓬等，植被长势良好</w:t>
      </w:r>
      <w:r>
        <w:rPr>
          <w:rFonts w:hint="eastAsia" w:ascii="Times New Roman" w:hAnsi="Times New Roman" w:eastAsia="宋体"/>
          <w:b w:val="0"/>
          <w:strike w:val="0"/>
          <w:dstrike w:val="0"/>
          <w:snapToGrid w:val="0"/>
          <w:color w:val="auto"/>
          <w:sz w:val="24"/>
          <w:szCs w:val="22"/>
          <w:highlight w:val="none"/>
          <w:lang w:eastAsia="zh-CN"/>
        </w:rPr>
        <w:t>。</w:t>
      </w:r>
    </w:p>
    <w:p w14:paraId="552E49D0">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本项目土地原有类型为</w:t>
      </w:r>
      <w:r>
        <w:rPr>
          <w:rFonts w:hint="eastAsia" w:ascii="Times New Roman" w:hAnsi="Times New Roman" w:eastAsia="宋体"/>
          <w:b w:val="0"/>
          <w:strike w:val="0"/>
          <w:dstrike w:val="0"/>
          <w:color w:val="auto"/>
          <w:sz w:val="24"/>
          <w:highlight w:val="none"/>
          <w:lang w:eastAsia="zh-CN"/>
        </w:rPr>
        <w:t>荒地</w:t>
      </w:r>
      <w:r>
        <w:rPr>
          <w:rFonts w:hint="eastAsia" w:ascii="Times New Roman" w:hAnsi="Times New Roman" w:eastAsia="宋体"/>
          <w:b w:val="0"/>
          <w:strike w:val="0"/>
          <w:dstrike w:val="0"/>
          <w:color w:val="auto"/>
          <w:sz w:val="24"/>
          <w:highlight w:val="none"/>
        </w:rPr>
        <w:t>，由</w:t>
      </w:r>
      <w:r>
        <w:rPr>
          <w:rFonts w:hint="eastAsia" w:ascii="Times New Roman" w:hAnsi="Times New Roman" w:eastAsia="宋体"/>
          <w:b w:val="0"/>
          <w:strike w:val="0"/>
          <w:dstrike w:val="0"/>
          <w:color w:val="auto"/>
          <w:sz w:val="24"/>
          <w:highlight w:val="none"/>
          <w:lang w:eastAsia="zh-CN"/>
        </w:rPr>
        <w:t>昌吉木垒县博斯坦乡阿克卓勒村</w:t>
      </w:r>
      <w:r>
        <w:rPr>
          <w:rFonts w:hint="eastAsia" w:ascii="Times New Roman" w:hAnsi="Times New Roman" w:eastAsia="宋体"/>
          <w:b w:val="0"/>
          <w:strike w:val="0"/>
          <w:dstrike w:val="0"/>
          <w:color w:val="auto"/>
          <w:sz w:val="24"/>
          <w:highlight w:val="none"/>
        </w:rPr>
        <w:t>村委会使用，未承包到户</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本项目所在地块已经在</w:t>
      </w:r>
      <w:r>
        <w:rPr>
          <w:rFonts w:hint="eastAsia" w:ascii="Times New Roman" w:hAnsi="Times New Roman" w:eastAsia="宋体"/>
          <w:b w:val="0"/>
          <w:strike w:val="0"/>
          <w:dstrike w:val="0"/>
          <w:color w:val="auto"/>
          <w:sz w:val="24"/>
          <w:highlight w:val="none"/>
          <w:lang w:eastAsia="zh-CN"/>
        </w:rPr>
        <w:t>木垒县</w:t>
      </w:r>
      <w:r>
        <w:rPr>
          <w:rFonts w:hint="eastAsia" w:ascii="Times New Roman" w:hAnsi="Times New Roman" w:eastAsia="宋体"/>
          <w:b w:val="0"/>
          <w:strike w:val="0"/>
          <w:dstrike w:val="0"/>
          <w:color w:val="auto"/>
          <w:sz w:val="24"/>
          <w:highlight w:val="none"/>
        </w:rPr>
        <w:t>自然资源局办理相关了设施农用地备案手续，土地属性已转变为设施农业用地</w:t>
      </w:r>
    </w:p>
    <w:p w14:paraId="7496D6B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本项目建成后，部分土地被硬化，植被破坏，对植物生态系统造成了一定程度的损坏，但项目完成后，在养殖场内部空地和场界四周加强绿化，绿化以乔、灌、草等相结合的形式，场界主要种植高大乔木辅以灌木，场内以灌木草坪为主，相对增加了植被生态系统的多样性</w:t>
      </w:r>
      <w:r>
        <w:rPr>
          <w:rFonts w:hint="eastAsia" w:ascii="Times New Roman" w:hAnsi="Times New Roman" w:eastAsia="宋体"/>
          <w:b w:val="0"/>
          <w:strike w:val="0"/>
          <w:dstrike w:val="0"/>
          <w:color w:val="auto"/>
          <w:sz w:val="24"/>
          <w:szCs w:val="16"/>
          <w:highlight w:val="none"/>
          <w:lang w:eastAsia="zh-CN"/>
        </w:rPr>
        <w:t>。</w:t>
      </w:r>
    </w:p>
    <w:p w14:paraId="0BBE7F13">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本项目实施后，</w:t>
      </w:r>
      <w:r>
        <w:rPr>
          <w:rFonts w:hint="eastAsia" w:ascii="Times New Roman" w:hAnsi="Times New Roman" w:eastAsia="宋体"/>
          <w:b w:val="0"/>
          <w:strike w:val="0"/>
          <w:dstrike w:val="0"/>
          <w:color w:val="auto"/>
          <w:sz w:val="24"/>
          <w:szCs w:val="16"/>
          <w:highlight w:val="none"/>
          <w:lang w:val="en-US" w:eastAsia="zh-CN"/>
        </w:rPr>
        <w:t>产生的生产废水经黑膜池发酵处理后用于项目区周边林带施肥，骆驼粪便清运至堆肥场，经处理后外售有机肥厂</w:t>
      </w:r>
      <w:r>
        <w:rPr>
          <w:rFonts w:hint="eastAsia" w:ascii="Times New Roman" w:hAnsi="Times New Roman" w:eastAsia="宋体"/>
          <w:b w:val="0"/>
          <w:strike w:val="0"/>
          <w:dstrike w:val="0"/>
          <w:color w:val="auto"/>
          <w:sz w:val="24"/>
          <w:szCs w:val="16"/>
          <w:highlight w:val="none"/>
        </w:rPr>
        <w:t>；沼肥含多种植物易吸收的营养养分，有利于作物生长；既节约了水资源，又减少了废水排放量，降低了对环境的污染，提高了水资源的利用率</w:t>
      </w:r>
      <w:r>
        <w:rPr>
          <w:rFonts w:hint="eastAsia" w:ascii="Times New Roman" w:hAnsi="Times New Roman" w:eastAsia="宋体"/>
          <w:b w:val="0"/>
          <w:strike w:val="0"/>
          <w:dstrike w:val="0"/>
          <w:color w:val="auto"/>
          <w:sz w:val="24"/>
          <w:szCs w:val="16"/>
          <w:highlight w:val="none"/>
          <w:lang w:eastAsia="zh-CN"/>
        </w:rPr>
        <w:t>。</w:t>
      </w:r>
    </w:p>
    <w:p w14:paraId="526E4B7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szCs w:val="16"/>
          <w:highlight w:val="none"/>
        </w:rPr>
        <w:t>综上，项目建设对于生态环境具有一定的环境影响，但影响在可接受范围内</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经分析可知，本项目实施后对当地动植物生态环境影响不大</w:t>
      </w:r>
      <w:r>
        <w:rPr>
          <w:rFonts w:hint="eastAsia" w:ascii="Times New Roman" w:hAnsi="Times New Roman" w:eastAsia="宋体"/>
          <w:b w:val="0"/>
          <w:strike w:val="0"/>
          <w:dstrike w:val="0"/>
          <w:color w:val="auto"/>
          <w:sz w:val="24"/>
          <w:szCs w:val="16"/>
          <w:highlight w:val="none"/>
          <w:lang w:eastAsia="zh-CN"/>
        </w:rPr>
        <w:t>。</w:t>
      </w:r>
    </w:p>
    <w:p w14:paraId="1F74B820">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21"/>
          <w:highlight w:val="none"/>
        </w:rPr>
      </w:pPr>
      <w:bookmarkStart w:id="262" w:name="_Toc106663506"/>
      <w:bookmarkStart w:id="263" w:name="_Toc86740209"/>
      <w:r>
        <w:rPr>
          <w:rFonts w:ascii="Times New Roman" w:hAnsi="Times New Roman" w:eastAsia="宋体"/>
          <w:b w:val="0"/>
          <w:bCs/>
          <w:strike w:val="0"/>
          <w:dstrike w:val="0"/>
          <w:color w:val="auto"/>
          <w:sz w:val="24"/>
          <w:szCs w:val="21"/>
          <w:highlight w:val="none"/>
        </w:rPr>
        <w:t>3</w:t>
      </w:r>
      <w:r>
        <w:rPr>
          <w:rFonts w:hint="eastAsia" w:ascii="Times New Roman" w:hAnsi="Times New Roman" w:eastAsia="宋体"/>
          <w:b w:val="0"/>
          <w:bCs/>
          <w:strike w:val="0"/>
          <w:dstrike w:val="0"/>
          <w:color w:val="auto"/>
          <w:sz w:val="24"/>
          <w:szCs w:val="21"/>
          <w:highlight w:val="none"/>
        </w:rPr>
        <w:t>、对景观生态的影响</w:t>
      </w:r>
      <w:bookmarkEnd w:id="262"/>
      <w:bookmarkEnd w:id="263"/>
    </w:p>
    <w:p w14:paraId="282373A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项目养殖场属于地上建筑，因此在设计时需考虑周边景观要求，加强对建构筑物及道路以外的空地进行绿化，植物配置以乡土物种为主，疏密适当，高低错落，形成一定的层次感；色彩丰富，主要以常绿树种作为</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背景</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，四季不同花色的花草灌木进行搭配</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尽量避免裸露地面，广泛进行垂直绿化，以及各种灌木和草本类花卉、播撒草籽加以点缀，增加</w:t>
      </w:r>
      <w:r>
        <w:rPr>
          <w:rFonts w:ascii="Times New Roman" w:hAnsi="Times New Roman" w:eastAsia="宋体"/>
          <w:b w:val="0"/>
          <w:strike w:val="0"/>
          <w:dstrike w:val="0"/>
          <w:color w:val="auto"/>
          <w:sz w:val="24"/>
          <w:highlight w:val="none"/>
        </w:rPr>
        <w:t>绿化面积</w:t>
      </w:r>
      <w:r>
        <w:rPr>
          <w:rFonts w:hint="eastAsia" w:ascii="Times New Roman" w:hAnsi="Times New Roman" w:eastAsia="宋体"/>
          <w:b w:val="0"/>
          <w:strike w:val="0"/>
          <w:dstrike w:val="0"/>
          <w:color w:val="auto"/>
          <w:sz w:val="24"/>
          <w:highlight w:val="none"/>
        </w:rPr>
        <w:t>，</w:t>
      </w:r>
      <w:r>
        <w:rPr>
          <w:rFonts w:hint="eastAsia" w:ascii="Times New Roman" w:hAnsi="Times New Roman" w:eastAsia="宋体"/>
          <w:b w:val="0"/>
          <w:strike w:val="0"/>
          <w:dstrike w:val="0"/>
          <w:color w:val="auto"/>
          <w:sz w:val="24"/>
          <w:szCs w:val="16"/>
          <w:highlight w:val="none"/>
        </w:rPr>
        <w:t>尽可能的减轻了养殖场建设对周边景观的影响，对周边景观影响较小</w:t>
      </w:r>
      <w:r>
        <w:rPr>
          <w:rFonts w:hint="eastAsia" w:ascii="Times New Roman" w:hAnsi="Times New Roman" w:eastAsia="宋体"/>
          <w:b w:val="0"/>
          <w:strike w:val="0"/>
          <w:dstrike w:val="0"/>
          <w:color w:val="auto"/>
          <w:sz w:val="24"/>
          <w:szCs w:val="16"/>
          <w:highlight w:val="none"/>
          <w:lang w:eastAsia="zh-CN"/>
        </w:rPr>
        <w:t>。</w:t>
      </w:r>
    </w:p>
    <w:p w14:paraId="5B5E72FD">
      <w:pPr>
        <w:pStyle w:val="3"/>
        <w:rPr>
          <w:rFonts w:ascii="Times New Roman" w:hAnsi="Times New Roman" w:eastAsia="宋体"/>
          <w:strike w:val="0"/>
          <w:dstrike w:val="0"/>
          <w:color w:val="auto"/>
          <w:highlight w:val="none"/>
        </w:rPr>
      </w:pPr>
      <w:bookmarkStart w:id="264" w:name="_Toc106663507"/>
      <w:bookmarkStart w:id="265" w:name="_Toc3406"/>
      <w:bookmarkStart w:id="266" w:name="_Toc89619345"/>
      <w:r>
        <w:rPr>
          <w:rFonts w:hint="eastAsia" w:ascii="Times New Roman" w:hAnsi="Times New Roman" w:eastAsia="宋体"/>
          <w:strike w:val="0"/>
          <w:dstrike w:val="0"/>
          <w:color w:val="auto"/>
          <w:highlight w:val="none"/>
        </w:rPr>
        <w:t>5.3、环境风险评价</w:t>
      </w:r>
      <w:bookmarkEnd w:id="264"/>
      <w:bookmarkEnd w:id="265"/>
      <w:bookmarkEnd w:id="266"/>
    </w:p>
    <w:p w14:paraId="6EC85AF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环境风险是指突发性事故造成的重大环境污染的事件，其特点是危害大、影响范围广、发生概率具有很大的不确定性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风险评价的目的是分析和预测本项目存在的潜在危险、有害因素，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和环境影响达到可接受水平</w:t>
      </w:r>
      <w:r>
        <w:rPr>
          <w:rFonts w:hint="eastAsia" w:ascii="Times New Roman" w:hAnsi="Times New Roman" w:eastAsia="宋体"/>
          <w:strike w:val="0"/>
          <w:dstrike w:val="0"/>
          <w:color w:val="auto"/>
          <w:highlight w:val="none"/>
          <w:lang w:eastAsia="zh-CN"/>
        </w:rPr>
        <w:t>。</w:t>
      </w:r>
    </w:p>
    <w:p w14:paraId="4D5B2EB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关于切实加强风险防范严格环境影响评价管理的通知》（环发[2012]98号）、《关于进一步加强环境影响评价管理防范环境风险的通知》（环发[2012]77号）等要求，对本项目进行环境风险评价，通过对建设项目的环境风险进行分析、预测和评估，提出环境风险预防、控制、减缓措施，明确环境风险监控及应急建议要求，为建设项目环境风险防控提出科学依据</w:t>
      </w:r>
      <w:r>
        <w:rPr>
          <w:rFonts w:hint="eastAsia" w:ascii="Times New Roman" w:hAnsi="Times New Roman" w:eastAsia="宋体"/>
          <w:strike w:val="0"/>
          <w:dstrike w:val="0"/>
          <w:color w:val="auto"/>
          <w:highlight w:val="none"/>
          <w:lang w:eastAsia="zh-CN"/>
        </w:rPr>
        <w:t>。</w:t>
      </w:r>
    </w:p>
    <w:p w14:paraId="4D5EE3F1">
      <w:pPr>
        <w:pStyle w:val="4"/>
        <w:rPr>
          <w:rFonts w:ascii="Times New Roman" w:hAnsi="Times New Roman" w:eastAsia="宋体"/>
          <w:strike w:val="0"/>
          <w:dstrike w:val="0"/>
          <w:color w:val="auto"/>
          <w:highlight w:val="none"/>
        </w:rPr>
      </w:pPr>
      <w:bookmarkStart w:id="267" w:name="_Toc15623"/>
      <w:bookmarkStart w:id="268" w:name="_Toc106663508"/>
      <w:r>
        <w:rPr>
          <w:rFonts w:hint="eastAsia" w:ascii="Times New Roman" w:hAnsi="Times New Roman" w:eastAsia="宋体"/>
          <w:strike w:val="0"/>
          <w:dstrike w:val="0"/>
          <w:color w:val="auto"/>
          <w:highlight w:val="none"/>
        </w:rPr>
        <w:t>5.3.1环境风险评价原则</w:t>
      </w:r>
      <w:bookmarkEnd w:id="267"/>
      <w:bookmarkEnd w:id="268"/>
    </w:p>
    <w:p w14:paraId="3ECFED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r>
        <w:rPr>
          <w:rFonts w:hint="eastAsia" w:ascii="Times New Roman" w:hAnsi="Times New Roman" w:eastAsia="宋体"/>
          <w:strike w:val="0"/>
          <w:dstrike w:val="0"/>
          <w:color w:val="auto"/>
          <w:highlight w:val="none"/>
          <w:lang w:eastAsia="zh-CN"/>
        </w:rPr>
        <w:t>。</w:t>
      </w:r>
    </w:p>
    <w:p w14:paraId="3D4AAAD1">
      <w:pPr>
        <w:pStyle w:val="4"/>
        <w:rPr>
          <w:rFonts w:ascii="Times New Roman" w:hAnsi="Times New Roman" w:eastAsia="宋体"/>
          <w:strike w:val="0"/>
          <w:dstrike w:val="0"/>
          <w:color w:val="auto"/>
          <w:highlight w:val="none"/>
          <w:u w:val="none"/>
        </w:rPr>
      </w:pPr>
      <w:bookmarkStart w:id="269" w:name="_Toc2859"/>
      <w:bookmarkStart w:id="270" w:name="_Toc106663509"/>
      <w:r>
        <w:rPr>
          <w:rFonts w:hint="eastAsia" w:ascii="Times New Roman" w:hAnsi="Times New Roman" w:eastAsia="宋体"/>
          <w:strike w:val="0"/>
          <w:dstrike w:val="0"/>
          <w:color w:val="auto"/>
          <w:highlight w:val="none"/>
          <w:u w:val="none"/>
        </w:rPr>
        <w:t>5.3.2评价程序</w:t>
      </w:r>
      <w:bookmarkEnd w:id="269"/>
      <w:bookmarkEnd w:id="270"/>
    </w:p>
    <w:p w14:paraId="2F944781">
      <w:pPr>
        <w:ind w:firstLine="480"/>
        <w:rPr>
          <w:rFonts w:hint="eastAsia" w:ascii="Times New Roman" w:hAnsi="Times New Roman" w:eastAsia="宋体"/>
          <w:strike w:val="0"/>
          <w:dstrike w:val="0"/>
          <w:color w:val="auto"/>
          <w:highlight w:val="none"/>
          <w:u w:val="none"/>
          <w:lang w:eastAsia="zh-CN"/>
        </w:rPr>
      </w:pPr>
      <w:r>
        <w:rPr>
          <w:rFonts w:hint="eastAsia" w:ascii="Times New Roman" w:hAnsi="Times New Roman" w:eastAsia="宋体"/>
          <w:strike w:val="0"/>
          <w:dstrike w:val="0"/>
          <w:color w:val="auto"/>
          <w:highlight w:val="none"/>
          <w:u w:val="none"/>
        </w:rPr>
        <w:t>环境风险评价程序见图5.3-1</w:t>
      </w:r>
      <w:r>
        <w:rPr>
          <w:rFonts w:hint="eastAsia" w:ascii="Times New Roman" w:hAnsi="Times New Roman" w:eastAsia="宋体"/>
          <w:strike w:val="0"/>
          <w:dstrike w:val="0"/>
          <w:color w:val="auto"/>
          <w:highlight w:val="none"/>
          <w:u w:val="none"/>
          <w:lang w:eastAsia="zh-CN"/>
        </w:rPr>
        <w:t>。</w:t>
      </w:r>
    </w:p>
    <w:p w14:paraId="68B3BFF2">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4679950" cy="4817745"/>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5"/>
                    <a:stretch>
                      <a:fillRect/>
                    </a:stretch>
                  </pic:blipFill>
                  <pic:spPr>
                    <a:xfrm>
                      <a:off x="0" y="0"/>
                      <a:ext cx="4679950" cy="4817745"/>
                    </a:xfrm>
                    <a:prstGeom prst="rect">
                      <a:avLst/>
                    </a:prstGeom>
                  </pic:spPr>
                </pic:pic>
              </a:graphicData>
            </a:graphic>
          </wp:inline>
        </w:drawing>
      </w:r>
    </w:p>
    <w:p w14:paraId="1409FE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图5.3-1环境风险评价流程框图</w:t>
      </w:r>
    </w:p>
    <w:p w14:paraId="048018D2">
      <w:pPr>
        <w:pStyle w:val="4"/>
        <w:rPr>
          <w:rFonts w:ascii="Times New Roman" w:hAnsi="Times New Roman" w:eastAsia="宋体"/>
          <w:strike w:val="0"/>
          <w:dstrike w:val="0"/>
          <w:color w:val="auto"/>
          <w:highlight w:val="none"/>
        </w:rPr>
      </w:pPr>
      <w:bookmarkStart w:id="271" w:name="_Toc27328"/>
      <w:bookmarkStart w:id="272" w:name="_Toc106663510"/>
      <w:r>
        <w:rPr>
          <w:rFonts w:hint="eastAsia" w:ascii="Times New Roman" w:hAnsi="Times New Roman" w:eastAsia="宋体"/>
          <w:strike w:val="0"/>
          <w:dstrike w:val="0"/>
          <w:color w:val="auto"/>
          <w:highlight w:val="none"/>
        </w:rPr>
        <w:t>5.3.3风险调查</w:t>
      </w:r>
      <w:bookmarkEnd w:id="271"/>
      <w:bookmarkEnd w:id="272"/>
    </w:p>
    <w:p w14:paraId="4DC533E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5.3.3.1建设项目风险源调查</w:t>
      </w:r>
    </w:p>
    <w:p w14:paraId="760CB29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本项目为畜禽养殖项目，根据《建设项目环境风险评价技术导则》</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HJ169-2018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中附录B判定，项目不涉及风险物质</w:t>
      </w:r>
      <w:r>
        <w:rPr>
          <w:rFonts w:hint="eastAsia" w:ascii="Times New Roman" w:hAnsi="Times New Roman" w:eastAsia="宋体"/>
          <w:strike w:val="0"/>
          <w:dstrike w:val="0"/>
          <w:color w:val="auto"/>
          <w:highlight w:val="none"/>
          <w:lang w:eastAsia="zh-CN"/>
        </w:rPr>
        <w:t>。</w:t>
      </w:r>
    </w:p>
    <w:p w14:paraId="572D67C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5.3.2.2环境敏感目标调查</w:t>
      </w:r>
    </w:p>
    <w:p w14:paraId="52EE41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根据现场勘查及相关资料查阅，项目所属区域内无自然保护区、风景名胜区和文物古迹等需要特殊保护的敏感目标</w:t>
      </w:r>
      <w:r>
        <w:rPr>
          <w:rFonts w:hint="eastAsia" w:ascii="Times New Roman" w:hAnsi="Times New Roman" w:eastAsia="宋体"/>
          <w:strike w:val="0"/>
          <w:dstrike w:val="0"/>
          <w:color w:val="auto"/>
          <w:highlight w:val="none"/>
          <w:lang w:eastAsia="zh-CN"/>
        </w:rPr>
        <w:t>。</w:t>
      </w:r>
    </w:p>
    <w:p w14:paraId="385169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表5.3-1主要环境保护目标一览表</w:t>
      </w:r>
    </w:p>
    <w:tbl>
      <w:tblPr>
        <w:tblStyle w:val="183"/>
        <w:tblW w:w="501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8"/>
        <w:gridCol w:w="1780"/>
        <w:gridCol w:w="1847"/>
        <w:gridCol w:w="550"/>
        <w:gridCol w:w="548"/>
        <w:gridCol w:w="780"/>
        <w:gridCol w:w="1009"/>
        <w:gridCol w:w="1270"/>
      </w:tblGrid>
      <w:tr w14:paraId="57743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329" w:type="pct"/>
            <w:vAlign w:val="center"/>
          </w:tcPr>
          <w:p w14:paraId="6E25C8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bookmarkStart w:id="273" w:name="_Toc106663511"/>
            <w:r>
              <w:rPr>
                <w:rFonts w:ascii="Times New Roman" w:hAnsi="Times New Roman" w:eastAsia="宋体" w:cs="宋体"/>
                <w:strike w:val="0"/>
                <w:dstrike w:val="0"/>
                <w:color w:val="auto"/>
                <w:spacing w:val="0"/>
                <w:position w:val="0"/>
                <w:sz w:val="21"/>
                <w:szCs w:val="21"/>
                <w:highlight w:val="none"/>
              </w:rPr>
              <w:t>环境要素</w:t>
            </w:r>
          </w:p>
        </w:tc>
        <w:tc>
          <w:tcPr>
            <w:tcW w:w="2176" w:type="pct"/>
            <w:gridSpan w:val="2"/>
            <w:vAlign w:val="center"/>
          </w:tcPr>
          <w:p w14:paraId="5478725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坐标</w:t>
            </w:r>
            <w:r>
              <w:rPr>
                <w:rFonts w:ascii="Times New Roman" w:hAnsi="Times New Roman" w:eastAsia="宋体" w:cs="Times New Roman"/>
                <w:strike w:val="0"/>
                <w:dstrike w:val="0"/>
                <w:color w:val="auto"/>
                <w:spacing w:val="0"/>
                <w:position w:val="0"/>
                <w:sz w:val="21"/>
                <w:szCs w:val="21"/>
                <w:highlight w:val="none"/>
              </w:rPr>
              <w:t>/m</w:t>
            </w:r>
          </w:p>
        </w:tc>
        <w:tc>
          <w:tcPr>
            <w:tcW w:w="329" w:type="pct"/>
            <w:vMerge w:val="restart"/>
            <w:tcBorders>
              <w:bottom w:val="nil"/>
            </w:tcBorders>
            <w:vAlign w:val="center"/>
          </w:tcPr>
          <w:p w14:paraId="00153F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保护对象</w:t>
            </w:r>
          </w:p>
        </w:tc>
        <w:tc>
          <w:tcPr>
            <w:tcW w:w="329" w:type="pct"/>
            <w:vMerge w:val="restart"/>
            <w:tcBorders>
              <w:bottom w:val="nil"/>
            </w:tcBorders>
            <w:vAlign w:val="center"/>
          </w:tcPr>
          <w:p w14:paraId="57BBA09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保护内容</w:t>
            </w:r>
          </w:p>
        </w:tc>
        <w:tc>
          <w:tcPr>
            <w:tcW w:w="468" w:type="pct"/>
            <w:vMerge w:val="restart"/>
            <w:tcBorders>
              <w:bottom w:val="nil"/>
            </w:tcBorders>
            <w:vAlign w:val="center"/>
          </w:tcPr>
          <w:p w14:paraId="6E1DFF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环境功能区</w:t>
            </w:r>
          </w:p>
        </w:tc>
        <w:tc>
          <w:tcPr>
            <w:tcW w:w="605" w:type="pct"/>
            <w:vMerge w:val="restart"/>
            <w:tcBorders>
              <w:bottom w:val="nil"/>
            </w:tcBorders>
            <w:vAlign w:val="center"/>
          </w:tcPr>
          <w:p w14:paraId="78B4AF4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相对厂址方位</w:t>
            </w:r>
          </w:p>
        </w:tc>
        <w:tc>
          <w:tcPr>
            <w:tcW w:w="760" w:type="pct"/>
            <w:vMerge w:val="restart"/>
            <w:tcBorders>
              <w:bottom w:val="nil"/>
            </w:tcBorders>
            <w:vAlign w:val="center"/>
          </w:tcPr>
          <w:p w14:paraId="6EBC6A6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相对厂界距离</w:t>
            </w:r>
            <w:r>
              <w:rPr>
                <w:rFonts w:ascii="Times New Roman" w:hAnsi="Times New Roman" w:eastAsia="宋体" w:cs="Times New Roman"/>
                <w:strike w:val="0"/>
                <w:dstrike w:val="0"/>
                <w:color w:val="auto"/>
                <w:spacing w:val="0"/>
                <w:position w:val="0"/>
                <w:sz w:val="21"/>
                <w:szCs w:val="21"/>
                <w:highlight w:val="none"/>
              </w:rPr>
              <w:t>/m</w:t>
            </w:r>
          </w:p>
        </w:tc>
      </w:tr>
      <w:tr w14:paraId="7BAD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restart"/>
            <w:vAlign w:val="center"/>
          </w:tcPr>
          <w:p w14:paraId="24A385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环境空气</w:t>
            </w:r>
          </w:p>
        </w:tc>
        <w:tc>
          <w:tcPr>
            <w:tcW w:w="1068" w:type="pct"/>
            <w:vAlign w:val="center"/>
          </w:tcPr>
          <w:p w14:paraId="338FA14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东经</w:t>
            </w:r>
          </w:p>
        </w:tc>
        <w:tc>
          <w:tcPr>
            <w:tcW w:w="1108" w:type="pct"/>
            <w:vAlign w:val="center"/>
          </w:tcPr>
          <w:p w14:paraId="7003E2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北纬</w:t>
            </w:r>
          </w:p>
        </w:tc>
        <w:tc>
          <w:tcPr>
            <w:tcW w:w="329" w:type="pct"/>
            <w:vMerge w:val="continue"/>
            <w:tcBorders>
              <w:top w:val="nil"/>
            </w:tcBorders>
            <w:vAlign w:val="center"/>
          </w:tcPr>
          <w:p w14:paraId="68D28FD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29" w:type="pct"/>
            <w:vMerge w:val="continue"/>
            <w:tcBorders>
              <w:top w:val="nil"/>
            </w:tcBorders>
            <w:vAlign w:val="center"/>
          </w:tcPr>
          <w:p w14:paraId="519C6D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468" w:type="pct"/>
            <w:vMerge w:val="continue"/>
            <w:tcBorders>
              <w:top w:val="nil"/>
            </w:tcBorders>
            <w:vAlign w:val="center"/>
          </w:tcPr>
          <w:p w14:paraId="09D80DC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05" w:type="pct"/>
            <w:vMerge w:val="continue"/>
            <w:tcBorders>
              <w:top w:val="nil"/>
            </w:tcBorders>
            <w:vAlign w:val="center"/>
          </w:tcPr>
          <w:p w14:paraId="6E961BA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0" w:type="pct"/>
            <w:vMerge w:val="continue"/>
            <w:tcBorders>
              <w:top w:val="nil"/>
            </w:tcBorders>
            <w:vAlign w:val="center"/>
          </w:tcPr>
          <w:p w14:paraId="66242C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A3DF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1201312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6250959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90°36′6.80</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7F75CBC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43°43′37.15</w:t>
            </w:r>
            <w:r>
              <w:rPr>
                <w:rFonts w:hint="eastAsia" w:ascii="Times New Roman" w:hAnsi="Times New Roman" w:eastAsia="宋体" w:cs="Times New Roman"/>
                <w:strike w:val="0"/>
                <w:dstrike w:val="0"/>
                <w:color w:val="auto"/>
                <w:spacing w:val="0"/>
                <w:position w:val="0"/>
                <w:sz w:val="21"/>
                <w:szCs w:val="21"/>
                <w:highlight w:val="none"/>
                <w:lang w:val="en-US" w:eastAsia="zh-CN"/>
              </w:rPr>
              <w:t>1</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0C9B451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red"/>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阿克卓勒</w:t>
            </w:r>
            <w:r>
              <w:rPr>
                <w:rFonts w:hint="eastAsia" w:ascii="Times New Roman" w:hAnsi="Times New Roman" w:eastAsia="宋体" w:cs="宋体"/>
                <w:strike w:val="0"/>
                <w:dstrike w:val="0"/>
                <w:color w:val="auto"/>
                <w:spacing w:val="0"/>
                <w:sz w:val="21"/>
                <w:szCs w:val="21"/>
                <w:highlight w:val="none"/>
                <w:lang w:eastAsia="zh-CN"/>
              </w:rPr>
              <w:t>村</w:t>
            </w:r>
          </w:p>
        </w:tc>
        <w:tc>
          <w:tcPr>
            <w:tcW w:w="329" w:type="pct"/>
            <w:vMerge w:val="restart"/>
            <w:vAlign w:val="center"/>
          </w:tcPr>
          <w:p w14:paraId="73F68C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人群健康</w:t>
            </w:r>
          </w:p>
        </w:tc>
        <w:tc>
          <w:tcPr>
            <w:tcW w:w="468" w:type="pct"/>
            <w:vMerge w:val="restart"/>
            <w:vAlign w:val="center"/>
          </w:tcPr>
          <w:p w14:paraId="446C715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605" w:type="pct"/>
            <w:vAlign w:val="center"/>
          </w:tcPr>
          <w:p w14:paraId="6C8C934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南</w:t>
            </w:r>
          </w:p>
        </w:tc>
        <w:tc>
          <w:tcPr>
            <w:tcW w:w="760" w:type="pct"/>
            <w:vAlign w:val="center"/>
          </w:tcPr>
          <w:p w14:paraId="618B86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1450</w:t>
            </w:r>
          </w:p>
        </w:tc>
      </w:tr>
      <w:tr w14:paraId="2A5C9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68F3C5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0D2A76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90°36′59.29</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0EDE09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43°45′50.91</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4AFD8F8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依尔哈巴克村</w:t>
            </w:r>
          </w:p>
        </w:tc>
        <w:tc>
          <w:tcPr>
            <w:tcW w:w="329" w:type="pct"/>
            <w:vMerge w:val="continue"/>
            <w:vAlign w:val="center"/>
          </w:tcPr>
          <w:p w14:paraId="7EC514A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468" w:type="pct"/>
            <w:vMerge w:val="continue"/>
            <w:vAlign w:val="center"/>
          </w:tcPr>
          <w:p w14:paraId="42FD76E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605" w:type="pct"/>
            <w:vAlign w:val="center"/>
          </w:tcPr>
          <w:p w14:paraId="253D8E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东北</w:t>
            </w:r>
          </w:p>
        </w:tc>
        <w:tc>
          <w:tcPr>
            <w:tcW w:w="760" w:type="pct"/>
            <w:vAlign w:val="center"/>
          </w:tcPr>
          <w:p w14:paraId="591857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1800</w:t>
            </w:r>
          </w:p>
        </w:tc>
      </w:tr>
      <w:tr w14:paraId="09CA6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29" w:type="pct"/>
            <w:vAlign w:val="center"/>
          </w:tcPr>
          <w:p w14:paraId="5E7ECAE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2506" w:type="pct"/>
            <w:gridSpan w:val="3"/>
            <w:vAlign w:val="center"/>
          </w:tcPr>
          <w:p w14:paraId="0019D26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厂址区域及周围声环境</w:t>
            </w:r>
          </w:p>
        </w:tc>
        <w:tc>
          <w:tcPr>
            <w:tcW w:w="329" w:type="pct"/>
            <w:vAlign w:val="center"/>
          </w:tcPr>
          <w:p w14:paraId="0C78424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468" w:type="pct"/>
            <w:vAlign w:val="center"/>
          </w:tcPr>
          <w:p w14:paraId="0FF7650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1365" w:type="pct"/>
            <w:gridSpan w:val="2"/>
            <w:vAlign w:val="center"/>
          </w:tcPr>
          <w:p w14:paraId="029F19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57643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329" w:type="pct"/>
            <w:vAlign w:val="center"/>
          </w:tcPr>
          <w:p w14:paraId="6E8CC71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w:t>
            </w:r>
          </w:p>
        </w:tc>
        <w:tc>
          <w:tcPr>
            <w:tcW w:w="2506" w:type="pct"/>
            <w:gridSpan w:val="3"/>
            <w:vAlign w:val="center"/>
          </w:tcPr>
          <w:p w14:paraId="639AEA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厂址区域及附近地下水</w:t>
            </w:r>
            <w:r>
              <w:rPr>
                <w:rFonts w:hint="eastAsia" w:ascii="Times New Roman" w:hAnsi="Times New Roman" w:eastAsia="宋体" w:cs="宋体"/>
                <w:strike w:val="0"/>
                <w:dstrike w:val="0"/>
                <w:color w:val="auto"/>
                <w:spacing w:val="0"/>
                <w:position w:val="0"/>
                <w:sz w:val="21"/>
                <w:szCs w:val="21"/>
                <w:highlight w:val="none"/>
                <w:lang w:val="en-US" w:eastAsia="zh-CN"/>
              </w:rPr>
              <w:t>潜水含水层</w:t>
            </w:r>
          </w:p>
        </w:tc>
        <w:tc>
          <w:tcPr>
            <w:tcW w:w="2163" w:type="pct"/>
            <w:gridSpan w:val="4"/>
            <w:vAlign w:val="center"/>
          </w:tcPr>
          <w:p w14:paraId="62E67BB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地下水质</w:t>
            </w:r>
          </w:p>
        </w:tc>
      </w:tr>
      <w:tr w14:paraId="7851C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4D93621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土壤环境</w:t>
            </w:r>
          </w:p>
        </w:tc>
        <w:tc>
          <w:tcPr>
            <w:tcW w:w="2506" w:type="pct"/>
            <w:gridSpan w:val="3"/>
            <w:vAlign w:val="center"/>
          </w:tcPr>
          <w:p w14:paraId="0779971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厂区及周边50m范围</w:t>
            </w:r>
          </w:p>
        </w:tc>
        <w:tc>
          <w:tcPr>
            <w:tcW w:w="2163" w:type="pct"/>
            <w:gridSpan w:val="4"/>
            <w:vAlign w:val="center"/>
          </w:tcPr>
          <w:p w14:paraId="063759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w:t>
            </w:r>
          </w:p>
        </w:tc>
      </w:tr>
      <w:tr w14:paraId="1CCB4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29731E8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w:t>
            </w:r>
          </w:p>
          <w:p w14:paraId="3D7D5A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w:t>
            </w:r>
          </w:p>
        </w:tc>
        <w:tc>
          <w:tcPr>
            <w:tcW w:w="2506" w:type="pct"/>
            <w:gridSpan w:val="3"/>
            <w:vAlign w:val="center"/>
          </w:tcPr>
          <w:p w14:paraId="7ED5991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w:t>
            </w:r>
          </w:p>
        </w:tc>
        <w:tc>
          <w:tcPr>
            <w:tcW w:w="2163" w:type="pct"/>
            <w:gridSpan w:val="4"/>
            <w:vAlign w:val="center"/>
          </w:tcPr>
          <w:p w14:paraId="585B08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保护区域生态环境</w:t>
            </w:r>
          </w:p>
        </w:tc>
      </w:tr>
    </w:tbl>
    <w:p w14:paraId="4202CB82">
      <w:pPr>
        <w:pStyle w:val="4"/>
        <w:rPr>
          <w:rFonts w:ascii="Times New Roman" w:hAnsi="Times New Roman" w:eastAsia="宋体"/>
          <w:strike w:val="0"/>
          <w:dstrike w:val="0"/>
          <w:color w:val="auto"/>
          <w:highlight w:val="none"/>
        </w:rPr>
      </w:pPr>
      <w:bookmarkStart w:id="274" w:name="_Toc2096"/>
      <w:r>
        <w:rPr>
          <w:rFonts w:hint="eastAsia" w:ascii="Times New Roman" w:hAnsi="Times New Roman" w:eastAsia="宋体"/>
          <w:strike w:val="0"/>
          <w:dstrike w:val="0"/>
          <w:color w:val="auto"/>
          <w:highlight w:val="none"/>
        </w:rPr>
        <w:t>5.3.4环境风险潜势初判</w:t>
      </w:r>
      <w:bookmarkEnd w:id="273"/>
      <w:bookmarkEnd w:id="274"/>
    </w:p>
    <w:p w14:paraId="58FF946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根据《建设项目环境风险评价技术导则》（HJ169-2018）中附录C的规定：计算项目所涉及的每种危险物质在厂界内的最大存在总量与其在附录B中对应临界量的比值Q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当只涉及一种危险物质时，计算该物质的总量与其临界量的比值，即为Q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单元内存在多种危险物质，重大危险源判定按下面公式进行，若满足下面公式，则定为重大危险源：</w:t>
      </w:r>
    </w:p>
    <w:p w14:paraId="781BF0E8">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34" o:spt="75" type="#_x0000_t75" style="height:42.25pt;width:154.1pt;" o:ole="t" filled="f" o:preferrelative="t" stroked="f" coordsize="21600,21600">
            <v:path/>
            <v:fill on="f" focussize="0,0"/>
            <v:stroke on="f" joinstyle="miter"/>
            <v:imagedata r:id="rId77" o:title=""/>
            <o:lock v:ext="edit" aspectratio="t"/>
            <w10:wrap type="none"/>
            <w10:anchorlock/>
          </v:shape>
          <o:OLEObject Type="Embed" ProgID="Equation.AxMath" ShapeID="_x0000_i1034" DrawAspect="Content" ObjectID="_1468075738" r:id="rId76">
            <o:LockedField>false</o:LockedField>
          </o:OLEObject>
        </w:object>
      </w:r>
    </w:p>
    <w:p w14:paraId="04EA242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式中：q</w:t>
      </w:r>
      <w:r>
        <w:rPr>
          <w:rFonts w:hint="eastAsia" w:ascii="Times New Roman" w:hAnsi="Times New Roman" w:eastAsia="宋体"/>
          <w:strike w:val="0"/>
          <w:dstrike w:val="0"/>
          <w:color w:val="auto"/>
          <w:highlight w:val="none"/>
          <w:vertAlign w:val="subscript"/>
        </w:rPr>
        <w:t>1</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n</w:t>
      </w:r>
      <w:r>
        <w:rPr>
          <w:rFonts w:hint="eastAsia" w:ascii="Times New Roman" w:hAnsi="Times New Roman" w:eastAsia="宋体"/>
          <w:strike w:val="0"/>
          <w:dstrike w:val="0"/>
          <w:color w:val="auto"/>
          <w:highlight w:val="none"/>
        </w:rPr>
        <w:t>——每种危险物质的最大存在总量，t；</w:t>
      </w:r>
    </w:p>
    <w:p w14:paraId="2D080DCE">
      <w:pPr>
        <w:ind w:firstLine="1200" w:firstLineChars="50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1</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n</w:t>
      </w:r>
      <w:r>
        <w:rPr>
          <w:rFonts w:hint="eastAsia" w:ascii="Times New Roman" w:hAnsi="Times New Roman" w:eastAsia="宋体"/>
          <w:strike w:val="0"/>
          <w:dstrike w:val="0"/>
          <w:color w:val="auto"/>
          <w:highlight w:val="none"/>
        </w:rPr>
        <w:t>——每种危险物质的临界量，t</w:t>
      </w:r>
      <w:r>
        <w:rPr>
          <w:rFonts w:hint="eastAsia" w:ascii="Times New Roman" w:hAnsi="Times New Roman" w:eastAsia="宋体"/>
          <w:strike w:val="0"/>
          <w:dstrike w:val="0"/>
          <w:color w:val="auto"/>
          <w:highlight w:val="none"/>
          <w:lang w:eastAsia="zh-CN"/>
        </w:rPr>
        <w:t>。</w:t>
      </w:r>
    </w:p>
    <w:p w14:paraId="35132513">
      <w:pPr>
        <w:ind w:firstLine="1200" w:firstLineChars="50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当Q≥1时，将Q值划分为：（1）1≤Q＜10；（2）10≤Q＜100；（3）Q≥100</w:t>
      </w:r>
      <w:r>
        <w:rPr>
          <w:rFonts w:hint="eastAsia" w:ascii="Times New Roman" w:hAnsi="Times New Roman" w:eastAsia="宋体"/>
          <w:strike w:val="0"/>
          <w:dstrike w:val="0"/>
          <w:color w:val="auto"/>
          <w:highlight w:val="none"/>
          <w:lang w:eastAsia="zh-CN"/>
        </w:rPr>
        <w:t>。</w:t>
      </w:r>
    </w:p>
    <w:p w14:paraId="30CDB19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本项目不涉及附录B中的危险化学品，则存储量和临界量比值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＜1，该项目环境风险潜势为I</w:t>
      </w:r>
      <w:r>
        <w:rPr>
          <w:rFonts w:hint="eastAsia" w:ascii="Times New Roman" w:hAnsi="Times New Roman" w:eastAsia="宋体"/>
          <w:strike w:val="0"/>
          <w:dstrike w:val="0"/>
          <w:color w:val="auto"/>
          <w:highlight w:val="none"/>
          <w:lang w:eastAsia="zh-CN"/>
        </w:rPr>
        <w:t>。</w:t>
      </w:r>
    </w:p>
    <w:p w14:paraId="3F12EBEA">
      <w:pPr>
        <w:pStyle w:val="4"/>
        <w:rPr>
          <w:rFonts w:ascii="Times New Roman" w:hAnsi="Times New Roman" w:eastAsia="宋体"/>
          <w:strike w:val="0"/>
          <w:dstrike w:val="0"/>
          <w:color w:val="auto"/>
          <w:highlight w:val="none"/>
        </w:rPr>
      </w:pPr>
      <w:bookmarkStart w:id="275" w:name="_Toc27848"/>
      <w:bookmarkStart w:id="276" w:name="_Toc106663512"/>
      <w:r>
        <w:rPr>
          <w:rFonts w:hint="eastAsia" w:ascii="Times New Roman" w:hAnsi="Times New Roman" w:eastAsia="宋体"/>
          <w:strike w:val="0"/>
          <w:dstrike w:val="0"/>
          <w:color w:val="auto"/>
          <w:highlight w:val="none"/>
        </w:rPr>
        <w:t>5.3.5环境风险评价工作等级</w:t>
      </w:r>
      <w:bookmarkEnd w:id="275"/>
      <w:bookmarkEnd w:id="276"/>
    </w:p>
    <w:p w14:paraId="325F02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根据《建设项目环境风险评价技术导则》（HJ169-2018）环境风险评价工作等级划分为一级、二级、三级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根据建设项目涉及的物质及工艺系统危险性和所在地的环境敏感性确定环境风险潜势，确定评价工作等级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风险潜势为Ⅳ及以上，进行一级评价；风险潜势为Ⅲ，进行二级评价；风险潜势为Ⅱ，进行三级评价；风险潜势为Ⅰ，可开展简单分析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评价工作等级的划分依据具体见表5.3-2</w:t>
      </w:r>
      <w:r>
        <w:rPr>
          <w:rFonts w:hint="eastAsia" w:ascii="Times New Roman" w:hAnsi="Times New Roman" w:eastAsia="宋体"/>
          <w:strike w:val="0"/>
          <w:dstrike w:val="0"/>
          <w:color w:val="auto"/>
          <w:highlight w:val="none"/>
          <w:lang w:eastAsia="zh-CN"/>
        </w:rPr>
        <w:t>。</w:t>
      </w:r>
    </w:p>
    <w:p w14:paraId="05EE5C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表5.3-2评价工作等级划分表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1659"/>
        <w:gridCol w:w="1659"/>
        <w:gridCol w:w="1660"/>
      </w:tblGrid>
      <w:tr w14:paraId="202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00" w:type="pct"/>
            <w:shd w:val="clear" w:color="auto" w:fill="auto"/>
            <w:vAlign w:val="center"/>
          </w:tcPr>
          <w:p w14:paraId="5A983BA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环境风险潜势</w:t>
            </w:r>
          </w:p>
        </w:tc>
        <w:tc>
          <w:tcPr>
            <w:tcW w:w="1000" w:type="pct"/>
            <w:shd w:val="clear" w:color="auto" w:fill="auto"/>
            <w:vAlign w:val="center"/>
          </w:tcPr>
          <w:p w14:paraId="198C484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Ⅳ、Ⅳ</w:t>
            </w:r>
            <w:r>
              <w:rPr>
                <w:rFonts w:hint="eastAsia" w:ascii="Times New Roman" w:hAnsi="Times New Roman" w:eastAsia="宋体"/>
                <w:strike w:val="0"/>
                <w:dstrike w:val="0"/>
                <w:color w:val="auto"/>
                <w:kern w:val="2"/>
                <w:sz w:val="21"/>
                <w:szCs w:val="24"/>
                <w:highlight w:val="none"/>
                <w:vertAlign w:val="superscript"/>
              </w:rPr>
              <w:t>+</w:t>
            </w:r>
          </w:p>
        </w:tc>
        <w:tc>
          <w:tcPr>
            <w:tcW w:w="1000" w:type="pct"/>
            <w:shd w:val="clear" w:color="auto" w:fill="auto"/>
            <w:vAlign w:val="center"/>
          </w:tcPr>
          <w:p w14:paraId="4175F85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Ⅲ</w:t>
            </w:r>
          </w:p>
        </w:tc>
        <w:tc>
          <w:tcPr>
            <w:tcW w:w="1000" w:type="pct"/>
            <w:shd w:val="clear" w:color="auto" w:fill="auto"/>
            <w:vAlign w:val="center"/>
          </w:tcPr>
          <w:p w14:paraId="6BC27B1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Ⅱ</w:t>
            </w:r>
          </w:p>
        </w:tc>
        <w:tc>
          <w:tcPr>
            <w:tcW w:w="1001" w:type="pct"/>
            <w:shd w:val="clear" w:color="auto" w:fill="auto"/>
            <w:vAlign w:val="center"/>
          </w:tcPr>
          <w:p w14:paraId="2B699F93">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Ⅰ</w:t>
            </w:r>
          </w:p>
        </w:tc>
      </w:tr>
      <w:tr w14:paraId="7C6B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00" w:type="pct"/>
            <w:shd w:val="clear" w:color="auto" w:fill="auto"/>
            <w:vAlign w:val="center"/>
          </w:tcPr>
          <w:p w14:paraId="28178C88">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评价工作等级</w:t>
            </w:r>
          </w:p>
        </w:tc>
        <w:tc>
          <w:tcPr>
            <w:tcW w:w="1000" w:type="pct"/>
            <w:shd w:val="clear" w:color="auto" w:fill="auto"/>
            <w:vAlign w:val="center"/>
          </w:tcPr>
          <w:p w14:paraId="44869D0B">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一</w:t>
            </w:r>
          </w:p>
        </w:tc>
        <w:tc>
          <w:tcPr>
            <w:tcW w:w="1000" w:type="pct"/>
            <w:shd w:val="clear" w:color="auto" w:fill="auto"/>
            <w:vAlign w:val="center"/>
          </w:tcPr>
          <w:p w14:paraId="722E32A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二</w:t>
            </w:r>
          </w:p>
        </w:tc>
        <w:tc>
          <w:tcPr>
            <w:tcW w:w="1000" w:type="pct"/>
            <w:shd w:val="clear" w:color="auto" w:fill="auto"/>
            <w:vAlign w:val="center"/>
          </w:tcPr>
          <w:p w14:paraId="2175C2C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三</w:t>
            </w:r>
          </w:p>
        </w:tc>
        <w:tc>
          <w:tcPr>
            <w:tcW w:w="1001" w:type="pct"/>
            <w:shd w:val="clear" w:color="auto" w:fill="auto"/>
            <w:vAlign w:val="center"/>
          </w:tcPr>
          <w:p w14:paraId="07E2443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简单分析</w:t>
            </w:r>
            <w:r>
              <w:rPr>
                <w:rFonts w:hint="eastAsia" w:ascii="Times New Roman" w:hAnsi="Times New Roman" w:eastAsia="宋体"/>
                <w:strike w:val="0"/>
                <w:dstrike w:val="0"/>
                <w:color w:val="auto"/>
                <w:kern w:val="2"/>
                <w:sz w:val="21"/>
                <w:szCs w:val="24"/>
                <w:highlight w:val="none"/>
                <w:vertAlign w:val="superscript"/>
              </w:rPr>
              <w:t>a</w:t>
            </w:r>
          </w:p>
        </w:tc>
      </w:tr>
      <w:tr w14:paraId="4723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000" w:type="pct"/>
            <w:gridSpan w:val="5"/>
            <w:shd w:val="clear" w:color="auto" w:fill="auto"/>
            <w:vAlign w:val="center"/>
          </w:tcPr>
          <w:p w14:paraId="1AAD2A51">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rPr>
              <w:t>a是相对于详细评价工作内容而言，在描述危险物质、环境影响途径、环境危害后果、风险防范措施等方面给出定性的说明</w:t>
            </w:r>
            <w:r>
              <w:rPr>
                <w:rFonts w:hint="eastAsia" w:ascii="Times New Roman" w:hAnsi="Times New Roman" w:eastAsia="宋体"/>
                <w:strike w:val="0"/>
                <w:dstrike w:val="0"/>
                <w:color w:val="auto"/>
                <w:kern w:val="2"/>
                <w:sz w:val="21"/>
                <w:szCs w:val="24"/>
                <w:highlight w:val="none"/>
                <w:lang w:eastAsia="zh-CN"/>
              </w:rPr>
              <w:t>。</w:t>
            </w:r>
          </w:p>
        </w:tc>
      </w:tr>
    </w:tbl>
    <w:p w14:paraId="27069E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根据《建设项目环境风险评价技术导则》（HJ169-2018）中的规定，项目未构成重大危险源，项目环境风险潜势为Ⅰ级，因此确定本项目的环境风险评价等级为简单分析</w:t>
      </w:r>
      <w:r>
        <w:rPr>
          <w:rFonts w:hint="eastAsia" w:ascii="Times New Roman" w:hAnsi="Times New Roman" w:eastAsia="宋体"/>
          <w:strike w:val="0"/>
          <w:dstrike w:val="0"/>
          <w:color w:val="auto"/>
          <w:highlight w:val="none"/>
          <w:lang w:eastAsia="zh-CN"/>
        </w:rPr>
        <w:t>。</w:t>
      </w:r>
    </w:p>
    <w:p w14:paraId="15AF2A9F">
      <w:pPr>
        <w:pStyle w:val="4"/>
        <w:rPr>
          <w:rFonts w:ascii="Times New Roman" w:hAnsi="Times New Roman" w:eastAsia="宋体"/>
          <w:strike w:val="0"/>
          <w:dstrike w:val="0"/>
          <w:color w:val="auto"/>
          <w:highlight w:val="none"/>
        </w:rPr>
      </w:pPr>
      <w:bookmarkStart w:id="277" w:name="_Toc106663513"/>
      <w:bookmarkStart w:id="278" w:name="_Toc29691"/>
      <w:r>
        <w:rPr>
          <w:rFonts w:hint="eastAsia" w:ascii="Times New Roman" w:hAnsi="Times New Roman" w:eastAsia="宋体"/>
          <w:strike w:val="0"/>
          <w:dstrike w:val="0"/>
          <w:color w:val="auto"/>
          <w:highlight w:val="none"/>
        </w:rPr>
        <w:t>5.3.6环境风险识别</w:t>
      </w:r>
      <w:bookmarkEnd w:id="277"/>
      <w:bookmarkEnd w:id="278"/>
    </w:p>
    <w:p w14:paraId="40E4B9B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5.3.6.1物质危险性识别</w:t>
      </w:r>
    </w:p>
    <w:p w14:paraId="32CC06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本项目环境风险主要来自</w:t>
      </w:r>
      <w:r>
        <w:rPr>
          <w:rFonts w:hint="eastAsia" w:ascii="Times New Roman" w:hAnsi="Times New Roman" w:eastAsia="宋体"/>
          <w:strike w:val="0"/>
          <w:dstrike w:val="0"/>
          <w:color w:val="auto"/>
          <w:highlight w:val="none"/>
          <w:lang w:eastAsia="zh-CN"/>
        </w:rPr>
        <w:t>骆驼</w:t>
      </w:r>
      <w:r>
        <w:rPr>
          <w:rFonts w:hint="eastAsia" w:ascii="Times New Roman" w:hAnsi="Times New Roman" w:eastAsia="宋体"/>
          <w:strike w:val="0"/>
          <w:dstrike w:val="0"/>
          <w:color w:val="auto"/>
          <w:highlight w:val="none"/>
        </w:rPr>
        <w:t>饲养过程中的</w:t>
      </w:r>
      <w:r>
        <w:rPr>
          <w:rFonts w:hint="eastAsia" w:ascii="Times New Roman" w:hAnsi="Times New Roman" w:eastAsia="宋体"/>
          <w:strike w:val="0"/>
          <w:dstrike w:val="0"/>
          <w:color w:val="auto"/>
          <w:highlight w:val="none"/>
          <w:lang w:eastAsia="zh-CN"/>
        </w:rPr>
        <w:t>骆驼尸体</w:t>
      </w:r>
      <w:r>
        <w:rPr>
          <w:rFonts w:hint="eastAsia" w:ascii="Times New Roman" w:hAnsi="Times New Roman" w:eastAsia="宋体"/>
          <w:strike w:val="0"/>
          <w:dstrike w:val="0"/>
          <w:color w:val="auto"/>
          <w:highlight w:val="none"/>
        </w:rPr>
        <w:t>、疾病疫情、管网泄露、医疗废物污染事故等</w:t>
      </w:r>
      <w:r>
        <w:rPr>
          <w:rFonts w:hint="eastAsia" w:ascii="Times New Roman" w:hAnsi="Times New Roman" w:eastAsia="宋体"/>
          <w:strike w:val="0"/>
          <w:dstrike w:val="0"/>
          <w:color w:val="auto"/>
          <w:highlight w:val="none"/>
          <w:lang w:eastAsia="zh-CN"/>
        </w:rPr>
        <w:t>。</w:t>
      </w:r>
    </w:p>
    <w:p w14:paraId="6D8A85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骆驼尸体</w:t>
      </w:r>
    </w:p>
    <w:p w14:paraId="749EB15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根据基本调查，</w:t>
      </w:r>
      <w:r>
        <w:rPr>
          <w:rFonts w:hint="eastAsia" w:ascii="Times New Roman" w:hAnsi="Times New Roman" w:eastAsia="宋体"/>
          <w:strike w:val="0"/>
          <w:dstrike w:val="0"/>
          <w:color w:val="auto"/>
          <w:highlight w:val="none"/>
          <w:lang w:eastAsia="zh-CN"/>
        </w:rPr>
        <w:t>骆驼尸体</w:t>
      </w:r>
      <w:r>
        <w:rPr>
          <w:rFonts w:hint="eastAsia" w:ascii="Times New Roman" w:hAnsi="Times New Roman" w:eastAsia="宋体"/>
          <w:strike w:val="0"/>
          <w:dstrike w:val="0"/>
          <w:color w:val="auto"/>
          <w:highlight w:val="none"/>
        </w:rPr>
        <w:t>携带有一定量病菌，如不加以处理会使病菌得以传播，对周围环境有一定的影响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因此，必须对其进行无害化处理，防止疾病传播</w:t>
      </w:r>
      <w:r>
        <w:rPr>
          <w:rFonts w:hint="eastAsia" w:ascii="Times New Roman" w:hAnsi="Times New Roman" w:eastAsia="宋体"/>
          <w:strike w:val="0"/>
          <w:dstrike w:val="0"/>
          <w:color w:val="auto"/>
          <w:highlight w:val="none"/>
          <w:lang w:eastAsia="zh-CN"/>
        </w:rPr>
        <w:t>。</w:t>
      </w:r>
    </w:p>
    <w:p w14:paraId="40C3536A">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2、疾病疫情</w:t>
      </w:r>
    </w:p>
    <w:p w14:paraId="37A90B2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养殖场</w:t>
      </w:r>
      <w:r>
        <w:rPr>
          <w:rFonts w:hint="eastAsia" w:ascii="Times New Roman" w:hAnsi="Times New Roman" w:eastAsia="宋体"/>
          <w:strike w:val="0"/>
          <w:dstrike w:val="0"/>
          <w:color w:val="auto"/>
          <w:highlight w:val="none"/>
        </w:rPr>
        <w:t>如管理不善，会诱发常见疾病，如高致病性禽流感等，而且传播很快，造成大量</w:t>
      </w:r>
      <w:r>
        <w:rPr>
          <w:rFonts w:hint="eastAsia" w:ascii="Times New Roman" w:hAnsi="Times New Roman" w:eastAsia="宋体"/>
          <w:strike w:val="0"/>
          <w:dstrike w:val="0"/>
          <w:color w:val="auto"/>
          <w:highlight w:val="none"/>
          <w:lang w:eastAsia="zh-CN"/>
        </w:rPr>
        <w:t>骆驼</w:t>
      </w:r>
      <w:r>
        <w:rPr>
          <w:rFonts w:hint="eastAsia" w:ascii="Times New Roman" w:hAnsi="Times New Roman" w:eastAsia="宋体"/>
          <w:strike w:val="0"/>
          <w:dstrike w:val="0"/>
          <w:color w:val="auto"/>
          <w:highlight w:val="none"/>
        </w:rPr>
        <w:t>死亡</w:t>
      </w:r>
      <w:r>
        <w:rPr>
          <w:rFonts w:hint="eastAsia" w:ascii="Times New Roman" w:hAnsi="Times New Roman" w:eastAsia="宋体"/>
          <w:strike w:val="0"/>
          <w:dstrike w:val="0"/>
          <w:color w:val="auto"/>
          <w:highlight w:val="none"/>
          <w:lang w:eastAsia="zh-CN"/>
        </w:rPr>
        <w:t>。</w:t>
      </w:r>
    </w:p>
    <w:p w14:paraId="1A22DC47">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3、管网和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泄露</w:t>
      </w:r>
    </w:p>
    <w:p w14:paraId="261FA2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本项目排水管网运营期污水集输和</w:t>
      </w:r>
      <w:r>
        <w:rPr>
          <w:rFonts w:hint="eastAsia" w:ascii="Times New Roman" w:hAnsi="Times New Roman" w:eastAsia="宋体"/>
          <w:strike w:val="0"/>
          <w:dstrike w:val="0"/>
          <w:color w:val="auto"/>
          <w:highlight w:val="none"/>
          <w:lang w:val="en-US" w:eastAsia="zh-CN"/>
        </w:rPr>
        <w:t>黑膜池存储</w:t>
      </w:r>
      <w:r>
        <w:rPr>
          <w:rFonts w:hint="eastAsia" w:ascii="Times New Roman" w:hAnsi="Times New Roman" w:eastAsia="宋体"/>
          <w:strike w:val="0"/>
          <w:dstrike w:val="0"/>
          <w:color w:val="auto"/>
          <w:highlight w:val="none"/>
        </w:rPr>
        <w:t>的过程中，以污水泄漏为主要表征，存在着管道和暂存池的腐蚀、地质灾害、洪水冲刷等一系列污染环境、危害工程安全的事故风险</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这些事故风险的潜在因素主要包括操作、设备缺陷、设计及施工、自然灾害等，可大致上分为两个方面，即人为风险因素和自然风险因素</w:t>
      </w:r>
      <w:r>
        <w:rPr>
          <w:rFonts w:hint="eastAsia" w:ascii="Times New Roman" w:hAnsi="Times New Roman" w:eastAsia="宋体"/>
          <w:strike w:val="0"/>
          <w:dstrike w:val="0"/>
          <w:color w:val="auto"/>
          <w:highlight w:val="none"/>
          <w:lang w:eastAsia="zh-CN"/>
        </w:rPr>
        <w:t>。</w:t>
      </w:r>
    </w:p>
    <w:p w14:paraId="0EB8799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人为风险因素</w:t>
      </w:r>
    </w:p>
    <w:p w14:paraId="4C3DD4C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人为风险因素的事故风险主要由于设备、施工质量问题、操作失误和人为蓄意破坏三种情况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分析如下：</w:t>
      </w:r>
    </w:p>
    <w:p w14:paraId="6157DAD6">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设备、施工质量问题：</w:t>
      </w:r>
    </w:p>
    <w:p w14:paraId="5E7D1B8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①因选材错误而引起的设备、管线腐蚀、侵蚀；</w:t>
      </w:r>
    </w:p>
    <w:p w14:paraId="371353EB">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②未对</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进行充分的检查或漏检；</w:t>
      </w:r>
    </w:p>
    <w:p w14:paraId="5D44118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③管线焊接不严，检测有误，造成泄漏；</w:t>
      </w:r>
    </w:p>
    <w:p w14:paraId="12AC1440">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④设备故障、机械失灵、老化造成的泄漏；</w:t>
      </w:r>
    </w:p>
    <w:p w14:paraId="072B619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⑤管道防腐涂层质量差，造成管道腐蚀；</w:t>
      </w:r>
    </w:p>
    <w:p w14:paraId="2F8B424A">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⑥管材或连接缺陷，造成管道断裂、泄漏；</w:t>
      </w:r>
    </w:p>
    <w:p w14:paraId="3359A4D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⑦在管道近旁或上方进行其他生产活动时的挖掘造成管道破裂；</w:t>
      </w:r>
    </w:p>
    <w:p w14:paraId="1594BF55">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操作失误：</w:t>
      </w:r>
    </w:p>
    <w:p w14:paraId="0AFF7432">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①操作人员没有培训上岗作业，不了解生产工艺流程，不熟悉岗位操作规程，不懂设备性能，盲目操作，遇到情况判断不准而操作失误，引发局部超压等造成的风险事故；</w:t>
      </w:r>
    </w:p>
    <w:p w14:paraId="437AA4EB">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②动力故障引发的事故，如停电造成的阀门无法关闭、通讯线路中断无法传递控制指令等导致事故发生；</w:t>
      </w:r>
    </w:p>
    <w:p w14:paraId="5DA7E831">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③其他选线不当或设计有误导致的事故风险；</w:t>
      </w:r>
    </w:p>
    <w:p w14:paraId="5DE3B789">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④对工作重视不够，责任心不强，操作中麻痹大意，擅离职守等造成的事故；</w:t>
      </w:r>
    </w:p>
    <w:p w14:paraId="482AD48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⑤管理不够健全，没有完善的检查、监督、复核手续，没有切合实际的操作规程，故障不能得到及时处理而引发事故</w:t>
      </w:r>
      <w:r>
        <w:rPr>
          <w:rFonts w:hint="eastAsia" w:ascii="Times New Roman" w:hAnsi="Times New Roman" w:eastAsia="宋体"/>
          <w:strike w:val="0"/>
          <w:dstrike w:val="0"/>
          <w:color w:val="auto"/>
          <w:highlight w:val="none"/>
          <w:lang w:eastAsia="zh-CN"/>
        </w:rPr>
        <w:t>。</w:t>
      </w:r>
    </w:p>
    <w:p w14:paraId="0FFD270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人为破坏</w:t>
      </w:r>
    </w:p>
    <w:p w14:paraId="442751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人为蓄意破坏造成的事故，在管道上钻孔、盗窃管道附属设施的部件等，均可引起管道破坏、污水外泄，造成比较严重的直接危害和继发危害</w:t>
      </w:r>
      <w:r>
        <w:rPr>
          <w:rFonts w:hint="eastAsia" w:ascii="Times New Roman" w:hAnsi="Times New Roman" w:eastAsia="宋体"/>
          <w:strike w:val="0"/>
          <w:dstrike w:val="0"/>
          <w:color w:val="auto"/>
          <w:highlight w:val="none"/>
          <w:lang w:eastAsia="zh-CN"/>
        </w:rPr>
        <w:t>。</w:t>
      </w:r>
    </w:p>
    <w:p w14:paraId="3F1BBB3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自然风险因素</w:t>
      </w:r>
    </w:p>
    <w:p w14:paraId="18576B22">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自然风险因素主要有暴雨、洪水、地震等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结合管线经过地区和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所在位置的自然环境、社会环境，对本项目的事故风险因素分析如下：</w:t>
      </w:r>
    </w:p>
    <w:p w14:paraId="66C450F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地震</w:t>
      </w:r>
    </w:p>
    <w:p w14:paraId="4BE64E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地震对建构筑物的破坏作用明显，作用范围大，进而威胁设备和人员安全</w:t>
      </w:r>
      <w:r>
        <w:rPr>
          <w:rFonts w:hint="eastAsia" w:ascii="Times New Roman" w:hAnsi="Times New Roman" w:eastAsia="宋体"/>
          <w:strike w:val="0"/>
          <w:dstrike w:val="0"/>
          <w:color w:val="auto"/>
          <w:highlight w:val="none"/>
          <w:lang w:eastAsia="zh-CN"/>
        </w:rPr>
        <w:t>。</w:t>
      </w:r>
    </w:p>
    <w:p w14:paraId="01C6304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本工程主要处于地震烈度为7度区域，经强度计算校核，本项目输水管道和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具有抗地震波引起的拉伸和压缩能力，不会因地震波引起破坏</w:t>
      </w:r>
      <w:r>
        <w:rPr>
          <w:rFonts w:hint="eastAsia" w:ascii="Times New Roman" w:hAnsi="Times New Roman" w:eastAsia="宋体"/>
          <w:strike w:val="0"/>
          <w:dstrike w:val="0"/>
          <w:color w:val="auto"/>
          <w:highlight w:val="none"/>
          <w:lang w:eastAsia="zh-CN"/>
        </w:rPr>
        <w:t>。</w:t>
      </w:r>
    </w:p>
    <w:p w14:paraId="336BF2D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洪水</w:t>
      </w:r>
    </w:p>
    <w:p w14:paraId="719EE9C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项目区域年降水量150mm，夏季降水量最大，洪水冲刷形成的侵蚀，很可能使管线暴露，易导致断裂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随地势趋缓洪水冲刷能力有所减缓，常常形成巨大的径流向低处集中，在局部低地形成侵蚀沟，仍可能造成管线和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暴露，易导致断裂和破裂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管线断裂穿孔和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破裂事故发生在洪水期间，将可能使污染迅速蔓延和扩大</w:t>
      </w:r>
      <w:r>
        <w:rPr>
          <w:rFonts w:hint="eastAsia" w:ascii="Times New Roman" w:hAnsi="Times New Roman" w:eastAsia="宋体"/>
          <w:strike w:val="0"/>
          <w:dstrike w:val="0"/>
          <w:color w:val="auto"/>
          <w:highlight w:val="none"/>
          <w:lang w:eastAsia="zh-CN"/>
        </w:rPr>
        <w:t>。</w:t>
      </w:r>
    </w:p>
    <w:p w14:paraId="464BD8E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4、医疗废物污染事故</w:t>
      </w:r>
    </w:p>
    <w:p w14:paraId="1F0BDF8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医疗废物若包装不严密或随意堆放则可产生大面积的污染，对环境产生不可挽回的影响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本项目医疗废物是指治疗过程中产生少量废弃药品、废针管等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据国家卫生部门的医疗检测报告表明，医疗垃圾可能受到各种病菌的污染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此外，垃圾中的有机物不仅滋生蚊蝇，造成疾病的传播，并且在腐败分解时生成多种有害物质将污染大气、危害人体健康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医疗垃圾具有空间污染、急性传染和潜伏性污染等特征，其病毒、病菌的危害性是普通生活垃圾的几十、几百甚至上千倍，如果处理不当，将造成水体、大气、土壤的污染及对人体的直接危害，甚至成为疫病流行的源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医疗垃圾的随意堆放会污染大气环境，随意填埋会污染地下水源，随意焚烧会产生强烈的致癌物质二噁英</w:t>
      </w:r>
      <w:r>
        <w:rPr>
          <w:rFonts w:hint="eastAsia" w:ascii="Times New Roman" w:hAnsi="Times New Roman" w:eastAsia="宋体"/>
          <w:strike w:val="0"/>
          <w:dstrike w:val="0"/>
          <w:color w:val="auto"/>
          <w:highlight w:val="none"/>
          <w:lang w:eastAsia="zh-CN"/>
        </w:rPr>
        <w:t>。</w:t>
      </w:r>
    </w:p>
    <w:p w14:paraId="5375F5CE">
      <w:pPr>
        <w:pStyle w:val="4"/>
        <w:rPr>
          <w:rFonts w:ascii="Times New Roman" w:hAnsi="Times New Roman" w:eastAsia="宋体"/>
          <w:strike w:val="0"/>
          <w:dstrike w:val="0"/>
          <w:color w:val="auto"/>
          <w:highlight w:val="none"/>
        </w:rPr>
      </w:pPr>
      <w:bookmarkStart w:id="279" w:name="_Toc15457"/>
      <w:bookmarkStart w:id="280" w:name="_Toc106663514"/>
      <w:r>
        <w:rPr>
          <w:rFonts w:hint="eastAsia" w:ascii="Times New Roman" w:hAnsi="Times New Roman" w:eastAsia="宋体"/>
          <w:strike w:val="0"/>
          <w:dstrike w:val="0"/>
          <w:color w:val="auto"/>
          <w:highlight w:val="none"/>
        </w:rPr>
        <w:t>5.3.7环境风险防范措施及应急要求</w:t>
      </w:r>
      <w:bookmarkEnd w:id="279"/>
      <w:bookmarkEnd w:id="280"/>
    </w:p>
    <w:p w14:paraId="704EB5A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处置措施</w:t>
      </w:r>
    </w:p>
    <w:p w14:paraId="443093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养殖场应定期检查</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的健康状况，做到及时发现、及时隔离、及时救治，严格控制疾病大面积传播</w:t>
      </w:r>
      <w:r>
        <w:rPr>
          <w:rFonts w:hint="eastAsia" w:ascii="Times New Roman" w:hAnsi="Times New Roman" w:eastAsia="宋体"/>
          <w:strike w:val="0"/>
          <w:dstrike w:val="0"/>
          <w:color w:val="auto"/>
          <w:highlight w:val="none"/>
          <w:lang w:eastAsia="zh-CN"/>
        </w:rPr>
        <w:t>。</w:t>
      </w:r>
    </w:p>
    <w:p w14:paraId="2EEECE5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死</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要及时处理，首先要进行严格的尸体检验，如果是因中毒或者是因病而死，</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则要严格按照防疫条例进行无害化处理后，</w:t>
      </w:r>
      <w:r>
        <w:rPr>
          <w:rFonts w:hint="eastAsia" w:ascii="Times New Roman" w:hAnsi="Times New Roman" w:eastAsia="宋体"/>
          <w:strike w:val="0"/>
          <w:dstrike w:val="0"/>
          <w:color w:val="auto"/>
          <w:highlight w:val="none"/>
        </w:rPr>
        <w:t>本环评要求病死骆驼按照要求委托有资质的第三方处置</w:t>
      </w:r>
      <w:r>
        <w:rPr>
          <w:rFonts w:hint="eastAsia" w:ascii="Times New Roman" w:hAnsi="Times New Roman" w:eastAsia="宋体"/>
          <w:strike w:val="0"/>
          <w:dstrike w:val="0"/>
          <w:color w:val="auto"/>
          <w:highlight w:val="none"/>
          <w:lang w:eastAsia="zh-CN"/>
        </w:rPr>
        <w:t>。</w:t>
      </w:r>
    </w:p>
    <w:p w14:paraId="1A43A01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2、疫情防疫</w:t>
      </w:r>
    </w:p>
    <w:p w14:paraId="2C60F6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疫情风险防范措施</w:t>
      </w:r>
    </w:p>
    <w:p w14:paraId="3AB7C87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卫生防疫是规模化养殖场成败的关键，必须严格按照《中华人民共和国动物防疫法》的要求，做到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以防为主，防治结合，制度健全，责任到人</w:t>
      </w:r>
      <w:r>
        <w:rPr>
          <w:rFonts w:hint="eastAsia" w:ascii="Times New Roman" w:hAnsi="Times New Roman" w:eastAsia="宋体"/>
          <w:strike w:val="0"/>
          <w:dstrike w:val="0"/>
          <w:color w:val="auto"/>
          <w:highlight w:val="none"/>
          <w:lang w:eastAsia="zh-CN"/>
        </w:rPr>
        <w:t>”。</w:t>
      </w:r>
    </w:p>
    <w:p w14:paraId="6A6436E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消毒制度</w:t>
      </w:r>
    </w:p>
    <w:p w14:paraId="33E4D8C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凡进入饲养场的人和车辆等都需要经过消毒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凡是进入饲养场的工作人员，一律更换工作服、工作鞋，并经紫外线照射5分钟进行消毒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外来人员必须进入生产区时，也应按照上述方法消毒，在场区管理人员的带领下，按照指定路线行走</w:t>
      </w:r>
      <w:r>
        <w:rPr>
          <w:rFonts w:hint="eastAsia" w:ascii="Times New Roman" w:hAnsi="Times New Roman" w:eastAsia="宋体"/>
          <w:strike w:val="0"/>
          <w:dstrike w:val="0"/>
          <w:color w:val="auto"/>
          <w:highlight w:val="none"/>
          <w:lang w:eastAsia="zh-CN"/>
        </w:rPr>
        <w:t>。</w:t>
      </w:r>
    </w:p>
    <w:p w14:paraId="003376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加强饲养管理，增强畜禽抵抗力</w:t>
      </w:r>
    </w:p>
    <w:p w14:paraId="3B77982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①要按照畜禽的品种、年龄、体重、强弱等进行合理分群饲养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根据各类畜禽的营养需要、饲养标准，确定适宜的饲粮和饲喂方法</w:t>
      </w:r>
      <w:r>
        <w:rPr>
          <w:rFonts w:hint="eastAsia" w:ascii="Times New Roman" w:hAnsi="Times New Roman" w:eastAsia="宋体"/>
          <w:strike w:val="0"/>
          <w:dstrike w:val="0"/>
          <w:color w:val="auto"/>
          <w:highlight w:val="none"/>
          <w:lang w:eastAsia="zh-CN"/>
        </w:rPr>
        <w:t>。</w:t>
      </w:r>
    </w:p>
    <w:p w14:paraId="493F00F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②保证圈舍清洁舒适，通风良好</w:t>
      </w:r>
      <w:r>
        <w:rPr>
          <w:rFonts w:hint="eastAsia" w:ascii="Times New Roman" w:hAnsi="Times New Roman" w:eastAsia="宋体"/>
          <w:strike w:val="0"/>
          <w:dstrike w:val="0"/>
          <w:color w:val="auto"/>
          <w:highlight w:val="none"/>
          <w:lang w:eastAsia="zh-CN"/>
        </w:rPr>
        <w:t>。</w:t>
      </w:r>
    </w:p>
    <w:p w14:paraId="12B85C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有计划地进行药物预防</w:t>
      </w:r>
    </w:p>
    <w:p w14:paraId="0CC540B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为了提高</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的成活率，除加强饲养管理、及时免疫外，必要时还要辅以药物预防</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目前最常用的是抗菌素类饲料添加剂</w:t>
      </w:r>
      <w:r>
        <w:rPr>
          <w:rFonts w:hint="eastAsia" w:ascii="Times New Roman" w:hAnsi="Times New Roman" w:eastAsia="宋体"/>
          <w:strike w:val="0"/>
          <w:dstrike w:val="0"/>
          <w:color w:val="auto"/>
          <w:highlight w:val="none"/>
          <w:lang w:eastAsia="zh-CN"/>
        </w:rPr>
        <w:t>。</w:t>
      </w:r>
    </w:p>
    <w:p w14:paraId="32DCEDB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发现传染病的紧急处理</w:t>
      </w:r>
    </w:p>
    <w:p w14:paraId="5EE5AAB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对于传染病，尤其急性烈性传染病如禽流感等，发现早，诊断及时准确，又能迅速采取针对性措施，便可有效地制止传染病的蔓延</w:t>
      </w:r>
      <w:r>
        <w:rPr>
          <w:rFonts w:hint="eastAsia" w:ascii="Times New Roman" w:hAnsi="Times New Roman" w:eastAsia="宋体"/>
          <w:strike w:val="0"/>
          <w:dstrike w:val="0"/>
          <w:color w:val="auto"/>
          <w:highlight w:val="none"/>
          <w:lang w:eastAsia="zh-CN"/>
        </w:rPr>
        <w:t>。</w:t>
      </w:r>
    </w:p>
    <w:p w14:paraId="5F174A3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生物安全措施包括的内容很多，严格地说生物安全措施就是为防止一切传染病源进入</w:t>
      </w:r>
      <w:r>
        <w:rPr>
          <w:rFonts w:hint="eastAsia" w:ascii="Times New Roman" w:hAnsi="Times New Roman" w:eastAsia="宋体"/>
          <w:strike w:val="0"/>
          <w:dstrike w:val="0"/>
          <w:color w:val="auto"/>
          <w:highlight w:val="none"/>
          <w:lang w:eastAsia="zh-CN"/>
        </w:rPr>
        <w:t>养殖场</w:t>
      </w:r>
      <w:r>
        <w:rPr>
          <w:rFonts w:ascii="Times New Roman" w:hAnsi="Times New Roman" w:eastAsia="宋体"/>
          <w:strike w:val="0"/>
          <w:dstrike w:val="0"/>
          <w:color w:val="auto"/>
          <w:highlight w:val="none"/>
        </w:rPr>
        <w:t>而采取的措施，叫作生物安全措施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通常是</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一隔二养三免疫</w:t>
      </w:r>
      <w:r>
        <w:rPr>
          <w:rFonts w:hint="eastAsia" w:ascii="Times New Roman" w:hAnsi="Times New Roman" w:eastAsia="宋体"/>
          <w:strike w:val="0"/>
          <w:dstrike w:val="0"/>
          <w:color w:val="auto"/>
          <w:highlight w:val="none"/>
          <w:lang w:eastAsia="zh-CN"/>
        </w:rPr>
        <w:t>”。</w:t>
      </w:r>
    </w:p>
    <w:p w14:paraId="23E1317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一隔就是要做好隔离，一旦发生传染病，将</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与</w:t>
      </w:r>
      <w:r>
        <w:rPr>
          <w:rFonts w:hint="eastAsia" w:ascii="Times New Roman" w:hAnsi="Times New Roman" w:eastAsia="宋体"/>
          <w:strike w:val="0"/>
          <w:dstrike w:val="0"/>
          <w:color w:val="auto"/>
          <w:highlight w:val="none"/>
          <w:lang w:eastAsia="zh-CN"/>
        </w:rPr>
        <w:t>健康骆驼</w:t>
      </w:r>
      <w:r>
        <w:rPr>
          <w:rFonts w:ascii="Times New Roman" w:hAnsi="Times New Roman" w:eastAsia="宋体"/>
          <w:strike w:val="0"/>
          <w:dstrike w:val="0"/>
          <w:color w:val="auto"/>
          <w:highlight w:val="none"/>
        </w:rPr>
        <w:t>隔离开来，将疫情控制在最小范围内；二养就是进行科学化的养殖，要千方百计地为</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创造一个适合</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生长发育的环境，最大限度地减少各种应急对</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造成有害影响，使</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体本身健康成长发育</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这样就有能力抵抗外界不良因素的影响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第三就是在</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健康的前提下，我们实行严格地免疫制度，使</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能保证在我们的科学技术操作范围内，能准确实施100%的免疫，特别是对禽流感的免疫</w:t>
      </w:r>
      <w:r>
        <w:rPr>
          <w:rFonts w:hint="eastAsia" w:ascii="Times New Roman" w:hAnsi="Times New Roman" w:eastAsia="宋体"/>
          <w:strike w:val="0"/>
          <w:dstrike w:val="0"/>
          <w:color w:val="auto"/>
          <w:highlight w:val="none"/>
          <w:lang w:eastAsia="zh-CN"/>
        </w:rPr>
        <w:t>。</w:t>
      </w:r>
    </w:p>
    <w:p w14:paraId="3E94464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由于高致病性禽流感发病急，发病率和死亡率很高，目前尚无治疗方法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所以</w:t>
      </w:r>
      <w:r>
        <w:rPr>
          <w:rFonts w:hint="eastAsia" w:ascii="Times New Roman" w:hAnsi="Times New Roman" w:eastAsia="宋体"/>
          <w:strike w:val="0"/>
          <w:dstrike w:val="0"/>
          <w:color w:val="auto"/>
          <w:highlight w:val="none"/>
          <w:lang w:eastAsia="zh-CN"/>
        </w:rPr>
        <w:t>养殖者</w:t>
      </w:r>
      <w:r>
        <w:rPr>
          <w:rFonts w:ascii="Times New Roman" w:hAnsi="Times New Roman" w:eastAsia="宋体"/>
          <w:strike w:val="0"/>
          <w:dstrike w:val="0"/>
          <w:color w:val="auto"/>
          <w:highlight w:val="none"/>
        </w:rPr>
        <w:t>必须要求饲养人员要经常仔细观察</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的活动及健康状况，若发现有异常表现，特别有互相传染的嫌疑，应立即报告兽医或生产管理人员，相关负责人必须立即赶到现场，认为有必要时要尽快组织力量进行诊断</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在诊断过程中，疑似或确认为新城疫、禽流感、传染性法氏囊病、传染性支气管炎及传染性鼻炎等急性支气管病性，必须立即隔离</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，尽可能缩小</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的活动范围，对</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的排泄物、分泌物污染的场地，都要用聚维酮碘溶液和复方戊二醛溶液进行喷射消毒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污染的垫草、粪便彻底清除，予以烧毁，被污染的用具、工作服、鞋，用福尔马林熏蒸消毒，场门设立标牌，禁止人、畜出入</w:t>
      </w:r>
      <w:r>
        <w:rPr>
          <w:rFonts w:hint="eastAsia" w:ascii="Times New Roman" w:hAnsi="Times New Roman" w:eastAsia="宋体"/>
          <w:strike w:val="0"/>
          <w:dstrike w:val="0"/>
          <w:color w:val="auto"/>
          <w:highlight w:val="none"/>
          <w:lang w:eastAsia="zh-CN"/>
        </w:rPr>
        <w:t>。</w:t>
      </w:r>
    </w:p>
    <w:p w14:paraId="71DA0F44">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3、排水管网和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风险事故防范措施</w:t>
      </w:r>
    </w:p>
    <w:p w14:paraId="17D1104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无论是人为因素，还是自然灾害引起的事故，都必须采取以预防为主的措施，以避免事故的发生或使事故造成的危害降低到最低的程度</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对于人为因素引起的事故可以通过提高作业人员素质、加强责任心以及采取技术手段和管理手段来避免，而对于自然灾害引起的事故则主要靠采取各种工程技术措施来预防</w:t>
      </w:r>
      <w:r>
        <w:rPr>
          <w:rFonts w:hint="eastAsia" w:ascii="Times New Roman" w:hAnsi="Times New Roman" w:eastAsia="宋体"/>
          <w:strike w:val="0"/>
          <w:dstrike w:val="0"/>
          <w:color w:val="auto"/>
          <w:highlight w:val="none"/>
          <w:lang w:eastAsia="zh-CN"/>
        </w:rPr>
        <w:t>。</w:t>
      </w:r>
    </w:p>
    <w:p w14:paraId="2CB9372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防洪、抗震等措施</w:t>
      </w:r>
    </w:p>
    <w:p w14:paraId="50BA28C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①敷设尽量避开地震及可能引起泥石流等地段，当避开有困难时，对局部地段采取安全防护措施</w:t>
      </w:r>
      <w:r>
        <w:rPr>
          <w:rFonts w:hint="eastAsia" w:ascii="Times New Roman" w:hAnsi="Times New Roman" w:eastAsia="宋体"/>
          <w:strike w:val="0"/>
          <w:dstrike w:val="0"/>
          <w:color w:val="auto"/>
          <w:highlight w:val="none"/>
          <w:lang w:eastAsia="zh-CN"/>
        </w:rPr>
        <w:t>。</w:t>
      </w:r>
    </w:p>
    <w:p w14:paraId="0458CEA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②管线穿越大的干沟或排碱渠时，视情况而采取到吸虹管或架空保温管线通过</w:t>
      </w:r>
      <w:r>
        <w:rPr>
          <w:rFonts w:hint="eastAsia" w:ascii="Times New Roman" w:hAnsi="Times New Roman" w:eastAsia="宋体"/>
          <w:strike w:val="0"/>
          <w:dstrike w:val="0"/>
          <w:color w:val="auto"/>
          <w:highlight w:val="none"/>
          <w:lang w:eastAsia="zh-CN"/>
        </w:rPr>
        <w:t>。</w:t>
      </w:r>
    </w:p>
    <w:p w14:paraId="05B8242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破裂预防措施</w:t>
      </w:r>
    </w:p>
    <w:p w14:paraId="21622D9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为尽量避免管线破裂事故的发生，减轻管线和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破裂、泄漏事故对环境的影响，应该采取以下的安全环保措施：</w:t>
      </w:r>
    </w:p>
    <w:p w14:paraId="4F62A1C1">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①敷设路线应设置永久性标志，提醒人们在管线两侧20~50m范围内活动可能造成伤害，防止其他单位施工造成管道损坏；</w:t>
      </w:r>
    </w:p>
    <w:p w14:paraId="61FD691C">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②操作失误是出现事故的又一重要原因，为此要加强管理，提高职工技术水平和职业道德素质，以减少和杜绝此类事故的发生；</w:t>
      </w:r>
    </w:p>
    <w:p w14:paraId="69951665">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③建立完善的安全措施和监督管理机构，做好安全防护工作，以防止人为破坏事故发生；</w:t>
      </w:r>
    </w:p>
    <w:p w14:paraId="3CA156E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④在污水管线沿线设置截断阀，管线在发生破裂时做到及时的截断，减少排入外环境的污水量；</w:t>
      </w:r>
    </w:p>
    <w:p w14:paraId="4E1A563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⑤为确保排水管线和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的安全，建设单位应在工程设计阶段合理设计，选材要结实、耐用、防腐，保证材料的质量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在工程建设中要严把质量关，保证工程质量</w:t>
      </w:r>
      <w:r>
        <w:rPr>
          <w:rFonts w:hint="eastAsia" w:ascii="Times New Roman" w:hAnsi="Times New Roman" w:eastAsia="宋体"/>
          <w:strike w:val="0"/>
          <w:dstrike w:val="0"/>
          <w:color w:val="auto"/>
          <w:highlight w:val="none"/>
          <w:lang w:eastAsia="zh-CN"/>
        </w:rPr>
        <w:t>。</w:t>
      </w:r>
    </w:p>
    <w:p w14:paraId="4C123AF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⑥在运行管理中要从严要求，定期对管线和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进行巡检，及时发现问题，从快从速处理，预防事故发生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管线沿线设立明显标志物，以避免管线遭到人为破坏</w:t>
      </w:r>
      <w:r>
        <w:rPr>
          <w:rFonts w:hint="eastAsia" w:ascii="Times New Roman" w:hAnsi="Times New Roman" w:eastAsia="宋体"/>
          <w:strike w:val="0"/>
          <w:dstrike w:val="0"/>
          <w:color w:val="auto"/>
          <w:highlight w:val="none"/>
          <w:lang w:eastAsia="zh-CN"/>
        </w:rPr>
        <w:t>。</w:t>
      </w:r>
    </w:p>
    <w:p w14:paraId="5F99D07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4、医疗废物污染事故防范措施</w:t>
      </w:r>
    </w:p>
    <w:p w14:paraId="6EE904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为了防止医疗废物污染环境，采取措施如下：</w:t>
      </w:r>
    </w:p>
    <w:p w14:paraId="358D964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合理布局，</w:t>
      </w:r>
      <w:r>
        <w:rPr>
          <w:rFonts w:hint="eastAsia" w:ascii="Times New Roman" w:hAnsi="Times New Roman" w:eastAsia="宋体"/>
          <w:strike w:val="0"/>
          <w:dstrike w:val="0"/>
          <w:color w:val="auto"/>
          <w:highlight w:val="none"/>
          <w:lang w:eastAsia="zh-CN"/>
        </w:rPr>
        <w:t>医疗废物暂存间</w:t>
      </w:r>
      <w:r>
        <w:rPr>
          <w:rFonts w:ascii="Times New Roman" w:hAnsi="Times New Roman" w:eastAsia="宋体"/>
          <w:strike w:val="0"/>
          <w:dstrike w:val="0"/>
          <w:color w:val="auto"/>
          <w:highlight w:val="none"/>
        </w:rPr>
        <w:t>、收集通道等应尽量避开人流通道；</w:t>
      </w:r>
    </w:p>
    <w:p w14:paraId="59E59A0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采购符合国家规定的废物收集容器，按照相关法律法规要求进行分类收集、盛装；</w:t>
      </w:r>
    </w:p>
    <w:p w14:paraId="3F86A3D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对医疗废物收集、管理人员配备必要的个人防护用具；</w:t>
      </w:r>
    </w:p>
    <w:p w14:paraId="3DA8715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医疗废物暂存场处应按照《医疗废物管理条例》</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国务院令第380号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等相关要求进行设置；</w:t>
      </w:r>
    </w:p>
    <w:p w14:paraId="64E09F1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制定医疗废物管理制度</w:t>
      </w:r>
      <w:r>
        <w:rPr>
          <w:rFonts w:hint="eastAsia" w:ascii="Times New Roman" w:hAnsi="Times New Roman" w:eastAsia="宋体"/>
          <w:strike w:val="0"/>
          <w:dstrike w:val="0"/>
          <w:color w:val="auto"/>
          <w:highlight w:val="none"/>
          <w:lang w:eastAsia="zh-CN"/>
        </w:rPr>
        <w:t>。</w:t>
      </w:r>
    </w:p>
    <w:p w14:paraId="18BE20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的收集、贮存、交接、运输的收运全过程均应严格按照《医疗废物管理条例》、《医疗废物转运车技术要求》等相关规定执行，在运送时执行医疗废物转移联单制度，由医疗废物处置场及产生单位共同填写《危险废物转移联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医疗废物专用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，运输车辆填写《医疗废物运送登记卡》，同时还应填报医疗废物处置报表，报</w:t>
      </w:r>
      <w:r>
        <w:rPr>
          <w:rFonts w:hint="eastAsia" w:ascii="Times New Roman" w:hAnsi="Times New Roman" w:eastAsia="宋体"/>
          <w:strike w:val="0"/>
          <w:dstrike w:val="0"/>
          <w:color w:val="auto"/>
          <w:highlight w:val="none"/>
          <w:lang w:val="en-US" w:eastAsia="zh-CN"/>
        </w:rPr>
        <w:t>昌吉州</w:t>
      </w:r>
      <w:r>
        <w:rPr>
          <w:rFonts w:ascii="Times New Roman" w:hAnsi="Times New Roman" w:eastAsia="宋体"/>
          <w:strike w:val="0"/>
          <w:dstrike w:val="0"/>
          <w:color w:val="auto"/>
          <w:highlight w:val="none"/>
        </w:rPr>
        <w:t>生态环境局</w:t>
      </w:r>
      <w:r>
        <w:rPr>
          <w:rFonts w:hint="eastAsia" w:ascii="Times New Roman" w:hAnsi="Times New Roman" w:eastAsia="宋体"/>
          <w:strike w:val="0"/>
          <w:dstrike w:val="0"/>
          <w:color w:val="auto"/>
          <w:highlight w:val="none"/>
          <w:lang w:val="en-US" w:eastAsia="zh-CN"/>
        </w:rPr>
        <w:t>木垒县分局</w:t>
      </w:r>
      <w:r>
        <w:rPr>
          <w:rFonts w:ascii="Times New Roman" w:hAnsi="Times New Roman" w:eastAsia="宋体"/>
          <w:strike w:val="0"/>
          <w:dstrike w:val="0"/>
          <w:color w:val="auto"/>
          <w:highlight w:val="none"/>
        </w:rPr>
        <w:t>备案</w:t>
      </w:r>
      <w:r>
        <w:rPr>
          <w:rFonts w:hint="eastAsia" w:ascii="Times New Roman" w:hAnsi="Times New Roman" w:eastAsia="宋体"/>
          <w:strike w:val="0"/>
          <w:dstrike w:val="0"/>
          <w:color w:val="auto"/>
          <w:highlight w:val="none"/>
          <w:lang w:eastAsia="zh-CN"/>
        </w:rPr>
        <w:t>。</w:t>
      </w:r>
    </w:p>
    <w:p w14:paraId="023047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医疗废物运送使用专用车辆，车辆厢体应与驾驶室分离并密闭，车内应配备必要的消毒等应急物品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确定合理的运输线路，尽量避开人口密集区、交通拥堵道路及时段，对运送人员进行专业技能与安全防护技能培训等</w:t>
      </w:r>
      <w:r>
        <w:rPr>
          <w:rFonts w:hint="eastAsia" w:ascii="Times New Roman" w:hAnsi="Times New Roman" w:eastAsia="宋体"/>
          <w:strike w:val="0"/>
          <w:dstrike w:val="0"/>
          <w:color w:val="auto"/>
          <w:highlight w:val="none"/>
          <w:lang w:eastAsia="zh-CN"/>
        </w:rPr>
        <w:t>。</w:t>
      </w:r>
    </w:p>
    <w:p w14:paraId="0774503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5、生产及管理过程风险防范措施</w:t>
      </w:r>
    </w:p>
    <w:p w14:paraId="417E18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生产过程风险防范措施</w:t>
      </w:r>
    </w:p>
    <w:p w14:paraId="4962AEA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圈舍、畜禽消毒、投药应有专人负责，按照规范操作，操作时配备必要的防范措施，主要消毒设备、投药设备的维修、保养工作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配备合格的工作人员，认真落实工作人员责任制，经常对供水、供电设备进行检查和维护</w:t>
      </w:r>
      <w:r>
        <w:rPr>
          <w:rFonts w:hint="eastAsia" w:ascii="Times New Roman" w:hAnsi="Times New Roman" w:eastAsia="宋体"/>
          <w:strike w:val="0"/>
          <w:dstrike w:val="0"/>
          <w:color w:val="auto"/>
          <w:highlight w:val="none"/>
          <w:lang w:eastAsia="zh-CN"/>
        </w:rPr>
        <w:t>。</w:t>
      </w:r>
    </w:p>
    <w:p w14:paraId="4836D0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管理及操作环节风险防范措施</w:t>
      </w:r>
    </w:p>
    <w:p w14:paraId="72EB1BE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①建立健全安全生产责任制，制定安全生产规章制度和操作规程</w:t>
      </w:r>
      <w:r>
        <w:rPr>
          <w:rFonts w:hint="eastAsia" w:ascii="Times New Roman" w:hAnsi="Times New Roman" w:eastAsia="宋体"/>
          <w:strike w:val="0"/>
          <w:dstrike w:val="0"/>
          <w:color w:val="auto"/>
          <w:highlight w:val="none"/>
          <w:lang w:eastAsia="zh-CN"/>
        </w:rPr>
        <w:t>。</w:t>
      </w:r>
    </w:p>
    <w:p w14:paraId="64E7980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②企业主要负责人和安全生产管理人员应当接受有关主管部门的安全生产知识和管理能力考核，合格后方可任职</w:t>
      </w:r>
      <w:r>
        <w:rPr>
          <w:rFonts w:hint="eastAsia" w:ascii="Times New Roman" w:hAnsi="Times New Roman" w:eastAsia="宋体"/>
          <w:strike w:val="0"/>
          <w:dstrike w:val="0"/>
          <w:color w:val="auto"/>
          <w:highlight w:val="none"/>
          <w:lang w:eastAsia="zh-CN"/>
        </w:rPr>
        <w:t>。</w:t>
      </w:r>
    </w:p>
    <w:p w14:paraId="282E749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③对工作人员应进行教育和培训并进行考核，保证工作人员具备必要的资质和能力</w:t>
      </w:r>
      <w:r>
        <w:rPr>
          <w:rFonts w:hint="eastAsia" w:ascii="Times New Roman" w:hAnsi="Times New Roman" w:eastAsia="宋体"/>
          <w:strike w:val="0"/>
          <w:dstrike w:val="0"/>
          <w:color w:val="auto"/>
          <w:highlight w:val="none"/>
          <w:lang w:eastAsia="zh-CN"/>
        </w:rPr>
        <w:t>。</w:t>
      </w:r>
    </w:p>
    <w:p w14:paraId="2B8A3CC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④各生产岗位工作人员严格按照规程进行操作，并按照要求穿戴劳保用品</w:t>
      </w:r>
      <w:r>
        <w:rPr>
          <w:rFonts w:hint="eastAsia" w:ascii="Times New Roman" w:hAnsi="Times New Roman" w:eastAsia="宋体"/>
          <w:strike w:val="0"/>
          <w:dstrike w:val="0"/>
          <w:color w:val="auto"/>
          <w:highlight w:val="none"/>
          <w:lang w:eastAsia="zh-CN"/>
        </w:rPr>
        <w:t>。</w:t>
      </w:r>
    </w:p>
    <w:p w14:paraId="5FBAD3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⑤安排专人定时巡查，检查各设施设备是否正常运行</w:t>
      </w:r>
      <w:r>
        <w:rPr>
          <w:rFonts w:hint="eastAsia" w:ascii="Times New Roman" w:hAnsi="Times New Roman" w:eastAsia="宋体"/>
          <w:strike w:val="0"/>
          <w:dstrike w:val="0"/>
          <w:color w:val="auto"/>
          <w:highlight w:val="none"/>
          <w:lang w:eastAsia="zh-CN"/>
        </w:rPr>
        <w:t>。</w:t>
      </w:r>
    </w:p>
    <w:p w14:paraId="398C89D9">
      <w:pPr>
        <w:pStyle w:val="4"/>
        <w:rPr>
          <w:rFonts w:ascii="Times New Roman" w:hAnsi="Times New Roman" w:eastAsia="宋体"/>
          <w:strike w:val="0"/>
          <w:dstrike w:val="0"/>
          <w:color w:val="auto"/>
          <w:highlight w:val="none"/>
        </w:rPr>
      </w:pPr>
      <w:bookmarkStart w:id="281" w:name="_Toc4702"/>
      <w:bookmarkStart w:id="282" w:name="_Toc106663515"/>
      <w:r>
        <w:rPr>
          <w:rFonts w:hint="eastAsia" w:ascii="Times New Roman" w:hAnsi="Times New Roman" w:eastAsia="宋体"/>
          <w:strike w:val="0"/>
          <w:dstrike w:val="0"/>
          <w:color w:val="auto"/>
          <w:highlight w:val="none"/>
        </w:rPr>
        <w:t>5.3.8环境风险应急预案</w:t>
      </w:r>
      <w:bookmarkEnd w:id="281"/>
      <w:bookmarkEnd w:id="282"/>
    </w:p>
    <w:p w14:paraId="60C3762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建设单位应根据《国家突发公共事件总体应急预案》、《国家事故应急预案框架指南》、《危险化学品事故应急救援预案编制导则》等相关规定的要求，制订和完善本项目风险事故应急预案</w:t>
      </w:r>
      <w:r>
        <w:rPr>
          <w:rFonts w:hint="eastAsia" w:ascii="Times New Roman" w:hAnsi="Times New Roman" w:eastAsia="宋体"/>
          <w:strike w:val="0"/>
          <w:dstrike w:val="0"/>
          <w:color w:val="auto"/>
          <w:highlight w:val="none"/>
          <w:lang w:eastAsia="zh-CN"/>
        </w:rPr>
        <w:t>。</w:t>
      </w:r>
    </w:p>
    <w:p w14:paraId="75FB8E84">
      <w:pPr>
        <w:numPr>
          <w:ilvl w:val="0"/>
          <w:numId w:val="0"/>
        </w:numPr>
        <w:ind w:firstLine="480" w:firstLineChars="200"/>
        <w:rPr>
          <w:rFonts w:ascii="Times New Roman" w:hAnsi="Times New Roman" w:eastAsia="宋体"/>
          <w:strike w:val="0"/>
          <w:dstrike w:val="0"/>
          <w:color w:val="auto"/>
          <w:highlight w:val="none"/>
        </w:rPr>
      </w:pPr>
      <w:r>
        <w:rPr>
          <w:rFonts w:ascii="Times New Roman" w:hAnsi="Times New Roman" w:eastAsia="宋体" w:cs="Times New Roman"/>
          <w:strike w:val="0"/>
          <w:dstrike w:val="0"/>
          <w:color w:val="auto"/>
          <w:sz w:val="24"/>
          <w:lang w:val="en-US" w:eastAsia="zh-CN" w:bidi="ar-SA"/>
        </w:rPr>
        <w:t>（1）</w:t>
      </w:r>
      <w:r>
        <w:rPr>
          <w:rFonts w:ascii="Times New Roman" w:hAnsi="Times New Roman" w:eastAsia="宋体"/>
          <w:strike w:val="0"/>
          <w:dstrike w:val="0"/>
          <w:color w:val="auto"/>
          <w:highlight w:val="none"/>
        </w:rPr>
        <w:t>企业内部应急预案</w:t>
      </w:r>
    </w:p>
    <w:p w14:paraId="2035C24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建设单位应按照国家《事故应急预案框架指南》，开展经常性的安全预案演练，加强应急救援专业队伍建设，配备相应的安全防护和救援器材，提高快速反应救援能力，及时有效处置可能发生的应急事故</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项目应建立应急预案，应急预案应包括以下的内容和要求：</w:t>
      </w:r>
    </w:p>
    <w:p w14:paraId="051D5EAE">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建立企业—乡镇人民政府—市人民政府的联防应急组织机构，并配备相应的人员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要求建立的应急预案应与木垒县应急预案衔接，做好应急联动。</w:t>
      </w:r>
    </w:p>
    <w:p w14:paraId="30C3AC4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规定预案的级别及分级响应程序，并设置应急设施，设备与器材等</w:t>
      </w:r>
      <w:r>
        <w:rPr>
          <w:rFonts w:hint="eastAsia" w:ascii="Times New Roman" w:hAnsi="Times New Roman" w:eastAsia="宋体"/>
          <w:strike w:val="0"/>
          <w:dstrike w:val="0"/>
          <w:color w:val="auto"/>
          <w:highlight w:val="none"/>
          <w:lang w:eastAsia="zh-CN"/>
        </w:rPr>
        <w:t>。</w:t>
      </w:r>
    </w:p>
    <w:p w14:paraId="5FE52F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规定应急状态下的报警通讯方式、通知方式和交通保障、管制</w:t>
      </w:r>
      <w:r>
        <w:rPr>
          <w:rFonts w:hint="eastAsia" w:ascii="Times New Roman" w:hAnsi="Times New Roman" w:eastAsia="宋体"/>
          <w:strike w:val="0"/>
          <w:dstrike w:val="0"/>
          <w:color w:val="auto"/>
          <w:highlight w:val="none"/>
          <w:lang w:eastAsia="zh-CN"/>
        </w:rPr>
        <w:t>。</w:t>
      </w:r>
    </w:p>
    <w:p w14:paraId="53C10E2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由专业队伍负责对事故现场进行侦察监测，对事故性质、参数与后果进行评估，为指挥部门提供决策依据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组织人员成立抢险队，及时拦截危险品泄漏至水体或打捞落入水体中的物件，同时采取相应的处置措施，最大限度地减轻影响范围和程度</w:t>
      </w:r>
      <w:r>
        <w:rPr>
          <w:rFonts w:hint="eastAsia" w:ascii="Times New Roman" w:hAnsi="Times New Roman" w:eastAsia="宋体"/>
          <w:strike w:val="0"/>
          <w:dstrike w:val="0"/>
          <w:color w:val="auto"/>
          <w:highlight w:val="none"/>
          <w:lang w:eastAsia="zh-CN"/>
        </w:rPr>
        <w:t>。</w:t>
      </w:r>
    </w:p>
    <w:p w14:paraId="06E82C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⑤</w:t>
      </w:r>
      <w:r>
        <w:rPr>
          <w:rFonts w:ascii="Times New Roman" w:hAnsi="Times New Roman" w:eastAsia="宋体"/>
          <w:strike w:val="0"/>
          <w:dstrike w:val="0"/>
          <w:color w:val="auto"/>
          <w:highlight w:val="none"/>
        </w:rPr>
        <w:t>应急检测、防护措施、清除泄漏措施和器材</w:t>
      </w:r>
      <w:r>
        <w:rPr>
          <w:rFonts w:hint="eastAsia" w:ascii="Times New Roman" w:hAnsi="Times New Roman" w:eastAsia="宋体"/>
          <w:strike w:val="0"/>
          <w:dstrike w:val="0"/>
          <w:color w:val="auto"/>
          <w:highlight w:val="none"/>
          <w:lang w:eastAsia="zh-CN"/>
        </w:rPr>
        <w:t>。</w:t>
      </w:r>
    </w:p>
    <w:p w14:paraId="7D78D2D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⑥</w:t>
      </w:r>
      <w:r>
        <w:rPr>
          <w:rFonts w:ascii="Times New Roman" w:hAnsi="Times New Roman" w:eastAsia="宋体"/>
          <w:strike w:val="0"/>
          <w:dstrike w:val="0"/>
          <w:color w:val="auto"/>
          <w:highlight w:val="none"/>
        </w:rPr>
        <w:t>事故现场、受事故影响的区域人员及公众对毒物应急剂量控制规定，撤离组织计划及救护，医疗救护与公众健康</w:t>
      </w:r>
      <w:r>
        <w:rPr>
          <w:rFonts w:hint="eastAsia" w:ascii="Times New Roman" w:hAnsi="Times New Roman" w:eastAsia="宋体"/>
          <w:strike w:val="0"/>
          <w:dstrike w:val="0"/>
          <w:color w:val="auto"/>
          <w:highlight w:val="none"/>
          <w:lang w:eastAsia="zh-CN"/>
        </w:rPr>
        <w:t>。</w:t>
      </w:r>
    </w:p>
    <w:p w14:paraId="3D718E8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⑦</w:t>
      </w:r>
      <w:r>
        <w:rPr>
          <w:rFonts w:ascii="Times New Roman" w:hAnsi="Times New Roman" w:eastAsia="宋体"/>
          <w:strike w:val="0"/>
          <w:dstrike w:val="0"/>
          <w:color w:val="auto"/>
          <w:highlight w:val="none"/>
        </w:rPr>
        <w:t>规定应急状态终止程序，事故现场善后处理，恢复措施，邻近区域解除事故警戒及善后恢复措施</w:t>
      </w:r>
      <w:r>
        <w:rPr>
          <w:rFonts w:hint="eastAsia" w:ascii="Times New Roman" w:hAnsi="Times New Roman" w:eastAsia="宋体"/>
          <w:strike w:val="0"/>
          <w:dstrike w:val="0"/>
          <w:color w:val="auto"/>
          <w:highlight w:val="none"/>
          <w:lang w:eastAsia="zh-CN"/>
        </w:rPr>
        <w:t>。</w:t>
      </w:r>
    </w:p>
    <w:p w14:paraId="25CB3E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⑧</w:t>
      </w:r>
      <w:r>
        <w:rPr>
          <w:rFonts w:ascii="Times New Roman" w:hAnsi="Times New Roman" w:eastAsia="宋体"/>
          <w:strike w:val="0"/>
          <w:dstrike w:val="0"/>
          <w:color w:val="auto"/>
          <w:highlight w:val="none"/>
        </w:rPr>
        <w:t>应急计划制定后，平时安排人员培训与演练</w:t>
      </w:r>
      <w:r>
        <w:rPr>
          <w:rFonts w:hint="eastAsia" w:ascii="Times New Roman" w:hAnsi="Times New Roman" w:eastAsia="宋体"/>
          <w:strike w:val="0"/>
          <w:dstrike w:val="0"/>
          <w:color w:val="auto"/>
          <w:highlight w:val="none"/>
          <w:lang w:eastAsia="zh-CN"/>
        </w:rPr>
        <w:t>。</w:t>
      </w:r>
    </w:p>
    <w:p w14:paraId="4FD2768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⑨</w:t>
      </w:r>
      <w:r>
        <w:rPr>
          <w:rFonts w:ascii="Times New Roman" w:hAnsi="Times New Roman" w:eastAsia="宋体"/>
          <w:strike w:val="0"/>
          <w:dstrike w:val="0"/>
          <w:color w:val="auto"/>
          <w:highlight w:val="none"/>
        </w:rPr>
        <w:t>对邻近地区开展公众教育、培训和发布有关信息</w:t>
      </w:r>
      <w:r>
        <w:rPr>
          <w:rFonts w:hint="eastAsia" w:ascii="Times New Roman" w:hAnsi="Times New Roman" w:eastAsia="宋体"/>
          <w:strike w:val="0"/>
          <w:dstrike w:val="0"/>
          <w:color w:val="auto"/>
          <w:highlight w:val="none"/>
          <w:lang w:eastAsia="zh-CN"/>
        </w:rPr>
        <w:t>。</w:t>
      </w:r>
    </w:p>
    <w:p w14:paraId="2685E50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事故应急处置程序如图</w:t>
      </w:r>
      <w:r>
        <w:rPr>
          <w:rFonts w:hint="eastAsia" w:ascii="Times New Roman" w:hAnsi="Times New Roman" w:eastAsia="宋体"/>
          <w:strike w:val="0"/>
          <w:dstrike w:val="0"/>
          <w:color w:val="auto"/>
          <w:highlight w:val="none"/>
        </w:rPr>
        <w:t>5.3-2</w:t>
      </w:r>
      <w:r>
        <w:rPr>
          <w:rFonts w:ascii="Times New Roman" w:hAnsi="Times New Roman" w:eastAsia="宋体"/>
          <w:strike w:val="0"/>
          <w:dstrike w:val="0"/>
          <w:color w:val="auto"/>
          <w:highlight w:val="none"/>
        </w:rPr>
        <w:t>所示</w:t>
      </w:r>
      <w:r>
        <w:rPr>
          <w:rFonts w:hint="eastAsia" w:ascii="Times New Roman" w:hAnsi="Times New Roman" w:eastAsia="宋体"/>
          <w:strike w:val="0"/>
          <w:dstrike w:val="0"/>
          <w:color w:val="auto"/>
          <w:highlight w:val="none"/>
          <w:lang w:eastAsia="zh-CN"/>
        </w:rPr>
        <w:t>。</w:t>
      </w:r>
    </w:p>
    <w:p w14:paraId="1D90B5FD">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4319905" cy="3067685"/>
            <wp:effectExtent l="0" t="0" r="4445"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319905" cy="3067685"/>
                    </a:xfrm>
                    <a:prstGeom prst="rect">
                      <a:avLst/>
                    </a:prstGeom>
                    <a:noFill/>
                    <a:ln>
                      <a:noFill/>
                    </a:ln>
                  </pic:spPr>
                </pic:pic>
              </a:graphicData>
            </a:graphic>
          </wp:inline>
        </w:drawing>
      </w:r>
    </w:p>
    <w:p w14:paraId="609F7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图5.3-2事故应急处置程序</w:t>
      </w:r>
    </w:p>
    <w:p w14:paraId="3593849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应急救援保障</w:t>
      </w:r>
    </w:p>
    <w:p w14:paraId="3810A5C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企业需具备应急救援保障设备及器材，包括防护服、消防水泵、灭火器材、氧气呼吸器、防爆手电、对讲机、警戒围绳等</w:t>
      </w:r>
      <w:r>
        <w:rPr>
          <w:rFonts w:hint="eastAsia" w:ascii="Times New Roman" w:hAnsi="Times New Roman" w:eastAsia="宋体"/>
          <w:strike w:val="0"/>
          <w:dstrike w:val="0"/>
          <w:color w:val="auto"/>
          <w:highlight w:val="none"/>
          <w:lang w:eastAsia="zh-CN"/>
        </w:rPr>
        <w:t>。</w:t>
      </w:r>
    </w:p>
    <w:p w14:paraId="02793E0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事故应急措施</w:t>
      </w:r>
    </w:p>
    <w:p w14:paraId="1834877E">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污水渗漏事故应急措施</w:t>
      </w:r>
    </w:p>
    <w:p w14:paraId="05F39BE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旦发现污水渗漏，应及时对渗漏处进行处理，同时对周边地下水进行监测，如发现地下水受到污染，可以采取水力抽取截获的方法，将受到污染的区域的地下水用水泵抽出，防止受污染的地下水向周围迁移，减少污染扩散，同时应上报环保及水利部门采取进一步应急措施</w:t>
      </w:r>
      <w:r>
        <w:rPr>
          <w:rFonts w:hint="eastAsia" w:ascii="Times New Roman" w:hAnsi="Times New Roman" w:eastAsia="宋体"/>
          <w:strike w:val="0"/>
          <w:dstrike w:val="0"/>
          <w:color w:val="auto"/>
          <w:highlight w:val="none"/>
          <w:lang w:eastAsia="zh-CN"/>
        </w:rPr>
        <w:t>。</w:t>
      </w:r>
    </w:p>
    <w:p w14:paraId="1811272E">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疫病事故应急措施</w:t>
      </w:r>
    </w:p>
    <w:p w14:paraId="1E55A9D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兽医应及时诊断、调查疫源，根据疫病种类做好隔离、消毒、紧急防疫、</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病治疗和淘汰等工作，把疫情控制在最小范围内；发生人畜共患病时，及时报告卫生部门，共同采取扑灭措施；在最后一只</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淘汰或痊愈后，需经该传染病最长潜伏期的观察，不再出现新病例，并经严格消毒后，可撤消隔离或申请解除</w:t>
      </w:r>
      <w:r>
        <w:rPr>
          <w:rFonts w:hint="eastAsia" w:ascii="Times New Roman" w:hAnsi="Times New Roman" w:eastAsia="宋体"/>
          <w:strike w:val="0"/>
          <w:dstrike w:val="0"/>
          <w:color w:val="auto"/>
          <w:highlight w:val="none"/>
          <w:lang w:eastAsia="zh-CN"/>
        </w:rPr>
        <w:t>。</w:t>
      </w:r>
    </w:p>
    <w:p w14:paraId="5D8EDAD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应急终止</w:t>
      </w:r>
    </w:p>
    <w:p w14:paraId="46871B1D">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应急终止的条件</w:t>
      </w:r>
    </w:p>
    <w:p w14:paraId="24CE87D5">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a、事件现场得到控制，事件条件已经消除；</w:t>
      </w:r>
    </w:p>
    <w:p w14:paraId="658ED44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b、污染源的释放已降至规定限值以内；</w:t>
      </w:r>
    </w:p>
    <w:p w14:paraId="3993556D">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c、事件所造成的危害已经被彻底消除，无继发可能；</w:t>
      </w:r>
    </w:p>
    <w:p w14:paraId="23F7A00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d、事件现场的各种专业应急处置行动已无继续的必要；</w:t>
      </w:r>
    </w:p>
    <w:p w14:paraId="1FF9573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e、采取一切必要的防护措施以保护公众再次免受危害，并使事件可能引起的中长期影响趋于合理且尽量低的水平</w:t>
      </w:r>
      <w:r>
        <w:rPr>
          <w:rFonts w:hint="eastAsia" w:ascii="Times New Roman" w:hAnsi="Times New Roman" w:eastAsia="宋体"/>
          <w:strike w:val="0"/>
          <w:dstrike w:val="0"/>
          <w:color w:val="auto"/>
          <w:highlight w:val="none"/>
          <w:lang w:eastAsia="zh-CN"/>
        </w:rPr>
        <w:t>。</w:t>
      </w:r>
    </w:p>
    <w:p w14:paraId="764F40F8">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应急终止的程序</w:t>
      </w:r>
    </w:p>
    <w:p w14:paraId="76AF946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a、指挥领导小组确认终止时机或由事故责任单位提出，经指挥领导小组批准；</w:t>
      </w:r>
    </w:p>
    <w:p w14:paraId="2A678A5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b、指挥领导小组向所属各专业应急响应队伍下达应急终止命令；</w:t>
      </w:r>
    </w:p>
    <w:p w14:paraId="0B6281B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c、应急状态终止后，相关类别环境事件专业应急工作组应根据政府有关指示和实际情况，继续进行环境监测和评价工作，直至其他补救措施无须继续进行为止</w:t>
      </w:r>
      <w:r>
        <w:rPr>
          <w:rFonts w:hint="eastAsia" w:ascii="Times New Roman" w:hAnsi="Times New Roman" w:eastAsia="宋体"/>
          <w:strike w:val="0"/>
          <w:dstrike w:val="0"/>
          <w:color w:val="auto"/>
          <w:highlight w:val="none"/>
          <w:lang w:eastAsia="zh-CN"/>
        </w:rPr>
        <w:t>。</w:t>
      </w:r>
    </w:p>
    <w:p w14:paraId="096750EC">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应急终止后的后续工作</w:t>
      </w:r>
    </w:p>
    <w:p w14:paraId="13CF41A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a、污染物进入周围环境后，随着稀释、扩散和降解等作用，其浓度会逐渐降低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为了掌握事故发生后的污染程度、范围及变化趋势，在应急状态终止后，环境安全监测组人员应进行污染物的跟踪监测，直至环境恢复正常或达标</w:t>
      </w:r>
      <w:r>
        <w:rPr>
          <w:rFonts w:hint="eastAsia" w:ascii="Times New Roman" w:hAnsi="Times New Roman" w:eastAsia="宋体"/>
          <w:strike w:val="0"/>
          <w:dstrike w:val="0"/>
          <w:color w:val="auto"/>
          <w:highlight w:val="none"/>
          <w:lang w:eastAsia="zh-CN"/>
        </w:rPr>
        <w:t>。</w:t>
      </w:r>
    </w:p>
    <w:p w14:paraId="10E280F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b、向本单位相关部门、周边村庄等受影响区域，通知本事件危险已解除</w:t>
      </w:r>
      <w:r>
        <w:rPr>
          <w:rFonts w:hint="eastAsia" w:ascii="Times New Roman" w:hAnsi="Times New Roman" w:eastAsia="宋体"/>
          <w:strike w:val="0"/>
          <w:dstrike w:val="0"/>
          <w:color w:val="auto"/>
          <w:highlight w:val="none"/>
          <w:lang w:eastAsia="zh-CN"/>
        </w:rPr>
        <w:t>。</w:t>
      </w:r>
    </w:p>
    <w:p w14:paraId="5952D3A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c、应急终止后，应急指挥组应做好现场的保护，用隔离警示带围住事故现场区域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应急指挥组还要配合有关部门查找事件原因，防止类似问题的重复出现</w:t>
      </w:r>
      <w:r>
        <w:rPr>
          <w:rFonts w:hint="eastAsia" w:ascii="Times New Roman" w:hAnsi="Times New Roman" w:eastAsia="宋体"/>
          <w:strike w:val="0"/>
          <w:dstrike w:val="0"/>
          <w:color w:val="auto"/>
          <w:highlight w:val="none"/>
          <w:lang w:eastAsia="zh-CN"/>
        </w:rPr>
        <w:t>。</w:t>
      </w:r>
    </w:p>
    <w:p w14:paraId="502C6FB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d、撰写突发环境事件总结报告，于应急终止后上报</w:t>
      </w:r>
      <w:r>
        <w:rPr>
          <w:rFonts w:hint="eastAsia" w:ascii="Times New Roman" w:hAnsi="Times New Roman" w:eastAsia="宋体"/>
          <w:strike w:val="0"/>
          <w:dstrike w:val="0"/>
          <w:color w:val="auto"/>
          <w:highlight w:val="none"/>
          <w:lang w:eastAsia="zh-CN"/>
        </w:rPr>
        <w:t>。</w:t>
      </w:r>
    </w:p>
    <w:p w14:paraId="7669702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e、根据环境事件的类别，由相关专业主管部门组织对环境应急预案进行评估，并及时修订</w:t>
      </w:r>
      <w:r>
        <w:rPr>
          <w:rFonts w:hint="eastAsia" w:ascii="Times New Roman" w:hAnsi="Times New Roman" w:eastAsia="宋体"/>
          <w:strike w:val="0"/>
          <w:dstrike w:val="0"/>
          <w:color w:val="auto"/>
          <w:highlight w:val="none"/>
          <w:lang w:eastAsia="zh-CN"/>
        </w:rPr>
        <w:t>。</w:t>
      </w:r>
    </w:p>
    <w:p w14:paraId="05C03F9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f、参加应急行动的部门分别组织、指导环境应急救援队伍维护、保养应急仪器设备，使之始终保持良好的技术状态</w:t>
      </w:r>
      <w:r>
        <w:rPr>
          <w:rFonts w:hint="eastAsia" w:ascii="Times New Roman" w:hAnsi="Times New Roman" w:eastAsia="宋体"/>
          <w:strike w:val="0"/>
          <w:dstrike w:val="0"/>
          <w:color w:val="auto"/>
          <w:highlight w:val="none"/>
          <w:lang w:eastAsia="zh-CN"/>
        </w:rPr>
        <w:t>。</w:t>
      </w:r>
    </w:p>
    <w:p w14:paraId="2C98E8A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g、根据事故调查结果，对公司现有的防范措施与应急预案进行评价，指出其有效性和不足之处，提出整改意见</w:t>
      </w:r>
      <w:r>
        <w:rPr>
          <w:rFonts w:hint="eastAsia" w:ascii="Times New Roman" w:hAnsi="Times New Roman" w:eastAsia="宋体"/>
          <w:strike w:val="0"/>
          <w:dstrike w:val="0"/>
          <w:color w:val="auto"/>
          <w:highlight w:val="none"/>
          <w:lang w:eastAsia="zh-CN"/>
        </w:rPr>
        <w:t>。</w:t>
      </w:r>
    </w:p>
    <w:p w14:paraId="5694C7E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w:t>
      </w:r>
      <w:r>
        <w:rPr>
          <w:rFonts w:ascii="Times New Roman" w:hAnsi="Times New Roman" w:eastAsia="宋体"/>
          <w:strike w:val="0"/>
          <w:dstrike w:val="0"/>
          <w:color w:val="auto"/>
          <w:highlight w:val="none"/>
        </w:rPr>
        <w:t>应急救援培训计划</w:t>
      </w:r>
    </w:p>
    <w:p w14:paraId="273D4D13">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应急救援人员培训</w:t>
      </w:r>
    </w:p>
    <w:p w14:paraId="3BB2A33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建设单位应定期对应急救援人员进行应急事故处理及紧急救援培训，应急救援人员的培训由领导小组统一安排制定专人进行</w:t>
      </w:r>
      <w:r>
        <w:rPr>
          <w:rFonts w:hint="eastAsia" w:ascii="Times New Roman" w:hAnsi="Times New Roman" w:eastAsia="宋体"/>
          <w:strike w:val="0"/>
          <w:dstrike w:val="0"/>
          <w:color w:val="auto"/>
          <w:highlight w:val="none"/>
          <w:lang w:eastAsia="zh-CN"/>
        </w:rPr>
        <w:t>。</w:t>
      </w:r>
    </w:p>
    <w:p w14:paraId="760A8513">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员工应急响应培训</w:t>
      </w:r>
    </w:p>
    <w:p w14:paraId="2E99752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由建设单位组织应急救援人员定期对员工进行应急事故处理及紧急救援培训，提高员工风险防范意识及自救能力</w:t>
      </w:r>
      <w:r>
        <w:rPr>
          <w:rFonts w:hint="eastAsia" w:ascii="Times New Roman" w:hAnsi="Times New Roman" w:eastAsia="宋体"/>
          <w:strike w:val="0"/>
          <w:dstrike w:val="0"/>
          <w:color w:val="auto"/>
          <w:highlight w:val="none"/>
          <w:lang w:eastAsia="zh-CN"/>
        </w:rPr>
        <w:t>。</w:t>
      </w:r>
    </w:p>
    <w:p w14:paraId="302CCC9F">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演练计划</w:t>
      </w:r>
    </w:p>
    <w:p w14:paraId="574E856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建设单位须定期进行突发事件紧急响应演习，至少每半年组织一次，由公司应急救援领导小组组织</w:t>
      </w:r>
      <w:r>
        <w:rPr>
          <w:rFonts w:hint="eastAsia" w:ascii="Times New Roman" w:hAnsi="Times New Roman" w:eastAsia="宋体"/>
          <w:strike w:val="0"/>
          <w:dstrike w:val="0"/>
          <w:color w:val="auto"/>
          <w:highlight w:val="none"/>
          <w:lang w:eastAsia="zh-CN"/>
        </w:rPr>
        <w:t>。</w:t>
      </w:r>
    </w:p>
    <w:p w14:paraId="046B4AE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应急预案演习</w:t>
      </w:r>
    </w:p>
    <w:p w14:paraId="704100E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为验证应急预案的可操作性和合理性，确保所有职工都了解该应急预案，同时为了增强各部门之间的相互协作能力，应对各类可能发生事故进行培训和应急演练，从而确保预案的适时改进</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所有运作人员参与污染事故应急演习的时间间隔不得超过一年，并做好演练记录</w:t>
      </w:r>
      <w:r>
        <w:rPr>
          <w:rFonts w:hint="eastAsia" w:ascii="Times New Roman" w:hAnsi="Times New Roman" w:eastAsia="宋体"/>
          <w:strike w:val="0"/>
          <w:dstrike w:val="0"/>
          <w:color w:val="auto"/>
          <w:highlight w:val="none"/>
          <w:lang w:eastAsia="zh-CN"/>
        </w:rPr>
        <w:t>。</w:t>
      </w:r>
    </w:p>
    <w:p w14:paraId="418E330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根据本项目的实际情况，企业还应从以下几方面加强事故应急防范：</w:t>
      </w:r>
    </w:p>
    <w:p w14:paraId="3B444B5A">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建立应急救援指挥系统</w:t>
      </w:r>
    </w:p>
    <w:p w14:paraId="7854B75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企业应组建指挥小组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指挥小组负责重大事故应急预案的制定及修订；组建应急救援专业队伍，定时组织工作人员进行培训，并组织实施平时的演练；经常性检查应急预案的各项准备工作，以确保系统能正常工作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及时向上级汇报事故情况，并对事故做总结</w:t>
      </w:r>
      <w:r>
        <w:rPr>
          <w:rFonts w:hint="eastAsia" w:ascii="Times New Roman" w:hAnsi="Times New Roman" w:eastAsia="宋体"/>
          <w:strike w:val="0"/>
          <w:dstrike w:val="0"/>
          <w:color w:val="auto"/>
          <w:highlight w:val="none"/>
          <w:lang w:eastAsia="zh-CN"/>
        </w:rPr>
        <w:t>。</w:t>
      </w:r>
    </w:p>
    <w:p w14:paraId="7652A887">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现场事故处置</w:t>
      </w:r>
    </w:p>
    <w:p w14:paraId="096B769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发生重大事故时，应紧急疏散场区工作人员，危险区域实行隔离，禁止进入，无关人员不得靠近</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现场扑救人员应佩戴氧气隔离防毒面具，穿专用防护服</w:t>
      </w:r>
      <w:r>
        <w:rPr>
          <w:rFonts w:hint="eastAsia" w:ascii="Times New Roman" w:hAnsi="Times New Roman" w:eastAsia="宋体"/>
          <w:strike w:val="0"/>
          <w:dstrike w:val="0"/>
          <w:color w:val="auto"/>
          <w:highlight w:val="none"/>
          <w:lang w:eastAsia="zh-CN"/>
        </w:rPr>
        <w:t>。</w:t>
      </w:r>
    </w:p>
    <w:p w14:paraId="3CDA47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建设单位应按照《企业突发环境事件风险评估指南（试行）》（环境保护部环办</w:t>
      </w:r>
      <w:r>
        <w:rPr>
          <w:rFonts w:hint="eastAsia" w:ascii="Times New Roman" w:hAnsi="Times New Roman" w:eastAsia="宋体"/>
          <w:strike w:val="0"/>
          <w:dstrike w:val="0"/>
          <w:color w:val="auto"/>
          <w:highlight w:val="none"/>
          <w:lang w:eastAsia="zh-CN"/>
        </w:rPr>
        <w:t>〔2014〕34号</w:t>
      </w:r>
      <w:r>
        <w:rPr>
          <w:rFonts w:hint="eastAsia" w:ascii="Times New Roman" w:hAnsi="Times New Roman" w:eastAsia="宋体"/>
          <w:strike w:val="0"/>
          <w:dstrike w:val="0"/>
          <w:color w:val="auto"/>
          <w:highlight w:val="none"/>
        </w:rPr>
        <w:t>）的要求建立环境风险事故应急预案，应急预案所要求的基本内容可参照表5.3</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6中的相关内容</w:t>
      </w:r>
      <w:r>
        <w:rPr>
          <w:rFonts w:hint="eastAsia" w:ascii="Times New Roman" w:hAnsi="Times New Roman" w:eastAsia="宋体"/>
          <w:strike w:val="0"/>
          <w:dstrike w:val="0"/>
          <w:color w:val="auto"/>
          <w:highlight w:val="none"/>
          <w:lang w:eastAsia="zh-CN"/>
        </w:rPr>
        <w:t>。</w:t>
      </w:r>
    </w:p>
    <w:p w14:paraId="4ED18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表5.3-6应急预案内容一览表</w:t>
      </w:r>
    </w:p>
    <w:tbl>
      <w:tblPr>
        <w:tblStyle w:val="39"/>
        <w:tblW w:w="8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054"/>
        <w:gridCol w:w="5282"/>
      </w:tblGrid>
      <w:tr w14:paraId="59EB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shd w:val="clear" w:color="auto" w:fill="auto"/>
            <w:vAlign w:val="center"/>
          </w:tcPr>
          <w:p w14:paraId="5CAD4AC9">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序号</w:t>
            </w:r>
          </w:p>
        </w:tc>
        <w:tc>
          <w:tcPr>
            <w:tcW w:w="1282" w:type="pct"/>
            <w:shd w:val="clear" w:color="auto" w:fill="auto"/>
            <w:vAlign w:val="center"/>
          </w:tcPr>
          <w:p w14:paraId="6CBE8FC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项目</w:t>
            </w:r>
          </w:p>
        </w:tc>
        <w:tc>
          <w:tcPr>
            <w:tcW w:w="3295" w:type="pct"/>
            <w:shd w:val="clear" w:color="auto" w:fill="auto"/>
            <w:vAlign w:val="center"/>
          </w:tcPr>
          <w:p w14:paraId="169C6A2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内容及要求</w:t>
            </w:r>
          </w:p>
        </w:tc>
      </w:tr>
      <w:tr w14:paraId="3FA3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35C2A5F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w:t>
            </w:r>
          </w:p>
        </w:tc>
        <w:tc>
          <w:tcPr>
            <w:tcW w:w="1282" w:type="pct"/>
            <w:shd w:val="clear" w:color="auto" w:fill="auto"/>
            <w:vAlign w:val="center"/>
          </w:tcPr>
          <w:p w14:paraId="7BE99AE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应急计划区</w:t>
            </w:r>
          </w:p>
        </w:tc>
        <w:tc>
          <w:tcPr>
            <w:tcW w:w="3295" w:type="pct"/>
            <w:shd w:val="clear" w:color="auto" w:fill="auto"/>
            <w:vAlign w:val="center"/>
          </w:tcPr>
          <w:p w14:paraId="6D13470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危险目标，环境保护目标</w:t>
            </w:r>
          </w:p>
        </w:tc>
      </w:tr>
      <w:tr w14:paraId="4F2D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16F9F8E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2</w:t>
            </w:r>
          </w:p>
        </w:tc>
        <w:tc>
          <w:tcPr>
            <w:tcW w:w="1282" w:type="pct"/>
            <w:shd w:val="clear" w:color="auto" w:fill="auto"/>
            <w:vAlign w:val="center"/>
          </w:tcPr>
          <w:p w14:paraId="6AAD050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应急组织机构、人员</w:t>
            </w:r>
          </w:p>
        </w:tc>
        <w:tc>
          <w:tcPr>
            <w:tcW w:w="3295" w:type="pct"/>
            <w:shd w:val="clear" w:color="auto" w:fill="auto"/>
            <w:vAlign w:val="center"/>
          </w:tcPr>
          <w:p w14:paraId="0DAD67B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厂区、地区应急组织机构、人员</w:t>
            </w:r>
          </w:p>
        </w:tc>
      </w:tr>
      <w:tr w14:paraId="62BA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48B2B7F6">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3</w:t>
            </w:r>
          </w:p>
        </w:tc>
        <w:tc>
          <w:tcPr>
            <w:tcW w:w="1282" w:type="pct"/>
            <w:shd w:val="clear" w:color="auto" w:fill="auto"/>
            <w:vAlign w:val="center"/>
          </w:tcPr>
          <w:p w14:paraId="5DB2E4DC">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预案分级响应条件</w:t>
            </w:r>
          </w:p>
        </w:tc>
        <w:tc>
          <w:tcPr>
            <w:tcW w:w="3295" w:type="pct"/>
            <w:shd w:val="clear" w:color="auto" w:fill="auto"/>
            <w:vAlign w:val="center"/>
          </w:tcPr>
          <w:p w14:paraId="09228C97">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规定预案的级别及分级响应程序</w:t>
            </w:r>
          </w:p>
        </w:tc>
      </w:tr>
      <w:tr w14:paraId="47EB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427FC77F">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4</w:t>
            </w:r>
          </w:p>
        </w:tc>
        <w:tc>
          <w:tcPr>
            <w:tcW w:w="1282" w:type="pct"/>
            <w:shd w:val="clear" w:color="auto" w:fill="auto"/>
            <w:vAlign w:val="center"/>
          </w:tcPr>
          <w:p w14:paraId="347DB5BB">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应急救援保障</w:t>
            </w:r>
          </w:p>
        </w:tc>
        <w:tc>
          <w:tcPr>
            <w:tcW w:w="3295" w:type="pct"/>
            <w:shd w:val="clear" w:color="auto" w:fill="auto"/>
            <w:vAlign w:val="center"/>
          </w:tcPr>
          <w:p w14:paraId="6A0CB08E">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应急设施，设备与器材</w:t>
            </w:r>
          </w:p>
        </w:tc>
      </w:tr>
      <w:tr w14:paraId="713A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0F8B9898">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5</w:t>
            </w:r>
          </w:p>
        </w:tc>
        <w:tc>
          <w:tcPr>
            <w:tcW w:w="1282" w:type="pct"/>
            <w:shd w:val="clear" w:color="auto" w:fill="auto"/>
            <w:vAlign w:val="center"/>
          </w:tcPr>
          <w:p w14:paraId="23DE767A">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报警、通讯联络方式</w:t>
            </w:r>
          </w:p>
        </w:tc>
        <w:tc>
          <w:tcPr>
            <w:tcW w:w="3295" w:type="pct"/>
            <w:shd w:val="clear" w:color="auto" w:fill="auto"/>
            <w:vAlign w:val="center"/>
          </w:tcPr>
          <w:p w14:paraId="518A255A">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规定应急状态下的报警通讯方式、通知方式和交通保障、管制</w:t>
            </w:r>
          </w:p>
        </w:tc>
      </w:tr>
      <w:tr w14:paraId="5CFE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356DC2FE">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6</w:t>
            </w:r>
          </w:p>
        </w:tc>
        <w:tc>
          <w:tcPr>
            <w:tcW w:w="1282" w:type="pct"/>
            <w:shd w:val="clear" w:color="auto" w:fill="auto"/>
            <w:vAlign w:val="center"/>
          </w:tcPr>
          <w:p w14:paraId="0966D71D">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应急环境监测、抢险、救援及控制措施</w:t>
            </w:r>
          </w:p>
        </w:tc>
        <w:tc>
          <w:tcPr>
            <w:tcW w:w="3295" w:type="pct"/>
            <w:shd w:val="clear" w:color="auto" w:fill="auto"/>
            <w:vAlign w:val="center"/>
          </w:tcPr>
          <w:p w14:paraId="1BC81265">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由专业队伍负责对事故现场进行侦查监测，对事故性质、参数与后果进行评估，为指挥部门提供决策依据</w:t>
            </w:r>
          </w:p>
        </w:tc>
      </w:tr>
      <w:tr w14:paraId="5280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375DEC66">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7</w:t>
            </w:r>
          </w:p>
        </w:tc>
        <w:tc>
          <w:tcPr>
            <w:tcW w:w="1282" w:type="pct"/>
            <w:shd w:val="clear" w:color="auto" w:fill="auto"/>
            <w:vAlign w:val="center"/>
          </w:tcPr>
          <w:p w14:paraId="4617AEC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应急检测、防护措施、清楚泄露措施和器材</w:t>
            </w:r>
          </w:p>
        </w:tc>
        <w:tc>
          <w:tcPr>
            <w:tcW w:w="3295" w:type="pct"/>
            <w:shd w:val="clear" w:color="auto" w:fill="auto"/>
            <w:vAlign w:val="center"/>
          </w:tcPr>
          <w:p w14:paraId="30A4100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事故现场、临近区域、控制防火措施，控制和清楚污染措施及相应设备</w:t>
            </w:r>
          </w:p>
        </w:tc>
      </w:tr>
      <w:tr w14:paraId="759C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16B0E913">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8</w:t>
            </w:r>
          </w:p>
        </w:tc>
        <w:tc>
          <w:tcPr>
            <w:tcW w:w="1282" w:type="pct"/>
            <w:shd w:val="clear" w:color="auto" w:fill="auto"/>
            <w:vAlign w:val="center"/>
          </w:tcPr>
          <w:p w14:paraId="7ABC1B8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人员紧急撤离、疏散，应急剂量控制、撤离组织计划</w:t>
            </w:r>
          </w:p>
        </w:tc>
        <w:tc>
          <w:tcPr>
            <w:tcW w:w="3295" w:type="pct"/>
            <w:shd w:val="clear" w:color="auto" w:fill="auto"/>
            <w:vAlign w:val="center"/>
          </w:tcPr>
          <w:p w14:paraId="67DD4E74">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事故现场、厂区临近区、受事故影响的区域人员及公众对毒物应急剂量控制规定，撤离组织计划及救护，医疗救护与公众健康</w:t>
            </w:r>
          </w:p>
        </w:tc>
      </w:tr>
      <w:tr w14:paraId="1985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6D74BBE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9</w:t>
            </w:r>
          </w:p>
        </w:tc>
        <w:tc>
          <w:tcPr>
            <w:tcW w:w="1282" w:type="pct"/>
            <w:shd w:val="clear" w:color="auto" w:fill="auto"/>
            <w:vAlign w:val="center"/>
          </w:tcPr>
          <w:p w14:paraId="3D346343">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事故应急救援关闭程序与恢复措施</w:t>
            </w:r>
          </w:p>
        </w:tc>
        <w:tc>
          <w:tcPr>
            <w:tcW w:w="3295" w:type="pct"/>
            <w:shd w:val="clear" w:color="auto" w:fill="auto"/>
            <w:vAlign w:val="center"/>
          </w:tcPr>
          <w:p w14:paraId="15A7A839">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规定应急状态终止程序；</w:t>
            </w:r>
          </w:p>
          <w:p w14:paraId="309BC329">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事故现场善后处理，恢复措施；</w:t>
            </w:r>
          </w:p>
          <w:p w14:paraId="3C0F020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临近区域解除事故警戒及善后恢复措施</w:t>
            </w:r>
          </w:p>
        </w:tc>
      </w:tr>
      <w:tr w14:paraId="2F54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2232249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10</w:t>
            </w:r>
          </w:p>
        </w:tc>
        <w:tc>
          <w:tcPr>
            <w:tcW w:w="1282" w:type="pct"/>
            <w:shd w:val="clear" w:color="auto" w:fill="auto"/>
            <w:vAlign w:val="center"/>
          </w:tcPr>
          <w:p w14:paraId="5C36F5F5">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应急培训计划</w:t>
            </w:r>
          </w:p>
        </w:tc>
        <w:tc>
          <w:tcPr>
            <w:tcW w:w="3295" w:type="pct"/>
            <w:shd w:val="clear" w:color="auto" w:fill="auto"/>
            <w:vAlign w:val="center"/>
          </w:tcPr>
          <w:p w14:paraId="28956C40">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应急计划制定后，平时安排人员培训与演练</w:t>
            </w:r>
          </w:p>
        </w:tc>
      </w:tr>
      <w:tr w14:paraId="3E55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5310568E">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11</w:t>
            </w:r>
          </w:p>
        </w:tc>
        <w:tc>
          <w:tcPr>
            <w:tcW w:w="1282" w:type="pct"/>
            <w:shd w:val="clear" w:color="auto" w:fill="auto"/>
            <w:vAlign w:val="center"/>
          </w:tcPr>
          <w:p w14:paraId="1CABD080">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公众教育和信息</w:t>
            </w:r>
          </w:p>
        </w:tc>
        <w:tc>
          <w:tcPr>
            <w:tcW w:w="3295" w:type="pct"/>
            <w:shd w:val="clear" w:color="auto" w:fill="auto"/>
            <w:vAlign w:val="center"/>
          </w:tcPr>
          <w:p w14:paraId="0DFBE602">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对临近地区开展公众教育、培训和发布有关信息</w:t>
            </w:r>
          </w:p>
        </w:tc>
      </w:tr>
    </w:tbl>
    <w:p w14:paraId="14F3E381">
      <w:pPr>
        <w:pStyle w:val="4"/>
        <w:rPr>
          <w:rFonts w:hint="eastAsia" w:ascii="Times New Roman" w:hAnsi="Times New Roman" w:eastAsia="宋体"/>
          <w:strike w:val="0"/>
          <w:dstrike w:val="0"/>
          <w:color w:val="auto"/>
          <w:highlight w:val="none"/>
        </w:rPr>
      </w:pPr>
      <w:bookmarkStart w:id="283" w:name="_Toc26444"/>
      <w:bookmarkStart w:id="284" w:name="_Toc89619346"/>
      <w:bookmarkStart w:id="285" w:name="_Toc106663516"/>
      <w:r>
        <w:rPr>
          <w:rFonts w:hint="eastAsia" w:ascii="Times New Roman" w:hAnsi="Times New Roman" w:eastAsia="宋体"/>
          <w:strike w:val="0"/>
          <w:dstrike w:val="0"/>
          <w:color w:val="auto"/>
          <w:highlight w:val="none"/>
        </w:rPr>
        <w:t>5.3.9项目风险评价结论与建议</w:t>
      </w:r>
      <w:bookmarkEnd w:id="283"/>
      <w:bookmarkEnd w:id="284"/>
      <w:bookmarkEnd w:id="285"/>
    </w:p>
    <w:p w14:paraId="61E8F6E8">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1、风险评价结论</w:t>
      </w:r>
    </w:p>
    <w:p w14:paraId="101C030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风险评价的结果表明，本项目环境风险主要来自</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饲养过程中的</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、排水管网和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泄露、医疗废物污染事故等</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距居民区较远，在进一步采取安全防范措施和事故应急预案、在落实各项环保措施和采取本报告书提出的有关建议的前提下，基本满足国家相关环境保护和安全法规、标准的要求，该项目发生风险事故的可能进一步降低，其潜在的环境风险是可以接受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但企业仍需要提高风险管理水平和强化风险防范措施，降低环境风险事故发生的概率</w:t>
      </w:r>
      <w:r>
        <w:rPr>
          <w:rFonts w:hint="eastAsia" w:ascii="Times New Roman" w:hAnsi="Times New Roman" w:eastAsia="宋体"/>
          <w:strike w:val="0"/>
          <w:dstrike w:val="0"/>
          <w:color w:val="auto"/>
          <w:highlight w:val="none"/>
          <w:lang w:eastAsia="zh-CN"/>
        </w:rPr>
        <w:t>。</w:t>
      </w:r>
    </w:p>
    <w:p w14:paraId="033F3DA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2、建议</w:t>
      </w:r>
    </w:p>
    <w:p w14:paraId="17FA34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本项目具有潜在的事故风险，尽管风险可接受，但企业应从建设、生产、贮运等各方面积极采取防护措施，这是确保安全的根本措施</w:t>
      </w:r>
      <w:r>
        <w:rPr>
          <w:rFonts w:hint="eastAsia" w:ascii="Times New Roman" w:hAnsi="Times New Roman" w:eastAsia="宋体"/>
          <w:strike w:val="0"/>
          <w:dstrike w:val="0"/>
          <w:color w:val="auto"/>
          <w:highlight w:val="none"/>
          <w:lang w:eastAsia="zh-CN"/>
        </w:rPr>
        <w:t>。</w:t>
      </w:r>
    </w:p>
    <w:p w14:paraId="2B93AD0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当出现事故时，要采取紧急的工程应急措施，如必要，应采取社会应急措施，以控制事故和减少对环境造成的危害</w:t>
      </w:r>
      <w:r>
        <w:rPr>
          <w:rFonts w:hint="eastAsia" w:ascii="Times New Roman" w:hAnsi="Times New Roman" w:eastAsia="宋体"/>
          <w:strike w:val="0"/>
          <w:dstrike w:val="0"/>
          <w:color w:val="auto"/>
          <w:highlight w:val="none"/>
          <w:lang w:eastAsia="zh-CN"/>
        </w:rPr>
        <w:t>。</w:t>
      </w:r>
    </w:p>
    <w:p w14:paraId="6E4FB4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按照企业制定的突发环境事故应急预案，定期进行预案演练并实现与地方政府或相关管理部门突发环境事故应急预案的有效衔接</w:t>
      </w:r>
      <w:r>
        <w:rPr>
          <w:rFonts w:hint="eastAsia" w:ascii="Times New Roman" w:hAnsi="Times New Roman" w:eastAsia="宋体"/>
          <w:strike w:val="0"/>
          <w:dstrike w:val="0"/>
          <w:color w:val="auto"/>
          <w:highlight w:val="none"/>
          <w:lang w:eastAsia="zh-CN"/>
        </w:rPr>
        <w:t>。</w:t>
      </w:r>
    </w:p>
    <w:p w14:paraId="7EAF25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建设单位必须高度重视，做到风险防范警钟常鸣，环境安全管理常抓不懈；严格落实各项风险防范措施，不断完善风险管理体系</w:t>
      </w:r>
      <w:r>
        <w:rPr>
          <w:rFonts w:hint="eastAsia" w:ascii="Times New Roman" w:hAnsi="Times New Roman" w:eastAsia="宋体"/>
          <w:strike w:val="0"/>
          <w:dstrike w:val="0"/>
          <w:color w:val="auto"/>
          <w:highlight w:val="none"/>
          <w:lang w:eastAsia="zh-CN"/>
        </w:rPr>
        <w:t>。</w:t>
      </w:r>
    </w:p>
    <w:p w14:paraId="30E4B3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建立企业环境风险应急机制，加强厂区管道、</w:t>
      </w:r>
      <w:r>
        <w:rPr>
          <w:rFonts w:hint="eastAsia" w:ascii="Times New Roman" w:hAnsi="Times New Roman" w:eastAsia="宋体"/>
          <w:strike w:val="0"/>
          <w:dstrike w:val="0"/>
          <w:color w:val="auto"/>
          <w:highlight w:val="none"/>
          <w:lang w:eastAsia="zh-CN"/>
        </w:rPr>
        <w:t>医疗废物暂存间</w:t>
      </w:r>
      <w:r>
        <w:rPr>
          <w:rFonts w:ascii="Times New Roman" w:hAnsi="Times New Roman" w:eastAsia="宋体"/>
          <w:strike w:val="0"/>
          <w:dstrike w:val="0"/>
          <w:color w:val="auto"/>
          <w:highlight w:val="none"/>
        </w:rPr>
        <w:t>的巡查、监视力度，强化风险管理，强化对员工的职业素质教育，杜绝违章作业</w:t>
      </w:r>
      <w:r>
        <w:rPr>
          <w:rFonts w:hint="eastAsia" w:ascii="Times New Roman" w:hAnsi="Times New Roman" w:eastAsia="宋体"/>
          <w:strike w:val="0"/>
          <w:dstrike w:val="0"/>
          <w:color w:val="auto"/>
          <w:highlight w:val="none"/>
          <w:lang w:eastAsia="zh-CN"/>
        </w:rPr>
        <w:t>。</w:t>
      </w:r>
    </w:p>
    <w:p w14:paraId="4E86D49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3、建设项目环境风险简单分析内容表</w:t>
      </w:r>
    </w:p>
    <w:p w14:paraId="593722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建设项目环境风险简单分析内容见表5.3-7</w:t>
      </w:r>
      <w:r>
        <w:rPr>
          <w:rFonts w:hint="eastAsia" w:ascii="Times New Roman" w:hAnsi="Times New Roman" w:eastAsia="宋体"/>
          <w:strike w:val="0"/>
          <w:dstrike w:val="0"/>
          <w:color w:val="auto"/>
          <w:highlight w:val="none"/>
          <w:lang w:eastAsia="zh-CN"/>
        </w:rPr>
        <w:t>。</w:t>
      </w:r>
    </w:p>
    <w:p w14:paraId="53BD2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表5.3-7建设项目环境风险简单分析内容表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964"/>
        <w:gridCol w:w="1775"/>
        <w:gridCol w:w="1329"/>
        <w:gridCol w:w="2676"/>
      </w:tblGrid>
      <w:tr w14:paraId="3073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5" w:type="pct"/>
            <w:shd w:val="clear" w:color="auto" w:fill="auto"/>
            <w:vAlign w:val="center"/>
          </w:tcPr>
          <w:p w14:paraId="14CBB3DF">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建设项目名称</w:t>
            </w:r>
          </w:p>
        </w:tc>
        <w:tc>
          <w:tcPr>
            <w:tcW w:w="4065" w:type="pct"/>
            <w:gridSpan w:val="4"/>
            <w:shd w:val="clear" w:color="auto" w:fill="auto"/>
            <w:vAlign w:val="center"/>
          </w:tcPr>
          <w:p w14:paraId="09A078AA">
            <w:pPr>
              <w:spacing w:line="240" w:lineRule="auto"/>
              <w:ind w:firstLine="0" w:firstLineChars="0"/>
              <w:jc w:val="center"/>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lang w:eastAsia="zh-CN"/>
              </w:rPr>
              <w:t>木垒县2026年长眉驼良种繁育基地建设项目</w:t>
            </w:r>
          </w:p>
        </w:tc>
      </w:tr>
      <w:tr w14:paraId="066E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5" w:type="pct"/>
            <w:shd w:val="clear" w:color="auto" w:fill="auto"/>
            <w:vAlign w:val="center"/>
          </w:tcPr>
          <w:p w14:paraId="3295FC50">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建设地点</w:t>
            </w:r>
          </w:p>
        </w:tc>
        <w:tc>
          <w:tcPr>
            <w:tcW w:w="581" w:type="pct"/>
            <w:shd w:val="clear" w:color="auto" w:fill="auto"/>
            <w:vAlign w:val="center"/>
          </w:tcPr>
          <w:p w14:paraId="57AB672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新疆</w:t>
            </w:r>
          </w:p>
        </w:tc>
        <w:tc>
          <w:tcPr>
            <w:tcW w:w="1070" w:type="pct"/>
            <w:shd w:val="clear" w:color="auto" w:fill="auto"/>
            <w:vAlign w:val="center"/>
          </w:tcPr>
          <w:p w14:paraId="4C9A0F1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昌吉州</w:t>
            </w:r>
          </w:p>
        </w:tc>
        <w:tc>
          <w:tcPr>
            <w:tcW w:w="801" w:type="pct"/>
            <w:shd w:val="clear" w:color="auto" w:fill="auto"/>
            <w:vAlign w:val="center"/>
          </w:tcPr>
          <w:p w14:paraId="5FB931D6">
            <w:pPr>
              <w:spacing w:line="240" w:lineRule="auto"/>
              <w:ind w:firstLine="0" w:firstLineChars="0"/>
              <w:jc w:val="center"/>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lang w:eastAsia="zh-CN"/>
              </w:rPr>
              <w:t>木垒县</w:t>
            </w:r>
          </w:p>
        </w:tc>
        <w:tc>
          <w:tcPr>
            <w:tcW w:w="1613" w:type="pct"/>
            <w:shd w:val="clear" w:color="auto" w:fill="auto"/>
            <w:vAlign w:val="center"/>
          </w:tcPr>
          <w:p w14:paraId="0876DB7F">
            <w:pPr>
              <w:spacing w:line="240" w:lineRule="auto"/>
              <w:ind w:firstLine="0" w:firstLineChars="0"/>
              <w:jc w:val="center"/>
              <w:rPr>
                <w:rFonts w:hint="default" w:ascii="Times New Roman" w:hAnsi="Times New Roman" w:eastAsia="宋体"/>
                <w:strike w:val="0"/>
                <w:dstrike w:val="0"/>
                <w:color w:val="auto"/>
                <w:kern w:val="2"/>
                <w:sz w:val="21"/>
                <w:szCs w:val="24"/>
                <w:highlight w:val="none"/>
                <w:lang w:val="en-US" w:eastAsia="zh-CN"/>
              </w:rPr>
            </w:pPr>
            <w:r>
              <w:rPr>
                <w:rFonts w:hint="eastAsia" w:ascii="Times New Roman" w:hAnsi="Times New Roman" w:eastAsia="宋体"/>
                <w:strike w:val="0"/>
                <w:dstrike w:val="0"/>
                <w:color w:val="auto"/>
                <w:kern w:val="2"/>
                <w:sz w:val="21"/>
                <w:szCs w:val="24"/>
                <w:highlight w:val="none"/>
                <w:lang w:val="en-US" w:eastAsia="zh-CN"/>
              </w:rPr>
              <w:t>博斯坦乡</w:t>
            </w:r>
          </w:p>
        </w:tc>
      </w:tr>
      <w:tr w14:paraId="5660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5" w:type="pct"/>
            <w:shd w:val="clear" w:color="auto" w:fill="auto"/>
            <w:vAlign w:val="center"/>
          </w:tcPr>
          <w:p w14:paraId="104E2562">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地理坐标</w:t>
            </w:r>
          </w:p>
        </w:tc>
        <w:tc>
          <w:tcPr>
            <w:tcW w:w="581" w:type="pct"/>
            <w:shd w:val="clear" w:color="auto" w:fill="auto"/>
            <w:vAlign w:val="center"/>
          </w:tcPr>
          <w:p w14:paraId="05DC9D9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经度</w:t>
            </w:r>
          </w:p>
        </w:tc>
        <w:tc>
          <w:tcPr>
            <w:tcW w:w="1070" w:type="pct"/>
            <w:shd w:val="clear" w:color="auto" w:fill="auto"/>
            <w:vAlign w:val="center"/>
          </w:tcPr>
          <w:p w14:paraId="45FAAB1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highlight w:val="none"/>
              </w:rPr>
              <w:t>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p>
        </w:tc>
        <w:tc>
          <w:tcPr>
            <w:tcW w:w="801" w:type="pct"/>
            <w:shd w:val="clear" w:color="auto" w:fill="auto"/>
            <w:vAlign w:val="center"/>
          </w:tcPr>
          <w:p w14:paraId="6279969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纬度</w:t>
            </w:r>
          </w:p>
        </w:tc>
        <w:tc>
          <w:tcPr>
            <w:tcW w:w="1613" w:type="pct"/>
            <w:shd w:val="clear" w:color="auto" w:fill="auto"/>
            <w:vAlign w:val="center"/>
          </w:tcPr>
          <w:p w14:paraId="4B80FBB5">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tc>
      </w:tr>
      <w:tr w14:paraId="60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pct"/>
            <w:shd w:val="clear" w:color="auto" w:fill="auto"/>
            <w:vAlign w:val="center"/>
          </w:tcPr>
          <w:p w14:paraId="55191B32">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主要危险物质及分布</w:t>
            </w:r>
          </w:p>
        </w:tc>
        <w:tc>
          <w:tcPr>
            <w:tcW w:w="4065" w:type="pct"/>
            <w:gridSpan w:val="4"/>
            <w:shd w:val="clear" w:color="auto" w:fill="auto"/>
            <w:vAlign w:val="center"/>
          </w:tcPr>
          <w:p w14:paraId="5D211228">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ascii="Times New Roman" w:hAnsi="Times New Roman" w:eastAsia="宋体"/>
                <w:strike w:val="0"/>
                <w:dstrike w:val="0"/>
                <w:color w:val="auto"/>
                <w:kern w:val="2"/>
                <w:sz w:val="21"/>
                <w:szCs w:val="24"/>
                <w:highlight w:val="none"/>
              </w:rPr>
              <w:t>本项目不涉及《建设项目环境风险评价技术导则》</w:t>
            </w:r>
            <w:r>
              <w:rPr>
                <w:rFonts w:hint="eastAsia" w:ascii="Times New Roman" w:hAnsi="Times New Roman" w:eastAsia="宋体"/>
                <w:strike w:val="0"/>
                <w:dstrike w:val="0"/>
                <w:color w:val="auto"/>
                <w:kern w:val="2"/>
                <w:sz w:val="21"/>
                <w:szCs w:val="24"/>
                <w:highlight w:val="none"/>
                <w:lang w:eastAsia="zh-CN"/>
              </w:rPr>
              <w:t>（</w:t>
            </w:r>
            <w:r>
              <w:rPr>
                <w:rFonts w:ascii="Times New Roman" w:hAnsi="Times New Roman" w:eastAsia="宋体"/>
                <w:strike w:val="0"/>
                <w:dstrike w:val="0"/>
                <w:color w:val="auto"/>
                <w:kern w:val="2"/>
                <w:sz w:val="21"/>
                <w:szCs w:val="24"/>
                <w:highlight w:val="none"/>
              </w:rPr>
              <w:t>HJ169-2018</w:t>
            </w:r>
            <w:r>
              <w:rPr>
                <w:rFonts w:hint="eastAsia" w:ascii="Times New Roman" w:hAnsi="Times New Roman" w:eastAsia="宋体"/>
                <w:strike w:val="0"/>
                <w:dstrike w:val="0"/>
                <w:color w:val="auto"/>
                <w:kern w:val="2"/>
                <w:sz w:val="21"/>
                <w:szCs w:val="24"/>
                <w:highlight w:val="none"/>
                <w:lang w:eastAsia="zh-CN"/>
              </w:rPr>
              <w:t>）</w:t>
            </w:r>
            <w:r>
              <w:rPr>
                <w:rFonts w:ascii="Times New Roman" w:hAnsi="Times New Roman" w:eastAsia="宋体"/>
                <w:strike w:val="0"/>
                <w:dstrike w:val="0"/>
                <w:color w:val="auto"/>
                <w:kern w:val="2"/>
                <w:sz w:val="21"/>
                <w:szCs w:val="24"/>
                <w:highlight w:val="none"/>
              </w:rPr>
              <w:t>附录B中的风险物质</w:t>
            </w:r>
            <w:r>
              <w:rPr>
                <w:rFonts w:hint="eastAsia" w:ascii="Times New Roman" w:hAnsi="Times New Roman" w:eastAsia="宋体"/>
                <w:strike w:val="0"/>
                <w:dstrike w:val="0"/>
                <w:color w:val="auto"/>
                <w:kern w:val="2"/>
                <w:sz w:val="21"/>
                <w:szCs w:val="24"/>
                <w:highlight w:val="none"/>
                <w:lang w:eastAsia="zh-CN"/>
              </w:rPr>
              <w:t>。</w:t>
            </w:r>
          </w:p>
        </w:tc>
      </w:tr>
      <w:tr w14:paraId="0206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pct"/>
            <w:shd w:val="clear" w:color="auto" w:fill="auto"/>
            <w:vAlign w:val="center"/>
          </w:tcPr>
          <w:p w14:paraId="3B8ADD3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环境影响途径及危害后果</w:t>
            </w:r>
          </w:p>
        </w:tc>
        <w:tc>
          <w:tcPr>
            <w:tcW w:w="4065" w:type="pct"/>
            <w:gridSpan w:val="4"/>
            <w:shd w:val="clear" w:color="auto" w:fill="auto"/>
            <w:vAlign w:val="center"/>
          </w:tcPr>
          <w:p w14:paraId="29EAE187">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大气途径：无；</w:t>
            </w:r>
          </w:p>
          <w:p w14:paraId="04DCF2FB">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地表水途径：无；</w:t>
            </w:r>
          </w:p>
          <w:p w14:paraId="5BB9FB96">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地下水途径：管线和</w:t>
            </w:r>
            <w:r>
              <w:rPr>
                <w:rFonts w:hint="eastAsia" w:ascii="Times New Roman" w:hAnsi="Times New Roman" w:eastAsia="宋体"/>
                <w:strike w:val="0"/>
                <w:dstrike w:val="0"/>
                <w:color w:val="auto"/>
                <w:kern w:val="2"/>
                <w:sz w:val="21"/>
                <w:szCs w:val="24"/>
                <w:highlight w:val="none"/>
                <w:lang w:val="en-US" w:eastAsia="zh-CN"/>
              </w:rPr>
              <w:t>黑膜池</w:t>
            </w:r>
            <w:r>
              <w:rPr>
                <w:rFonts w:ascii="Times New Roman" w:hAnsi="Times New Roman" w:eastAsia="宋体"/>
                <w:strike w:val="0"/>
                <w:dstrike w:val="0"/>
                <w:color w:val="auto"/>
                <w:kern w:val="2"/>
                <w:sz w:val="21"/>
                <w:szCs w:val="24"/>
                <w:highlight w:val="none"/>
              </w:rPr>
              <w:t>泄露、医疗废物污染等；</w:t>
            </w:r>
          </w:p>
        </w:tc>
      </w:tr>
      <w:tr w14:paraId="623D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35" w:type="pct"/>
            <w:shd w:val="clear" w:color="auto" w:fill="auto"/>
            <w:vAlign w:val="center"/>
          </w:tcPr>
          <w:p w14:paraId="54630B61">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风险防范措施要求</w:t>
            </w:r>
          </w:p>
        </w:tc>
        <w:tc>
          <w:tcPr>
            <w:tcW w:w="4065" w:type="pct"/>
            <w:gridSpan w:val="4"/>
            <w:shd w:val="clear" w:color="auto" w:fill="auto"/>
            <w:vAlign w:val="center"/>
          </w:tcPr>
          <w:p w14:paraId="61881DE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①制定突发事件环境应急预案并定期演练；</w:t>
            </w:r>
          </w:p>
          <w:p w14:paraId="04F34D82">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②建设单位从总图布置、工艺控制系统安全设置、电器安全措施、防雷防静电、制定应急预案等方面完善了环境风险防范措施；</w:t>
            </w:r>
          </w:p>
          <w:p w14:paraId="6E9A37DD">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③采取基础防渗进行风险防范</w:t>
            </w:r>
          </w:p>
        </w:tc>
      </w:tr>
      <w:tr w14:paraId="20EE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935" w:type="pct"/>
            <w:shd w:val="clear" w:color="auto" w:fill="auto"/>
            <w:vAlign w:val="center"/>
          </w:tcPr>
          <w:p w14:paraId="2DD2ED30">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填表说明</w:t>
            </w:r>
          </w:p>
        </w:tc>
        <w:tc>
          <w:tcPr>
            <w:tcW w:w="4065" w:type="pct"/>
            <w:gridSpan w:val="4"/>
            <w:shd w:val="clear" w:color="auto" w:fill="auto"/>
            <w:vAlign w:val="center"/>
          </w:tcPr>
          <w:p w14:paraId="5D685802">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rPr>
              <w:t>本项目风险潜势为Ⅰ，仅进行简单分析，在采取有效的防范措施、制定相应的应急预案的前提下，建设单位可将事故风险的影响减至最小</w:t>
            </w:r>
            <w:r>
              <w:rPr>
                <w:rFonts w:hint="eastAsia" w:ascii="Times New Roman" w:hAnsi="Times New Roman" w:eastAsia="宋体"/>
                <w:strike w:val="0"/>
                <w:dstrike w:val="0"/>
                <w:color w:val="auto"/>
                <w:kern w:val="2"/>
                <w:sz w:val="21"/>
                <w:szCs w:val="24"/>
                <w:highlight w:val="none"/>
                <w:lang w:eastAsia="zh-CN"/>
              </w:rPr>
              <w:t>。</w:t>
            </w:r>
            <w:r>
              <w:rPr>
                <w:rFonts w:hint="eastAsia" w:ascii="Times New Roman" w:hAnsi="Times New Roman" w:eastAsia="宋体"/>
                <w:strike w:val="0"/>
                <w:dstrike w:val="0"/>
                <w:color w:val="auto"/>
                <w:kern w:val="2"/>
                <w:sz w:val="21"/>
                <w:szCs w:val="24"/>
                <w:highlight w:val="none"/>
              </w:rPr>
              <w:t>本项目在落实上述提出的存储过程中的风险防范及应急措施、生产过程中的风险防范及应急措施、环境影响途径的风险防范及应急措施后，可做到环境风险可防控要求，本项目环境风险防范措施有效可行，环境风险可防控</w:t>
            </w:r>
            <w:r>
              <w:rPr>
                <w:rFonts w:hint="eastAsia" w:ascii="Times New Roman" w:hAnsi="Times New Roman" w:eastAsia="宋体"/>
                <w:strike w:val="0"/>
                <w:dstrike w:val="0"/>
                <w:color w:val="auto"/>
                <w:kern w:val="2"/>
                <w:sz w:val="21"/>
                <w:szCs w:val="24"/>
                <w:highlight w:val="none"/>
                <w:lang w:eastAsia="zh-CN"/>
              </w:rPr>
              <w:t>。</w:t>
            </w:r>
          </w:p>
        </w:tc>
      </w:tr>
    </w:tbl>
    <w:p w14:paraId="51FF44DB">
      <w:pPr>
        <w:ind w:firstLine="480"/>
        <w:rPr>
          <w:rFonts w:ascii="Times New Roman" w:hAnsi="Times New Roman" w:eastAsia="宋体"/>
          <w:strike w:val="0"/>
          <w:dstrike w:val="0"/>
          <w:color w:val="auto"/>
          <w:highlight w:val="none"/>
        </w:rPr>
        <w:sectPr>
          <w:headerReference r:id="rId21" w:type="default"/>
          <w:footerReference r:id="rId2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2BE8AD84">
      <w:pPr>
        <w:pStyle w:val="2"/>
        <w:rPr>
          <w:rFonts w:ascii="Times New Roman" w:hAnsi="Times New Roman" w:eastAsia="宋体"/>
          <w:strike w:val="0"/>
          <w:dstrike w:val="0"/>
          <w:color w:val="auto"/>
          <w:highlight w:val="none"/>
        </w:rPr>
      </w:pPr>
      <w:bookmarkStart w:id="286" w:name="_Toc89619347"/>
      <w:bookmarkStart w:id="287" w:name="_Toc30338"/>
      <w:r>
        <w:rPr>
          <w:rFonts w:hint="eastAsia" w:ascii="Times New Roman" w:hAnsi="Times New Roman" w:eastAsia="宋体"/>
          <w:strike w:val="0"/>
          <w:dstrike w:val="0"/>
          <w:color w:val="auto"/>
          <w:highlight w:val="none"/>
        </w:rPr>
        <w:t>6、</w:t>
      </w:r>
      <w:bookmarkEnd w:id="286"/>
      <w:r>
        <w:rPr>
          <w:rFonts w:hint="eastAsia" w:ascii="Times New Roman" w:hAnsi="Times New Roman" w:eastAsia="宋体"/>
          <w:strike w:val="0"/>
          <w:dstrike w:val="0"/>
          <w:color w:val="auto"/>
          <w:highlight w:val="none"/>
        </w:rPr>
        <w:t>污染防治措施和对策建议</w:t>
      </w:r>
      <w:bookmarkEnd w:id="287"/>
    </w:p>
    <w:p w14:paraId="02ECE7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根据国家有关环保法规要求，该项目必须执行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项目投产后，其污染物排放必须达到国家和地方规定的标准和符合环境保护有关法规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章主要对本项目设计采取的各项环境保护措施从技术可行性、可靠性和经济合理性等方面进行分析论证并提出改善意见，以便在项目实施过程中采用经济合理的污染防治工艺和设施，确保项目排污得到有效控制并达到相关要求</w:t>
      </w:r>
      <w:r>
        <w:rPr>
          <w:rFonts w:hint="eastAsia" w:ascii="Times New Roman" w:hAnsi="Times New Roman" w:eastAsia="宋体"/>
          <w:strike w:val="0"/>
          <w:dstrike w:val="0"/>
          <w:color w:val="auto"/>
          <w:highlight w:val="none"/>
          <w:lang w:eastAsia="zh-CN"/>
        </w:rPr>
        <w:t>。</w:t>
      </w:r>
    </w:p>
    <w:p w14:paraId="5DD4D742">
      <w:pPr>
        <w:pStyle w:val="3"/>
        <w:rPr>
          <w:rFonts w:ascii="Times New Roman" w:hAnsi="Times New Roman" w:eastAsia="宋体"/>
          <w:strike w:val="0"/>
          <w:dstrike w:val="0"/>
          <w:color w:val="auto"/>
          <w:highlight w:val="none"/>
        </w:rPr>
      </w:pPr>
      <w:bookmarkStart w:id="288" w:name="_Toc89619348"/>
      <w:bookmarkStart w:id="289" w:name="_Toc9935"/>
      <w:r>
        <w:rPr>
          <w:rFonts w:hint="eastAsia" w:ascii="Times New Roman" w:hAnsi="Times New Roman" w:eastAsia="宋体"/>
          <w:strike w:val="0"/>
          <w:dstrike w:val="0"/>
          <w:color w:val="auto"/>
          <w:highlight w:val="none"/>
        </w:rPr>
        <w:t>6.1施工期污染防治措施</w:t>
      </w:r>
      <w:bookmarkEnd w:id="288"/>
      <w:bookmarkEnd w:id="289"/>
    </w:p>
    <w:p w14:paraId="1930A44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本项目施工内容主要包括场地平整、开挖土石方、打桩、构筑基础施工、钢筋、砖混结构施工、管线施工及装修施工、场地清理等，施工期对环境的影响主要是扬尘、废水、施工噪声、建筑垃圾及生态影响等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本次评价针对以上影响提出相应污染防治措施进行论证</w:t>
      </w:r>
      <w:r>
        <w:rPr>
          <w:rFonts w:hint="eastAsia" w:ascii="Times New Roman" w:hAnsi="Times New Roman" w:eastAsia="宋体"/>
          <w:strike w:val="0"/>
          <w:dstrike w:val="0"/>
          <w:color w:val="auto"/>
          <w:highlight w:val="none"/>
          <w:lang w:eastAsia="zh-CN"/>
        </w:rPr>
        <w:t>。</w:t>
      </w:r>
    </w:p>
    <w:p w14:paraId="5A3DC616">
      <w:pPr>
        <w:pStyle w:val="4"/>
        <w:rPr>
          <w:rFonts w:ascii="Times New Roman" w:hAnsi="Times New Roman" w:eastAsia="宋体"/>
          <w:strike w:val="0"/>
          <w:dstrike w:val="0"/>
          <w:color w:val="auto"/>
          <w:highlight w:val="none"/>
        </w:rPr>
      </w:pPr>
      <w:bookmarkStart w:id="290" w:name="_Toc9299"/>
      <w:bookmarkStart w:id="291" w:name="_Toc106663519"/>
      <w:r>
        <w:rPr>
          <w:rFonts w:hint="eastAsia" w:ascii="Times New Roman" w:hAnsi="Times New Roman" w:eastAsia="宋体"/>
          <w:strike w:val="0"/>
          <w:dstrike w:val="0"/>
          <w:color w:val="auto"/>
          <w:highlight w:val="none"/>
        </w:rPr>
        <w:t>6.1.1施工期大气污染防治措施</w:t>
      </w:r>
      <w:bookmarkEnd w:id="290"/>
      <w:bookmarkEnd w:id="291"/>
    </w:p>
    <w:p w14:paraId="5BDF208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施工期大气污染产生源主要有：开挖基础、运输车辆和施工机械等产生扬尘；建筑材料（水泥、石灰、砂石料）的运输、装卸、储存和使用过程产生扬尘；各类施工机械和运输车辆所排放的废气等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项目若不采用有效的降尘方式控制施工扬尘，则在项目的施工期内其所在区域的环境空气质量将难以达到</w:t>
      </w:r>
      <w:r>
        <w:rPr>
          <w:rFonts w:hint="eastAsia" w:ascii="Times New Roman" w:hAnsi="Times New Roman" w:eastAsia="宋体"/>
          <w:strike w:val="0"/>
          <w:dstrike w:val="0"/>
          <w:color w:val="auto"/>
          <w:highlight w:val="none"/>
          <w:lang w:eastAsia="zh-CN"/>
        </w:rPr>
        <w:t>《环境空气质量标准》（GB3095-2026）</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二级标准要求</w:t>
      </w:r>
      <w:r>
        <w:rPr>
          <w:rFonts w:hint="eastAsia" w:ascii="Times New Roman" w:hAnsi="Times New Roman" w:eastAsia="宋体"/>
          <w:strike w:val="0"/>
          <w:dstrike w:val="0"/>
          <w:color w:val="auto"/>
          <w:highlight w:val="none"/>
          <w:lang w:eastAsia="zh-CN"/>
        </w:rPr>
        <w:t>。</w:t>
      </w:r>
    </w:p>
    <w:p w14:paraId="7A3B9C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1、无组织排放扬尘的防治措施</w:t>
      </w:r>
    </w:p>
    <w:p w14:paraId="03134AA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施工过程中产生的扬尘尽管是短期的，但会对周围环境带来不利的影响，因此在施工期应采取相应的措施尽量减少扬尘的产生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为降低扬尘产生量，保护大气环境，施工单位应根据《关于进一步加强建设工程扬尘污染防治专项整治的通知》等的规定，在施工期采取以下扬尘防治措施：</w:t>
      </w:r>
    </w:p>
    <w:p w14:paraId="4E21DD5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（1）施工作业区应配备专人负责，做到科学管理、文明施工；在基础施工期，应尽可能采取措施提高工程进度，并将土石方及时外运到指定地点，缩短堆放的危害周期</w:t>
      </w:r>
      <w:r>
        <w:rPr>
          <w:rFonts w:hint="eastAsia" w:ascii="Times New Roman" w:hAnsi="Times New Roman" w:eastAsia="宋体"/>
          <w:strike w:val="0"/>
          <w:dstrike w:val="0"/>
          <w:color w:val="auto"/>
          <w:highlight w:val="none"/>
          <w:lang w:eastAsia="zh-CN"/>
        </w:rPr>
        <w:t>。</w:t>
      </w:r>
    </w:p>
    <w:p w14:paraId="69E7C2B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（2）合理安排施工工期；施工工地应定期洒水，特别是旱季施工；施工现场周边设置符合要求的围拦；竣工后要及时清理场地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对于建设施工阶段的车辆和机械扬尘，采取洒水抑尘；洒水次数根据天气状况而定，一般每天洒水1～2次，若遇大风或干燥天气可适当增加洒水次数，遇雨天则不必洒水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施工场地洒水量对扬尘的影响很大，场地洒水后，扬尘量将降低28%～75%，可大大减少扬尘对环境的影响</w:t>
      </w:r>
      <w:r>
        <w:rPr>
          <w:rFonts w:hint="eastAsia" w:ascii="Times New Roman" w:hAnsi="Times New Roman" w:eastAsia="宋体"/>
          <w:strike w:val="0"/>
          <w:dstrike w:val="0"/>
          <w:color w:val="auto"/>
          <w:highlight w:val="none"/>
          <w:lang w:eastAsia="zh-CN"/>
        </w:rPr>
        <w:t>。</w:t>
      </w:r>
    </w:p>
    <w:p w14:paraId="0CE7C72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（3）对施工区周围的道路进行清扫，减少粉尘和二次扬尘的产生</w:t>
      </w:r>
      <w:r>
        <w:rPr>
          <w:rFonts w:hint="eastAsia" w:ascii="Times New Roman" w:hAnsi="Times New Roman" w:eastAsia="宋体"/>
          <w:strike w:val="0"/>
          <w:dstrike w:val="0"/>
          <w:color w:val="auto"/>
          <w:highlight w:val="none"/>
          <w:lang w:eastAsia="zh-CN"/>
        </w:rPr>
        <w:t>。</w:t>
      </w:r>
    </w:p>
    <w:p w14:paraId="57CE5D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对于装运含尘物料的运输车辆进行密封运输，严格控制和规范车辆运输量和方式，容易产生粉尘的物料装载高度不得超过车辆两边和尾部的挡板和蓬布，严格控制物料的撒落；尽量选择对周围环境影响较小的运输路线</w:t>
      </w:r>
      <w:r>
        <w:rPr>
          <w:rFonts w:hint="eastAsia" w:ascii="Times New Roman" w:hAnsi="Times New Roman" w:eastAsia="宋体"/>
          <w:strike w:val="0"/>
          <w:dstrike w:val="0"/>
          <w:color w:val="auto"/>
          <w:highlight w:val="none"/>
          <w:lang w:eastAsia="zh-CN"/>
        </w:rPr>
        <w:t>。</w:t>
      </w:r>
    </w:p>
    <w:p w14:paraId="1C5CC7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（5）限制施工区内运输车辆的速度，卡车在施工场地的车速控制在10km/h，推土机的速度控制在8km/h内</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对运输过程中散落在路面上的泥土要及时清扫，以减少运行过程中的扬尘</w:t>
      </w:r>
      <w:r>
        <w:rPr>
          <w:rFonts w:hint="eastAsia" w:ascii="Times New Roman" w:hAnsi="Times New Roman" w:eastAsia="宋体"/>
          <w:strike w:val="0"/>
          <w:dstrike w:val="0"/>
          <w:color w:val="auto"/>
          <w:highlight w:val="none"/>
          <w:lang w:eastAsia="zh-CN"/>
        </w:rPr>
        <w:t>。</w:t>
      </w:r>
    </w:p>
    <w:p w14:paraId="3806AC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（6）施工现场应设置稳固、整齐、美观并符合安全标准要求的连续封闭式围挡（其边界设置高度2.5m以上），对于特殊地点无法设置围挡、围栏及防溢座的，应设置警示牌，严禁敞开式作业</w:t>
      </w:r>
      <w:r>
        <w:rPr>
          <w:rFonts w:hint="eastAsia" w:ascii="Times New Roman" w:hAnsi="Times New Roman" w:eastAsia="宋体"/>
          <w:strike w:val="0"/>
          <w:dstrike w:val="0"/>
          <w:color w:val="auto"/>
          <w:highlight w:val="none"/>
          <w:lang w:eastAsia="zh-CN"/>
        </w:rPr>
        <w:t>。</w:t>
      </w:r>
    </w:p>
    <w:p w14:paraId="1C0EE2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（7）施工现场必须做到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6个100%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，即施工现场100%围挡、工地砂土100%覆盖、工地路面100%硬化、拆除工程100%洒水降尘、出工地车辆100%冲净车轮车身、暂不开发的场地100%绿化</w:t>
      </w:r>
      <w:r>
        <w:rPr>
          <w:rFonts w:hint="eastAsia" w:ascii="Times New Roman" w:hAnsi="Times New Roman" w:eastAsia="宋体"/>
          <w:strike w:val="0"/>
          <w:dstrike w:val="0"/>
          <w:color w:val="auto"/>
          <w:highlight w:val="none"/>
          <w:lang w:eastAsia="zh-CN"/>
        </w:rPr>
        <w:t>。</w:t>
      </w:r>
    </w:p>
    <w:p w14:paraId="619A14A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易起尘物料采取袋装、覆盖等措施，严禁高空抛撒作业，施工过程中使用水泥、石灰、砂石、涂料、铺装材料等易产生扬尘的建筑材料，应采取密闭存储、设置围挡或堆砌围墙、采用防尘布苫盖或其他有效的防尘措施</w:t>
      </w:r>
      <w:r>
        <w:rPr>
          <w:rFonts w:hint="eastAsia" w:ascii="Times New Roman" w:hAnsi="Times New Roman" w:eastAsia="宋体"/>
          <w:strike w:val="0"/>
          <w:dstrike w:val="0"/>
          <w:color w:val="auto"/>
          <w:highlight w:val="none"/>
          <w:lang w:eastAsia="zh-CN"/>
        </w:rPr>
        <w:t>。</w:t>
      </w:r>
    </w:p>
    <w:p w14:paraId="5B8C29E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（9）施工期尽量避开大风、大雨天气，对施工作业面应边施工、边洒水，尽可能降低或避免对区域的扬尘污染</w:t>
      </w:r>
      <w:r>
        <w:rPr>
          <w:rFonts w:hint="eastAsia" w:ascii="Times New Roman" w:hAnsi="Times New Roman" w:eastAsia="宋体"/>
          <w:strike w:val="0"/>
          <w:dstrike w:val="0"/>
          <w:color w:val="auto"/>
          <w:highlight w:val="none"/>
          <w:lang w:eastAsia="zh-CN"/>
        </w:rPr>
        <w:t>。</w:t>
      </w:r>
    </w:p>
    <w:p w14:paraId="04A06BC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10）建筑垃圾应在48小时内完成清运，不能按时完成清运的建筑垃圾，应采取覆盖防尘布、防尘网、定期喷洒抑尘剂、定期喷水压尘或其他有效的防尘措施；不能按时完成清运的土方，在工地内堆置超过一周的，应采取固化、覆盖或绿化等扬尘控制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对楼层、脚手架、高处平台等进行建筑残渣及废料清理时，应采用洒水降尘措施，禁止采用翻竹篱笆、板铲拍打、空压机吹尘等手段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建筑内部清理时，提前一天将建筑内地面洒水湿润，尽量减少浮灰飞扬，避免污染空气</w:t>
      </w:r>
      <w:r>
        <w:rPr>
          <w:rFonts w:hint="eastAsia" w:ascii="Times New Roman" w:hAnsi="Times New Roman" w:eastAsia="宋体"/>
          <w:strike w:val="0"/>
          <w:dstrike w:val="0"/>
          <w:color w:val="auto"/>
          <w:highlight w:val="none"/>
          <w:lang w:eastAsia="zh-CN"/>
        </w:rPr>
        <w:t>。</w:t>
      </w:r>
    </w:p>
    <w:p w14:paraId="5A038B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（11）粉尘、扬尘和燃油产生的污染物对人体健康有害，对受影响的施工人员应做好劳动保护，特别是材料加工、运输粉尘较大的施工场地更应做好防护措施，配备必要的劳保用品</w:t>
      </w:r>
      <w:r>
        <w:rPr>
          <w:rFonts w:hint="eastAsia" w:ascii="Times New Roman" w:hAnsi="Times New Roman" w:eastAsia="宋体"/>
          <w:strike w:val="0"/>
          <w:dstrike w:val="0"/>
          <w:color w:val="auto"/>
          <w:highlight w:val="none"/>
          <w:lang w:eastAsia="zh-CN"/>
        </w:rPr>
        <w:t>。</w:t>
      </w:r>
    </w:p>
    <w:p w14:paraId="20C5A55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2、施工机械排放尾气的防治措施</w:t>
      </w:r>
    </w:p>
    <w:p w14:paraId="11071CD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建设单位针对汽车尾气的排放拟采取以下的措施：</w:t>
      </w:r>
    </w:p>
    <w:p w14:paraId="6569A7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（1）运输、施工单位使用符合国家有关标准的运输车辆和工程机械，严禁使用超标排放污染物的车辆和机械</w:t>
      </w:r>
      <w:r>
        <w:rPr>
          <w:rFonts w:hint="eastAsia" w:ascii="Times New Roman" w:hAnsi="Times New Roman" w:eastAsia="宋体"/>
          <w:strike w:val="0"/>
          <w:dstrike w:val="0"/>
          <w:color w:val="auto"/>
          <w:highlight w:val="none"/>
          <w:lang w:eastAsia="zh-CN"/>
        </w:rPr>
        <w:t>。</w:t>
      </w:r>
    </w:p>
    <w:p w14:paraId="3D50C8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（2）所有车辆和机械必须定时维修和维护，保证正常运营，减少事故排放</w:t>
      </w:r>
      <w:r>
        <w:rPr>
          <w:rFonts w:hint="eastAsia" w:ascii="Times New Roman" w:hAnsi="Times New Roman" w:eastAsia="宋体"/>
          <w:strike w:val="0"/>
          <w:dstrike w:val="0"/>
          <w:color w:val="auto"/>
          <w:highlight w:val="none"/>
          <w:lang w:eastAsia="zh-CN"/>
        </w:rPr>
        <w:t>。</w:t>
      </w:r>
    </w:p>
    <w:p w14:paraId="64FDDAE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（3）运输车辆统一调度，避免出现拥挤，尽可能正常装载和行驶，以免在交通不畅通的情况下，排出更多的尾气</w:t>
      </w:r>
      <w:r>
        <w:rPr>
          <w:rFonts w:hint="eastAsia" w:ascii="Times New Roman" w:hAnsi="Times New Roman" w:eastAsia="宋体"/>
          <w:strike w:val="0"/>
          <w:dstrike w:val="0"/>
          <w:color w:val="auto"/>
          <w:highlight w:val="none"/>
          <w:lang w:eastAsia="zh-CN"/>
        </w:rPr>
        <w:t>。</w:t>
      </w:r>
    </w:p>
    <w:p w14:paraId="684833D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（4）运输车辆禁止超载，不得使用劣质燃料；对车辆的尾气排放应进行监督管理，严格执行汽车排污监管办法相关规定，避免排放黑烟</w:t>
      </w:r>
      <w:r>
        <w:rPr>
          <w:rFonts w:hint="eastAsia" w:ascii="Times New Roman" w:hAnsi="Times New Roman" w:eastAsia="宋体"/>
          <w:strike w:val="0"/>
          <w:dstrike w:val="0"/>
          <w:color w:val="auto"/>
          <w:highlight w:val="none"/>
          <w:lang w:eastAsia="zh-CN"/>
        </w:rPr>
        <w:t>。</w:t>
      </w:r>
    </w:p>
    <w:p w14:paraId="0EF014B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综上所述，施工期大气污染防治措施简单，经济有效，操作难度小；在采取上述措施后，大气污染物的排放将有效减少，不会对当地大气环境质量造成大的影响；评价认为大气污染防治措施有效可行</w:t>
      </w:r>
      <w:r>
        <w:rPr>
          <w:rFonts w:hint="eastAsia" w:ascii="Times New Roman" w:hAnsi="Times New Roman" w:eastAsia="宋体"/>
          <w:strike w:val="0"/>
          <w:dstrike w:val="0"/>
          <w:color w:val="auto"/>
          <w:highlight w:val="none"/>
          <w:lang w:eastAsia="zh-CN"/>
        </w:rPr>
        <w:t>。</w:t>
      </w:r>
    </w:p>
    <w:p w14:paraId="1AEF3D98">
      <w:pPr>
        <w:pStyle w:val="4"/>
        <w:rPr>
          <w:rFonts w:ascii="Times New Roman" w:hAnsi="Times New Roman" w:eastAsia="宋体"/>
          <w:strike w:val="0"/>
          <w:dstrike w:val="0"/>
          <w:color w:val="auto"/>
          <w:highlight w:val="none"/>
        </w:rPr>
      </w:pPr>
      <w:bookmarkStart w:id="292" w:name="_Toc106663520"/>
      <w:bookmarkStart w:id="293" w:name="_Toc18421"/>
      <w:r>
        <w:rPr>
          <w:rFonts w:hint="eastAsia" w:ascii="Times New Roman" w:hAnsi="Times New Roman" w:eastAsia="宋体"/>
          <w:strike w:val="0"/>
          <w:dstrike w:val="0"/>
          <w:color w:val="auto"/>
          <w:highlight w:val="none"/>
        </w:rPr>
        <w:t>6.1.2施工期水污染防治措施</w:t>
      </w:r>
      <w:bookmarkEnd w:id="292"/>
      <w:bookmarkEnd w:id="293"/>
    </w:p>
    <w:p w14:paraId="2AC9569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施工期废水主要是来自施工废水及施工人员的生活污水</w:t>
      </w:r>
      <w:r>
        <w:rPr>
          <w:rFonts w:hint="eastAsia" w:ascii="Times New Roman" w:hAnsi="Times New Roman" w:eastAsia="宋体"/>
          <w:strike w:val="0"/>
          <w:dstrike w:val="0"/>
          <w:color w:val="auto"/>
          <w:highlight w:val="none"/>
          <w:lang w:eastAsia="zh-CN"/>
        </w:rPr>
        <w:t>。</w:t>
      </w:r>
    </w:p>
    <w:p w14:paraId="6F63DD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为避免施工中对水环境的影响，应严格施工管理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地基填土应控制好土的最佳用水量，保证地基的压实度，并做好边坡的防护；修建临时沉淀池，收集沉淀处理含悬浮物高的废水，施工废水经沉淀处理后由于水质较为澄清，可回用作施工用水及道路的洒水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这样可以使施工期废水对水体的影响得到有效的控制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对于施工人员产生的生活污水，应设置防渗干化池或移动式环保公厕集中收集，并定期拉运至当地污水处理厂进行处理，不会对环境造成明显影响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但在施工过程中应加强环境管理，尽量避免施工废水任意乱排，以减缓施工废水对周围环境的不利影响</w:t>
      </w:r>
      <w:r>
        <w:rPr>
          <w:rFonts w:hint="eastAsia" w:ascii="Times New Roman" w:hAnsi="Times New Roman" w:eastAsia="宋体"/>
          <w:strike w:val="0"/>
          <w:dstrike w:val="0"/>
          <w:color w:val="auto"/>
          <w:highlight w:val="none"/>
          <w:lang w:eastAsia="zh-CN"/>
        </w:rPr>
        <w:t>。</w:t>
      </w:r>
    </w:p>
    <w:p w14:paraId="1F1C7DA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沉淀池、防渗干化池均为施工现场常见的废水治理设施，工程量较小，投资较低，杜绝了废水随意泼洒、肆意横流的现象</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因此上述废水防治措施从技术、经济方面来讲均可行</w:t>
      </w:r>
      <w:r>
        <w:rPr>
          <w:rFonts w:hint="eastAsia" w:ascii="Times New Roman" w:hAnsi="Times New Roman" w:eastAsia="宋体"/>
          <w:strike w:val="0"/>
          <w:dstrike w:val="0"/>
          <w:color w:val="auto"/>
          <w:highlight w:val="none"/>
          <w:lang w:eastAsia="zh-CN"/>
        </w:rPr>
        <w:t>。</w:t>
      </w:r>
    </w:p>
    <w:p w14:paraId="65FA04E0">
      <w:pPr>
        <w:pStyle w:val="4"/>
        <w:rPr>
          <w:rFonts w:ascii="Times New Roman" w:hAnsi="Times New Roman" w:eastAsia="宋体"/>
          <w:strike w:val="0"/>
          <w:dstrike w:val="0"/>
          <w:color w:val="auto"/>
          <w:highlight w:val="none"/>
        </w:rPr>
      </w:pPr>
      <w:bookmarkStart w:id="294" w:name="_Toc29233"/>
      <w:bookmarkStart w:id="295" w:name="_Toc106663521"/>
      <w:r>
        <w:rPr>
          <w:rFonts w:hint="eastAsia" w:ascii="Times New Roman" w:hAnsi="Times New Roman" w:eastAsia="宋体"/>
          <w:strike w:val="0"/>
          <w:dstrike w:val="0"/>
          <w:color w:val="auto"/>
          <w:highlight w:val="none"/>
        </w:rPr>
        <w:t>6.1.3施工期噪声污染防治措施</w:t>
      </w:r>
      <w:bookmarkEnd w:id="294"/>
      <w:bookmarkEnd w:id="295"/>
    </w:p>
    <w:p w14:paraId="5A5419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施工期间的噪声污染主要来自于施工机械作业产生的噪声和运输车辆产生的交通噪声，施工噪声对其周围环境将产生一定影响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项目须采取相应的控制措施，严格遵守《中华人民共和国环境噪声污染防治法》中关于建筑施工噪声污染防治的有关规定，防止噪声影响周围环境和人们的正常生产生活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建筑施工由于各阶段使用的机械设备组合情况不同，所以噪声辐射影响的程度也不尽相同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基础施工阶段设备多属高噪声机械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主体施工阶段，噪声特点是持续时间长，强度高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建筑施工噪声污染防治措施如下：</w:t>
      </w:r>
    </w:p>
    <w:p w14:paraId="0F20A47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1、强噪声机械的降噪措施</w:t>
      </w:r>
    </w:p>
    <w:p w14:paraId="1F4A150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（1）推行清洁生产，必须采用低噪声的施工机械和先进的施工技术，以达到控制噪声的目的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施工机械进场应得到环保部门的批准，对环境噪声污染严重的落后的施工机械和施工方式实行淘汰制度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施工中应采用低噪声新技术设备，使噪声污染在施工中得到控制</w:t>
      </w:r>
      <w:r>
        <w:rPr>
          <w:rFonts w:hint="eastAsia" w:ascii="Times New Roman" w:hAnsi="Times New Roman" w:eastAsia="宋体"/>
          <w:strike w:val="0"/>
          <w:dstrike w:val="0"/>
          <w:color w:val="auto"/>
          <w:highlight w:val="none"/>
          <w:lang w:eastAsia="zh-CN"/>
        </w:rPr>
        <w:t>。</w:t>
      </w:r>
    </w:p>
    <w:p w14:paraId="5EAFE56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（2）在施工机械与设备与基础或连接部位之间采用弹簧减震、橡皮减震、管道减震、阻尼减震技术，可减少动量，降低噪声</w:t>
      </w:r>
      <w:r>
        <w:rPr>
          <w:rFonts w:hint="eastAsia" w:ascii="Times New Roman" w:hAnsi="Times New Roman" w:eastAsia="宋体"/>
          <w:strike w:val="0"/>
          <w:dstrike w:val="0"/>
          <w:color w:val="auto"/>
          <w:highlight w:val="none"/>
          <w:lang w:eastAsia="zh-CN"/>
        </w:rPr>
        <w:t>。</w:t>
      </w:r>
    </w:p>
    <w:p w14:paraId="596C9D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（3）降低钢模施工噪声，小钢模改为竹夹板以减少振动作业时冲击钢模产生噪声</w:t>
      </w:r>
      <w:r>
        <w:rPr>
          <w:rFonts w:hint="eastAsia" w:ascii="Times New Roman" w:hAnsi="Times New Roman" w:eastAsia="宋体"/>
          <w:strike w:val="0"/>
          <w:dstrike w:val="0"/>
          <w:color w:val="auto"/>
          <w:highlight w:val="none"/>
          <w:lang w:eastAsia="zh-CN"/>
        </w:rPr>
        <w:t>。</w:t>
      </w:r>
    </w:p>
    <w:p w14:paraId="45AB8A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（4）合理布局施工场地，在允许的情况下，高噪声施工机械设备布置在远离居民的位置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按照有关规定，每个施工段对作业区设置围挡</w:t>
      </w:r>
      <w:r>
        <w:rPr>
          <w:rFonts w:hint="eastAsia" w:ascii="Times New Roman" w:hAnsi="Times New Roman" w:eastAsia="宋体"/>
          <w:strike w:val="0"/>
          <w:dstrike w:val="0"/>
          <w:color w:val="auto"/>
          <w:highlight w:val="none"/>
          <w:lang w:eastAsia="zh-CN"/>
        </w:rPr>
        <w:t>。</w:t>
      </w:r>
    </w:p>
    <w:p w14:paraId="69A163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（5）施工车辆禁鸣喇叭</w:t>
      </w:r>
      <w:r>
        <w:rPr>
          <w:rFonts w:hint="eastAsia" w:ascii="Times New Roman" w:hAnsi="Times New Roman" w:eastAsia="宋体"/>
          <w:strike w:val="0"/>
          <w:dstrike w:val="0"/>
          <w:color w:val="auto"/>
          <w:highlight w:val="none"/>
          <w:lang w:eastAsia="zh-CN"/>
        </w:rPr>
        <w:t>。</w:t>
      </w:r>
    </w:p>
    <w:p w14:paraId="60645C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（6）施工过程中加强检查、维护和保养机械设备，保持润滑，紧固各部件，减少运行震动噪声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减轻噪声对周围环境敏感点的影响</w:t>
      </w:r>
      <w:r>
        <w:rPr>
          <w:rFonts w:hint="eastAsia" w:ascii="Times New Roman" w:hAnsi="Times New Roman" w:eastAsia="宋体"/>
          <w:strike w:val="0"/>
          <w:dstrike w:val="0"/>
          <w:color w:val="auto"/>
          <w:highlight w:val="none"/>
          <w:lang w:eastAsia="zh-CN"/>
        </w:rPr>
        <w:t>。</w:t>
      </w:r>
    </w:p>
    <w:p w14:paraId="683AD94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2、人为噪声控制</w:t>
      </w:r>
    </w:p>
    <w:p w14:paraId="7E7E4AF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（1）提倡文明施工，建立控制人为噪声的管理制度，增强施工人员的环保意识，提高防治噪声扰民的自觉性，减少人为噪声污染</w:t>
      </w:r>
      <w:r>
        <w:rPr>
          <w:rFonts w:hint="eastAsia" w:ascii="Times New Roman" w:hAnsi="Times New Roman" w:eastAsia="宋体"/>
          <w:strike w:val="0"/>
          <w:dstrike w:val="0"/>
          <w:color w:val="auto"/>
          <w:highlight w:val="none"/>
          <w:lang w:eastAsia="zh-CN"/>
        </w:rPr>
        <w:t>。</w:t>
      </w:r>
    </w:p>
    <w:p w14:paraId="0996144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（2）在施工现场禁止大声喧哗吵闹、高声唱歌或敲击工具等</w:t>
      </w:r>
      <w:r>
        <w:rPr>
          <w:rFonts w:hint="eastAsia" w:ascii="Times New Roman" w:hAnsi="Times New Roman" w:eastAsia="宋体"/>
          <w:strike w:val="0"/>
          <w:dstrike w:val="0"/>
          <w:color w:val="auto"/>
          <w:highlight w:val="none"/>
          <w:lang w:eastAsia="zh-CN"/>
        </w:rPr>
        <w:t>。</w:t>
      </w:r>
    </w:p>
    <w:p w14:paraId="7E5F16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（3）作业中搬运物件，必须轻拿轻放，钢铁件堆放不发出大的声响，严禁抛掷物件而造成噪声</w:t>
      </w:r>
      <w:r>
        <w:rPr>
          <w:rFonts w:hint="eastAsia" w:ascii="Times New Roman" w:hAnsi="Times New Roman" w:eastAsia="宋体"/>
          <w:strike w:val="0"/>
          <w:dstrike w:val="0"/>
          <w:color w:val="auto"/>
          <w:highlight w:val="none"/>
          <w:lang w:eastAsia="zh-CN"/>
        </w:rPr>
        <w:t>。</w:t>
      </w:r>
    </w:p>
    <w:p w14:paraId="6F2EE33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3、个人防护</w:t>
      </w:r>
    </w:p>
    <w:p w14:paraId="53984C2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施工单位应合理安排工作人员轮流操作产生高强噪声的施工机械，减少接触高噪声的时间，或穿插安排高噪声和低噪声的工作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加强对施工人员的个人防护，对高噪声设备附近工作的施工人员，采取配备、使用耳塞、耳机、防声头盔等防噪用具</w:t>
      </w:r>
      <w:r>
        <w:rPr>
          <w:rFonts w:hint="eastAsia" w:ascii="Times New Roman" w:hAnsi="Times New Roman" w:eastAsia="宋体"/>
          <w:strike w:val="0"/>
          <w:dstrike w:val="0"/>
          <w:color w:val="auto"/>
          <w:highlight w:val="none"/>
          <w:lang w:eastAsia="zh-CN"/>
        </w:rPr>
        <w:t>。</w:t>
      </w:r>
    </w:p>
    <w:p w14:paraId="7AE8A07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经采取以上的降噪措施后，有效的减缓了施工和运输噪声对项目施工人员和周围居民区的影响，因此施工期拟采取的噪声防治措施可行</w:t>
      </w:r>
      <w:r>
        <w:rPr>
          <w:rFonts w:hint="eastAsia" w:ascii="Times New Roman" w:hAnsi="Times New Roman" w:eastAsia="宋体"/>
          <w:strike w:val="0"/>
          <w:dstrike w:val="0"/>
          <w:color w:val="auto"/>
          <w:highlight w:val="none"/>
          <w:lang w:eastAsia="zh-CN"/>
        </w:rPr>
        <w:t>。</w:t>
      </w:r>
    </w:p>
    <w:p w14:paraId="70C49B9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施工期环境影响为短期影响，施工结束后消除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但考虑施工期对周围环境的影响，建设单位在建设过程中认真遵守各项管理制度，做到文明施工、严格管理、缩短工期，力争将项目建设过程中对周围环境产生的影响降到最低限度</w:t>
      </w:r>
      <w:r>
        <w:rPr>
          <w:rFonts w:hint="eastAsia" w:ascii="Times New Roman" w:hAnsi="Times New Roman" w:eastAsia="宋体"/>
          <w:strike w:val="0"/>
          <w:dstrike w:val="0"/>
          <w:color w:val="auto"/>
          <w:highlight w:val="none"/>
          <w:lang w:eastAsia="zh-CN"/>
        </w:rPr>
        <w:t>。</w:t>
      </w:r>
    </w:p>
    <w:p w14:paraId="717C22EE">
      <w:pPr>
        <w:pStyle w:val="4"/>
        <w:rPr>
          <w:rFonts w:ascii="Times New Roman" w:hAnsi="Times New Roman" w:eastAsia="宋体"/>
          <w:strike w:val="0"/>
          <w:dstrike w:val="0"/>
          <w:color w:val="auto"/>
          <w:highlight w:val="none"/>
        </w:rPr>
      </w:pPr>
      <w:bookmarkStart w:id="296" w:name="_Toc14081"/>
      <w:bookmarkStart w:id="297" w:name="_Toc106663522"/>
      <w:r>
        <w:rPr>
          <w:rFonts w:hint="eastAsia" w:ascii="Times New Roman" w:hAnsi="Times New Roman" w:eastAsia="宋体"/>
          <w:strike w:val="0"/>
          <w:dstrike w:val="0"/>
          <w:color w:val="auto"/>
          <w:highlight w:val="none"/>
        </w:rPr>
        <w:t>6.1.4施工期固体废物防治措施</w:t>
      </w:r>
      <w:bookmarkEnd w:id="296"/>
      <w:bookmarkEnd w:id="297"/>
    </w:p>
    <w:p w14:paraId="0CC507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生活垃圾和建筑垃圾的影响主要体现在其堆放过程中，在风力作用下，引起垃圾及粉尘随风飘散，对空气造成污染影响</w:t>
      </w:r>
      <w:r>
        <w:rPr>
          <w:rFonts w:hint="eastAsia" w:ascii="Times New Roman" w:hAnsi="Times New Roman" w:eastAsia="宋体"/>
          <w:strike w:val="0"/>
          <w:dstrike w:val="0"/>
          <w:color w:val="auto"/>
          <w:highlight w:val="none"/>
          <w:lang w:eastAsia="zh-CN"/>
        </w:rPr>
        <w:t>。</w:t>
      </w:r>
    </w:p>
    <w:p w14:paraId="29FB063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针对项目施工期固体废弃物种类及特点，提出如下防治措施：</w:t>
      </w:r>
    </w:p>
    <w:p w14:paraId="3786F4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（1）临时土石方于施工区就近堆放，采取覆盖围护措施，防止大风和大雨时造成的水土流失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堆放前设置挡土墙，堆放后表土覆盖防尘布，抑制扬尘产生</w:t>
      </w:r>
      <w:r>
        <w:rPr>
          <w:rFonts w:hint="eastAsia" w:ascii="Times New Roman" w:hAnsi="Times New Roman" w:eastAsia="宋体"/>
          <w:strike w:val="0"/>
          <w:dstrike w:val="0"/>
          <w:color w:val="auto"/>
          <w:highlight w:val="none"/>
          <w:lang w:eastAsia="zh-CN"/>
        </w:rPr>
        <w:t>。</w:t>
      </w:r>
    </w:p>
    <w:p w14:paraId="1287C3D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施工中产生的不能再利用的建筑垃圾，应进行分类收集、分类管理，能够回收利用的尽量回收再利用，以节约资源；对于不能回收利用的要进行收集并于施工区内固定地点集中暂存，施工完成后及时处理，拉运至当地环保部门指定的建筑垃圾填埋场填埋处置或委托处置建筑垃圾的单位及时外处置</w:t>
      </w:r>
      <w:r>
        <w:rPr>
          <w:rFonts w:hint="eastAsia" w:ascii="Times New Roman" w:hAnsi="Times New Roman" w:eastAsia="宋体"/>
          <w:strike w:val="0"/>
          <w:dstrike w:val="0"/>
          <w:color w:val="auto"/>
          <w:highlight w:val="none"/>
          <w:lang w:eastAsia="zh-CN"/>
        </w:rPr>
        <w:t>。</w:t>
      </w:r>
    </w:p>
    <w:p w14:paraId="568271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车辆运输建筑垃圾时，须采取覆盖措施，不得沿途漏撒；施工单位应在施工前5日向建设局申报工程垃圾处置计划，如实填报垃圾的种类、数量、运输路线及处置方案等事项，并与有关管理部门签订环境卫生责任书</w:t>
      </w:r>
      <w:r>
        <w:rPr>
          <w:rFonts w:hint="eastAsia" w:ascii="Times New Roman" w:hAnsi="Times New Roman" w:eastAsia="宋体"/>
          <w:strike w:val="0"/>
          <w:dstrike w:val="0"/>
          <w:color w:val="auto"/>
          <w:highlight w:val="none"/>
          <w:lang w:eastAsia="zh-CN"/>
        </w:rPr>
        <w:t>。</w:t>
      </w:r>
    </w:p>
    <w:p w14:paraId="165BC4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（4）施工部门应当持当地建设局核发的处置证明，向运输单位办理建筑垃圾托运手续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运输车辆在运输建筑垃圾时应携带处置证明，接收渣土管理部门的检查，运输路线应按渣土管理部门会同公安、交通管理部门规定的线路运输</w:t>
      </w:r>
      <w:r>
        <w:rPr>
          <w:rFonts w:hint="eastAsia" w:ascii="Times New Roman" w:hAnsi="Times New Roman" w:eastAsia="宋体"/>
          <w:strike w:val="0"/>
          <w:dstrike w:val="0"/>
          <w:color w:val="auto"/>
          <w:highlight w:val="none"/>
          <w:lang w:eastAsia="zh-CN"/>
        </w:rPr>
        <w:t>。</w:t>
      </w:r>
    </w:p>
    <w:p w14:paraId="58677EC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（5）工程完工后1个月内，应当将施工场地的剩余建筑垃圾处置干净，不得占用道路或其他类型土地来堆放建筑垃圾</w:t>
      </w:r>
      <w:r>
        <w:rPr>
          <w:rFonts w:hint="eastAsia" w:ascii="Times New Roman" w:hAnsi="Times New Roman" w:eastAsia="宋体"/>
          <w:strike w:val="0"/>
          <w:dstrike w:val="0"/>
          <w:color w:val="auto"/>
          <w:highlight w:val="none"/>
          <w:lang w:eastAsia="zh-CN"/>
        </w:rPr>
        <w:t>。</w:t>
      </w:r>
    </w:p>
    <w:p w14:paraId="1765FA0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采取上述措施后施工期固体废弃物对项目区及周边环境影响不大</w:t>
      </w:r>
      <w:r>
        <w:rPr>
          <w:rFonts w:hint="eastAsia" w:ascii="Times New Roman" w:hAnsi="Times New Roman" w:eastAsia="宋体"/>
          <w:strike w:val="0"/>
          <w:dstrike w:val="0"/>
          <w:color w:val="auto"/>
          <w:highlight w:val="none"/>
          <w:lang w:eastAsia="zh-CN"/>
        </w:rPr>
        <w:t>。</w:t>
      </w:r>
    </w:p>
    <w:p w14:paraId="25F58742">
      <w:pPr>
        <w:pStyle w:val="4"/>
        <w:rPr>
          <w:rFonts w:ascii="Times New Roman" w:hAnsi="Times New Roman" w:eastAsia="宋体"/>
          <w:strike w:val="0"/>
          <w:dstrike w:val="0"/>
          <w:color w:val="auto"/>
          <w:highlight w:val="none"/>
        </w:rPr>
      </w:pPr>
      <w:bookmarkStart w:id="298" w:name="_Toc106663523"/>
      <w:bookmarkStart w:id="299" w:name="_Toc21814"/>
      <w:r>
        <w:rPr>
          <w:rFonts w:hint="eastAsia" w:ascii="Times New Roman" w:hAnsi="Times New Roman" w:eastAsia="宋体"/>
          <w:strike w:val="0"/>
          <w:dstrike w:val="0"/>
          <w:color w:val="auto"/>
          <w:highlight w:val="none"/>
        </w:rPr>
        <w:t>6.1.5施工期生态环境防治措施</w:t>
      </w:r>
      <w:bookmarkEnd w:id="298"/>
      <w:bookmarkEnd w:id="299"/>
    </w:p>
    <w:p w14:paraId="69678E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项目对生态产生的负面影响主要体现在施工期工程施工阶段，主要影响因素为土壤、动植物以及景观影响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针对生态影响，本次环评提出如下措施：</w:t>
      </w:r>
    </w:p>
    <w:p w14:paraId="55482E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（1）施工期地基开挖后产生的表土于施工区域内集中堆放，就近回填，堆放期间采取覆盖围护措施，防止大风大雨时造成水土流失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堆放前设置挡土墙，堆放后表土堆场上覆盖防尘布，要求施工过程中及时利用原表土对施工造成的裸露地面或基坑进行平整、回填覆土</w:t>
      </w:r>
      <w:r>
        <w:rPr>
          <w:rFonts w:hint="eastAsia" w:ascii="Times New Roman" w:hAnsi="Times New Roman" w:eastAsia="宋体"/>
          <w:strike w:val="0"/>
          <w:dstrike w:val="0"/>
          <w:color w:val="auto"/>
          <w:highlight w:val="none"/>
          <w:lang w:eastAsia="zh-CN"/>
        </w:rPr>
        <w:t>。</w:t>
      </w:r>
    </w:p>
    <w:p w14:paraId="6BC7CB8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（2）在施工过程中填挖土方，会产生水土流失，建设施工尽量安排于非雨天和大风天进行，以避免水土流失的发生，从而尽可能降低对生态环境的潜在影响</w:t>
      </w:r>
      <w:r>
        <w:rPr>
          <w:rFonts w:hint="eastAsia" w:ascii="Times New Roman" w:hAnsi="Times New Roman" w:eastAsia="宋体"/>
          <w:strike w:val="0"/>
          <w:dstrike w:val="0"/>
          <w:color w:val="auto"/>
          <w:highlight w:val="none"/>
          <w:lang w:eastAsia="zh-CN"/>
        </w:rPr>
        <w:t>。</w:t>
      </w:r>
    </w:p>
    <w:p w14:paraId="165E5C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（3）施工完成后，对施工区域内场地进行全面整地并采取硬化措施，避免地表裸露增加水土流失量</w:t>
      </w:r>
      <w:r>
        <w:rPr>
          <w:rFonts w:hint="eastAsia" w:ascii="Times New Roman" w:hAnsi="Times New Roman" w:eastAsia="宋体"/>
          <w:strike w:val="0"/>
          <w:dstrike w:val="0"/>
          <w:color w:val="auto"/>
          <w:highlight w:val="none"/>
          <w:lang w:eastAsia="zh-CN"/>
        </w:rPr>
        <w:t>。</w:t>
      </w:r>
    </w:p>
    <w:p w14:paraId="29DBAF4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（4）施工过程中场地内的施工运输道路等应及时清扫，洒水，减少车辆行驶过程中的扬尘产生量</w:t>
      </w:r>
      <w:r>
        <w:rPr>
          <w:rFonts w:hint="eastAsia" w:ascii="Times New Roman" w:hAnsi="Times New Roman" w:eastAsia="宋体"/>
          <w:strike w:val="0"/>
          <w:dstrike w:val="0"/>
          <w:color w:val="auto"/>
          <w:highlight w:val="none"/>
          <w:lang w:eastAsia="zh-CN"/>
        </w:rPr>
        <w:t>。</w:t>
      </w:r>
    </w:p>
    <w:p w14:paraId="1E35EB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（5）加强施工人员生态保护意识的宣传工作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禁止施工人员破坏设计用地以外的植被或占用规定施工区以外的区域</w:t>
      </w:r>
      <w:r>
        <w:rPr>
          <w:rFonts w:hint="eastAsia" w:ascii="Times New Roman" w:hAnsi="Times New Roman" w:eastAsia="宋体"/>
          <w:strike w:val="0"/>
          <w:dstrike w:val="0"/>
          <w:color w:val="auto"/>
          <w:highlight w:val="none"/>
          <w:lang w:eastAsia="zh-CN"/>
        </w:rPr>
        <w:t>。</w:t>
      </w:r>
    </w:p>
    <w:p w14:paraId="17E2129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采取以上措施后，可最大限度减少因施工引起的负面生态影响</w:t>
      </w:r>
      <w:r>
        <w:rPr>
          <w:rFonts w:hint="eastAsia" w:ascii="Times New Roman" w:hAnsi="Times New Roman" w:eastAsia="宋体"/>
          <w:strike w:val="0"/>
          <w:dstrike w:val="0"/>
          <w:color w:val="auto"/>
          <w:highlight w:val="none"/>
          <w:lang w:eastAsia="zh-CN"/>
        </w:rPr>
        <w:t>。</w:t>
      </w:r>
    </w:p>
    <w:p w14:paraId="1D3E6E6E">
      <w:pPr>
        <w:pStyle w:val="3"/>
        <w:rPr>
          <w:rFonts w:ascii="Times New Roman" w:hAnsi="Times New Roman" w:eastAsia="宋体"/>
          <w:strike w:val="0"/>
          <w:dstrike w:val="0"/>
          <w:color w:val="auto"/>
          <w:highlight w:val="none"/>
        </w:rPr>
      </w:pPr>
      <w:bookmarkStart w:id="300" w:name="_Toc89619349"/>
      <w:bookmarkStart w:id="301" w:name="_Toc20252"/>
      <w:r>
        <w:rPr>
          <w:rFonts w:hint="eastAsia" w:ascii="Times New Roman" w:hAnsi="Times New Roman" w:eastAsia="宋体"/>
          <w:strike w:val="0"/>
          <w:dstrike w:val="0"/>
          <w:color w:val="auto"/>
          <w:highlight w:val="none"/>
        </w:rPr>
        <w:t>6.2运营期污染防治措施分析</w:t>
      </w:r>
      <w:bookmarkEnd w:id="300"/>
      <w:bookmarkEnd w:id="301"/>
    </w:p>
    <w:p w14:paraId="4A983196">
      <w:pPr>
        <w:pStyle w:val="4"/>
        <w:rPr>
          <w:rFonts w:ascii="Times New Roman" w:hAnsi="Times New Roman" w:eastAsia="宋体"/>
          <w:strike w:val="0"/>
          <w:dstrike w:val="0"/>
          <w:color w:val="auto"/>
          <w:highlight w:val="none"/>
        </w:rPr>
      </w:pPr>
      <w:bookmarkStart w:id="302" w:name="_Toc21643"/>
      <w:bookmarkStart w:id="303" w:name="_Toc106663525"/>
      <w:r>
        <w:rPr>
          <w:rFonts w:hint="eastAsia" w:ascii="Times New Roman" w:hAnsi="Times New Roman" w:eastAsia="宋体"/>
          <w:strike w:val="0"/>
          <w:dstrike w:val="0"/>
          <w:color w:val="auto"/>
          <w:highlight w:val="none"/>
        </w:rPr>
        <w:t>6.2.1大气污染物防治措施</w:t>
      </w:r>
      <w:bookmarkEnd w:id="302"/>
      <w:bookmarkEnd w:id="303"/>
    </w:p>
    <w:p w14:paraId="28E1669D">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6.2.1.1恶臭治理措施可行性分析</w:t>
      </w:r>
    </w:p>
    <w:p w14:paraId="159C233D">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本项目采取的恶臭污染防治措施如下：</w:t>
      </w:r>
    </w:p>
    <w:p w14:paraId="189EE83D">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（1）合理布局</w:t>
      </w:r>
    </w:p>
    <w:p w14:paraId="5073A59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本项目将生产区和办公区分开，且生产、生活区间设置绿化带，以减小恶臭对办公区的影响。</w:t>
      </w:r>
    </w:p>
    <w:p w14:paraId="1FED9C1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项目拟在养殖区、办公生活区设置隔离带；场区绿化率达10%。鉴于养殖行业特殊性，在树种选择上，不仅要考虑美化效果，还必须考虑在除臭、防火、吸尘、杀菌等方面的作用。建议防疫隔离带选用杨树、榆树等树种或灌木；防护林选用乔木和灌木混合林带，乔木可选择大叶杨、早柳、榆树，最大限度地防止臭味对周围大气环境的影响。</w:t>
      </w:r>
    </w:p>
    <w:p w14:paraId="04A3372B">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在办公区内设置绿化，区内空地和路边尽量植树及种植花草，以最大限度地防止臭味对周围大气环境的影响。</w:t>
      </w:r>
    </w:p>
    <w:p w14:paraId="3409D8F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（2）选用先进的生产工艺</w:t>
      </w:r>
    </w:p>
    <w:p w14:paraId="6F0A1719">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①在选用饲料时，一是要注意消化率高、营养变异小，二是要注意选择有毒有害成分低、安全性高的饲料。设计日粮组成提高饲料利用率，尤其是氮的利用率，同时可降低骆驼排泄物中氮的含量及恶臭气体的排放。</w:t>
      </w:r>
    </w:p>
    <w:p w14:paraId="0F3AD23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②饲料提倡使用微生物制剂、酶制剂和植物提取液等活性物质，减少污染物排放和恶臭气体的产生。这些微生物进入家畜体内后，能使肠内的有益细菌增殖，使肠的活动能力增强，从而达到抑制粪尿恶臭的目的。如台湾源泉公司开发研制出一种叫“亚罗康菌”的微生物制剂，直接添加到饲料中，可将骆驼体内的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硫化氢等转化为可供畜体吸收的化合态氮和其他物质，可使排泄物中的营养成分和有害成分都明显降低，从而提高饲料消化利用率，并减少臭气的产生。但值得注意的是：使用添加剂时，应选择微生物、低聚糖等无公害饲料添加剂，以保证畜产品安全和无公害。</w:t>
      </w:r>
    </w:p>
    <w:p w14:paraId="576E74B9">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③在饲料中添加沸石，以减轻畜禽排泄物及其气味的污染。沸石其内部有许多孔穴，能产生极强的静电吸附力，具有离子交换性，可以交换吸附一些放射性元素和重金属元素，对畜禽消化道产生的NH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、H</w:t>
      </w:r>
      <w:r>
        <w:rPr>
          <w:rFonts w:hint="eastAsia" w:ascii="Times New Roman" w:hAnsi="Times New Roman" w:eastAsia="宋体"/>
          <w:strike w:val="0"/>
          <w:dstrike w:val="0"/>
          <w:color w:val="auto"/>
          <w:sz w:val="24"/>
          <w:highlight w:val="none"/>
          <w:vertAlign w:val="subscript"/>
          <w:lang w:val="en-US" w:eastAsia="zh-CN"/>
        </w:rPr>
        <w:t>2</w:t>
      </w:r>
      <w:r>
        <w:rPr>
          <w:rFonts w:hint="eastAsia" w:ascii="Times New Roman" w:hAnsi="Times New Roman" w:eastAsia="宋体"/>
          <w:strike w:val="0"/>
          <w:dstrike w:val="0"/>
          <w:color w:val="auto"/>
          <w:sz w:val="24"/>
          <w:highlight w:val="none"/>
          <w:lang w:val="en-US" w:eastAsia="zh-CN"/>
        </w:rPr>
        <w:t>S等有害气体，沸石有较强的吸附能力，可减少粪臭。试验表明，在骆驼日粮中添加5%的沸石，可使排泄物中NH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含量下降21%。</w:t>
      </w:r>
    </w:p>
    <w:p w14:paraId="6F94C04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④在采用科学饲喂的同时，还应采用理想蛋白质体系配方，补充合成氨基酸，如赖氨酸、蛋氨酸、苏氨酸等，提高蛋白质及其他营养的吸收效率，减少氨气排放量和粪便的产生量。</w:t>
      </w:r>
    </w:p>
    <w:p w14:paraId="394BF97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⑤卫生管理。养殖场场区、畜禽舍、器械等消毒应采用环境友好的消毒剂和消毒措施，包括紫外、臭氧、双氧水等方法，防止产生氯代有机物及其他二次污染物。加强对驼舍的清洁卫生管理和通风措施，对骆驼粪便暂存点加强过程控制和清运管理，减少骆驼粪便堆存，并采用加密封盖及负压消臭隔离措施，以减轻臭味对区域环境的影响。</w:t>
      </w:r>
    </w:p>
    <w:p w14:paraId="6268294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⑥安全管理。在项目建成正常运行后，对职工要进行事故处置培训；对设定的各种监控仪器要定期维护，使其正常运行，起到对恶臭的监测和控制作用。</w:t>
      </w:r>
    </w:p>
    <w:p w14:paraId="5BC9F68E">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（3）工程抑臭措施</w:t>
      </w:r>
    </w:p>
    <w:p w14:paraId="702751C4">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喷洒除臭剂和消毒剂，以1：50（除臭剂：消毒用水）的除臭液每7天喷洒一次，除臭效率约为80%，减轻臭味和防止二次污染。</w:t>
      </w:r>
    </w:p>
    <w:p w14:paraId="37F2AEF2">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加强场地及场界的绿化，场内绿化以完全消灭裸露地面为原则，宜选择对恶臭气体吸收效果好的树种，广种花草树木，场界边缘地带种植杨、槐等高大树种形成多层防护林带，以降低恶臭污染的影响程度。</w:t>
      </w:r>
    </w:p>
    <w:p w14:paraId="7A3CDCB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rPr>
      </w:pPr>
      <w:r>
        <w:rPr>
          <w:rFonts w:hint="eastAsia" w:ascii="Times New Roman" w:hAnsi="Times New Roman" w:eastAsia="宋体"/>
          <w:strike w:val="0"/>
          <w:dstrike w:val="0"/>
          <w:color w:val="auto"/>
          <w:sz w:val="24"/>
          <w:highlight w:val="none"/>
          <w:lang w:eastAsia="zh-CN"/>
        </w:rPr>
        <w:t>（</w:t>
      </w:r>
      <w:r>
        <w:rPr>
          <w:rFonts w:hint="eastAsia" w:ascii="Times New Roman" w:hAnsi="Times New Roman" w:eastAsia="宋体"/>
          <w:strike w:val="0"/>
          <w:dstrike w:val="0"/>
          <w:color w:val="auto"/>
          <w:sz w:val="24"/>
          <w:highlight w:val="none"/>
          <w:lang w:val="en-US" w:eastAsia="zh-CN"/>
        </w:rPr>
        <w:t>4</w:t>
      </w:r>
      <w:r>
        <w:rPr>
          <w:rFonts w:hint="eastAsia" w:ascii="Times New Roman" w:hAnsi="Times New Roman" w:eastAsia="宋体"/>
          <w:strike w:val="0"/>
          <w:dstrike w:val="0"/>
          <w:color w:val="auto"/>
          <w:sz w:val="24"/>
          <w:highlight w:val="none"/>
          <w:lang w:eastAsia="zh-CN"/>
        </w:rPr>
        <w:t>）</w:t>
      </w:r>
      <w:r>
        <w:rPr>
          <w:rFonts w:hint="eastAsia" w:ascii="Times New Roman" w:hAnsi="Times New Roman" w:eastAsia="宋体"/>
          <w:strike w:val="0"/>
          <w:dstrike w:val="0"/>
          <w:color w:val="auto"/>
          <w:sz w:val="24"/>
          <w:highlight w:val="none"/>
        </w:rPr>
        <w:t>废气污染防治措施可行性分析</w:t>
      </w:r>
    </w:p>
    <w:p w14:paraId="2C705577">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①绿化及科学喂养可行性</w:t>
      </w:r>
    </w:p>
    <w:p w14:paraId="512A8D9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根据《排污许可证申请与核发技术规范畜禽养殖行业》（HJ1029-2019），畜禽养殖行业无组织排放控制要求见表6.2-1</w:t>
      </w:r>
      <w:r>
        <w:rPr>
          <w:rFonts w:hint="eastAsia" w:ascii="Times New Roman" w:hAnsi="Times New Roman" w:eastAsia="宋体"/>
          <w:strike w:val="0"/>
          <w:dstrike w:val="0"/>
          <w:color w:val="auto"/>
          <w:sz w:val="24"/>
          <w:highlight w:val="none"/>
          <w:lang w:eastAsia="zh-CN"/>
        </w:rPr>
        <w:t>。</w:t>
      </w:r>
    </w:p>
    <w:p w14:paraId="2F3DF3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表6.2-1畜禽养殖行业排污单位恶臭无组织排放控制要求</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32"/>
        <w:gridCol w:w="2977"/>
        <w:gridCol w:w="4690"/>
      </w:tblGrid>
      <w:tr w14:paraId="7CBBC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5E04CA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主要生产设施</w:t>
            </w:r>
          </w:p>
        </w:tc>
        <w:tc>
          <w:tcPr>
            <w:tcW w:w="1793" w:type="pct"/>
            <w:vAlign w:val="center"/>
          </w:tcPr>
          <w:p w14:paraId="19B77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无组织排放控制要求</w:t>
            </w:r>
          </w:p>
        </w:tc>
        <w:tc>
          <w:tcPr>
            <w:tcW w:w="2825" w:type="pct"/>
            <w:vAlign w:val="center"/>
          </w:tcPr>
          <w:p w14:paraId="011580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本项目采取措施</w:t>
            </w:r>
          </w:p>
        </w:tc>
      </w:tr>
      <w:tr w14:paraId="36E28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5D872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养殖圈舍</w:t>
            </w:r>
          </w:p>
        </w:tc>
        <w:tc>
          <w:tcPr>
            <w:tcW w:w="1793" w:type="pct"/>
            <w:vAlign w:val="center"/>
          </w:tcPr>
          <w:p w14:paraId="12A49B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（1）选用益生菌配方饲料；</w:t>
            </w:r>
          </w:p>
          <w:p w14:paraId="70AD28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（2）及时清运粪污；</w:t>
            </w:r>
          </w:p>
          <w:p w14:paraId="6352A94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（3）向粪便或舍内投（铺）放吸附剂减少臭气的散发；</w:t>
            </w:r>
          </w:p>
          <w:p w14:paraId="733A93A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（4）投加或喷洒除臭剂；</w:t>
            </w:r>
          </w:p>
        </w:tc>
        <w:tc>
          <w:tcPr>
            <w:tcW w:w="2825" w:type="pct"/>
            <w:vAlign w:val="center"/>
          </w:tcPr>
          <w:p w14:paraId="48763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定时清理骆驼粪，加强驼舍通风，并科学合理调控饲粮，合理配置饲料成分，对驼舍定期喷洒除臭剂</w:t>
            </w:r>
          </w:p>
        </w:tc>
      </w:tr>
      <w:tr w14:paraId="0F0AC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3F09F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粪污处理工程</w:t>
            </w:r>
          </w:p>
        </w:tc>
        <w:tc>
          <w:tcPr>
            <w:tcW w:w="1793" w:type="pct"/>
            <w:vAlign w:val="center"/>
          </w:tcPr>
          <w:p w14:paraId="3A3583A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（1）定期喷洒除臭剂；</w:t>
            </w:r>
          </w:p>
          <w:p w14:paraId="6925ACC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（2）及时清运固体粪污；</w:t>
            </w:r>
          </w:p>
          <w:p w14:paraId="25EEA82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（3）采用厌氧或好氧堆肥方式</w:t>
            </w:r>
          </w:p>
        </w:tc>
        <w:tc>
          <w:tcPr>
            <w:tcW w:w="2825" w:type="pct"/>
            <w:vAlign w:val="center"/>
          </w:tcPr>
          <w:p w14:paraId="55221E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在堆肥场周边喷洒除臭剂进行处理，及时清运固体粪污</w:t>
            </w:r>
          </w:p>
        </w:tc>
      </w:tr>
      <w:tr w14:paraId="1C5B0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41809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lang w:eastAsia="zh-CN"/>
              </w:rPr>
            </w:pPr>
            <w:r>
              <w:rPr>
                <w:rFonts w:hint="eastAsia" w:ascii="Times New Roman" w:hAnsi="Times New Roman" w:eastAsia="宋体"/>
                <w:strike w:val="0"/>
                <w:dstrike w:val="0"/>
                <w:color w:val="auto"/>
                <w:sz w:val="21"/>
                <w:highlight w:val="none"/>
                <w:lang w:val="en-US" w:eastAsia="zh-CN"/>
              </w:rPr>
              <w:t>全场</w:t>
            </w:r>
          </w:p>
        </w:tc>
        <w:tc>
          <w:tcPr>
            <w:tcW w:w="1793" w:type="pct"/>
            <w:vAlign w:val="center"/>
          </w:tcPr>
          <w:p w14:paraId="43A6D2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（1）固体粪污规范还田利用；</w:t>
            </w:r>
          </w:p>
          <w:p w14:paraId="1FD79EB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（2）场区运输道路全硬化、及时清扫、无积灰扬尘、定期洒水抑尘；</w:t>
            </w:r>
          </w:p>
          <w:p w14:paraId="60C1719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（3）加强场区绿化。</w:t>
            </w:r>
          </w:p>
        </w:tc>
        <w:tc>
          <w:tcPr>
            <w:tcW w:w="2825" w:type="pct"/>
            <w:vAlign w:val="center"/>
          </w:tcPr>
          <w:p w14:paraId="71215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驼粪发酵制有机肥外售；加强场区绿化</w:t>
            </w:r>
          </w:p>
        </w:tc>
      </w:tr>
    </w:tbl>
    <w:p w14:paraId="2B6B163E">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由上表可知，本项目驼舍、堆肥场无组织恶臭气体采取的处置措施符合《排污许可证申请与核发技术规范畜禽养殖行业》（HJ1029-2019）中可行技术。</w:t>
      </w:r>
    </w:p>
    <w:p w14:paraId="6043551C">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cs="Times New Roman"/>
          <w:strike w:val="0"/>
          <w:dstrike w:val="0"/>
          <w:color w:val="auto"/>
          <w:sz w:val="24"/>
          <w:lang w:val="en-US" w:eastAsia="zh-CN" w:bidi="ar-SA"/>
        </w:rPr>
        <w:t>②</w:t>
      </w:r>
      <w:r>
        <w:rPr>
          <w:rFonts w:hint="eastAsia" w:ascii="Times New Roman" w:hAnsi="Times New Roman" w:eastAsia="宋体"/>
          <w:strike w:val="0"/>
          <w:dstrike w:val="0"/>
          <w:color w:val="auto"/>
          <w:sz w:val="24"/>
          <w:highlight w:val="none"/>
          <w:lang w:val="en-US" w:eastAsia="zh-CN"/>
        </w:rPr>
        <w:t>设计可行性</w:t>
      </w:r>
    </w:p>
    <w:p w14:paraId="0C934131">
      <w:pPr>
        <w:ind w:firstLine="480"/>
        <w:rPr>
          <w:rFonts w:hint="default" w:ascii="Times New Roman" w:hAnsi="Times New Roman" w:eastAsia="宋体"/>
          <w:b w:val="0"/>
          <w:bCs w:val="0"/>
          <w:strike w:val="0"/>
          <w:dstrike w:val="0"/>
          <w:color w:val="auto"/>
          <w:highlight w:val="none"/>
          <w:lang w:val="en-US" w:eastAsia="zh-CN"/>
        </w:rPr>
      </w:pPr>
      <w:r>
        <w:rPr>
          <w:rFonts w:hint="eastAsia" w:ascii="Times New Roman" w:hAnsi="Times New Roman" w:eastAsia="宋体"/>
          <w:strike w:val="0"/>
          <w:dstrike w:val="0"/>
          <w:color w:val="auto"/>
          <w:sz w:val="24"/>
          <w:highlight w:val="none"/>
          <w:lang w:val="en-US" w:eastAsia="zh-CN"/>
        </w:rPr>
        <w:t>本项目</w:t>
      </w:r>
      <w:r>
        <w:rPr>
          <w:rFonts w:hint="eastAsia" w:ascii="Times New Roman" w:hAnsi="Times New Roman" w:eastAsia="宋体"/>
          <w:b w:val="0"/>
          <w:bCs w:val="0"/>
          <w:strike w:val="0"/>
          <w:dstrike w:val="0"/>
          <w:color w:val="auto"/>
          <w:highlight w:val="none"/>
          <w:lang w:val="en-US" w:eastAsia="zh-CN"/>
        </w:rPr>
        <w:t>北侧、西侧、南侧均为空地，东侧为乡道，项目周边关系卫星图见附图3.1-2，堆肥场和黑膜池位于厂区西南侧，远离东侧道路，骆驼互动体验区位于主出入口附近，交通便捷，对外展示、接待、办公，位于堆肥场东北方向，本项目区域常年主导风向为西风，运营期间产生恶臭对骆驼互动体验区较小；</w:t>
      </w:r>
      <w:r>
        <w:rPr>
          <w:rFonts w:hint="eastAsia" w:ascii="Times New Roman" w:hAnsi="Times New Roman" w:eastAsia="宋体"/>
          <w:strike w:val="0"/>
          <w:dstrike w:val="0"/>
          <w:color w:val="auto"/>
          <w:highlight w:val="none"/>
        </w:rPr>
        <w:t>含饲料加工间、草料房、青贮窖，</w:t>
      </w:r>
      <w:r>
        <w:rPr>
          <w:rFonts w:hint="eastAsia" w:ascii="Times New Roman" w:hAnsi="Times New Roman" w:eastAsia="宋体"/>
          <w:strike w:val="0"/>
          <w:dstrike w:val="0"/>
          <w:color w:val="auto"/>
          <w:highlight w:val="none"/>
          <w:lang w:val="en-US" w:eastAsia="zh-CN"/>
        </w:rPr>
        <w:t>位于养殖生产区北侧，</w:t>
      </w:r>
      <w:r>
        <w:rPr>
          <w:rFonts w:hint="eastAsia" w:ascii="Times New Roman" w:hAnsi="Times New Roman" w:eastAsia="宋体"/>
          <w:strike w:val="0"/>
          <w:dstrike w:val="0"/>
          <w:color w:val="auto"/>
          <w:highlight w:val="none"/>
        </w:rPr>
        <w:t>靠近场区</w:t>
      </w:r>
      <w:r>
        <w:rPr>
          <w:rFonts w:hint="eastAsia" w:ascii="Times New Roman" w:hAnsi="Times New Roman" w:eastAsia="宋体"/>
          <w:strike w:val="0"/>
          <w:dstrike w:val="0"/>
          <w:color w:val="auto"/>
          <w:highlight w:val="none"/>
          <w:lang w:val="en-US" w:eastAsia="zh-CN"/>
        </w:rPr>
        <w:t>次出入</w:t>
      </w:r>
      <w:r>
        <w:rPr>
          <w:rFonts w:hint="eastAsia" w:ascii="Times New Roman" w:hAnsi="Times New Roman" w:eastAsia="宋体"/>
          <w:strike w:val="0"/>
          <w:dstrike w:val="0"/>
          <w:color w:val="auto"/>
          <w:highlight w:val="none"/>
        </w:rPr>
        <w:t>口，减少场内运输交叉</w:t>
      </w:r>
      <w:r>
        <w:rPr>
          <w:rFonts w:hint="eastAsia" w:ascii="Times New Roman" w:hAnsi="Times New Roman" w:eastAsia="宋体"/>
          <w:b w:val="0"/>
          <w:bCs w:val="0"/>
          <w:strike w:val="0"/>
          <w:dstrike w:val="0"/>
          <w:color w:val="auto"/>
          <w:highlight w:val="none"/>
          <w:lang w:eastAsia="zh-CN"/>
        </w:rPr>
        <w:t>；</w:t>
      </w:r>
      <w:r>
        <w:rPr>
          <w:rFonts w:hint="eastAsia" w:ascii="Times New Roman" w:hAnsi="Times New Roman" w:eastAsia="宋体"/>
          <w:b w:val="0"/>
          <w:bCs w:val="0"/>
          <w:strike w:val="0"/>
          <w:dstrike w:val="0"/>
          <w:color w:val="auto"/>
          <w:highlight w:val="none"/>
        </w:rPr>
        <w:t>母驼舍布置于场区采光、通风最佳位置，满足规模化饲养。公驼舍与母驼舍保持合理间距，实行分群饲养。孕驼舍环境安静、独立设置，利于孕期母驼管护。各驼舍行列式排布，间距满足防疫、通风、采光及消防要求，舍外设活动场地与运动跑道。挤奶大厅靠近母驼舍，流线短捷，便于驼奶采集、暂存、转运。</w:t>
      </w:r>
      <w:r>
        <w:rPr>
          <w:rFonts w:hint="eastAsia" w:ascii="Times New Roman" w:hAnsi="Times New Roman" w:eastAsia="宋体"/>
          <w:b w:val="0"/>
          <w:bCs w:val="0"/>
          <w:strike w:val="0"/>
          <w:dstrike w:val="0"/>
          <w:color w:val="auto"/>
          <w:highlight w:val="none"/>
          <w:lang w:val="en-US" w:eastAsia="zh-CN"/>
        </w:rPr>
        <w:t>本环评建议加强厂区绿化及驼舍通风。</w:t>
      </w:r>
    </w:p>
    <w:p w14:paraId="3D6A7B8F">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b w:val="0"/>
          <w:bCs w:val="0"/>
          <w:strike w:val="0"/>
          <w:dstrike w:val="0"/>
          <w:color w:val="auto"/>
          <w:highlight w:val="none"/>
          <w:lang w:val="en-US" w:eastAsia="zh-CN"/>
        </w:rPr>
        <w:t>综上，本项目符合</w:t>
      </w:r>
      <w:r>
        <w:rPr>
          <w:rFonts w:hint="eastAsia" w:ascii="Times New Roman" w:hAnsi="Times New Roman" w:eastAsia="宋体"/>
          <w:strike w:val="0"/>
          <w:dstrike w:val="0"/>
          <w:color w:val="auto"/>
          <w:highlight w:val="none"/>
        </w:rPr>
        <w:t>《畜禽养殖业污染防治技术规范》（HJ/T81-2001）</w:t>
      </w:r>
      <w:r>
        <w:rPr>
          <w:rFonts w:hint="eastAsia" w:ascii="Times New Roman" w:hAnsi="Times New Roman" w:eastAsia="宋体"/>
          <w:strike w:val="0"/>
          <w:dstrike w:val="0"/>
          <w:color w:val="auto"/>
          <w:highlight w:val="none"/>
          <w:lang w:eastAsia="zh-CN"/>
        </w:rPr>
        <w:t>、《畜禽场场区设计技术规范》（NY/T682-2023）、</w:t>
      </w:r>
      <w:r>
        <w:rPr>
          <w:rFonts w:hint="eastAsia" w:ascii="Times New Roman" w:hAnsi="Times New Roman" w:eastAsia="宋体"/>
          <w:strike w:val="0"/>
          <w:dstrike w:val="0"/>
          <w:color w:val="auto"/>
          <w:highlight w:val="none"/>
        </w:rPr>
        <w:t>《畜禽养殖业污染治理工程技术规范》（HJ497-2009）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《恶臭污染物排放标准》（GB14554-1993）</w:t>
      </w:r>
      <w:r>
        <w:rPr>
          <w:rFonts w:hint="eastAsia" w:ascii="Times New Roman" w:hAnsi="Times New Roman" w:eastAsia="宋体"/>
          <w:strike w:val="0"/>
          <w:dstrike w:val="0"/>
          <w:color w:val="auto"/>
          <w:highlight w:val="none"/>
          <w:lang w:val="en-US" w:eastAsia="zh-CN"/>
        </w:rPr>
        <w:t>等相关文件对畜禽养殖设计相关要求，设计可行。</w:t>
      </w:r>
    </w:p>
    <w:p w14:paraId="1ABAC165">
      <w:pPr>
        <w:pStyle w:val="4"/>
        <w:rPr>
          <w:rFonts w:ascii="Times New Roman" w:hAnsi="Times New Roman" w:eastAsia="宋体"/>
          <w:strike w:val="0"/>
          <w:dstrike w:val="0"/>
          <w:color w:val="auto"/>
          <w:highlight w:val="none"/>
        </w:rPr>
      </w:pPr>
      <w:bookmarkStart w:id="304" w:name="_Toc106663526"/>
      <w:bookmarkStart w:id="305" w:name="_Toc22726"/>
      <w:r>
        <w:rPr>
          <w:rFonts w:hint="eastAsia" w:ascii="Times New Roman" w:hAnsi="Times New Roman" w:eastAsia="宋体"/>
          <w:strike w:val="0"/>
          <w:dstrike w:val="0"/>
          <w:color w:val="auto"/>
          <w:highlight w:val="none"/>
        </w:rPr>
        <w:t>6.2.2运营期水污染防治措施</w:t>
      </w:r>
      <w:bookmarkEnd w:id="304"/>
      <w:bookmarkEnd w:id="305"/>
    </w:p>
    <w:p w14:paraId="536A95FE">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6.2.2.1废水排放可行性分析</w:t>
      </w:r>
    </w:p>
    <w:p w14:paraId="21906F9E">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strike w:val="0"/>
          <w:dstrike w:val="0"/>
          <w:color w:val="auto"/>
          <w:sz w:val="24"/>
          <w:szCs w:val="24"/>
          <w:highlight w:val="none"/>
        </w:rPr>
      </w:pPr>
      <w:r>
        <w:rPr>
          <w:rFonts w:hint="eastAsia" w:ascii="Times New Roman" w:hAnsi="Times New Roman" w:eastAsia="宋体"/>
          <w:strike w:val="0"/>
          <w:dstrike w:val="0"/>
          <w:color w:val="auto"/>
          <w:sz w:val="24"/>
          <w:szCs w:val="24"/>
          <w:highlight w:val="none"/>
          <w:lang w:eastAsia="zh-CN"/>
        </w:rPr>
        <w:t>（</w:t>
      </w:r>
      <w:r>
        <w:rPr>
          <w:rFonts w:ascii="Times New Roman" w:hAnsi="Times New Roman" w:eastAsia="宋体"/>
          <w:strike w:val="0"/>
          <w:dstrike w:val="0"/>
          <w:color w:val="auto"/>
          <w:sz w:val="24"/>
          <w:szCs w:val="24"/>
          <w:highlight w:val="none"/>
        </w:rPr>
        <w:t>1</w:t>
      </w:r>
      <w:r>
        <w:rPr>
          <w:rFonts w:hint="eastAsia" w:ascii="Times New Roman" w:hAnsi="Times New Roman" w:eastAsia="宋体"/>
          <w:strike w:val="0"/>
          <w:dstrike w:val="0"/>
          <w:color w:val="auto"/>
          <w:sz w:val="24"/>
          <w:szCs w:val="24"/>
          <w:highlight w:val="none"/>
          <w:lang w:eastAsia="zh-CN"/>
        </w:rPr>
        <w:t>）</w:t>
      </w:r>
      <w:r>
        <w:rPr>
          <w:rFonts w:ascii="Times New Roman" w:hAnsi="Times New Roman" w:eastAsia="宋体"/>
          <w:strike w:val="0"/>
          <w:dstrike w:val="0"/>
          <w:color w:val="auto"/>
          <w:sz w:val="24"/>
          <w:szCs w:val="24"/>
          <w:highlight w:val="none"/>
        </w:rPr>
        <w:t>废水排放情况</w:t>
      </w:r>
    </w:p>
    <w:p w14:paraId="18B01DE3">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sz w:val="24"/>
          <w:szCs w:val="24"/>
          <w:highlight w:val="none"/>
          <w:lang w:eastAsia="zh-CN"/>
        </w:rPr>
      </w:pPr>
      <w:r>
        <w:rPr>
          <w:rFonts w:ascii="Times New Roman" w:hAnsi="Times New Roman" w:eastAsia="宋体"/>
          <w:strike w:val="0"/>
          <w:dstrike w:val="0"/>
          <w:color w:val="auto"/>
          <w:sz w:val="24"/>
          <w:szCs w:val="24"/>
          <w:highlight w:val="none"/>
        </w:rPr>
        <w:t>本项目废水</w:t>
      </w:r>
      <w:r>
        <w:rPr>
          <w:rFonts w:hint="eastAsia" w:ascii="Times New Roman" w:hAnsi="Times New Roman" w:eastAsia="宋体"/>
          <w:strike w:val="0"/>
          <w:dstrike w:val="0"/>
          <w:color w:val="auto"/>
          <w:sz w:val="24"/>
          <w:szCs w:val="24"/>
          <w:highlight w:val="none"/>
          <w:lang w:val="en-US" w:eastAsia="zh-CN"/>
        </w:rPr>
        <w:t>为职工生活污水、挤奶厅（待挤区）清洗废水、挤奶设备清洗废水，</w:t>
      </w:r>
      <w:r>
        <w:rPr>
          <w:rFonts w:ascii="Times New Roman" w:hAnsi="Times New Roman" w:eastAsia="宋体"/>
          <w:strike w:val="0"/>
          <w:dstrike w:val="0"/>
          <w:color w:val="auto"/>
          <w:sz w:val="24"/>
          <w:szCs w:val="24"/>
          <w:highlight w:val="none"/>
        </w:rPr>
        <w:t>产生量约为</w:t>
      </w:r>
      <w:r>
        <w:rPr>
          <w:rFonts w:hint="eastAsia" w:ascii="Times New Roman" w:hAnsi="Times New Roman" w:eastAsia="宋体"/>
          <w:strike w:val="0"/>
          <w:dstrike w:val="0"/>
          <w:color w:val="auto"/>
          <w:sz w:val="24"/>
          <w:szCs w:val="24"/>
          <w:highlight w:val="none"/>
          <w:lang w:val="en-US" w:eastAsia="zh-CN"/>
        </w:rPr>
        <w:t>2511.2</w:t>
      </w:r>
      <w:r>
        <w:rPr>
          <w:rFonts w:ascii="Times New Roman" w:hAnsi="Times New Roman" w:eastAsia="宋体"/>
          <w:strike w:val="0"/>
          <w:dstrike w:val="0"/>
          <w:color w:val="auto"/>
          <w:sz w:val="24"/>
          <w:szCs w:val="24"/>
          <w:highlight w:val="none"/>
        </w:rPr>
        <w:t>m</w:t>
      </w:r>
      <w:r>
        <w:rPr>
          <w:rFonts w:ascii="Times New Roman" w:hAnsi="Times New Roman" w:eastAsia="宋体"/>
          <w:strike w:val="0"/>
          <w:dstrike w:val="0"/>
          <w:color w:val="auto"/>
          <w:sz w:val="24"/>
          <w:szCs w:val="24"/>
          <w:highlight w:val="none"/>
          <w:vertAlign w:val="superscript"/>
        </w:rPr>
        <w:t>3</w:t>
      </w:r>
      <w:r>
        <w:rPr>
          <w:rFonts w:ascii="Times New Roman" w:hAnsi="Times New Roman" w:eastAsia="宋体"/>
          <w:strike w:val="0"/>
          <w:dstrike w:val="0"/>
          <w:color w:val="auto"/>
          <w:sz w:val="24"/>
          <w:szCs w:val="24"/>
          <w:highlight w:val="none"/>
        </w:rPr>
        <w:t>/a，主要污染因子主要为CODcr、BOD</w:t>
      </w:r>
      <w:r>
        <w:rPr>
          <w:rFonts w:ascii="Times New Roman" w:hAnsi="Times New Roman" w:eastAsia="宋体"/>
          <w:strike w:val="0"/>
          <w:dstrike w:val="0"/>
          <w:color w:val="auto"/>
          <w:sz w:val="24"/>
          <w:szCs w:val="24"/>
          <w:highlight w:val="none"/>
          <w:vertAlign w:val="subscript"/>
        </w:rPr>
        <w:t>5</w:t>
      </w:r>
      <w:r>
        <w:rPr>
          <w:rFonts w:ascii="Times New Roman" w:hAnsi="Times New Roman" w:eastAsia="宋体"/>
          <w:strike w:val="0"/>
          <w:dstrike w:val="0"/>
          <w:color w:val="auto"/>
          <w:sz w:val="24"/>
          <w:szCs w:val="24"/>
          <w:highlight w:val="none"/>
        </w:rPr>
        <w:t>、NH</w:t>
      </w:r>
      <w:r>
        <w:rPr>
          <w:rFonts w:ascii="Times New Roman" w:hAnsi="Times New Roman" w:eastAsia="宋体"/>
          <w:strike w:val="0"/>
          <w:dstrike w:val="0"/>
          <w:color w:val="auto"/>
          <w:sz w:val="24"/>
          <w:szCs w:val="24"/>
          <w:highlight w:val="none"/>
          <w:vertAlign w:val="subscript"/>
        </w:rPr>
        <w:t>3</w:t>
      </w:r>
      <w:r>
        <w:rPr>
          <w:rFonts w:ascii="Times New Roman" w:hAnsi="Times New Roman" w:eastAsia="宋体"/>
          <w:strike w:val="0"/>
          <w:dstrike w:val="0"/>
          <w:color w:val="auto"/>
          <w:sz w:val="24"/>
          <w:szCs w:val="24"/>
          <w:highlight w:val="none"/>
        </w:rPr>
        <w:t>-N和SS</w:t>
      </w: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生活污水和生产</w:t>
      </w:r>
      <w:r>
        <w:rPr>
          <w:rFonts w:hint="eastAsia" w:ascii="Times New Roman" w:hAnsi="Times New Roman" w:eastAsia="宋体"/>
          <w:strike w:val="0"/>
          <w:dstrike w:val="0"/>
          <w:color w:val="auto"/>
          <w:sz w:val="24"/>
          <w:szCs w:val="24"/>
          <w:highlight w:val="none"/>
        </w:rPr>
        <w:t>废水经排污管道</w:t>
      </w:r>
      <w:r>
        <w:rPr>
          <w:rFonts w:hint="eastAsia" w:ascii="Times New Roman" w:hAnsi="Times New Roman" w:eastAsia="宋体"/>
          <w:strike w:val="0"/>
          <w:dstrike w:val="0"/>
          <w:color w:val="auto"/>
          <w:sz w:val="24"/>
          <w:szCs w:val="24"/>
          <w:highlight w:val="none"/>
          <w:lang w:val="en-US" w:eastAsia="zh-CN"/>
        </w:rPr>
        <w:t>排放</w:t>
      </w:r>
      <w:r>
        <w:rPr>
          <w:rFonts w:hint="eastAsia" w:ascii="Times New Roman" w:hAnsi="Times New Roman" w:eastAsia="宋体"/>
          <w:strike w:val="0"/>
          <w:dstrike w:val="0"/>
          <w:color w:val="auto"/>
          <w:sz w:val="24"/>
          <w:szCs w:val="24"/>
          <w:highlight w:val="none"/>
        </w:rPr>
        <w:t>至舍外</w:t>
      </w:r>
      <w:r>
        <w:rPr>
          <w:rFonts w:hint="eastAsia" w:ascii="Times New Roman" w:hAnsi="Times New Roman" w:eastAsia="宋体"/>
          <w:strike w:val="0"/>
          <w:dstrike w:val="0"/>
          <w:color w:val="auto"/>
          <w:sz w:val="24"/>
          <w:szCs w:val="24"/>
          <w:highlight w:val="none"/>
          <w:lang w:val="en-US" w:eastAsia="zh-CN"/>
        </w:rPr>
        <w:t>黑膜池</w:t>
      </w:r>
      <w:r>
        <w:rPr>
          <w:rFonts w:hint="eastAsia" w:ascii="Times New Roman" w:hAnsi="Times New Roman" w:eastAsia="宋体"/>
          <w:strike w:val="0"/>
          <w:dstrike w:val="0"/>
          <w:color w:val="auto"/>
          <w:sz w:val="24"/>
          <w:szCs w:val="24"/>
          <w:highlight w:val="none"/>
        </w:rPr>
        <w:t>，厌氧发酵处理后，</w:t>
      </w:r>
      <w:r>
        <w:rPr>
          <w:rFonts w:hint="eastAsia" w:ascii="Times New Roman" w:hAnsi="Times New Roman" w:eastAsia="宋体"/>
          <w:strike w:val="0"/>
          <w:dstrike w:val="0"/>
          <w:color w:val="auto"/>
          <w:sz w:val="24"/>
          <w:szCs w:val="24"/>
          <w:highlight w:val="none"/>
          <w:lang w:val="en-US" w:eastAsia="zh-CN"/>
        </w:rPr>
        <w:t>用于周边林带及厂区绿化施肥</w:t>
      </w:r>
      <w:r>
        <w:rPr>
          <w:rFonts w:hint="eastAsia" w:ascii="Times New Roman" w:hAnsi="Times New Roman" w:eastAsia="宋体"/>
          <w:strike w:val="0"/>
          <w:dstrike w:val="0"/>
          <w:color w:val="auto"/>
          <w:sz w:val="24"/>
          <w:szCs w:val="24"/>
          <w:highlight w:val="none"/>
          <w:lang w:eastAsia="zh-CN"/>
        </w:rPr>
        <w:t>。</w:t>
      </w:r>
    </w:p>
    <w:p w14:paraId="7D73367B">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strike w:val="0"/>
          <w:dstrike w:val="0"/>
          <w:color w:val="auto"/>
          <w:sz w:val="24"/>
          <w:szCs w:val="24"/>
          <w:highlight w:val="none"/>
          <w:lang w:val="en-US"/>
        </w:rPr>
      </w:pP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2</w:t>
      </w: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可行性分析</w:t>
      </w:r>
    </w:p>
    <w:p w14:paraId="0039A6DC">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项目区内</w:t>
      </w:r>
      <w:r>
        <w:rPr>
          <w:rFonts w:hint="eastAsia" w:ascii="Times New Roman" w:hAnsi="Times New Roman" w:eastAsia="宋体" w:cs="宋体"/>
          <w:color w:val="auto"/>
          <w:kern w:val="0"/>
          <w:sz w:val="24"/>
          <w:lang w:val="en-US" w:eastAsia="zh-CN" w:bidi="ar"/>
        </w:rPr>
        <w:t>生产</w:t>
      </w:r>
      <w:r>
        <w:rPr>
          <w:rFonts w:hint="eastAsia" w:ascii="Times New Roman" w:hAnsi="Times New Roman" w:eastAsia="宋体" w:cs="宋体"/>
          <w:color w:val="auto"/>
          <w:kern w:val="0"/>
          <w:sz w:val="24"/>
          <w:lang w:bidi="ar"/>
        </w:rPr>
        <w:t>废水</w:t>
      </w:r>
      <w:r>
        <w:rPr>
          <w:rFonts w:hint="eastAsia" w:ascii="Times New Roman" w:hAnsi="Times New Roman" w:eastAsia="宋体" w:cs="宋体"/>
          <w:color w:val="auto"/>
          <w:kern w:val="0"/>
          <w:sz w:val="24"/>
          <w:lang w:val="en-US" w:eastAsia="zh-CN" w:bidi="ar"/>
        </w:rPr>
        <w:t>和生活污水</w:t>
      </w:r>
      <w:r>
        <w:rPr>
          <w:rFonts w:hint="eastAsia" w:ascii="Times New Roman" w:hAnsi="Times New Roman" w:eastAsia="宋体" w:cs="宋体"/>
          <w:color w:val="auto"/>
          <w:kern w:val="0"/>
          <w:sz w:val="24"/>
          <w:lang w:bidi="ar"/>
        </w:rPr>
        <w:t>均采取密闭管道收集后进入黑膜池中，同时管道中设置水封，防止恶臭气体通过污水管道流进</w:t>
      </w:r>
      <w:r>
        <w:rPr>
          <w:rFonts w:hint="eastAsia" w:ascii="Times New Roman" w:hAnsi="Times New Roman" w:eastAsia="宋体" w:cs="宋体"/>
          <w:color w:val="auto"/>
          <w:kern w:val="0"/>
          <w:sz w:val="24"/>
          <w:lang w:val="en-US" w:eastAsia="zh-CN" w:bidi="ar"/>
        </w:rPr>
        <w:t>挤奶厅</w:t>
      </w:r>
      <w:r>
        <w:rPr>
          <w:rFonts w:hint="eastAsia" w:ascii="Times New Roman" w:hAnsi="Times New Roman" w:eastAsia="宋体"/>
          <w:strike w:val="0"/>
          <w:dstrike w:val="0"/>
          <w:color w:val="auto"/>
          <w:sz w:val="24"/>
          <w:szCs w:val="24"/>
          <w:highlight w:val="none"/>
          <w:lang w:eastAsia="zh-CN"/>
        </w:rPr>
        <w:t>。</w:t>
      </w:r>
    </w:p>
    <w:p w14:paraId="550D9BD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所设计的黑膜池采用双层覆膜技术，具有防渗防蒸发的功能；能减少恶臭气体的挥发，减少对周围环境的影响。黑膜池系统简单、施工快捷，存储过程中无渗漏无蒸发，能减少存储过程中恶臭的挥发，同时存储过程中对周边大气、土壤、地下水等也不造成污染，是一种绿色、环保、高效、经济的废水存储和处置方式。厌氧消化的优点是反应速度快，适应性强，操作简单、投资较少。</w:t>
      </w:r>
    </w:p>
    <w:p w14:paraId="7E9FB763">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sz w:val="24"/>
          <w:szCs w:val="24"/>
          <w:highlight w:val="none"/>
          <w:lang w:eastAsia="zh-CN"/>
        </w:rPr>
      </w:pPr>
      <w:r>
        <w:rPr>
          <w:rFonts w:hint="eastAsia" w:ascii="Times New Roman" w:hAnsi="Times New Roman" w:eastAsia="宋体"/>
          <w:strike w:val="0"/>
          <w:dstrike w:val="0"/>
          <w:color w:val="auto"/>
          <w:sz w:val="24"/>
          <w:szCs w:val="24"/>
          <w:highlight w:val="none"/>
          <w:lang w:val="en-US" w:eastAsia="zh-CN"/>
        </w:rPr>
        <w:t>①</w:t>
      </w:r>
      <w:r>
        <w:rPr>
          <w:rFonts w:hint="eastAsia" w:ascii="Times New Roman" w:hAnsi="Times New Roman" w:eastAsia="宋体"/>
          <w:strike w:val="0"/>
          <w:dstrike w:val="0"/>
          <w:color w:val="auto"/>
          <w:sz w:val="24"/>
          <w:szCs w:val="24"/>
          <w:highlight w:val="none"/>
          <w:lang w:eastAsia="zh-CN"/>
        </w:rPr>
        <w:t>黑膜池冬季暂存可行性分析</w:t>
      </w:r>
    </w:p>
    <w:p w14:paraId="057277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本项目废水处理主要工艺为黑膜池厌氧发酵工艺，是在开挖好的土方基础上，采用优质HDPE材料，由底膜和顶膜密封形成的全封闭厌氧反应器。</w:t>
      </w:r>
      <w:r>
        <w:rPr>
          <w:rFonts w:hint="eastAsia" w:ascii="Times New Roman" w:hAnsi="Times New Roman" w:eastAsia="宋体" w:cs="宋体"/>
          <w:color w:val="auto"/>
          <w:kern w:val="0"/>
          <w:sz w:val="24"/>
          <w:lang w:bidi="ar"/>
        </w:rPr>
        <w:t>本项目废水产生量为</w:t>
      </w:r>
      <w:r>
        <w:rPr>
          <w:rFonts w:hint="eastAsia" w:ascii="Times New Roman" w:hAnsi="Times New Roman" w:eastAsia="宋体" w:cs="宋体"/>
          <w:color w:val="auto"/>
          <w:kern w:val="0"/>
          <w:sz w:val="24"/>
          <w:lang w:val="en-US" w:eastAsia="zh-CN" w:bidi="ar"/>
        </w:rPr>
        <w:t>6.88</w:t>
      </w:r>
      <w:r>
        <w:rPr>
          <w:rFonts w:ascii="Times New Roman" w:hAnsi="Times New Roman" w:eastAsia="宋体" w:cs="宋体"/>
          <w:color w:val="auto"/>
          <w:kern w:val="0"/>
          <w:sz w:val="24"/>
          <w:lang w:bidi="ar"/>
        </w:rPr>
        <w:t>m</w:t>
      </w:r>
      <w:r>
        <w:rPr>
          <w:rFonts w:ascii="Times New Roman" w:hAnsi="Times New Roman" w:eastAsia="宋体" w:cs="宋体"/>
          <w:color w:val="auto"/>
          <w:kern w:val="0"/>
          <w:sz w:val="24"/>
          <w:vertAlign w:val="superscript"/>
          <w:lang w:bidi="ar"/>
        </w:rPr>
        <w:t>3</w:t>
      </w:r>
      <w:r>
        <w:rPr>
          <w:rFonts w:ascii="Times New Roman" w:hAnsi="Times New Roman" w:eastAsia="宋体" w:cs="宋体"/>
          <w:color w:val="auto"/>
          <w:kern w:val="0"/>
          <w:sz w:val="24"/>
          <w:lang w:bidi="ar"/>
        </w:rPr>
        <w:t>/d</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综合气候、发酵等因素</w:t>
      </w:r>
      <w:r>
        <w:rPr>
          <w:rFonts w:hint="default" w:ascii="Times New Roman" w:hAnsi="Times New Roman" w:eastAsia="宋体" w:cs="宋体"/>
          <w:color w:val="auto"/>
          <w:kern w:val="0"/>
          <w:sz w:val="24"/>
          <w:lang w:val="en-US" w:eastAsia="zh-CN" w:bidi="ar"/>
        </w:rPr>
        <w:t>，按照</w:t>
      </w:r>
      <w:r>
        <w:rPr>
          <w:rFonts w:hint="eastAsia" w:ascii="Times New Roman" w:hAnsi="Times New Roman" w:eastAsia="宋体" w:cs="宋体"/>
          <w:color w:val="auto"/>
          <w:kern w:val="0"/>
          <w:sz w:val="24"/>
          <w:lang w:val="en-US" w:eastAsia="zh-CN" w:bidi="ar"/>
        </w:rPr>
        <w:t>180</w:t>
      </w:r>
      <w:r>
        <w:rPr>
          <w:rFonts w:hint="default" w:ascii="Times New Roman" w:hAnsi="Times New Roman" w:eastAsia="宋体" w:cs="宋体"/>
          <w:color w:val="auto"/>
          <w:kern w:val="0"/>
          <w:sz w:val="24"/>
          <w:lang w:val="en-US" w:eastAsia="zh-CN" w:bidi="ar"/>
        </w:rPr>
        <w:t>天的废水产生量核定黑膜池容积，</w:t>
      </w:r>
      <w:r>
        <w:rPr>
          <w:rFonts w:hint="eastAsia" w:ascii="Times New Roman" w:hAnsi="Times New Roman" w:eastAsia="宋体" w:cs="宋体"/>
          <w:color w:val="auto"/>
          <w:kern w:val="0"/>
          <w:sz w:val="24"/>
          <w:lang w:val="en-US" w:eastAsia="zh-CN" w:bidi="ar"/>
        </w:rPr>
        <w:t>180天废水产生量1238.4m</w:t>
      </w:r>
      <w:r>
        <w:rPr>
          <w:rFonts w:hint="eastAsia" w:ascii="Times New Roman" w:hAnsi="Times New Roman" w:eastAsia="宋体" w:cs="宋体"/>
          <w:color w:val="auto"/>
          <w:kern w:val="0"/>
          <w:sz w:val="24"/>
          <w:vertAlign w:val="superscript"/>
          <w:lang w:val="en-US" w:eastAsia="zh-CN" w:bidi="ar"/>
        </w:rPr>
        <w:t>3</w:t>
      </w:r>
      <w:r>
        <w:rPr>
          <w:rFonts w:hint="eastAsia" w:ascii="Times New Roman" w:hAnsi="Times New Roman" w:eastAsia="宋体" w:cs="宋体"/>
          <w:color w:val="auto"/>
          <w:kern w:val="0"/>
          <w:sz w:val="24"/>
          <w:vertAlign w:val="baseline"/>
          <w:lang w:val="en-US" w:eastAsia="zh-CN" w:bidi="ar"/>
        </w:rPr>
        <w:t>，</w:t>
      </w:r>
      <w:r>
        <w:rPr>
          <w:rFonts w:hint="eastAsia" w:ascii="Times New Roman" w:hAnsi="Times New Roman" w:eastAsia="宋体" w:cs="宋体"/>
          <w:color w:val="auto"/>
          <w:kern w:val="0"/>
          <w:sz w:val="24"/>
          <w:lang w:val="en-US" w:eastAsia="zh-CN" w:bidi="ar"/>
        </w:rPr>
        <w:t>本环评要求黑膜池容积为1500</w:t>
      </w:r>
      <w:r>
        <w:rPr>
          <w:rFonts w:ascii="Times New Roman" w:hAnsi="Times New Roman" w:eastAsia="宋体" w:cs="宋体"/>
          <w:color w:val="auto"/>
          <w:kern w:val="0"/>
          <w:sz w:val="24"/>
          <w:lang w:bidi="ar"/>
        </w:rPr>
        <w:t>m</w:t>
      </w:r>
      <w:r>
        <w:rPr>
          <w:rFonts w:ascii="Times New Roman" w:hAnsi="Times New Roman" w:eastAsia="宋体" w:cs="宋体"/>
          <w:color w:val="auto"/>
          <w:kern w:val="0"/>
          <w:sz w:val="24"/>
          <w:vertAlign w:val="superscript"/>
          <w:lang w:bidi="ar"/>
        </w:rPr>
        <w:t>3</w:t>
      </w:r>
      <w:r>
        <w:rPr>
          <w:rFonts w:hint="eastAsia" w:ascii="Times New Roman" w:hAnsi="Times New Roman" w:eastAsia="宋体" w:cs="宋体"/>
          <w:color w:val="auto"/>
          <w:kern w:val="0"/>
          <w:sz w:val="24"/>
          <w:vertAlign w:val="baseline"/>
          <w:lang w:eastAsia="zh-CN" w:bidi="ar"/>
        </w:rPr>
        <w:t>以上，要求黑膜池建设在防冻层以下，</w:t>
      </w:r>
      <w:r>
        <w:rPr>
          <w:rFonts w:hint="eastAsia" w:ascii="Times New Roman" w:hAnsi="Times New Roman" w:eastAsia="宋体" w:cs="宋体"/>
          <w:color w:val="auto"/>
          <w:kern w:val="0"/>
          <w:sz w:val="24"/>
          <w:lang w:val="en-US" w:eastAsia="zh-CN" w:bidi="ar"/>
        </w:rPr>
        <w:t>黑膜池容积大、深度较深，每天进水量相对较少，因此耐污水的冲击负荷强；黑膜池主体工程位于地面以下，顶部、底部用黑膜密封，和外界环境气温不流通，形成独特的小气候。黑膜池结构示意图如下：</w:t>
      </w:r>
    </w:p>
    <w:p w14:paraId="00827058">
      <w:pPr>
        <w:ind w:firstLine="0" w:firstLineChars="0"/>
        <w:jc w:val="center"/>
        <w:rPr>
          <w:rFonts w:hint="eastAsia" w:ascii="Times New Roman" w:hAnsi="Times New Roman" w:eastAsia="宋体"/>
          <w:color w:val="auto"/>
          <w:lang w:eastAsia="zh-CN"/>
        </w:rPr>
      </w:pPr>
      <w:r>
        <w:rPr>
          <w:rFonts w:hint="eastAsia" w:ascii="Times New Roman" w:hAnsi="Times New Roman" w:eastAsia="宋体"/>
          <w:color w:val="auto"/>
          <w:lang w:eastAsia="zh-CN"/>
        </w:rPr>
        <w:drawing>
          <wp:inline distT="0" distB="0" distL="114300" distR="114300">
            <wp:extent cx="4319905" cy="2176145"/>
            <wp:effectExtent l="0" t="0" r="4445" b="14605"/>
            <wp:docPr id="77" name="图片 77"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1)"/>
                    <pic:cNvPicPr>
                      <a:picLocks noChangeAspect="1"/>
                    </pic:cNvPicPr>
                  </pic:nvPicPr>
                  <pic:blipFill>
                    <a:blip r:embed="rId79"/>
                    <a:stretch>
                      <a:fillRect/>
                    </a:stretch>
                  </pic:blipFill>
                  <pic:spPr>
                    <a:xfrm>
                      <a:off x="0" y="0"/>
                      <a:ext cx="4319905" cy="2176145"/>
                    </a:xfrm>
                    <a:prstGeom prst="rect">
                      <a:avLst/>
                    </a:prstGeom>
                  </pic:spPr>
                </pic:pic>
              </a:graphicData>
            </a:graphic>
          </wp:inline>
        </w:drawing>
      </w:r>
    </w:p>
    <w:p w14:paraId="46F83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图6.2-1 黑膜沼气池结构示意图</w:t>
      </w:r>
    </w:p>
    <w:p w14:paraId="54C499BF">
      <w:pPr>
        <w:widowControl/>
        <w:spacing w:line="440" w:lineRule="exact"/>
        <w:ind w:firstLine="480" w:firstLineChars="200"/>
        <w:jc w:val="left"/>
        <w:rPr>
          <w:rFonts w:hint="default" w:ascii="Times New Roman" w:hAnsi="Times New Roman" w:eastAsia="宋体" w:cs="宋体"/>
          <w:color w:val="auto"/>
          <w:kern w:val="0"/>
          <w:sz w:val="24"/>
          <w:highlight w:val="none"/>
          <w:lang w:val="en-US" w:eastAsia="zh-CN" w:bidi="ar"/>
        </w:rPr>
      </w:pPr>
      <w:r>
        <w:rPr>
          <w:rFonts w:hint="eastAsia" w:ascii="Times New Roman" w:hAnsi="Times New Roman" w:eastAsia="宋体" w:cs="宋体"/>
          <w:color w:val="auto"/>
          <w:kern w:val="0"/>
          <w:sz w:val="24"/>
          <w:highlight w:val="none"/>
          <w:lang w:val="en-US" w:eastAsia="zh-CN" w:bidi="ar"/>
        </w:rPr>
        <w:t>②区域消纳面积可行性分析</w:t>
      </w:r>
    </w:p>
    <w:p w14:paraId="462DFE99">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val="en-US" w:eastAsia="zh-CN" w:bidi="ar"/>
        </w:rPr>
        <w:t>黑膜池内厌氧发酵后，</w:t>
      </w:r>
      <w:r>
        <w:rPr>
          <w:rFonts w:hint="eastAsia" w:ascii="Times New Roman" w:hAnsi="Times New Roman" w:eastAsia="宋体" w:cs="宋体"/>
          <w:color w:val="auto"/>
          <w:kern w:val="0"/>
          <w:sz w:val="24"/>
          <w:lang w:bidi="ar"/>
        </w:rPr>
        <w:t>在施肥季节用于</w:t>
      </w:r>
      <w:r>
        <w:rPr>
          <w:rFonts w:hint="eastAsia" w:ascii="Times New Roman" w:hAnsi="Times New Roman" w:eastAsia="宋体" w:cs="宋体"/>
          <w:color w:val="auto"/>
          <w:kern w:val="0"/>
          <w:sz w:val="24"/>
          <w:lang w:val="en-US" w:eastAsia="zh-CN" w:bidi="ar"/>
        </w:rPr>
        <w:t>厂区灌溉以及周边林地</w:t>
      </w:r>
      <w:r>
        <w:rPr>
          <w:rFonts w:hint="eastAsia" w:ascii="Times New Roman" w:hAnsi="Times New Roman" w:eastAsia="宋体" w:cs="宋体"/>
          <w:color w:val="auto"/>
          <w:kern w:val="0"/>
          <w:sz w:val="24"/>
          <w:lang w:bidi="ar"/>
        </w:rPr>
        <w:t>施肥；非施肥季节，</w:t>
      </w:r>
      <w:r>
        <w:rPr>
          <w:rFonts w:hint="eastAsia" w:ascii="Times New Roman" w:hAnsi="Times New Roman" w:eastAsia="宋体" w:cs="宋体"/>
          <w:color w:val="auto"/>
          <w:kern w:val="0"/>
          <w:sz w:val="24"/>
          <w:lang w:val="en-US" w:eastAsia="zh-CN" w:bidi="ar"/>
        </w:rPr>
        <w:t>废水</w:t>
      </w:r>
      <w:r>
        <w:rPr>
          <w:rFonts w:hint="eastAsia" w:ascii="Times New Roman" w:hAnsi="Times New Roman" w:eastAsia="宋体" w:cs="宋体"/>
          <w:color w:val="auto"/>
          <w:kern w:val="0"/>
          <w:sz w:val="24"/>
          <w:lang w:bidi="ar"/>
        </w:rPr>
        <w:t>主要储存</w:t>
      </w:r>
      <w:r>
        <w:rPr>
          <w:rFonts w:hint="eastAsia" w:ascii="Times New Roman" w:hAnsi="Times New Roman" w:eastAsia="宋体" w:cs="宋体"/>
          <w:color w:val="auto"/>
          <w:kern w:val="0"/>
          <w:sz w:val="24"/>
          <w:lang w:val="en-US" w:eastAsia="zh-CN" w:bidi="ar"/>
        </w:rPr>
        <w:t>黑膜</w:t>
      </w:r>
      <w:r>
        <w:rPr>
          <w:rFonts w:hint="eastAsia" w:ascii="Times New Roman" w:hAnsi="Times New Roman" w:eastAsia="宋体" w:cs="宋体"/>
          <w:color w:val="auto"/>
          <w:kern w:val="0"/>
          <w:sz w:val="24"/>
          <w:lang w:bidi="ar"/>
        </w:rPr>
        <w:t>池内，按照《国务院办公厅关于加快推进畜禽养殖废弃物资源化利用的意见》中要求：“鼓励沼液和经无害化处理的畜禽养殖废水作为肥料科学还田利用”。项目定期对</w:t>
      </w:r>
      <w:r>
        <w:rPr>
          <w:rFonts w:hint="eastAsia" w:ascii="Times New Roman" w:hAnsi="Times New Roman" w:eastAsia="宋体" w:cs="宋体"/>
          <w:color w:val="auto"/>
          <w:kern w:val="0"/>
          <w:sz w:val="24"/>
          <w:lang w:val="en-US" w:eastAsia="zh-CN" w:bidi="ar"/>
        </w:rPr>
        <w:t>黑膜池内沼液</w:t>
      </w:r>
      <w:r>
        <w:rPr>
          <w:rFonts w:hint="eastAsia" w:ascii="Times New Roman" w:hAnsi="Times New Roman" w:eastAsia="宋体" w:cs="宋体"/>
          <w:color w:val="auto"/>
          <w:kern w:val="0"/>
          <w:sz w:val="24"/>
          <w:lang w:bidi="ar"/>
        </w:rPr>
        <w:t>进行清理，实现综合利用，不外排</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农田土地施肥</w:t>
      </w:r>
      <w:r>
        <w:rPr>
          <w:rFonts w:hint="eastAsia" w:ascii="Times New Roman" w:hAnsi="Times New Roman" w:eastAsia="宋体" w:cs="宋体"/>
          <w:color w:val="auto"/>
          <w:kern w:val="0"/>
          <w:sz w:val="24"/>
          <w:lang w:bidi="ar"/>
        </w:rPr>
        <w:t>要符合《沼肥施用技术规范》（NYT2065-2011）要求</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施用量根据土壤状况与作物对养分的需求量确定。</w:t>
      </w:r>
    </w:p>
    <w:p w14:paraId="174FBEBE">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本项目年产液体肥料2511.2m</w:t>
      </w:r>
      <w:r>
        <w:rPr>
          <w:rFonts w:hint="eastAsia" w:ascii="Times New Roman" w:hAnsi="Times New Roman" w:eastAsia="宋体" w:cs="宋体"/>
          <w:color w:val="auto"/>
          <w:kern w:val="0"/>
          <w:sz w:val="24"/>
          <w:vertAlign w:val="superscript"/>
          <w:lang w:val="en-US" w:eastAsia="zh-CN" w:bidi="ar"/>
        </w:rPr>
        <w:t>3</w:t>
      </w:r>
      <w:r>
        <w:rPr>
          <w:rFonts w:hint="eastAsia" w:ascii="Times New Roman" w:hAnsi="Times New Roman" w:eastAsia="宋体" w:cs="宋体"/>
          <w:color w:val="auto"/>
          <w:kern w:val="0"/>
          <w:sz w:val="24"/>
          <w:lang w:val="en-US" w:eastAsia="zh-CN" w:bidi="ar"/>
        </w:rPr>
        <w:t>/a，根据《江苏农业学报》2021年05期“沼液主要养分含量特征分析”结果显示沼液中N含量为1369.31mg/L，P含量为665.90mg/L，因此本项目氮供给量为3438.61kg/a，磷肥供给量为1672.21kg/a，按照氮供给量核算消纳林地面积。</w:t>
      </w:r>
    </w:p>
    <w:p w14:paraId="6AE83A2C">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单位土地液肥养分需求量=（单位土地养分需求量×施肥供给养分占比×液肥占施肥比例）/液肥当季利用率</w:t>
      </w:r>
    </w:p>
    <w:p w14:paraId="6A0CAD1B">
      <w:pPr>
        <w:widowControl/>
        <w:spacing w:line="360" w:lineRule="auto"/>
        <w:ind w:firstLine="480" w:firstLineChars="200"/>
        <w:jc w:val="left"/>
        <w:rPr>
          <w:rFonts w:hint="eastAsia" w:ascii="Times New Roman" w:hAnsi="Times New Roman" w:eastAsia="宋体" w:cs="宋体"/>
          <w:color w:val="auto"/>
          <w:kern w:val="0"/>
          <w:sz w:val="24"/>
          <w:highlight w:val="none"/>
          <w:lang w:val="en-US" w:eastAsia="zh-CN" w:bidi="ar"/>
        </w:rPr>
      </w:pPr>
      <w:r>
        <w:rPr>
          <w:rFonts w:hint="eastAsia" w:ascii="Times New Roman" w:hAnsi="Times New Roman" w:eastAsia="宋体" w:cs="宋体"/>
          <w:color w:val="auto"/>
          <w:kern w:val="0"/>
          <w:sz w:val="24"/>
          <w:lang w:val="en-US" w:eastAsia="zh-CN" w:bidi="ar"/>
        </w:rPr>
        <w:t>单位土地养分需求量</w:t>
      </w:r>
      <w:r>
        <w:rPr>
          <w:rFonts w:hint="eastAsia" w:ascii="Times New Roman" w:hAnsi="Times New Roman" w:eastAsia="宋体" w:cs="宋体"/>
          <w:color w:val="auto"/>
          <w:kern w:val="0"/>
          <w:sz w:val="24"/>
          <w:highlight w:val="none"/>
          <w:lang w:val="en-US" w:eastAsia="zh-CN" w:bidi="ar"/>
        </w:rPr>
        <w:t>：根据《畜禽粪污土地承载力测算技术指南》，单位土地养分需求量为规模养殖场单位面积配套土地种植的各类植物在目标产量下的氮（磷）养分需求量之和；由《指南》中的表3-1和3-2可知人工林地每公顷需要吸收氮量为50kg、磷量为50kg；</w:t>
      </w:r>
    </w:p>
    <w:p w14:paraId="0359E038">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施肥供给养分占比：木垒县土壤全氮含量0.7~1.5 g/kg，本项目取1.0g/kg，耕地为旱地，结合《畜禽粪污土地承载力测算技术指南》中表2，土壤养分水平为Ⅱ类土壤，本次施肥供给占比取45%；</w:t>
      </w:r>
    </w:p>
    <w:p w14:paraId="29FB7E0A">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液肥占施肥比例：70%（根据当地实际情况确定，本项目取70%）；</w:t>
      </w:r>
    </w:p>
    <w:p w14:paraId="301F1A3A">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液肥当季利用率：25%（液肥中氮素当季利用率推荐值为25%～30%，具体根据当地实际情况确定，本项目取25%）；</w:t>
      </w:r>
    </w:p>
    <w:p w14:paraId="72338AB8">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eastAsia="宋体" w:cs="宋体"/>
          <w:color w:val="auto"/>
          <w:kern w:val="0"/>
          <w:sz w:val="24"/>
          <w:highlight w:val="none"/>
          <w:lang w:val="en-US" w:eastAsia="zh-CN" w:bidi="ar"/>
        </w:rPr>
        <w:t>项目区周边人工林地液肥需求量为63kg/公顷；经计算，本项目配套消纳地面积约为55公顷（825亩），博斯坦乡总计林地面积6750亩，</w:t>
      </w:r>
      <w:r>
        <w:rPr>
          <w:rFonts w:hint="eastAsia" w:ascii="Times New Roman" w:hAnsi="Times New Roman" w:eastAsia="宋体" w:cs="Times New Roman"/>
          <w:color w:val="auto"/>
          <w:sz w:val="24"/>
          <w:szCs w:val="24"/>
          <w:lang w:val="en-US" w:eastAsia="zh-CN"/>
        </w:rPr>
        <w:t>可完全消纳本项目产生的液肥，</w:t>
      </w:r>
      <w:r>
        <w:rPr>
          <w:rFonts w:hint="default" w:ascii="Times New Roman" w:hAnsi="Times New Roman" w:eastAsia="宋体" w:cs="Times New Roman"/>
          <w:color w:val="auto"/>
          <w:sz w:val="24"/>
          <w:szCs w:val="24"/>
          <w:lang w:val="en-US" w:eastAsia="zh-CN"/>
        </w:rPr>
        <w:t>不会超过</w:t>
      </w:r>
      <w:r>
        <w:rPr>
          <w:rFonts w:hint="eastAsia" w:ascii="Times New Roman" w:hAnsi="Times New Roman" w:eastAsia="宋体" w:cs="Times New Roman"/>
          <w:color w:val="auto"/>
          <w:sz w:val="24"/>
          <w:szCs w:val="24"/>
          <w:lang w:val="en-US" w:eastAsia="zh-CN"/>
        </w:rPr>
        <w:t>林地</w:t>
      </w:r>
      <w:r>
        <w:rPr>
          <w:rFonts w:hint="default" w:ascii="Times New Roman" w:hAnsi="Times New Roman" w:eastAsia="宋体" w:cs="Times New Roman"/>
          <w:color w:val="auto"/>
          <w:sz w:val="24"/>
          <w:szCs w:val="24"/>
          <w:lang w:val="en-US" w:eastAsia="zh-CN"/>
        </w:rPr>
        <w:t>的肥力承载力。</w:t>
      </w:r>
    </w:p>
    <w:p w14:paraId="6B771F2F">
      <w:pPr>
        <w:widowControl/>
        <w:spacing w:line="360" w:lineRule="auto"/>
        <w:ind w:firstLine="480" w:firstLineChars="200"/>
        <w:jc w:val="left"/>
        <w:rPr>
          <w:rFonts w:hint="default" w:ascii="Times New Roman" w:hAnsi="Times New Roman" w:eastAsia="宋体"/>
          <w:color w:val="auto"/>
          <w:lang w:val="en-US" w:eastAsia="zh-CN"/>
        </w:rPr>
      </w:pPr>
      <w:r>
        <w:rPr>
          <w:rFonts w:hint="eastAsia" w:ascii="Times New Roman" w:hAnsi="Times New Roman" w:eastAsia="宋体" w:cs="Times New Roman"/>
          <w:color w:val="auto"/>
          <w:sz w:val="24"/>
          <w:szCs w:val="24"/>
          <w:lang w:val="en-US" w:eastAsia="zh-CN"/>
        </w:rPr>
        <w:t>综上所述，本项目采取的污水防治措施可行。</w:t>
      </w:r>
    </w:p>
    <w:p w14:paraId="0F2906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6.2.2.3</w:t>
      </w:r>
      <w:r>
        <w:rPr>
          <w:rFonts w:ascii="Times New Roman" w:hAnsi="Times New Roman" w:eastAsia="宋体"/>
          <w:strike w:val="0"/>
          <w:dstrike w:val="0"/>
          <w:color w:val="auto"/>
          <w:highlight w:val="none"/>
        </w:rPr>
        <w:t>地下水</w:t>
      </w:r>
      <w:r>
        <w:rPr>
          <w:rFonts w:hint="eastAsia" w:ascii="Times New Roman" w:hAnsi="Times New Roman" w:eastAsia="宋体"/>
          <w:strike w:val="0"/>
          <w:dstrike w:val="0"/>
          <w:color w:val="auto"/>
          <w:highlight w:val="none"/>
        </w:rPr>
        <w:t>污染防治措施</w:t>
      </w:r>
    </w:p>
    <w:p w14:paraId="57192BB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1、防控措施</w:t>
      </w:r>
    </w:p>
    <w:p w14:paraId="5D9FA07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为了进一步保护所在区域地下水资源，本工程在设计上对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等采取以下防渗处理措施：</w:t>
      </w:r>
    </w:p>
    <w:p w14:paraId="2B6CAE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渗漏等进入地下水含水层，可能造成地下水污染，需重点防渗和防腐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本项目地下水埋深约60~80m。因此</w:t>
      </w:r>
      <w:r>
        <w:rPr>
          <w:rFonts w:hint="eastAsia" w:ascii="Times New Roman" w:hAnsi="Times New Roman" w:eastAsia="宋体"/>
          <w:strike w:val="0"/>
          <w:dstrike w:val="0"/>
          <w:color w:val="auto"/>
          <w:highlight w:val="none"/>
        </w:rPr>
        <w:t>本项目必须加强对</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暂存间和临时</w:t>
      </w:r>
      <w:r>
        <w:rPr>
          <w:rFonts w:hint="eastAsia" w:ascii="Times New Roman" w:hAnsi="Times New Roman" w:eastAsia="宋体"/>
          <w:strike w:val="0"/>
          <w:dstrike w:val="0"/>
          <w:color w:val="auto"/>
          <w:highlight w:val="none"/>
          <w:lang w:eastAsia="zh-CN"/>
        </w:rPr>
        <w:t>堆肥场</w:t>
      </w:r>
      <w:r>
        <w:rPr>
          <w:rFonts w:hint="eastAsia" w:ascii="Times New Roman" w:hAnsi="Times New Roman" w:eastAsia="宋体"/>
          <w:strike w:val="0"/>
          <w:dstrike w:val="0"/>
          <w:color w:val="auto"/>
          <w:highlight w:val="none"/>
        </w:rPr>
        <w:t>的防渗处理措施，</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暂存间严格按照《工业建筑防腐蚀设计</w:t>
      </w:r>
      <w:r>
        <w:rPr>
          <w:rFonts w:hint="eastAsia" w:ascii="Times New Roman" w:hAnsi="Times New Roman" w:eastAsia="宋体"/>
          <w:strike w:val="0"/>
          <w:dstrike w:val="0"/>
          <w:color w:val="auto"/>
          <w:highlight w:val="none"/>
          <w:lang w:val="en-US" w:eastAsia="zh-CN"/>
        </w:rPr>
        <w:t>标准</w:t>
      </w:r>
      <w:r>
        <w:rPr>
          <w:rFonts w:hint="eastAsia" w:ascii="Times New Roman" w:hAnsi="Times New Roman" w:eastAsia="宋体"/>
          <w:strike w:val="0"/>
          <w:dstrike w:val="0"/>
          <w:color w:val="auto"/>
          <w:highlight w:val="none"/>
        </w:rPr>
        <w:t>》(GB500446-</w:t>
      </w:r>
      <w:r>
        <w:rPr>
          <w:rFonts w:hint="eastAsia" w:ascii="Times New Roman" w:hAnsi="Times New Roman" w:eastAsia="宋体"/>
          <w:strike w:val="0"/>
          <w:dstrike w:val="0"/>
          <w:color w:val="auto"/>
          <w:highlight w:val="none"/>
          <w:lang w:val="en-US" w:eastAsia="zh-CN"/>
        </w:rPr>
        <w:t>2018</w:t>
      </w:r>
      <w:r>
        <w:rPr>
          <w:rFonts w:hint="eastAsia" w:ascii="Times New Roman" w:hAnsi="Times New Roman" w:eastAsia="宋体"/>
          <w:strike w:val="0"/>
          <w:dstrike w:val="0"/>
          <w:color w:val="auto"/>
          <w:highlight w:val="none"/>
        </w:rPr>
        <w:t>)、《建筑防腐蚀工程施工及验收规范》(GB50212-2014)、《环境影响评价技术导则地下水环境》(HJ610-2016)的要求对地坪进行防渗、防腐，对地坪进行防渗、防腐铺设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p>
    <w:p w14:paraId="3CED4EF6">
      <w:pPr>
        <w:numPr>
          <w:ilvl w:val="0"/>
          <w:numId w:val="0"/>
        </w:numPr>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本项目应设置明显的警示标志和责任监督牌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要求重点防渗区在施工时，保存质检报告。</w:t>
      </w:r>
    </w:p>
    <w:p w14:paraId="720A7DE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（2）对一般固废暂存区、养殖圈舍和周围地面等按一般防渗区采取防渗措施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底压实粘土层厚度要≥1m，满足渗透系数K≤1.0×10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cm/s；防渗粘土层上部及贮水池侧面铺设1.0mm高密度聚乙烯（HDPE）防渗膜（渗透系数K≤10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cm/s），在做好基层防渗的基础上进行水泥硬化</w:t>
      </w:r>
      <w:r>
        <w:rPr>
          <w:rFonts w:hint="eastAsia" w:ascii="Times New Roman" w:hAnsi="Times New Roman" w:eastAsia="宋体"/>
          <w:strike w:val="0"/>
          <w:dstrike w:val="0"/>
          <w:color w:val="auto"/>
          <w:highlight w:val="none"/>
          <w:lang w:eastAsia="zh-CN"/>
        </w:rPr>
        <w:t>。</w:t>
      </w:r>
    </w:p>
    <w:p w14:paraId="1476652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（3）其他建筑物及道路采取简单防渗，对其地面采用混凝土进行一般地面硬化</w:t>
      </w:r>
      <w:r>
        <w:rPr>
          <w:rFonts w:hint="eastAsia" w:ascii="Times New Roman" w:hAnsi="Times New Roman" w:eastAsia="宋体"/>
          <w:strike w:val="0"/>
          <w:dstrike w:val="0"/>
          <w:color w:val="auto"/>
          <w:highlight w:val="none"/>
          <w:lang w:eastAsia="zh-CN"/>
        </w:rPr>
        <w:t>。</w:t>
      </w:r>
    </w:p>
    <w:p w14:paraId="636C14D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（4）平时注意污水处理等设施的维护，确保系统正常运行</w:t>
      </w:r>
      <w:r>
        <w:rPr>
          <w:rFonts w:hint="eastAsia" w:ascii="Times New Roman" w:hAnsi="Times New Roman" w:eastAsia="宋体"/>
          <w:strike w:val="0"/>
          <w:dstrike w:val="0"/>
          <w:color w:val="auto"/>
          <w:highlight w:val="none"/>
          <w:lang w:eastAsia="zh-CN"/>
        </w:rPr>
        <w:t>。</w:t>
      </w:r>
    </w:p>
    <w:p w14:paraId="770D781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（5）确保污水管道质量，应用质量良好的管材，增加管段长度，减少管道接口，避免废水的跑、冒、滴、漏现象的发生</w:t>
      </w:r>
      <w:r>
        <w:rPr>
          <w:rFonts w:hint="eastAsia" w:ascii="Times New Roman" w:hAnsi="Times New Roman" w:eastAsia="宋体"/>
          <w:strike w:val="0"/>
          <w:dstrike w:val="0"/>
          <w:color w:val="auto"/>
          <w:highlight w:val="none"/>
          <w:lang w:eastAsia="zh-CN"/>
        </w:rPr>
        <w:t>。</w:t>
      </w:r>
    </w:p>
    <w:p w14:paraId="72A3AF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（6）加强管理，建立巡逻制度，定期对场地进行检查，及时发现问题，查找隐患，杜绝污染物的外排</w:t>
      </w:r>
      <w:r>
        <w:rPr>
          <w:rFonts w:hint="eastAsia" w:ascii="Times New Roman" w:hAnsi="Times New Roman" w:eastAsia="宋体"/>
          <w:strike w:val="0"/>
          <w:dstrike w:val="0"/>
          <w:color w:val="auto"/>
          <w:highlight w:val="none"/>
          <w:lang w:eastAsia="zh-CN"/>
        </w:rPr>
        <w:t>。</w:t>
      </w:r>
    </w:p>
    <w:p w14:paraId="2BEEEE6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（7）应及时监控厂区周边地下水环境</w:t>
      </w:r>
      <w:r>
        <w:rPr>
          <w:rFonts w:hint="eastAsia" w:ascii="Times New Roman" w:hAnsi="Times New Roman" w:eastAsia="宋体"/>
          <w:strike w:val="0"/>
          <w:dstrike w:val="0"/>
          <w:color w:val="auto"/>
          <w:highlight w:val="none"/>
          <w:lang w:eastAsia="zh-CN"/>
        </w:rPr>
        <w:t>。</w:t>
      </w:r>
    </w:p>
    <w:p w14:paraId="67962A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本项目对地下水的主要污染途径为废水渗透，在认真采取以上措施的基础上，一旦水泥硬化层发生断裂，由于防渗层的保护作用，废水不会对地下水源造成影响</w:t>
      </w:r>
      <w:r>
        <w:rPr>
          <w:rFonts w:hint="eastAsia" w:ascii="Times New Roman" w:hAnsi="Times New Roman" w:eastAsia="宋体"/>
          <w:strike w:val="0"/>
          <w:dstrike w:val="0"/>
          <w:color w:val="auto"/>
          <w:highlight w:val="none"/>
          <w:lang w:eastAsia="zh-CN"/>
        </w:rPr>
        <w:t>。</w:t>
      </w:r>
    </w:p>
    <w:p w14:paraId="23678ED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2、跟踪监测</w:t>
      </w:r>
    </w:p>
    <w:p w14:paraId="44CB059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定期对厂区周边地下水环境进行监测，委托具有资质的单位进行，监测报告应包括建设项目所在地及其影响区地下水环境跟踪监测数据，各生产设施及污染防控措施等设施的运行状况、维护记录，同时对监测结果进行信息公开，每年公开一次</w:t>
      </w:r>
      <w:r>
        <w:rPr>
          <w:rFonts w:hint="eastAsia" w:ascii="Times New Roman" w:hAnsi="Times New Roman" w:eastAsia="宋体"/>
          <w:strike w:val="0"/>
          <w:dstrike w:val="0"/>
          <w:color w:val="auto"/>
          <w:highlight w:val="none"/>
          <w:lang w:eastAsia="zh-CN"/>
        </w:rPr>
        <w:t>。</w:t>
      </w:r>
    </w:p>
    <w:p w14:paraId="2EAB6B5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经现场踏勘，建设单位将项目区上游、下游地下水井作为日后地下水监控井，与本项目所在区域属于同一水文地质单元，每年对地下水环境进行监测，监测项目为pH、COD、BOD、氨氮、粪大肠菌群，发现问题及时解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在运营过程中应认真落实跟踪监测的工作，专职人员应编写地下水环境跟踪监测报告，报告中的内容应包括：地下水跟踪监测的数据（污染物种类、数量、浓度），生产设备、管线、贮存和运输装置的运行情况，跑冒滴漏记录和维护记录</w:t>
      </w:r>
      <w:r>
        <w:rPr>
          <w:rFonts w:hint="eastAsia" w:ascii="Times New Roman" w:hAnsi="Times New Roman" w:eastAsia="宋体"/>
          <w:strike w:val="0"/>
          <w:dstrike w:val="0"/>
          <w:color w:val="auto"/>
          <w:highlight w:val="none"/>
          <w:lang w:eastAsia="zh-CN"/>
        </w:rPr>
        <w:t>。</w:t>
      </w:r>
    </w:p>
    <w:p w14:paraId="4FA02E6B">
      <w:pPr>
        <w:pStyle w:val="4"/>
        <w:rPr>
          <w:rFonts w:ascii="Times New Roman" w:hAnsi="Times New Roman" w:eastAsia="宋体"/>
          <w:strike w:val="0"/>
          <w:dstrike w:val="0"/>
          <w:color w:val="auto"/>
          <w:highlight w:val="none"/>
        </w:rPr>
      </w:pPr>
      <w:bookmarkStart w:id="306" w:name="_Toc1198"/>
      <w:bookmarkStart w:id="307" w:name="_Toc106663527"/>
      <w:r>
        <w:rPr>
          <w:rFonts w:hint="eastAsia" w:ascii="Times New Roman" w:hAnsi="Times New Roman" w:eastAsia="宋体"/>
          <w:strike w:val="0"/>
          <w:dstrike w:val="0"/>
          <w:color w:val="auto"/>
          <w:highlight w:val="none"/>
        </w:rPr>
        <w:t>6.2.3运营期噪声污染防治措施</w:t>
      </w:r>
      <w:bookmarkEnd w:id="306"/>
      <w:bookmarkEnd w:id="307"/>
    </w:p>
    <w:p w14:paraId="427589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本项目的噪声源主要来源于场内</w:t>
      </w:r>
      <w:r>
        <w:rPr>
          <w:rFonts w:hint="eastAsia" w:ascii="Times New Roman" w:hAnsi="Times New Roman" w:eastAsia="宋体"/>
          <w:strike w:val="0"/>
          <w:dstrike w:val="0"/>
          <w:color w:val="auto"/>
          <w:highlight w:val="none"/>
          <w:lang w:val="en-US" w:eastAsia="zh-CN"/>
        </w:rPr>
        <w:t>骆驼叫</w:t>
      </w:r>
      <w:r>
        <w:rPr>
          <w:rFonts w:hint="eastAsia" w:ascii="Times New Roman" w:hAnsi="Times New Roman" w:eastAsia="宋体"/>
          <w:strike w:val="0"/>
          <w:dstrike w:val="0"/>
          <w:color w:val="auto"/>
          <w:highlight w:val="none"/>
        </w:rPr>
        <w:t>声、圈舍换气扇噪声、水泵、运输车辆等设备噪声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企业采取声源上降低噪声和从噪声传播途径上降低噪声两个环节着手：</w:t>
      </w:r>
    </w:p>
    <w:p w14:paraId="7D480FF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（1）企业选用低噪声设备，并使其处于良好的运转状态，同时对声源采用减震、消声措施</w:t>
      </w:r>
      <w:r>
        <w:rPr>
          <w:rFonts w:hint="eastAsia" w:ascii="Times New Roman" w:hAnsi="Times New Roman" w:eastAsia="宋体"/>
          <w:strike w:val="0"/>
          <w:dstrike w:val="0"/>
          <w:color w:val="auto"/>
          <w:highlight w:val="none"/>
          <w:lang w:eastAsia="zh-CN"/>
        </w:rPr>
        <w:t>。</w:t>
      </w:r>
    </w:p>
    <w:p w14:paraId="5C1085B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（2）在设备的基础与地面之间安装减振垫，减少机械振动产生的噪声污染</w:t>
      </w:r>
      <w:r>
        <w:rPr>
          <w:rFonts w:hint="eastAsia" w:ascii="Times New Roman" w:hAnsi="Times New Roman" w:eastAsia="宋体"/>
          <w:strike w:val="0"/>
          <w:dstrike w:val="0"/>
          <w:color w:val="auto"/>
          <w:highlight w:val="none"/>
          <w:lang w:eastAsia="zh-CN"/>
        </w:rPr>
        <w:t>。</w:t>
      </w:r>
    </w:p>
    <w:p w14:paraId="6DF4C7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（3）选取低噪声水泵，并将水泵设在各密闭机房，再经减震处理</w:t>
      </w:r>
      <w:r>
        <w:rPr>
          <w:rFonts w:hint="eastAsia" w:ascii="Times New Roman" w:hAnsi="Times New Roman" w:eastAsia="宋体"/>
          <w:strike w:val="0"/>
          <w:dstrike w:val="0"/>
          <w:color w:val="auto"/>
          <w:highlight w:val="none"/>
          <w:lang w:eastAsia="zh-CN"/>
        </w:rPr>
        <w:t>。</w:t>
      </w:r>
    </w:p>
    <w:p w14:paraId="15656A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（4）加强场区机动车特别是货运机动车的管理，在场内不准随意鸣笛，达到预定停车位后及时熄火</w:t>
      </w:r>
      <w:r>
        <w:rPr>
          <w:rFonts w:hint="eastAsia" w:ascii="Times New Roman" w:hAnsi="Times New Roman" w:eastAsia="宋体"/>
          <w:strike w:val="0"/>
          <w:dstrike w:val="0"/>
          <w:color w:val="auto"/>
          <w:highlight w:val="none"/>
          <w:lang w:eastAsia="zh-CN"/>
        </w:rPr>
        <w:t>。</w:t>
      </w:r>
    </w:p>
    <w:p w14:paraId="638981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）加强设备的维护，确保设备处于良好的运转状态，杜绝因设备不正常运转时产生的高噪声现象</w:t>
      </w:r>
      <w:r>
        <w:rPr>
          <w:rFonts w:hint="eastAsia" w:ascii="Times New Roman" w:hAnsi="Times New Roman" w:eastAsia="宋体"/>
          <w:strike w:val="0"/>
          <w:dstrike w:val="0"/>
          <w:color w:val="auto"/>
          <w:highlight w:val="none"/>
          <w:lang w:eastAsia="zh-CN"/>
        </w:rPr>
        <w:t>。</w:t>
      </w:r>
    </w:p>
    <w:p w14:paraId="06F4A3A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上述治理措施后可有效治理噪声污染，降低对周围声环境影响，产生较好的社会效益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同时根据项目厂界噪声实测结果可知，本项目运营期间噪声值满足《工业企业厂界环境噪声排放标准》（GB12348-2008）中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类标准排放限值，噪声可满足达标排放要求</w:t>
      </w:r>
      <w:r>
        <w:rPr>
          <w:rFonts w:hint="eastAsia" w:ascii="Times New Roman" w:hAnsi="Times New Roman" w:eastAsia="宋体"/>
          <w:strike w:val="0"/>
          <w:dstrike w:val="0"/>
          <w:color w:val="auto"/>
          <w:highlight w:val="none"/>
          <w:lang w:eastAsia="zh-CN"/>
        </w:rPr>
        <w:t>。</w:t>
      </w:r>
    </w:p>
    <w:p w14:paraId="20058DFC">
      <w:pPr>
        <w:pStyle w:val="4"/>
        <w:rPr>
          <w:rFonts w:ascii="Times New Roman" w:hAnsi="Times New Roman" w:eastAsia="宋体"/>
          <w:strike w:val="0"/>
          <w:dstrike w:val="0"/>
          <w:color w:val="auto"/>
          <w:highlight w:val="none"/>
        </w:rPr>
      </w:pPr>
      <w:bookmarkStart w:id="308" w:name="_Toc106663528"/>
      <w:bookmarkStart w:id="309" w:name="_Toc13467"/>
      <w:r>
        <w:rPr>
          <w:rFonts w:hint="eastAsia" w:ascii="Times New Roman" w:hAnsi="Times New Roman" w:eastAsia="宋体"/>
          <w:strike w:val="0"/>
          <w:dstrike w:val="0"/>
          <w:color w:val="auto"/>
          <w:highlight w:val="none"/>
        </w:rPr>
        <w:t>6.2.4运营期固废污染防治措施</w:t>
      </w:r>
      <w:bookmarkEnd w:id="308"/>
      <w:bookmarkEnd w:id="309"/>
    </w:p>
    <w:p w14:paraId="64AEC3E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本项目产生的固体废物主要为</w:t>
      </w:r>
      <w:r>
        <w:rPr>
          <w:rFonts w:hint="eastAsia" w:ascii="Times New Roman" w:hAnsi="Times New Roman" w:eastAsia="宋体"/>
          <w:strike w:val="0"/>
          <w:dstrike w:val="0"/>
          <w:color w:val="auto"/>
          <w:highlight w:val="none"/>
          <w:lang w:eastAsia="zh-CN"/>
        </w:rPr>
        <w:t>骆驼粪便、病死骆驼、分娩废弃物（胎衣、死胎、胎盘附属物）、挤奶大厅废弃的一次性挤奶耗材、塑料奶管、废弃包装物、生活垃圾、医疗废物、黑膜池污泥。</w:t>
      </w:r>
    </w:p>
    <w:p w14:paraId="2B1774D2">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）骆驼粪便</w:t>
      </w:r>
    </w:p>
    <w:p w14:paraId="59C26F2B">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本项目</w:t>
      </w:r>
      <w:r>
        <w:rPr>
          <w:rFonts w:hint="eastAsia" w:ascii="Times New Roman" w:hAnsi="Times New Roman" w:eastAsia="宋体" w:cs="宋体"/>
          <w:strike w:val="0"/>
          <w:dstrike w:val="0"/>
          <w:color w:val="auto"/>
          <w:spacing w:val="0"/>
          <w:sz w:val="24"/>
          <w:szCs w:val="24"/>
          <w:highlight w:val="none"/>
          <w:lang w:val="en-US" w:eastAsia="zh-CN"/>
        </w:rPr>
        <w:t>骆驼粪便定期清运至堆肥场，经过处理后作为有机肥外售</w:t>
      </w:r>
      <w:r>
        <w:rPr>
          <w:rFonts w:hint="default" w:ascii="Times New Roman" w:hAnsi="Times New Roman" w:eastAsia="宋体"/>
          <w:strike w:val="0"/>
          <w:dstrike w:val="0"/>
          <w:color w:val="auto"/>
          <w:highlight w:val="none"/>
          <w:lang w:val="en-US" w:eastAsia="zh-CN"/>
        </w:rPr>
        <w:t>。</w:t>
      </w:r>
    </w:p>
    <w:p w14:paraId="5AB226C0">
      <w:pPr>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strike w:val="0"/>
          <w:dstrike w:val="0"/>
          <w:color w:val="auto"/>
          <w:highlight w:val="none"/>
          <w:lang w:val="en-US" w:eastAsia="zh-CN"/>
        </w:rPr>
        <w:t>①</w:t>
      </w:r>
      <w:r>
        <w:rPr>
          <w:rFonts w:hint="eastAsia" w:ascii="Times New Roman" w:hAnsi="Times New Roman" w:eastAsia="宋体" w:cs="Times New Roman"/>
          <w:color w:val="auto"/>
          <w:sz w:val="24"/>
          <w:szCs w:val="24"/>
          <w:lang w:val="en-US" w:eastAsia="zh-CN"/>
        </w:rPr>
        <w:t>堆粪场设计规模</w:t>
      </w:r>
    </w:p>
    <w:p w14:paraId="44F24314">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堆粪场地的设计应满足《畜禽养殖业污染治理工程技术规范》有关规定要求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应建立收集堆肥渗滤液的贮存池</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应考虑防渗漏措施，不得对地下水造成污染</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应配置防雨淋设施和雨水排水系统。</w:t>
      </w:r>
    </w:p>
    <w:p w14:paraId="34E5B1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本项目堆粪场设计平面占地</w:t>
      </w:r>
      <w:r>
        <w:rPr>
          <w:rFonts w:hint="eastAsia" w:ascii="Times New Roman" w:hAnsi="Times New Roman" w:eastAsia="宋体" w:cs="Times New Roman"/>
          <w:color w:val="auto"/>
          <w:sz w:val="24"/>
          <w:szCs w:val="24"/>
          <w:lang w:val="en-US" w:eastAsia="zh-CN"/>
        </w:rPr>
        <w:t>2000m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按粪堆高度</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m计算</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可堆放</w:t>
      </w:r>
      <w:r>
        <w:rPr>
          <w:rFonts w:hint="eastAsia" w:ascii="Times New Roman" w:hAnsi="Times New Roman" w:eastAsia="宋体" w:cs="Times New Roman"/>
          <w:color w:val="auto"/>
          <w:sz w:val="24"/>
          <w:szCs w:val="24"/>
          <w:lang w:val="en-US" w:eastAsia="zh-CN"/>
        </w:rPr>
        <w:t>6000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olor w:val="auto"/>
          <w:sz w:val="24"/>
          <w:szCs w:val="24"/>
          <w:lang w:val="en-US" w:eastAsia="zh-CN"/>
        </w:rPr>
        <w:t>粪污（便）</w:t>
      </w:r>
      <w:r>
        <w:rPr>
          <w:rFonts w:hint="eastAsia" w:ascii="Times New Roman" w:hAnsi="Times New Roman" w:eastAsia="宋体" w:cs="Times New Roman"/>
          <w:color w:val="auto"/>
          <w:sz w:val="24"/>
          <w:szCs w:val="24"/>
          <w:lang w:val="en-US" w:eastAsia="zh-CN"/>
        </w:rPr>
        <w:t>及垫料</w:t>
      </w:r>
      <w:r>
        <w:rPr>
          <w:rFonts w:hint="eastAsia" w:ascii="Times New Roman" w:hAnsi="Times New Roman" w:eastAsia="宋体" w:cs="Times New Roman"/>
          <w:color w:val="auto"/>
          <w:sz w:val="24"/>
          <w:szCs w:val="28"/>
          <w:highlight w:val="none"/>
          <w:lang w:val="en-US" w:eastAsia="zh-CN"/>
        </w:rPr>
        <w:t>（密度约0.7t/m</w:t>
      </w:r>
      <w:r>
        <w:rPr>
          <w:rFonts w:hint="eastAsia" w:ascii="Times New Roman" w:hAnsi="Times New Roman" w:eastAsia="宋体" w:cs="Times New Roman"/>
          <w:color w:val="auto"/>
          <w:sz w:val="24"/>
          <w:szCs w:val="28"/>
          <w:highlight w:val="none"/>
          <w:vertAlign w:val="superscript"/>
          <w:lang w:val="en-US" w:eastAsia="zh-CN"/>
        </w:rPr>
        <w:t>3</w:t>
      </w:r>
      <w:r>
        <w:rPr>
          <w:rFonts w:hint="eastAsia" w:ascii="Times New Roman" w:hAnsi="Times New Roman" w:eastAsia="宋体" w:cs="Times New Roman"/>
          <w:color w:val="auto"/>
          <w:sz w:val="24"/>
          <w:szCs w:val="28"/>
          <w:highlight w:val="none"/>
          <w:lang w:val="en-US" w:eastAsia="zh-CN"/>
        </w:rPr>
        <w:t>），总计最大贮存量约5400吨。本项目总计产生驼粪</w:t>
      </w:r>
      <w:r>
        <w:rPr>
          <w:rFonts w:hint="eastAsia" w:ascii="Times New Roman" w:hAnsi="Times New Roman" w:eastAsia="宋体" w:cs="Times New Roman"/>
          <w:color w:val="auto"/>
          <w:sz w:val="24"/>
          <w:szCs w:val="24"/>
          <w:highlight w:val="none"/>
          <w:lang w:val="en-US" w:eastAsia="zh-CN"/>
        </w:rPr>
        <w:t>4134.501</w:t>
      </w:r>
      <w:r>
        <w:rPr>
          <w:rFonts w:hint="default" w:ascii="Times New Roman" w:hAnsi="Times New Roman" w:eastAsia="宋体" w:cs="Times New Roman"/>
          <w:color w:val="auto"/>
          <w:sz w:val="24"/>
          <w:szCs w:val="24"/>
          <w:highlight w:val="none"/>
          <w:lang w:val="en-US" w:eastAsia="zh-CN"/>
        </w:rPr>
        <w:t>t/a</w:t>
      </w:r>
      <w:r>
        <w:rPr>
          <w:rFonts w:hint="eastAsia" w:ascii="Times New Roman" w:hAnsi="Times New Roman" w:eastAsia="宋体" w:cs="Times New Roman"/>
          <w:color w:val="auto"/>
          <w:sz w:val="24"/>
          <w:szCs w:val="24"/>
          <w:highlight w:val="none"/>
          <w:lang w:val="en-US" w:eastAsia="zh-CN"/>
        </w:rPr>
        <w:t>，6月产生量约为2026吨，可满足堆粪场收纳6月粪污及垫料的产生量，符合</w:t>
      </w:r>
      <w:r>
        <w:rPr>
          <w:rFonts w:hint="default" w:ascii="Times New Roman" w:hAnsi="Times New Roman" w:eastAsia="宋体" w:cs="Times New Roman"/>
          <w:color w:val="auto"/>
          <w:sz w:val="24"/>
          <w:szCs w:val="24"/>
        </w:rPr>
        <w:t>《畜禽养殖业污染治理工程技术规范》（HJ 497－2009）中间歇式堆肥工艺宜设有至少能容纳6个月粪便产生量的贮存设施的要求</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骆驼粪经过处理后作为有机肥外售</w:t>
      </w:r>
      <w:r>
        <w:rPr>
          <w:rFonts w:hint="default" w:ascii="Times New Roman" w:hAnsi="Times New Roman" w:eastAsia="宋体" w:cs="Times New Roman"/>
          <w:color w:val="auto"/>
          <w:sz w:val="24"/>
          <w:szCs w:val="24"/>
          <w:lang w:val="en-US" w:eastAsia="zh-CN"/>
        </w:rPr>
        <w:t>。</w:t>
      </w:r>
    </w:p>
    <w:p w14:paraId="0C2F8F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olor w:val="auto"/>
          <w:sz w:val="24"/>
          <w:szCs w:val="24"/>
          <w:lang w:val="en-US" w:eastAsia="zh-CN"/>
        </w:rPr>
        <w:t>堆粪场</w:t>
      </w:r>
      <w:r>
        <w:rPr>
          <w:rFonts w:hint="default" w:ascii="Times New Roman" w:hAnsi="Times New Roman" w:eastAsia="宋体" w:cs="Times New Roman"/>
          <w:color w:val="auto"/>
          <w:sz w:val="24"/>
          <w:szCs w:val="24"/>
          <w:lang w:val="en-US" w:eastAsia="zh-CN"/>
        </w:rPr>
        <w:t>的设计具体内容如下</w:t>
      </w:r>
      <w:r>
        <w:rPr>
          <w:rFonts w:hint="eastAsia" w:ascii="Times New Roman" w:hAnsi="Times New Roman" w:eastAsia="宋体" w:cs="Times New Roman"/>
          <w:color w:val="auto"/>
          <w:sz w:val="24"/>
          <w:szCs w:val="24"/>
          <w:lang w:val="en-US" w:eastAsia="zh-CN"/>
        </w:rPr>
        <w:t>：</w:t>
      </w:r>
    </w:p>
    <w:p w14:paraId="5CD39D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a、采用混凝土地坪，用水泥砂浆进行防渗处理</w:t>
      </w:r>
      <w:r>
        <w:rPr>
          <w:rFonts w:hint="eastAsia" w:ascii="Times New Roman" w:hAnsi="Times New Roman" w:eastAsia="宋体" w:cs="Times New Roman"/>
          <w:color w:val="auto"/>
          <w:sz w:val="24"/>
          <w:szCs w:val="24"/>
          <w:lang w:val="en-US" w:eastAsia="zh-CN"/>
        </w:rPr>
        <w:t>；</w:t>
      </w:r>
    </w:p>
    <w:p w14:paraId="58BB07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b、沿</w:t>
      </w:r>
      <w:r>
        <w:rPr>
          <w:rFonts w:hint="eastAsia" w:ascii="Times New Roman" w:hAnsi="Times New Roman" w:eastAsia="宋体" w:cs="Times New Roman"/>
          <w:color w:val="auto"/>
          <w:sz w:val="24"/>
          <w:szCs w:val="24"/>
          <w:lang w:val="en-US" w:eastAsia="zh-CN"/>
        </w:rPr>
        <w:t>堆粪场</w:t>
      </w:r>
      <w:r>
        <w:rPr>
          <w:rFonts w:hint="default" w:ascii="Times New Roman" w:hAnsi="Times New Roman" w:eastAsia="宋体" w:cs="Times New Roman"/>
          <w:color w:val="auto"/>
          <w:sz w:val="24"/>
          <w:szCs w:val="24"/>
          <w:lang w:val="en-US" w:eastAsia="zh-CN"/>
        </w:rPr>
        <w:t>场地四周修建挡水墙，挡水墙高度0.5m，避免场外雨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雪水流入堆粪场内，同时也可避免粪污外流散落</w:t>
      </w:r>
      <w:r>
        <w:rPr>
          <w:rFonts w:hint="eastAsia" w:ascii="Times New Roman" w:hAnsi="Times New Roman" w:eastAsia="宋体" w:cs="Times New Roman"/>
          <w:color w:val="auto"/>
          <w:sz w:val="24"/>
          <w:szCs w:val="24"/>
          <w:lang w:val="en-US" w:eastAsia="zh-CN"/>
        </w:rPr>
        <w:t>；</w:t>
      </w:r>
    </w:p>
    <w:p w14:paraId="0CCCEE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c、沿挡水墙内侧修建导流沟并设置收集池，雨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雪水及堆粪场内形成的渗水随导流沟汇入收集池</w:t>
      </w:r>
      <w:r>
        <w:rPr>
          <w:rFonts w:hint="eastAsia" w:ascii="Times New Roman" w:hAnsi="Times New Roman" w:eastAsia="宋体" w:cs="Times New Roman"/>
          <w:color w:val="auto"/>
          <w:sz w:val="24"/>
          <w:szCs w:val="24"/>
          <w:lang w:val="en-US" w:eastAsia="zh-CN"/>
        </w:rPr>
        <w:t>；</w:t>
      </w:r>
    </w:p>
    <w:p w14:paraId="78CA99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d、设置彩钢顶棚，避免雨水的淋漓。</w:t>
      </w:r>
    </w:p>
    <w:p w14:paraId="7EF1A9B0">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②堆粪外售可行性分析</w:t>
      </w:r>
    </w:p>
    <w:p w14:paraId="4B453757">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经与业主确认并结合木垒县环保局意见，木垒作为畜牧业大县，已无粪污消纳能力，因此本项目产生的粪便作为生产原料均外售有机肥厂，木垒县境内现有多家具备畜禽粪污处置资质的有机肥加工企业，其中距离项目较近的木垒县旺盛有机肥料加工厂年产有机肥1.2万t，东城镇咬牙沟农牧业科技发展有限公司年产有机肥1.5万t，芨芨湖工业园区旭阳腐殖酸有机肥公司设计年产有机肥10万t，民生工业园区新疆自然之源生物科技有限公司年产有机肥2.8万t，可作为备用消纳单位。</w:t>
      </w:r>
    </w:p>
    <w:p w14:paraId="3E6018EF">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采用干清粪工艺，驼粪无尿液混入，粪便本身含水率低，堆肥棚为混凝土防渗硬化结构，配套防雨顶棚、外围截洪沟，做到雨污分流，无渗滤液产生；转运过程全部采用全封闭厢式货运车辆，车厢加盖防雨篷布，车厢底部铺设防渗苫布；车辆加装防滴漏密封条，做到无遗撒、无粪水渗漏；装载量不超过车厢容积，不超高、不超载；提前规划固定运输路线，避开居民区、河道、饮用水水源地等环境敏感点，优先选择乡村硬化道路；场内装车在堆肥棚内作业，装车完毕后清扫车厢外散落物料；出场前对车身进行清理，杜绝带泥上路；车辆出场与进场均做好现场保洁，不污染场区出入口路面；建立完整转运台账，记录出场量、车牌号、运输时间、接收单位及卸车凭证，全程去向可追溯，严禁中途随意倾倒、私自转卖；从场内暂存、密闭装车、道路运输到定点进厂，全过程防控措施完善。驼粪简单堆肥物料定向外售有机肥厂，运输途中无物料遗撒、污水渗漏、臭气扩散问题，货物去向全程可追溯，外运环节不存在土壤、地下水、地表水及大气二次污染环境风险。</w:t>
      </w:r>
    </w:p>
    <w:p w14:paraId="5EB19517">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综上所属本项目堆粪外售可行。</w:t>
      </w:r>
    </w:p>
    <w:p w14:paraId="6B2BBCC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病死骆驼、分娩废弃物（胎衣、死胎、胎盘附属物）</w:t>
      </w:r>
    </w:p>
    <w:p w14:paraId="5627E391">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根据环办函[2014]789号文《关于病害动物无害化处理有关意见的复函》：“病害动物无害化处理项目由农业部门按照有关法律法规和技术规范进行监管，可以实现病害动物无害化处理和环境污染防控的目的，不宜再认定为危险废物集中处置项目。病害动物的无害化处理应执行《中华人民共和国动物防疫法》。”</w:t>
      </w:r>
    </w:p>
    <w:p w14:paraId="7E720285">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本环评要求病死骆驼</w:t>
      </w:r>
      <w:r>
        <w:rPr>
          <w:rFonts w:hint="eastAsia" w:ascii="Times New Roman" w:hAnsi="Times New Roman" w:eastAsia="宋体"/>
          <w:strike w:val="0"/>
          <w:dstrike w:val="0"/>
          <w:color w:val="auto"/>
          <w:highlight w:val="none"/>
          <w:lang w:val="en-US" w:eastAsia="zh-CN"/>
        </w:rPr>
        <w:t>、分娩废弃物（胎衣、死胎、胎盘附属物）</w:t>
      </w:r>
      <w:r>
        <w:rPr>
          <w:rFonts w:hint="default" w:ascii="Times New Roman" w:hAnsi="Times New Roman" w:eastAsia="宋体"/>
          <w:strike w:val="0"/>
          <w:dstrike w:val="0"/>
          <w:color w:val="auto"/>
          <w:highlight w:val="none"/>
          <w:lang w:val="en-US" w:eastAsia="zh-CN"/>
        </w:rPr>
        <w:t>严格执行《病死及病害动物无害化处理技术规范》（农医发〔2017〕25号）、《病死畜禽和病害畜禽产品无害化处理管理办法》（农业农村部令2022年第3号）、《畜禽规模养殖污染防治条例》相关要求。</w:t>
      </w:r>
    </w:p>
    <w:p w14:paraId="296BE6A1">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博斯坦乡农业(畜牧业)发展服务中心设有专业畜牧人员，负责接收并核实死亡牲畜信息。确认无误后，畜牧人员将向上级(如县级或市级农牧业主管部门)进行报备，并按照上级指示及无害化处理规范，统一组织无害化处理工作</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无害化处理工作由专业畜牧人员或委托具有合法资质的无害化处理单位进行</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每次无害化处理工作完成后，均会进行详细记录，包括处理时间、地点、方式、处理人员等信息，以备查证。同时，</w:t>
      </w:r>
      <w:r>
        <w:rPr>
          <w:rFonts w:hint="eastAsia" w:ascii="Times New Roman" w:hAnsi="Times New Roman" w:eastAsia="宋体"/>
          <w:strike w:val="0"/>
          <w:dstrike w:val="0"/>
          <w:color w:val="auto"/>
          <w:highlight w:val="none"/>
          <w:lang w:val="en-US" w:eastAsia="zh-CN"/>
        </w:rPr>
        <w:t>博斯坦</w:t>
      </w:r>
      <w:r>
        <w:rPr>
          <w:rFonts w:hint="default" w:ascii="Times New Roman" w:hAnsi="Times New Roman" w:eastAsia="宋体"/>
          <w:strike w:val="0"/>
          <w:dstrike w:val="0"/>
          <w:color w:val="auto"/>
          <w:highlight w:val="none"/>
          <w:lang w:val="en-US" w:eastAsia="zh-CN"/>
        </w:rPr>
        <w:t>乡农牧业发展服务中心将定期对无害化处理工作进行监督检查，确保处理过程符合法律法规要求。</w:t>
      </w:r>
    </w:p>
    <w:p w14:paraId="588BF7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挤奶大厅废弃的一次性挤奶耗材、塑料奶管、废弃包装物</w:t>
      </w:r>
    </w:p>
    <w:p w14:paraId="28F99D7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w:t>
      </w:r>
      <w:r>
        <w:rPr>
          <w:rFonts w:hint="eastAsia" w:ascii="Times New Roman" w:hAnsi="Times New Roman" w:eastAsia="宋体" w:cs="宋体"/>
          <w:strike w:val="0"/>
          <w:dstrike w:val="0"/>
          <w:color w:val="auto"/>
          <w:spacing w:val="0"/>
          <w:kern w:val="0"/>
          <w:sz w:val="24"/>
          <w:szCs w:val="24"/>
          <w:highlight w:val="none"/>
          <w:lang w:val="en-US" w:eastAsia="zh-CN"/>
        </w:rPr>
        <w:t>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w:t>
      </w:r>
      <w:r>
        <w:rPr>
          <w:rFonts w:ascii="Times New Roman" w:hAnsi="Times New Roman" w:eastAsia="宋体"/>
          <w:strike w:val="0"/>
          <w:dstrike w:val="0"/>
          <w:color w:val="auto"/>
          <w:highlight w:val="none"/>
        </w:rPr>
        <w:t>，</w:t>
      </w:r>
      <w:r>
        <w:rPr>
          <w:rFonts w:ascii="Times New Roman" w:hAnsi="Times New Roman" w:eastAsia="宋体" w:cs="宋体"/>
          <w:strike w:val="0"/>
          <w:dstrike w:val="0"/>
          <w:color w:val="auto"/>
          <w:spacing w:val="0"/>
          <w:kern w:val="0"/>
          <w:sz w:val="24"/>
          <w:szCs w:val="24"/>
          <w:highlight w:val="none"/>
        </w:rPr>
        <w:t>集中收集后进行外售</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strike w:val="0"/>
          <w:dstrike w:val="0"/>
          <w:color w:val="auto"/>
          <w:highlight w:val="none"/>
        </w:rPr>
        <w:t>废弃包装物得到了合理利用</w:t>
      </w:r>
      <w:r>
        <w:rPr>
          <w:rFonts w:hint="eastAsia" w:ascii="Times New Roman" w:hAnsi="Times New Roman" w:eastAsia="宋体"/>
          <w:strike w:val="0"/>
          <w:dstrike w:val="0"/>
          <w:color w:val="auto"/>
          <w:highlight w:val="none"/>
          <w:lang w:eastAsia="zh-CN"/>
        </w:rPr>
        <w:t>。</w:t>
      </w:r>
    </w:p>
    <w:p w14:paraId="282723E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生活垃圾</w:t>
      </w:r>
    </w:p>
    <w:p w14:paraId="62FC88A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本项目生活垃圾集中收集起来运至当地生态环境部门指定的垃圾填埋场进行处理</w:t>
      </w:r>
      <w:r>
        <w:rPr>
          <w:rFonts w:hint="eastAsia" w:ascii="Times New Roman" w:hAnsi="Times New Roman" w:eastAsia="宋体"/>
          <w:strike w:val="0"/>
          <w:dstrike w:val="0"/>
          <w:color w:val="auto"/>
          <w:highlight w:val="none"/>
          <w:lang w:eastAsia="zh-CN"/>
        </w:rPr>
        <w:t>。</w:t>
      </w:r>
    </w:p>
    <w:p w14:paraId="3140E975">
      <w:pPr>
        <w:numPr>
          <w:ilvl w:val="0"/>
          <w:numId w:val="0"/>
        </w:numPr>
        <w:ind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（5）</w:t>
      </w:r>
      <w:r>
        <w:rPr>
          <w:rFonts w:hint="eastAsia" w:ascii="Times New Roman" w:hAnsi="Times New Roman" w:eastAsia="宋体"/>
          <w:strike w:val="0"/>
          <w:dstrike w:val="0"/>
          <w:color w:val="auto"/>
          <w:highlight w:val="none"/>
          <w:lang w:val="en-US" w:eastAsia="zh-CN"/>
        </w:rPr>
        <w:t>黑膜池污泥</w:t>
      </w:r>
    </w:p>
    <w:p w14:paraId="3A2DE94B">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rPr>
      </w:pPr>
      <w:r>
        <w:rPr>
          <w:rFonts w:hint="eastAsia" w:ascii="Times New Roman" w:hAnsi="Times New Roman" w:eastAsia="宋体"/>
          <w:strike w:val="0"/>
          <w:dstrike w:val="0"/>
          <w:color w:val="auto"/>
          <w:highlight w:val="none"/>
          <w:lang w:val="en-US" w:eastAsia="zh-CN"/>
        </w:rPr>
        <w:t>本项目黑膜池污泥</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lang w:bidi="ar"/>
        </w:rPr>
        <w:t>。</w:t>
      </w:r>
    </w:p>
    <w:p w14:paraId="17C2CA0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w:t>
      </w:r>
    </w:p>
    <w:p w14:paraId="54DB124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本项目对</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进行防疫、治疗过程中产生少量废弃药品、废针管等，医疗垃圾属于HW01类危险废物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集中交由交由有资质的单位进行处置</w:t>
      </w:r>
      <w:r>
        <w:rPr>
          <w:rFonts w:hint="eastAsia" w:ascii="Times New Roman" w:hAnsi="Times New Roman" w:eastAsia="宋体"/>
          <w:strike w:val="0"/>
          <w:dstrike w:val="0"/>
          <w:color w:val="auto"/>
          <w:highlight w:val="none"/>
          <w:lang w:eastAsia="zh-CN"/>
        </w:rPr>
        <w:t>。</w:t>
      </w:r>
    </w:p>
    <w:p w14:paraId="4837AAD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本项目医疗废物暂存间建设应按照</w:t>
      </w:r>
      <w:r>
        <w:rPr>
          <w:rFonts w:hint="eastAsia" w:ascii="Times New Roman" w:hAnsi="Times New Roman" w:eastAsia="宋体"/>
          <w:strike w:val="0"/>
          <w:dstrike w:val="0"/>
          <w:color w:val="auto"/>
          <w:highlight w:val="none"/>
        </w:rPr>
        <w:t>《医疗废物处理处置污染控制标准》（GB 39707—2020）</w:t>
      </w:r>
      <w:r>
        <w:rPr>
          <w:rFonts w:ascii="Times New Roman" w:hAnsi="Times New Roman" w:eastAsia="宋体"/>
          <w:strike w:val="0"/>
          <w:dstrike w:val="0"/>
          <w:color w:val="auto"/>
          <w:highlight w:val="none"/>
        </w:rPr>
        <w:t>、《医疗卫生机构医疗废物管理办法》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卫生部令36号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和《危险废物污染防治技术政策》</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环发</w:t>
      </w:r>
      <w:r>
        <w:rPr>
          <w:rFonts w:hint="eastAsia" w:ascii="Times New Roman" w:hAnsi="Times New Roman" w:eastAsia="宋体"/>
          <w:strike w:val="0"/>
          <w:dstrike w:val="0"/>
          <w:color w:val="auto"/>
          <w:highlight w:val="none"/>
          <w:lang w:eastAsia="zh-CN"/>
        </w:rPr>
        <w:t>〔2001〕199号）</w:t>
      </w:r>
      <w:r>
        <w:rPr>
          <w:rFonts w:ascii="Times New Roman" w:hAnsi="Times New Roman" w:eastAsia="宋体"/>
          <w:strike w:val="0"/>
          <w:dstrike w:val="0"/>
          <w:color w:val="auto"/>
          <w:highlight w:val="none"/>
        </w:rPr>
        <w:t>的要求设置，暂存间地面必须防渗，防渗层需为渗透系数≤10</w:t>
      </w:r>
      <w:r>
        <w:rPr>
          <w:rFonts w:ascii="Times New Roman" w:hAnsi="Times New Roman" w:eastAsia="宋体"/>
          <w:strike w:val="0"/>
          <w:dstrike w:val="0"/>
          <w:color w:val="auto"/>
          <w:highlight w:val="none"/>
          <w:vertAlign w:val="superscript"/>
        </w:rPr>
        <w:t>-7</w:t>
      </w:r>
      <w:r>
        <w:rPr>
          <w:rFonts w:ascii="Times New Roman" w:hAnsi="Times New Roman" w:eastAsia="宋体"/>
          <w:strike w:val="0"/>
          <w:dstrike w:val="0"/>
          <w:color w:val="auto"/>
          <w:highlight w:val="none"/>
        </w:rPr>
        <w:t>cm/s的1m厚的黏土层，暂存间地面与裙脚要用兼顾、防渗的材料建造，建筑材料必须与危险废物相容</w:t>
      </w:r>
      <w:r>
        <w:rPr>
          <w:rFonts w:hint="eastAsia" w:ascii="Times New Roman" w:hAnsi="Times New Roman" w:eastAsia="宋体"/>
          <w:strike w:val="0"/>
          <w:dstrike w:val="0"/>
          <w:color w:val="auto"/>
          <w:highlight w:val="none"/>
          <w:lang w:eastAsia="zh-CN"/>
        </w:rPr>
        <w:t>。</w:t>
      </w:r>
    </w:p>
    <w:p w14:paraId="1AC1C53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针对项目危险固废的特点和性质，建设单位应采取如下的处置措施：</w:t>
      </w:r>
    </w:p>
    <w:p w14:paraId="615D0601">
      <w:pPr>
        <w:numPr>
          <w:ilvl w:val="0"/>
          <w:numId w:val="0"/>
        </w:numPr>
        <w:ind w:firstLine="480" w:firstLineChars="200"/>
        <w:rPr>
          <w:rFonts w:hint="eastAsia" w:ascii="Times New Roman" w:hAnsi="Times New Roman" w:eastAsia="宋体"/>
          <w:strike w:val="0"/>
          <w:dstrike w:val="0"/>
          <w:color w:val="auto"/>
          <w:highlight w:val="none"/>
        </w:rPr>
      </w:pPr>
      <w:r>
        <w:rPr>
          <w:rFonts w:hint="eastAsia" w:ascii="Times New Roman" w:hAnsi="Times New Roman" w:eastAsia="宋体" w:cs="Times New Roman"/>
          <w:strike w:val="0"/>
          <w:dstrike w:val="0"/>
          <w:color w:val="auto"/>
          <w:sz w:val="24"/>
          <w:lang w:val="en-US" w:eastAsia="zh-CN" w:bidi="ar-SA"/>
        </w:rPr>
        <w:t>1、</w:t>
      </w:r>
      <w:r>
        <w:rPr>
          <w:rFonts w:hint="eastAsia" w:ascii="Times New Roman" w:hAnsi="Times New Roman" w:eastAsia="宋体"/>
          <w:strike w:val="0"/>
          <w:dstrike w:val="0"/>
          <w:color w:val="auto"/>
          <w:highlight w:val="none"/>
        </w:rPr>
        <w:t>分类收集污染防控</w:t>
      </w:r>
    </w:p>
    <w:p w14:paraId="023E7C24">
      <w:pPr>
        <w:numPr>
          <w:ilvl w:val="0"/>
          <w:numId w:val="0"/>
        </w:numPr>
        <w:ind w:firstLine="480" w:firstLineChars="200"/>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分区配置HW01感染性、损伤性、药物性专用防渗收集袋、硬质锐器盒、密封药剂桶，实施分类分装，粘贴产废信息标签；</w:t>
      </w:r>
    </w:p>
    <w:p w14:paraId="04ADFB15">
      <w:pPr>
        <w:numPr>
          <w:ilvl w:val="0"/>
          <w:numId w:val="0"/>
        </w:numPr>
        <w:ind w:firstLine="480" w:firstLineChars="200"/>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区域配套消杀药剂，包装破损、外渗废物二次套袋密封，作业面每日消毒，避免病原扩散、渗液污染土壤。</w:t>
      </w:r>
    </w:p>
    <w:p w14:paraId="152731A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防治措施</w:t>
      </w:r>
    </w:p>
    <w:p w14:paraId="57EB3D4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属于《国家危险废物名录》（2021年）中划定的危险废物，严格按《危险废物贮存污染控制标准》（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）要求设置贮存场所</w:t>
      </w:r>
      <w:r>
        <w:rPr>
          <w:rFonts w:hint="eastAsia" w:ascii="Times New Roman" w:hAnsi="Times New Roman" w:eastAsia="宋体"/>
          <w:strike w:val="0"/>
          <w:dstrike w:val="0"/>
          <w:color w:val="auto"/>
          <w:highlight w:val="none"/>
          <w:lang w:eastAsia="zh-CN"/>
        </w:rPr>
        <w:t>。</w:t>
      </w:r>
    </w:p>
    <w:p w14:paraId="5906E9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建设单位拟在项目区内设置</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暂存间，医疗废物存于</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，定期交由</w:t>
      </w:r>
      <w:r>
        <w:rPr>
          <w:rFonts w:hint="eastAsia" w:ascii="Times New Roman" w:hAnsi="Times New Roman" w:eastAsia="宋体"/>
          <w:strike w:val="0"/>
          <w:dstrike w:val="0"/>
          <w:color w:val="auto"/>
          <w:highlight w:val="none"/>
          <w:lang w:val="en-US" w:eastAsia="zh-CN"/>
        </w:rPr>
        <w:t>有资质单位</w:t>
      </w:r>
      <w:r>
        <w:rPr>
          <w:rFonts w:hint="eastAsia" w:ascii="Times New Roman" w:hAnsi="Times New Roman" w:eastAsia="宋体"/>
          <w:strike w:val="0"/>
          <w:dstrike w:val="0"/>
          <w:color w:val="auto"/>
          <w:highlight w:val="none"/>
        </w:rPr>
        <w:t>运输及处置</w:t>
      </w:r>
      <w:r>
        <w:rPr>
          <w:rFonts w:hint="eastAsia" w:ascii="Times New Roman" w:hAnsi="Times New Roman" w:eastAsia="宋体"/>
          <w:strike w:val="0"/>
          <w:dstrike w:val="0"/>
          <w:color w:val="auto"/>
          <w:highlight w:val="none"/>
          <w:lang w:eastAsia="zh-CN"/>
        </w:rPr>
        <w:t>。</w:t>
      </w:r>
    </w:p>
    <w:p w14:paraId="3C71AB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建设应满足《危险废物贮存污染控制标准》（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）的要求，配套相应的防渗、防漏设施，保持密闭，防止雨水进入</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地面与裙脚要用坚固、防渗的材料建造，建筑材料须与危险废物相容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用于存放危险废物的容器，必须有耐腐蚀的地面硬化，且表面无裂痕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应设计堵截泄漏的裙脚，地面与裙脚所围建的容积不低于堵截最大容器的最大存储量或总储量的1/5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危险废物堆放要防风、防雨、防晒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同时危险固废采取专用贮存装置，并设立危险物警示标志，由专人进行管理，做好危险废物排放量及处置记录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向相应的固体废物管理中心申报登记本项目产生的危险废物，并按照该中心的要求对上述危险废物进行全过程严格管理和安全处置</w:t>
      </w:r>
      <w:r>
        <w:rPr>
          <w:rFonts w:hint="eastAsia" w:ascii="Times New Roman" w:hAnsi="Times New Roman" w:eastAsia="宋体"/>
          <w:strike w:val="0"/>
          <w:dstrike w:val="0"/>
          <w:color w:val="auto"/>
          <w:highlight w:val="none"/>
          <w:lang w:eastAsia="zh-CN"/>
        </w:rPr>
        <w:t>。</w:t>
      </w:r>
    </w:p>
    <w:p w14:paraId="330D0A7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项目危险废物贮存场所（设施）基本情况见表6.2-</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00C98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表6.2-2建设项目危险废物贮存场所（设施）基本情况表</w:t>
      </w:r>
    </w:p>
    <w:tbl>
      <w:tblPr>
        <w:tblStyle w:val="8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006"/>
        <w:gridCol w:w="926"/>
        <w:gridCol w:w="924"/>
        <w:gridCol w:w="1196"/>
        <w:gridCol w:w="907"/>
        <w:gridCol w:w="876"/>
        <w:gridCol w:w="890"/>
        <w:gridCol w:w="877"/>
      </w:tblGrid>
      <w:tr w14:paraId="54F6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20B054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序号</w:t>
            </w:r>
          </w:p>
        </w:tc>
        <w:tc>
          <w:tcPr>
            <w:tcW w:w="1050" w:type="dxa"/>
            <w:vAlign w:val="center"/>
          </w:tcPr>
          <w:p w14:paraId="78278EF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贮存场所</w:t>
            </w:r>
          </w:p>
        </w:tc>
        <w:tc>
          <w:tcPr>
            <w:tcW w:w="964" w:type="dxa"/>
            <w:vAlign w:val="center"/>
          </w:tcPr>
          <w:p w14:paraId="3A7F1F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危险废物名称</w:t>
            </w:r>
          </w:p>
        </w:tc>
        <w:tc>
          <w:tcPr>
            <w:tcW w:w="935" w:type="dxa"/>
            <w:vAlign w:val="center"/>
          </w:tcPr>
          <w:p w14:paraId="71435C2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危险废物类别</w:t>
            </w:r>
          </w:p>
        </w:tc>
        <w:tc>
          <w:tcPr>
            <w:tcW w:w="1196" w:type="dxa"/>
            <w:vAlign w:val="center"/>
          </w:tcPr>
          <w:p w14:paraId="2C907E2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危险废物代码</w:t>
            </w:r>
          </w:p>
        </w:tc>
        <w:tc>
          <w:tcPr>
            <w:tcW w:w="926" w:type="dxa"/>
            <w:vAlign w:val="center"/>
          </w:tcPr>
          <w:p w14:paraId="5EDA58E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占地面积</w:t>
            </w:r>
          </w:p>
        </w:tc>
        <w:tc>
          <w:tcPr>
            <w:tcW w:w="910" w:type="dxa"/>
            <w:vAlign w:val="center"/>
          </w:tcPr>
          <w:p w14:paraId="1283C9C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贮存方式</w:t>
            </w:r>
          </w:p>
        </w:tc>
        <w:tc>
          <w:tcPr>
            <w:tcW w:w="917" w:type="dxa"/>
            <w:vAlign w:val="center"/>
          </w:tcPr>
          <w:p w14:paraId="16B3DB1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贮存能力</w:t>
            </w:r>
          </w:p>
        </w:tc>
        <w:tc>
          <w:tcPr>
            <w:tcW w:w="910" w:type="dxa"/>
            <w:vAlign w:val="center"/>
          </w:tcPr>
          <w:p w14:paraId="7C636D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贮存周期</w:t>
            </w:r>
          </w:p>
        </w:tc>
      </w:tr>
      <w:tr w14:paraId="3C24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dxa"/>
            <w:vAlign w:val="center"/>
          </w:tcPr>
          <w:p w14:paraId="6112944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w:t>
            </w:r>
          </w:p>
        </w:tc>
        <w:tc>
          <w:tcPr>
            <w:tcW w:w="1050" w:type="dxa"/>
            <w:vAlign w:val="center"/>
          </w:tcPr>
          <w:p w14:paraId="5310C11B">
            <w:pPr>
              <w:snapToGrid w:val="0"/>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eastAsia="zh-CN"/>
              </w:rPr>
              <w:t>医疗废物暂存间</w:t>
            </w:r>
          </w:p>
        </w:tc>
        <w:tc>
          <w:tcPr>
            <w:tcW w:w="964" w:type="dxa"/>
            <w:vAlign w:val="center"/>
          </w:tcPr>
          <w:p w14:paraId="49FA356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医疗固废</w:t>
            </w:r>
          </w:p>
        </w:tc>
        <w:tc>
          <w:tcPr>
            <w:tcW w:w="935" w:type="dxa"/>
            <w:vAlign w:val="center"/>
          </w:tcPr>
          <w:p w14:paraId="1F7F1C8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HW01</w:t>
            </w:r>
          </w:p>
        </w:tc>
        <w:tc>
          <w:tcPr>
            <w:tcW w:w="1196" w:type="dxa"/>
            <w:vAlign w:val="center"/>
          </w:tcPr>
          <w:p w14:paraId="244F20F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900-001-01</w:t>
            </w:r>
          </w:p>
        </w:tc>
        <w:tc>
          <w:tcPr>
            <w:tcW w:w="926" w:type="dxa"/>
            <w:vAlign w:val="center"/>
          </w:tcPr>
          <w:p w14:paraId="0948709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lang w:val="en-US" w:eastAsia="zh-CN"/>
              </w:rPr>
              <w:t>15</w:t>
            </w:r>
            <w:r>
              <w:rPr>
                <w:rFonts w:hint="eastAsia" w:ascii="Times New Roman" w:hAnsi="Times New Roman" w:eastAsia="宋体"/>
                <w:strike w:val="0"/>
                <w:dstrike w:val="0"/>
                <w:color w:val="auto"/>
                <w:kern w:val="2"/>
                <w:sz w:val="21"/>
                <w:szCs w:val="21"/>
                <w:highlight w:val="none"/>
              </w:rPr>
              <w:t>m</w:t>
            </w:r>
            <w:r>
              <w:rPr>
                <w:rFonts w:hint="eastAsia" w:ascii="Times New Roman" w:hAnsi="Times New Roman" w:eastAsia="宋体"/>
                <w:strike w:val="0"/>
                <w:dstrike w:val="0"/>
                <w:color w:val="auto"/>
                <w:kern w:val="2"/>
                <w:sz w:val="21"/>
                <w:szCs w:val="21"/>
                <w:highlight w:val="none"/>
                <w:vertAlign w:val="superscript"/>
              </w:rPr>
              <w:t>2</w:t>
            </w:r>
          </w:p>
        </w:tc>
        <w:tc>
          <w:tcPr>
            <w:tcW w:w="910" w:type="dxa"/>
            <w:vAlign w:val="center"/>
          </w:tcPr>
          <w:p w14:paraId="3ED3CAA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桶装</w:t>
            </w:r>
          </w:p>
        </w:tc>
        <w:tc>
          <w:tcPr>
            <w:tcW w:w="917" w:type="dxa"/>
            <w:vAlign w:val="center"/>
          </w:tcPr>
          <w:p w14:paraId="194A034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1t/a</w:t>
            </w:r>
          </w:p>
        </w:tc>
        <w:tc>
          <w:tcPr>
            <w:tcW w:w="910" w:type="dxa"/>
            <w:vAlign w:val="center"/>
          </w:tcPr>
          <w:p w14:paraId="5BA34F9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1周</w:t>
            </w:r>
          </w:p>
        </w:tc>
      </w:tr>
    </w:tbl>
    <w:p w14:paraId="0715D322">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、委托转运过程的污染防治措施</w:t>
      </w:r>
    </w:p>
    <w:p w14:paraId="7C08953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委托具备HW01医疗危险废物经营资质单位处置，签订处置协议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按照《危险废物收集贮存运输技术规范》（HJ2025-2012），分析危险废物的收集和转运过程中采取的污染防治措施的可行性，并论证运输方式、运输线路的合理性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危险废物在运输过程中，如果管理不当或未采取适当的污染防治和安全防护措施，则极易造成污染</w:t>
      </w:r>
      <w:r>
        <w:rPr>
          <w:rFonts w:hint="eastAsia" w:ascii="Times New Roman" w:hAnsi="Times New Roman" w:eastAsia="宋体"/>
          <w:strike w:val="0"/>
          <w:dstrike w:val="0"/>
          <w:color w:val="auto"/>
          <w:highlight w:val="none"/>
          <w:lang w:eastAsia="zh-CN"/>
        </w:rPr>
        <w:t>。</w:t>
      </w:r>
    </w:p>
    <w:p w14:paraId="65FBCCB4">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危险废物在出厂前经分类收集到危废桶，然后运至危废间暂存间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项目危废处置单位定期进厂收集、运输及处置；危废运输由危废处置单位专用车辆运输，沿途尽量避免穿越人群密集区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因此，只要在危废运输中加强控制和管理，项目危险废物输送对环境的影响不明显</w:t>
      </w:r>
      <w:r>
        <w:rPr>
          <w:rFonts w:hint="eastAsia" w:ascii="Times New Roman" w:hAnsi="Times New Roman" w:eastAsia="宋体"/>
          <w:strike w:val="0"/>
          <w:dstrike w:val="0"/>
          <w:color w:val="auto"/>
          <w:highlight w:val="none"/>
          <w:lang w:eastAsia="zh-CN"/>
        </w:rPr>
        <w:t>。</w:t>
      </w:r>
    </w:p>
    <w:p w14:paraId="73E131F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项目对危废运输过程中拟采取如下防治措施：</w:t>
      </w:r>
    </w:p>
    <w:p w14:paraId="5C5CDC9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（1）运输时应采取密闭、遮盖、捆扎等措施防止扬散；</w:t>
      </w:r>
    </w:p>
    <w:p w14:paraId="5F6153DD">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（2）对运输危险废物的设施和设备应加强管理和未付，保证其正常运行和使用；</w:t>
      </w:r>
    </w:p>
    <w:p w14:paraId="127F2A23">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（3）不能混合运输性质不相容而又未经安全性处置的危险废物；</w:t>
      </w:r>
    </w:p>
    <w:p w14:paraId="2EBF00E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（4）转移危险废物时，必须按照规定填写危险废物转移联单，并向危险废物移出地和接受地的县级以上地方人民政府环境保护行政主管部门报告；</w:t>
      </w:r>
    </w:p>
    <w:p w14:paraId="35D94FC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（5）禁止将危险废物与旅客在用一运输工具上载运；</w:t>
      </w:r>
    </w:p>
    <w:p w14:paraId="5C8A9F1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（6）运输危险废物的车辆应尽可能避开城市、城镇等人群居住区、闹市区等；</w:t>
      </w:r>
    </w:p>
    <w:p w14:paraId="1CB781F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（7）运输危险废物的人员应当接受专业培训，经考核合格后，方可从事运输危险废物的工作；</w:t>
      </w:r>
    </w:p>
    <w:p w14:paraId="23341DE5">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（8）应制定在发生意外事故时采取的应急措施和防范措施；</w:t>
      </w:r>
    </w:p>
    <w:p w14:paraId="535CAE0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（9）若发生突发性事故必须立即采取措施消除或者减轻对环境的污染危害，及时通报给附近的单位和居民，并向事故发生地县级以上人民政府环境保护行政主管部门和有关部门报告，接受调查处理</w:t>
      </w:r>
      <w:r>
        <w:rPr>
          <w:rFonts w:hint="eastAsia" w:ascii="Times New Roman" w:hAnsi="Times New Roman" w:eastAsia="宋体"/>
          <w:strike w:val="0"/>
          <w:dstrike w:val="0"/>
          <w:color w:val="auto"/>
          <w:highlight w:val="none"/>
          <w:lang w:eastAsia="zh-CN"/>
        </w:rPr>
        <w:t>。</w:t>
      </w:r>
    </w:p>
    <w:p w14:paraId="0CB79FFA">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综上所述，本项目产生的固体废弃物经过收集、处理处置后，实现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减量化、资源化和无害化</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的要求，不会对周围环境产生明显的不利影响</w:t>
      </w:r>
      <w:r>
        <w:rPr>
          <w:rFonts w:hint="eastAsia" w:ascii="Times New Roman" w:hAnsi="Times New Roman" w:eastAsia="宋体"/>
          <w:strike w:val="0"/>
          <w:dstrike w:val="0"/>
          <w:color w:val="auto"/>
          <w:highlight w:val="none"/>
          <w:lang w:eastAsia="zh-CN"/>
        </w:rPr>
        <w:t>。</w:t>
      </w:r>
    </w:p>
    <w:p w14:paraId="669D0F8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检疫及兽医站产生的医疗废物必须当日消毒，消毒后装入容器，常温下贮存不得超过一天，于5℃以下冷藏的，不得超过7天，夏季医疗垃圾在常温下贮存期不得超过一天，冬季由于气温较低，低于5℃以下冷藏的，医疗垃圾最长储存时间不得超过2d，根据《医疗废物管理条例》</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2011年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要求，医疗废物经临时储存后交由有医疗废物处置资质的单位进行集中清运处理，要严格按照要求，在医疗废弃物的管理上必须要有交接签字制度，医疗废物产生量必须要有登记，以避免医疗废弃物的流失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在医疗废弃物的处置方面还必须做到分类、消毒、专人管理</w:t>
      </w:r>
      <w:r>
        <w:rPr>
          <w:rFonts w:hint="eastAsia" w:ascii="Times New Roman" w:hAnsi="Times New Roman" w:eastAsia="宋体"/>
          <w:strike w:val="0"/>
          <w:dstrike w:val="0"/>
          <w:color w:val="auto"/>
          <w:highlight w:val="none"/>
          <w:lang w:eastAsia="zh-CN"/>
        </w:rPr>
        <w:t>。</w:t>
      </w:r>
    </w:p>
    <w:p w14:paraId="03AC5BDF">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综上分析，对固体废物采取相应治理措施后，固废可以得到合理处置，产生的固体废物对周围环境影响不大</w:t>
      </w:r>
      <w:r>
        <w:rPr>
          <w:rFonts w:hint="eastAsia" w:ascii="Times New Roman" w:hAnsi="Times New Roman" w:eastAsia="宋体"/>
          <w:strike w:val="0"/>
          <w:dstrike w:val="0"/>
          <w:color w:val="auto"/>
          <w:highlight w:val="none"/>
          <w:lang w:eastAsia="zh-CN"/>
        </w:rPr>
        <w:t>。</w:t>
      </w:r>
    </w:p>
    <w:p w14:paraId="25689269">
      <w:pPr>
        <w:pStyle w:val="4"/>
        <w:rPr>
          <w:rFonts w:ascii="Times New Roman" w:hAnsi="Times New Roman" w:eastAsia="宋体"/>
          <w:strike w:val="0"/>
          <w:dstrike w:val="0"/>
          <w:color w:val="auto"/>
          <w:highlight w:val="none"/>
        </w:rPr>
      </w:pPr>
      <w:bookmarkStart w:id="310" w:name="_Toc12690"/>
      <w:bookmarkStart w:id="311" w:name="_Toc106663529"/>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土壤污染防治措施</w:t>
      </w:r>
      <w:bookmarkEnd w:id="310"/>
      <w:bookmarkEnd w:id="311"/>
    </w:p>
    <w:p w14:paraId="1EC996E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.1防治措施</w:t>
      </w:r>
    </w:p>
    <w:p w14:paraId="489EDB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（1）加强废水处理设施的维护和管理，及时发现处理设备的隐患，确保处理系统正常运行</w:t>
      </w:r>
      <w:r>
        <w:rPr>
          <w:rFonts w:hint="eastAsia" w:ascii="Times New Roman" w:hAnsi="Times New Roman" w:eastAsia="宋体"/>
          <w:strike w:val="0"/>
          <w:dstrike w:val="0"/>
          <w:color w:val="auto"/>
          <w:highlight w:val="none"/>
          <w:lang w:eastAsia="zh-CN"/>
        </w:rPr>
        <w:t>。</w:t>
      </w:r>
    </w:p>
    <w:p w14:paraId="05F2C7F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（2）加强施工质量，对</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lang w:val="en-US" w:eastAsia="zh-CN"/>
        </w:rPr>
        <w:t>黑膜池、堆肥场</w:t>
      </w:r>
      <w:r>
        <w:rPr>
          <w:rFonts w:hint="eastAsia" w:ascii="Times New Roman" w:hAnsi="Times New Roman" w:eastAsia="宋体"/>
          <w:strike w:val="0"/>
          <w:dstrike w:val="0"/>
          <w:color w:val="auto"/>
          <w:highlight w:val="none"/>
        </w:rPr>
        <w:t>按重点防渗区采取措施，参照《危险废物贮存污染控制标准》（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p>
    <w:p w14:paraId="6B7DDB0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等按一般防渗区采取防渗措施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底压实粘土层厚度要≥1m，满足渗透系数K≤1.0×10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cm/s；防渗粘土层上部及贮水池侧面铺设1.0mm高密度聚乙烯（HDPE）防渗膜（渗透系数K≤10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cm/s），在做好基层防渗的基础上进行水泥硬化</w:t>
      </w:r>
      <w:r>
        <w:rPr>
          <w:rFonts w:hint="eastAsia" w:ascii="Times New Roman" w:hAnsi="Times New Roman" w:eastAsia="宋体"/>
          <w:strike w:val="0"/>
          <w:dstrike w:val="0"/>
          <w:color w:val="auto"/>
          <w:highlight w:val="none"/>
          <w:lang w:eastAsia="zh-CN"/>
        </w:rPr>
        <w:t>。</w:t>
      </w:r>
    </w:p>
    <w:p w14:paraId="0012CB4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（4）场区边界建设雨水截流沟、排水沟，及时拦截和导排雨水，减少废水产生量，降低事故风险</w:t>
      </w:r>
      <w:r>
        <w:rPr>
          <w:rFonts w:hint="eastAsia" w:ascii="Times New Roman" w:hAnsi="Times New Roman" w:eastAsia="宋体"/>
          <w:strike w:val="0"/>
          <w:dstrike w:val="0"/>
          <w:color w:val="auto"/>
          <w:highlight w:val="none"/>
          <w:lang w:eastAsia="zh-CN"/>
        </w:rPr>
        <w:t>。</w:t>
      </w:r>
    </w:p>
    <w:p w14:paraId="6CC17802">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.2跟踪监测</w:t>
      </w:r>
    </w:p>
    <w:p w14:paraId="49803C6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（1）监测点位</w:t>
      </w:r>
    </w:p>
    <w:p w14:paraId="20570A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根据《环境影响评价技术导则土壤环境》（HJ964-2018）的要求确定土壤跟踪监测点布设原则，结合厂区占地位置，共布设1个土壤跟踪监测点，考虑项目运营期土壤最可能受到污染同时受到污染后应交较严重的</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，因此在上述区域分别设置1个土壤跟踪监测点位</w:t>
      </w:r>
      <w:r>
        <w:rPr>
          <w:rFonts w:hint="eastAsia" w:ascii="Times New Roman" w:hAnsi="Times New Roman" w:eastAsia="宋体"/>
          <w:strike w:val="0"/>
          <w:dstrike w:val="0"/>
          <w:color w:val="auto"/>
          <w:highlight w:val="none"/>
          <w:lang w:eastAsia="zh-CN"/>
        </w:rPr>
        <w:t>。</w:t>
      </w:r>
    </w:p>
    <w:p w14:paraId="2519D02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监测点布设情况见表6.2-</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p>
    <w:p w14:paraId="3FFDC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表6.2-5环境监测点一览表</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2074"/>
        <w:gridCol w:w="2074"/>
        <w:gridCol w:w="2075"/>
      </w:tblGrid>
      <w:tr w14:paraId="6B4F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7F37C23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功能</w:t>
            </w:r>
          </w:p>
        </w:tc>
        <w:tc>
          <w:tcPr>
            <w:tcW w:w="2130" w:type="dxa"/>
            <w:vAlign w:val="center"/>
          </w:tcPr>
          <w:p w14:paraId="2FAA694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编号</w:t>
            </w:r>
          </w:p>
        </w:tc>
        <w:tc>
          <w:tcPr>
            <w:tcW w:w="2131" w:type="dxa"/>
            <w:vAlign w:val="center"/>
          </w:tcPr>
          <w:p w14:paraId="22E5C7B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位置</w:t>
            </w:r>
          </w:p>
        </w:tc>
        <w:tc>
          <w:tcPr>
            <w:tcW w:w="2131" w:type="dxa"/>
            <w:vAlign w:val="center"/>
          </w:tcPr>
          <w:p w14:paraId="7592E15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监测要求</w:t>
            </w:r>
          </w:p>
        </w:tc>
      </w:tr>
      <w:tr w14:paraId="5A5A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30" w:type="dxa"/>
            <w:vAlign w:val="center"/>
          </w:tcPr>
          <w:p w14:paraId="06B7ADC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占地范围内</w:t>
            </w:r>
          </w:p>
        </w:tc>
        <w:tc>
          <w:tcPr>
            <w:tcW w:w="2130" w:type="dxa"/>
            <w:vAlign w:val="center"/>
          </w:tcPr>
          <w:p w14:paraId="1BE58BD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T1</w:t>
            </w:r>
          </w:p>
        </w:tc>
        <w:tc>
          <w:tcPr>
            <w:tcW w:w="2131" w:type="dxa"/>
            <w:vAlign w:val="center"/>
          </w:tcPr>
          <w:p w14:paraId="7E9AD217">
            <w:pPr>
              <w:snapToGrid w:val="0"/>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val="en-US" w:eastAsia="zh-CN"/>
              </w:rPr>
              <w:t>黑膜池</w:t>
            </w:r>
          </w:p>
        </w:tc>
        <w:tc>
          <w:tcPr>
            <w:tcW w:w="2131" w:type="dxa"/>
            <w:vAlign w:val="center"/>
          </w:tcPr>
          <w:p w14:paraId="3FCF2FE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柱状样</w:t>
            </w:r>
          </w:p>
        </w:tc>
      </w:tr>
    </w:tbl>
    <w:p w14:paraId="1252860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（2）监测频率及监测因子</w:t>
      </w:r>
    </w:p>
    <w:p w14:paraId="5B47163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监测频率：1次/年</w:t>
      </w:r>
      <w:r>
        <w:rPr>
          <w:rFonts w:hint="eastAsia" w:ascii="Times New Roman" w:hAnsi="Times New Roman" w:eastAsia="宋体"/>
          <w:strike w:val="0"/>
          <w:dstrike w:val="0"/>
          <w:color w:val="auto"/>
          <w:highlight w:val="none"/>
          <w:lang w:eastAsia="zh-CN"/>
        </w:rPr>
        <w:t>。</w:t>
      </w:r>
    </w:p>
    <w:p w14:paraId="4F2738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监测项目为：《畜禽养殖产地评价规范》（HJ568-2010）中表4养殖场土壤环境质量评价标准全值</w:t>
      </w:r>
      <w:r>
        <w:rPr>
          <w:rFonts w:hint="eastAsia" w:ascii="Times New Roman" w:hAnsi="Times New Roman" w:eastAsia="宋体"/>
          <w:strike w:val="0"/>
          <w:dstrike w:val="0"/>
          <w:color w:val="auto"/>
          <w:highlight w:val="none"/>
          <w:lang w:eastAsia="zh-CN"/>
        </w:rPr>
        <w:t>。</w:t>
      </w:r>
    </w:p>
    <w:p w14:paraId="71CE4F69">
      <w:pPr>
        <w:pStyle w:val="4"/>
        <w:rPr>
          <w:rFonts w:ascii="Times New Roman" w:hAnsi="Times New Roman" w:eastAsia="宋体"/>
          <w:strike w:val="0"/>
          <w:dstrike w:val="0"/>
          <w:color w:val="auto"/>
          <w:highlight w:val="none"/>
        </w:rPr>
      </w:pPr>
      <w:bookmarkStart w:id="312" w:name="_Toc23908"/>
      <w:bookmarkStart w:id="313" w:name="_Toc106663530"/>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生态防治措施</w:t>
      </w:r>
      <w:bookmarkEnd w:id="312"/>
      <w:bookmarkEnd w:id="313"/>
    </w:p>
    <w:p w14:paraId="35BA784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（1）工程设计时应做好厂区绿化的规划设计，落实绿化费用，设置专职绿化管理人员，保证绿化效果</w:t>
      </w:r>
      <w:r>
        <w:rPr>
          <w:rFonts w:hint="eastAsia" w:ascii="Times New Roman" w:hAnsi="Times New Roman" w:eastAsia="宋体"/>
          <w:strike w:val="0"/>
          <w:dstrike w:val="0"/>
          <w:color w:val="auto"/>
          <w:highlight w:val="none"/>
          <w:lang w:eastAsia="zh-CN"/>
        </w:rPr>
        <w:t>。</w:t>
      </w:r>
    </w:p>
    <w:p w14:paraId="25AEC19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（2）规划本项目绿化对项目区的生态环境将起到一定的恢复作用，使局部生态环境得到改善，对项目区生态环境产生的影响不大</w:t>
      </w:r>
      <w:r>
        <w:rPr>
          <w:rFonts w:hint="eastAsia" w:ascii="Times New Roman" w:hAnsi="Times New Roman" w:eastAsia="宋体"/>
          <w:strike w:val="0"/>
          <w:dstrike w:val="0"/>
          <w:color w:val="auto"/>
          <w:highlight w:val="none"/>
          <w:lang w:eastAsia="zh-CN"/>
        </w:rPr>
        <w:t>。</w:t>
      </w:r>
    </w:p>
    <w:p w14:paraId="7A8E61A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另外为了原料运输及检修、消防需要，为了环境保护的要求，厂内其他未绿化裸露地面必须进行平整、硬化，主干道和人行道必须铺设混凝土或沥青路面，以达到美化厂区环境，为生产营造所需的良好环境的目的</w:t>
      </w:r>
      <w:r>
        <w:rPr>
          <w:rFonts w:hint="eastAsia" w:ascii="Times New Roman" w:hAnsi="Times New Roman" w:eastAsia="宋体"/>
          <w:strike w:val="0"/>
          <w:dstrike w:val="0"/>
          <w:color w:val="auto"/>
          <w:highlight w:val="none"/>
          <w:lang w:eastAsia="zh-CN"/>
        </w:rPr>
        <w:t>。</w:t>
      </w:r>
    </w:p>
    <w:p w14:paraId="4A0EEFC6">
      <w:pPr>
        <w:pStyle w:val="3"/>
        <w:rPr>
          <w:rFonts w:ascii="Times New Roman" w:hAnsi="Times New Roman" w:eastAsia="宋体"/>
          <w:strike w:val="0"/>
          <w:dstrike w:val="0"/>
          <w:color w:val="auto"/>
          <w:highlight w:val="none"/>
        </w:rPr>
      </w:pPr>
      <w:bookmarkStart w:id="314" w:name="_Toc89619350"/>
      <w:bookmarkStart w:id="315" w:name="_Toc22265"/>
      <w:r>
        <w:rPr>
          <w:rFonts w:hint="eastAsia" w:ascii="Times New Roman" w:hAnsi="Times New Roman" w:eastAsia="宋体"/>
          <w:strike w:val="0"/>
          <w:dstrike w:val="0"/>
          <w:color w:val="auto"/>
          <w:highlight w:val="none"/>
        </w:rPr>
        <w:t>6.3环境风险防范措施</w:t>
      </w:r>
      <w:bookmarkEnd w:id="314"/>
      <w:bookmarkEnd w:id="315"/>
    </w:p>
    <w:p w14:paraId="7D2F070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应加大事故防范措施建设，加大防范力度，防患于未然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另外，要制定合理可行的事故应急预案，以控制事故和减少对环境造成的危害</w:t>
      </w:r>
      <w:r>
        <w:rPr>
          <w:rFonts w:hint="eastAsia" w:ascii="Times New Roman" w:hAnsi="Times New Roman" w:eastAsia="宋体"/>
          <w:strike w:val="0"/>
          <w:dstrike w:val="0"/>
          <w:color w:val="auto"/>
          <w:highlight w:val="none"/>
          <w:lang w:eastAsia="zh-CN"/>
        </w:rPr>
        <w:t>。</w:t>
      </w:r>
    </w:p>
    <w:p w14:paraId="415C755D">
      <w:pPr>
        <w:pStyle w:val="4"/>
        <w:rPr>
          <w:rFonts w:ascii="Times New Roman" w:hAnsi="Times New Roman" w:eastAsia="宋体"/>
          <w:strike w:val="0"/>
          <w:dstrike w:val="0"/>
          <w:color w:val="auto"/>
          <w:highlight w:val="none"/>
        </w:rPr>
      </w:pPr>
      <w:bookmarkStart w:id="316" w:name="_Toc106663532"/>
      <w:bookmarkStart w:id="317" w:name="_Toc911"/>
      <w:r>
        <w:rPr>
          <w:rFonts w:hint="eastAsia" w:ascii="Times New Roman" w:hAnsi="Times New Roman" w:eastAsia="宋体"/>
          <w:strike w:val="0"/>
          <w:dstrike w:val="0"/>
          <w:color w:val="auto"/>
          <w:highlight w:val="none"/>
        </w:rPr>
        <w:t>6.3.1火灾防范措施</w:t>
      </w:r>
      <w:bookmarkEnd w:id="316"/>
      <w:bookmarkEnd w:id="317"/>
    </w:p>
    <w:p w14:paraId="692C421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（1）制定安全管理制度、安全操作规程和工艺操作规程</w:t>
      </w:r>
      <w:r>
        <w:rPr>
          <w:rFonts w:hint="eastAsia" w:ascii="Times New Roman" w:hAnsi="Times New Roman" w:eastAsia="宋体"/>
          <w:strike w:val="0"/>
          <w:dstrike w:val="0"/>
          <w:color w:val="auto"/>
          <w:highlight w:val="none"/>
          <w:lang w:eastAsia="zh-CN"/>
        </w:rPr>
        <w:t>。</w:t>
      </w:r>
    </w:p>
    <w:p w14:paraId="0870CB9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）生产工人必须经过考核录用，认真培训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认真学习工艺生产技术、安全生产要点和岗位安全操作规程，熟悉生产原辅料及产品日常防护、急救措施以及泄漏处理和灭火方法，考试合格后，持证上岗</w:t>
      </w:r>
      <w:r>
        <w:rPr>
          <w:rFonts w:hint="eastAsia" w:ascii="Times New Roman" w:hAnsi="Times New Roman" w:eastAsia="宋体"/>
          <w:strike w:val="0"/>
          <w:dstrike w:val="0"/>
          <w:color w:val="auto"/>
          <w:highlight w:val="none"/>
          <w:lang w:eastAsia="zh-CN"/>
        </w:rPr>
        <w:t>。</w:t>
      </w:r>
    </w:p>
    <w:p w14:paraId="4510846E">
      <w:pPr>
        <w:pStyle w:val="4"/>
        <w:rPr>
          <w:rFonts w:ascii="Times New Roman" w:hAnsi="Times New Roman" w:eastAsia="宋体"/>
          <w:strike w:val="0"/>
          <w:dstrike w:val="0"/>
          <w:color w:val="auto"/>
          <w:highlight w:val="none"/>
        </w:rPr>
      </w:pPr>
      <w:bookmarkStart w:id="318" w:name="_Toc106663533"/>
      <w:bookmarkStart w:id="319" w:name="_Toc16512"/>
      <w:r>
        <w:rPr>
          <w:rFonts w:hint="eastAsia" w:ascii="Times New Roman" w:hAnsi="Times New Roman" w:eastAsia="宋体"/>
          <w:strike w:val="0"/>
          <w:dstrike w:val="0"/>
          <w:color w:val="auto"/>
          <w:highlight w:val="none"/>
        </w:rPr>
        <w:t>6.3.2废气处理措施故障防范措施</w:t>
      </w:r>
      <w:bookmarkEnd w:id="318"/>
      <w:bookmarkEnd w:id="319"/>
    </w:p>
    <w:p w14:paraId="3585403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要求建设单位必须加强环保设备的管理和维护，减小净化系统失效概率，降低对环境的不良影响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一旦发生废气非正常及事故排放，应立即停止生产，并及时检修，待故障解除后，方可恢复生产</w:t>
      </w:r>
      <w:r>
        <w:rPr>
          <w:rFonts w:hint="eastAsia" w:ascii="Times New Roman" w:hAnsi="Times New Roman" w:eastAsia="宋体"/>
          <w:strike w:val="0"/>
          <w:dstrike w:val="0"/>
          <w:color w:val="auto"/>
          <w:highlight w:val="none"/>
          <w:lang w:eastAsia="zh-CN"/>
        </w:rPr>
        <w:t>。</w:t>
      </w:r>
    </w:p>
    <w:p w14:paraId="5A62DAFC">
      <w:pPr>
        <w:pStyle w:val="4"/>
        <w:rPr>
          <w:rFonts w:ascii="Times New Roman" w:hAnsi="Times New Roman" w:eastAsia="宋体"/>
          <w:strike w:val="0"/>
          <w:dstrike w:val="0"/>
          <w:color w:val="auto"/>
          <w:highlight w:val="none"/>
        </w:rPr>
      </w:pPr>
      <w:bookmarkStart w:id="320" w:name="_Toc21887"/>
      <w:bookmarkStart w:id="321" w:name="_Toc106663534"/>
      <w:r>
        <w:rPr>
          <w:rFonts w:hint="eastAsia" w:ascii="Times New Roman" w:hAnsi="Times New Roman" w:eastAsia="宋体"/>
          <w:strike w:val="0"/>
          <w:dstrike w:val="0"/>
          <w:color w:val="auto"/>
          <w:highlight w:val="none"/>
        </w:rPr>
        <w:t>6.3.3有害物质泄漏防范措施</w:t>
      </w:r>
      <w:bookmarkEnd w:id="320"/>
      <w:bookmarkEnd w:id="321"/>
    </w:p>
    <w:p w14:paraId="0381402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（1）项目区内一般区域采用水泥硬化路面，</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堆肥场、黑膜池</w:t>
      </w:r>
      <w:r>
        <w:rPr>
          <w:rFonts w:hint="eastAsia" w:ascii="Times New Roman" w:hAnsi="Times New Roman" w:eastAsia="宋体"/>
          <w:strike w:val="0"/>
          <w:dstrike w:val="0"/>
          <w:color w:val="auto"/>
          <w:highlight w:val="none"/>
        </w:rPr>
        <w:t>为重点防渗区，对于重点防治污染区执行地面防渗设计；基础防渗，防渗层为至少1m厚黏土层（渗透系数不大于10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w:t>
      </w:r>
      <w:r>
        <w:rPr>
          <w:rFonts w:hint="eastAsia" w:ascii="Times New Roman" w:hAnsi="Times New Roman" w:eastAsia="宋体"/>
          <w:strike w:val="0"/>
          <w:dstrike w:val="0"/>
          <w:color w:val="auto"/>
          <w:highlight w:val="none"/>
          <w:lang w:val="en-US" w:eastAsia="zh-CN"/>
        </w:rPr>
        <w:t>骆驼圈舍、挤奶大厅</w:t>
      </w:r>
      <w:r>
        <w:rPr>
          <w:rFonts w:hint="eastAsia" w:ascii="Times New Roman" w:hAnsi="Times New Roman" w:eastAsia="宋体"/>
          <w:strike w:val="0"/>
          <w:dstrike w:val="0"/>
          <w:color w:val="auto"/>
          <w:highlight w:val="none"/>
        </w:rPr>
        <w:t>为一般防渗区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对于一般污染防治区，参照</w:t>
      </w:r>
      <w:r>
        <w:rPr>
          <w:rFonts w:ascii="Times New Roman" w:hAnsi="Times New Roman" w:eastAsia="宋体" w:cs="宋体"/>
          <w:strike w:val="0"/>
          <w:dstrike w:val="0"/>
          <w:color w:val="auto"/>
          <w:spacing w:val="0"/>
          <w:position w:val="0"/>
          <w:sz w:val="24"/>
          <w:szCs w:val="24"/>
          <w:highlight w:val="none"/>
        </w:rPr>
        <w:t>《一般工业固体废物贮存和填埋污染控制标准》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GB18599-2020</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strike w:val="0"/>
          <w:dstrike w:val="0"/>
          <w:color w:val="auto"/>
          <w:highlight w:val="none"/>
        </w:rPr>
        <w:t>Ⅱ类场进行设计，天然基础层的渗透系数均大于1.0×10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cm/s，因此应采用天然或人工材料构筑防渗层，防渗层的厚度应相当于渗透系数1.0×10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cm/s和厚度1.5m的粘土层的防渗性能</w:t>
      </w:r>
      <w:r>
        <w:rPr>
          <w:rFonts w:hint="eastAsia" w:ascii="Times New Roman" w:hAnsi="Times New Roman" w:eastAsia="宋体"/>
          <w:strike w:val="0"/>
          <w:dstrike w:val="0"/>
          <w:color w:val="auto"/>
          <w:highlight w:val="none"/>
          <w:lang w:eastAsia="zh-CN"/>
        </w:rPr>
        <w:t>。</w:t>
      </w:r>
    </w:p>
    <w:p w14:paraId="54CB26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（2）加强环境监测，定期检查厂区硫化物、氨等恶臭气的气体浓度；发现异常情况立即处理</w:t>
      </w:r>
      <w:r>
        <w:rPr>
          <w:rFonts w:hint="eastAsia" w:ascii="Times New Roman" w:hAnsi="Times New Roman" w:eastAsia="宋体"/>
          <w:strike w:val="0"/>
          <w:dstrike w:val="0"/>
          <w:color w:val="auto"/>
          <w:highlight w:val="none"/>
          <w:lang w:eastAsia="zh-CN"/>
        </w:rPr>
        <w:t>。</w:t>
      </w:r>
    </w:p>
    <w:p w14:paraId="0291B7AF">
      <w:pPr>
        <w:pStyle w:val="4"/>
        <w:rPr>
          <w:rFonts w:ascii="Times New Roman" w:hAnsi="Times New Roman" w:eastAsia="宋体"/>
          <w:strike w:val="0"/>
          <w:dstrike w:val="0"/>
          <w:color w:val="auto"/>
          <w:highlight w:val="none"/>
        </w:rPr>
      </w:pPr>
      <w:bookmarkStart w:id="322" w:name="_Toc14136"/>
      <w:bookmarkStart w:id="323" w:name="_Toc106663535"/>
      <w:r>
        <w:rPr>
          <w:rFonts w:hint="eastAsia" w:ascii="Times New Roman" w:hAnsi="Times New Roman" w:eastAsia="宋体"/>
          <w:strike w:val="0"/>
          <w:dstrike w:val="0"/>
          <w:color w:val="auto"/>
          <w:highlight w:val="none"/>
        </w:rPr>
        <w:t>6.3.4疫病风险防范措施</w:t>
      </w:r>
      <w:bookmarkEnd w:id="322"/>
      <w:bookmarkEnd w:id="323"/>
    </w:p>
    <w:p w14:paraId="6E9C6D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为预防疫情的发生，本养殖场首先做好综合预防措施和扑灭措施，预防措施包括：加强饲养管理，增强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的抵抗力；坚持自繁自养；制订合理的免疫程序；药物预防</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扑灭措施包括：疫情上报、诊断、隔离和封锁、紧急接种和治疗、消毒、尸体处理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当发生重大动物疫情时应按照当地政府和主管部门要求采取措施：</w:t>
      </w:r>
    </w:p>
    <w:p w14:paraId="6C63ED5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（1）加强饲养管理，增强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抵抗力</w:t>
      </w:r>
      <w:r>
        <w:rPr>
          <w:rFonts w:hint="eastAsia" w:ascii="Times New Roman" w:hAnsi="Times New Roman" w:eastAsia="宋体"/>
          <w:strike w:val="0"/>
          <w:dstrike w:val="0"/>
          <w:color w:val="auto"/>
          <w:highlight w:val="none"/>
          <w:lang w:eastAsia="zh-CN"/>
        </w:rPr>
        <w:t>。</w:t>
      </w:r>
    </w:p>
    <w:p w14:paraId="73FBEC3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1）要按照</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的品种、性别、年龄、体重、强弱等进行合理分群饲养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根据各类</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的营养需要、饲养标准，确定适宜的饲粮和饲喂方法</w:t>
      </w:r>
      <w:r>
        <w:rPr>
          <w:rFonts w:hint="eastAsia" w:ascii="Times New Roman" w:hAnsi="Times New Roman" w:eastAsia="宋体"/>
          <w:strike w:val="0"/>
          <w:dstrike w:val="0"/>
          <w:color w:val="auto"/>
          <w:highlight w:val="none"/>
          <w:lang w:eastAsia="zh-CN"/>
        </w:rPr>
        <w:t>。</w:t>
      </w:r>
    </w:p>
    <w:p w14:paraId="774B820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2）保证</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清洁舒适，通风良好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每月用药物进行1～2次定期消毒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空出的</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，一定要彻底消毒，一周后才可进</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lang w:eastAsia="zh-CN"/>
        </w:rPr>
        <w:t>。</w:t>
      </w:r>
    </w:p>
    <w:p w14:paraId="1D126D6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（2）制订合理的免疫程序，与当地兽医主管理部门保持联系，做好场区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免疫工作</w:t>
      </w:r>
      <w:r>
        <w:rPr>
          <w:rFonts w:hint="eastAsia" w:ascii="Times New Roman" w:hAnsi="Times New Roman" w:eastAsia="宋体"/>
          <w:strike w:val="0"/>
          <w:dstrike w:val="0"/>
          <w:color w:val="auto"/>
          <w:highlight w:val="none"/>
          <w:lang w:eastAsia="zh-CN"/>
        </w:rPr>
        <w:t>。</w:t>
      </w:r>
    </w:p>
    <w:p w14:paraId="6A81AF8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（3）发现传染病的紧急处理</w:t>
      </w:r>
    </w:p>
    <w:p w14:paraId="5B86E02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发现传染病或疑似传染病时，应按照《中华人民共和国动物防疫法》的有关条款，采取相应的紧急防治措施，就地扑灭，尸体应作无害化处理</w:t>
      </w:r>
      <w:r>
        <w:rPr>
          <w:rFonts w:hint="eastAsia" w:ascii="Times New Roman" w:hAnsi="Times New Roman" w:eastAsia="宋体"/>
          <w:strike w:val="0"/>
          <w:dstrike w:val="0"/>
          <w:color w:val="auto"/>
          <w:highlight w:val="none"/>
          <w:lang w:eastAsia="zh-CN"/>
        </w:rPr>
        <w:t>。</w:t>
      </w:r>
    </w:p>
    <w:p w14:paraId="0F9CEA3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具体实施措施有：</w:t>
      </w:r>
    </w:p>
    <w:p w14:paraId="51B9E0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1）封闭管理</w:t>
      </w:r>
      <w:r>
        <w:rPr>
          <w:rFonts w:hint="eastAsia" w:ascii="Times New Roman" w:hAnsi="Times New Roman" w:eastAsia="宋体"/>
          <w:strike w:val="0"/>
          <w:dstrike w:val="0"/>
          <w:color w:val="auto"/>
          <w:highlight w:val="none"/>
          <w:lang w:eastAsia="zh-CN"/>
        </w:rPr>
        <w:t>。</w:t>
      </w:r>
    </w:p>
    <w:p w14:paraId="264D92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人员管理：禁止非本场人员进入生产区；本场饲养人员进入生产区时，必须更换工作衣鞋，通过紫外线消毒后，经消毒池入内；本场兽医不得到场外就诊、防疫</w:t>
      </w:r>
      <w:r>
        <w:rPr>
          <w:rFonts w:hint="eastAsia" w:ascii="Times New Roman" w:hAnsi="Times New Roman" w:eastAsia="宋体"/>
          <w:strike w:val="0"/>
          <w:dstrike w:val="0"/>
          <w:color w:val="auto"/>
          <w:highlight w:val="none"/>
          <w:lang w:eastAsia="zh-CN"/>
        </w:rPr>
        <w:t>。</w:t>
      </w:r>
    </w:p>
    <w:p w14:paraId="0865A78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工具、车辆要求：场内外工具、车辆要严格分开，并定期消毒；外来工具、车辆一般不予进入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禁止生的畜产品带入生产区</w:t>
      </w:r>
      <w:r>
        <w:rPr>
          <w:rFonts w:hint="eastAsia" w:ascii="Times New Roman" w:hAnsi="Times New Roman" w:eastAsia="宋体"/>
          <w:strike w:val="0"/>
          <w:dstrike w:val="0"/>
          <w:color w:val="auto"/>
          <w:highlight w:val="none"/>
          <w:lang w:eastAsia="zh-CN"/>
        </w:rPr>
        <w:t>。</w:t>
      </w:r>
    </w:p>
    <w:p w14:paraId="3212B65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把好引种关：引种前要了解产地疫病情况，并经动物防疫部门监测检疫，引入后要隔离饲养观察</w:t>
      </w:r>
      <w:r>
        <w:rPr>
          <w:rFonts w:hint="eastAsia" w:ascii="Times New Roman" w:hAnsi="Times New Roman" w:eastAsia="宋体"/>
          <w:strike w:val="0"/>
          <w:dstrike w:val="0"/>
          <w:color w:val="auto"/>
          <w:highlight w:val="none"/>
          <w:lang w:eastAsia="zh-CN"/>
        </w:rPr>
        <w:t>。</w:t>
      </w:r>
    </w:p>
    <w:p w14:paraId="0ACB80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2）科学免疫</w:t>
      </w:r>
      <w:r>
        <w:rPr>
          <w:rFonts w:hint="eastAsia" w:ascii="Times New Roman" w:hAnsi="Times New Roman" w:eastAsia="宋体"/>
          <w:strike w:val="0"/>
          <w:dstrike w:val="0"/>
          <w:color w:val="auto"/>
          <w:highlight w:val="none"/>
          <w:lang w:eastAsia="zh-CN"/>
        </w:rPr>
        <w:t>。</w:t>
      </w:r>
    </w:p>
    <w:p w14:paraId="43D607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对</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实行科学免疫是有效防止疫病发生的重要措施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养殖场应根据本场的疫病史、场周围的疫情、</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免疫抗体水平及</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的不同饲养阶段等情况，有针对性地制定免疫计划</w:t>
      </w:r>
      <w:r>
        <w:rPr>
          <w:rFonts w:hint="eastAsia" w:ascii="Times New Roman" w:hAnsi="Times New Roman" w:eastAsia="宋体"/>
          <w:strike w:val="0"/>
          <w:dstrike w:val="0"/>
          <w:color w:val="auto"/>
          <w:highlight w:val="none"/>
          <w:lang w:eastAsia="zh-CN"/>
        </w:rPr>
        <w:t>。</w:t>
      </w:r>
    </w:p>
    <w:p w14:paraId="21D210D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选择购买由国家畜牧兽医行政管理部门定点生产的疫苗，加强疫苗保管储存，并由兽医按防疫注射操作规程实行免疫，同时建立免疫档案</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有条件的应及时开展免疫效果监测，并根据监测情况调整免疫程序</w:t>
      </w:r>
      <w:r>
        <w:rPr>
          <w:rFonts w:hint="eastAsia" w:ascii="Times New Roman" w:hAnsi="Times New Roman" w:eastAsia="宋体"/>
          <w:strike w:val="0"/>
          <w:dstrike w:val="0"/>
          <w:color w:val="auto"/>
          <w:highlight w:val="none"/>
          <w:lang w:eastAsia="zh-CN"/>
        </w:rPr>
        <w:t>。</w:t>
      </w:r>
    </w:p>
    <w:p w14:paraId="577D629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3）规范消毒</w:t>
      </w:r>
      <w:r>
        <w:rPr>
          <w:rFonts w:hint="eastAsia" w:ascii="Times New Roman" w:hAnsi="Times New Roman" w:eastAsia="宋体"/>
          <w:strike w:val="0"/>
          <w:dstrike w:val="0"/>
          <w:color w:val="auto"/>
          <w:highlight w:val="none"/>
          <w:lang w:eastAsia="zh-CN"/>
        </w:rPr>
        <w:t>。</w:t>
      </w:r>
    </w:p>
    <w:p w14:paraId="7A710B6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消毒工作须做到经常化、制度化，要定期交替使用广谱、高效、低毒的消毒剂；制定科学的消毒程序，定期对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周边环境消毒，任何饲养阶段的</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每周至少消毒2次，在条件允许的情况下，要实施带体消毒</w:t>
      </w:r>
      <w:r>
        <w:rPr>
          <w:rFonts w:hint="eastAsia" w:ascii="Times New Roman" w:hAnsi="Times New Roman" w:eastAsia="宋体"/>
          <w:strike w:val="0"/>
          <w:dstrike w:val="0"/>
          <w:color w:val="auto"/>
          <w:highlight w:val="none"/>
          <w:lang w:eastAsia="zh-CN"/>
        </w:rPr>
        <w:t>。</w:t>
      </w:r>
    </w:p>
    <w:p w14:paraId="6E4DE58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4）合理用药</w:t>
      </w:r>
      <w:r>
        <w:rPr>
          <w:rFonts w:hint="eastAsia" w:ascii="Times New Roman" w:hAnsi="Times New Roman" w:eastAsia="宋体"/>
          <w:strike w:val="0"/>
          <w:dstrike w:val="0"/>
          <w:color w:val="auto"/>
          <w:highlight w:val="none"/>
          <w:lang w:eastAsia="zh-CN"/>
        </w:rPr>
        <w:t>。</w:t>
      </w:r>
    </w:p>
    <w:p w14:paraId="0D0FF25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规模养殖场兽医用药要严格实行处方用药制度，定期采集一些</w:t>
      </w:r>
      <w:r>
        <w:rPr>
          <w:rFonts w:hint="eastAsia" w:ascii="Times New Roman" w:hAnsi="Times New Roman" w:eastAsia="宋体"/>
          <w:strike w:val="0"/>
          <w:dstrike w:val="0"/>
          <w:color w:val="auto"/>
          <w:highlight w:val="none"/>
          <w:lang w:eastAsia="zh-CN"/>
        </w:rPr>
        <w:t>病骆驼</w:t>
      </w:r>
      <w:r>
        <w:rPr>
          <w:rFonts w:hint="eastAsia" w:ascii="Times New Roman" w:hAnsi="Times New Roman" w:eastAsia="宋体"/>
          <w:strike w:val="0"/>
          <w:dstrike w:val="0"/>
          <w:color w:val="auto"/>
          <w:highlight w:val="none"/>
        </w:rPr>
        <w:t>的病料进行细菌分离培养和药敏试验，并根据药敏试验结果选择敏感药物进行预防、治疗，避免耐药菌株的产生</w:t>
      </w:r>
      <w:r>
        <w:rPr>
          <w:rFonts w:hint="eastAsia" w:ascii="Times New Roman" w:hAnsi="Times New Roman" w:eastAsia="宋体"/>
          <w:strike w:val="0"/>
          <w:dstrike w:val="0"/>
          <w:color w:val="auto"/>
          <w:highlight w:val="none"/>
          <w:lang w:eastAsia="zh-CN"/>
        </w:rPr>
        <w:t>。</w:t>
      </w:r>
    </w:p>
    <w:p w14:paraId="447DD2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5）疫情监测</w:t>
      </w:r>
      <w:r>
        <w:rPr>
          <w:rFonts w:hint="eastAsia" w:ascii="Times New Roman" w:hAnsi="Times New Roman" w:eastAsia="宋体"/>
          <w:strike w:val="0"/>
          <w:dstrike w:val="0"/>
          <w:color w:val="auto"/>
          <w:highlight w:val="none"/>
          <w:lang w:eastAsia="zh-CN"/>
        </w:rPr>
        <w:t>。</w:t>
      </w:r>
    </w:p>
    <w:p w14:paraId="2A90685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兽医每天要定期巡查</w:t>
      </w:r>
      <w:r>
        <w:rPr>
          <w:rFonts w:hint="eastAsia" w:ascii="Times New Roman" w:hAnsi="Times New Roman" w:eastAsia="宋体"/>
          <w:strike w:val="0"/>
          <w:dstrike w:val="0"/>
          <w:color w:val="auto"/>
          <w:highlight w:val="none"/>
          <w:lang w:eastAsia="zh-CN"/>
        </w:rPr>
        <w:t>骆驼圈舍</w:t>
      </w:r>
      <w:r>
        <w:rPr>
          <w:rFonts w:hint="eastAsia" w:ascii="Times New Roman" w:hAnsi="Times New Roman" w:eastAsia="宋体"/>
          <w:strike w:val="0"/>
          <w:dstrike w:val="0"/>
          <w:color w:val="auto"/>
          <w:highlight w:val="none"/>
        </w:rPr>
        <w:t>，发现疫情要及时采取应对措施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规模养殖场一旦发生重大动物疫情时，要立即向当地动物防疫监督机构报告，并及时采取隔离、消毒、扑杀、紧急免疫等有效措施，控制疫情，防止疫情扩散</w:t>
      </w:r>
      <w:r>
        <w:rPr>
          <w:rFonts w:hint="eastAsia" w:ascii="Times New Roman" w:hAnsi="Times New Roman" w:eastAsia="宋体"/>
          <w:strike w:val="0"/>
          <w:dstrike w:val="0"/>
          <w:color w:val="auto"/>
          <w:highlight w:val="none"/>
          <w:lang w:eastAsia="zh-CN"/>
        </w:rPr>
        <w:t>。</w:t>
      </w:r>
    </w:p>
    <w:p w14:paraId="47C4875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6）日常卫生</w:t>
      </w:r>
      <w:r>
        <w:rPr>
          <w:rFonts w:hint="eastAsia" w:ascii="Times New Roman" w:hAnsi="Times New Roman" w:eastAsia="宋体"/>
          <w:strike w:val="0"/>
          <w:dstrike w:val="0"/>
          <w:color w:val="auto"/>
          <w:highlight w:val="none"/>
          <w:lang w:eastAsia="zh-CN"/>
        </w:rPr>
        <w:t>。</w:t>
      </w:r>
    </w:p>
    <w:p w14:paraId="5F5FE66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平常要认真做好牧场卫生工作，及时处理粪便，定期进行灭鼠、灭蝇、灭蚊等工作</w:t>
      </w:r>
      <w:r>
        <w:rPr>
          <w:rFonts w:hint="eastAsia" w:ascii="Times New Roman" w:hAnsi="Times New Roman" w:eastAsia="宋体"/>
          <w:strike w:val="0"/>
          <w:dstrike w:val="0"/>
          <w:color w:val="auto"/>
          <w:highlight w:val="none"/>
          <w:lang w:eastAsia="zh-CN"/>
        </w:rPr>
        <w:t>。</w:t>
      </w:r>
    </w:p>
    <w:p w14:paraId="7665512D">
      <w:pPr>
        <w:pStyle w:val="4"/>
        <w:rPr>
          <w:rFonts w:ascii="Times New Roman" w:hAnsi="Times New Roman" w:eastAsia="宋体"/>
          <w:strike w:val="0"/>
          <w:dstrike w:val="0"/>
          <w:color w:val="auto"/>
          <w:highlight w:val="none"/>
        </w:rPr>
      </w:pPr>
      <w:bookmarkStart w:id="324" w:name="_Toc25436"/>
      <w:bookmarkStart w:id="325" w:name="_Toc106663536"/>
      <w:r>
        <w:rPr>
          <w:rFonts w:hint="eastAsia" w:ascii="Times New Roman" w:hAnsi="Times New Roman" w:eastAsia="宋体"/>
          <w:strike w:val="0"/>
          <w:dstrike w:val="0"/>
          <w:color w:val="auto"/>
          <w:highlight w:val="none"/>
        </w:rPr>
        <w:t>6.3.5养殖场隔离舍建设要求及日常防治措施</w:t>
      </w:r>
      <w:bookmarkEnd w:id="324"/>
      <w:bookmarkEnd w:id="325"/>
    </w:p>
    <w:p w14:paraId="7056CD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本次环评建议设置隔离舍，隔离舍必须在年主导风向的下风向，并且不得在地下水径流的上游区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此外隔离区必须与生产区、生活办公区隔开，一般隔离舍区设置在距离生产区、生活办公区50-100m远处较为合适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要求隔离舍四周绿化隔离带隔开，并设专用消毒设施，隔离场的入口处设置警示标志</w:t>
      </w:r>
      <w:r>
        <w:rPr>
          <w:rFonts w:hint="eastAsia" w:ascii="Times New Roman" w:hAnsi="Times New Roman" w:eastAsia="宋体"/>
          <w:strike w:val="0"/>
          <w:dstrike w:val="0"/>
          <w:color w:val="auto"/>
          <w:highlight w:val="none"/>
          <w:lang w:eastAsia="zh-CN"/>
        </w:rPr>
        <w:t>。</w:t>
      </w:r>
    </w:p>
    <w:p w14:paraId="13E6E4D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另外隔离舍区要加强管理：要求工作人员无人兽共患传染病；严禁非工作人员进入隔离区；工作人员进出隔离区应该遵循程序，更衣→换鞋→经消毒池→消毒通道进出；隔离舍要定期彻底清洗/毒隔设备（运输车辆等）；工作人员未经管理人员批准随意进出隔离舍；不得携进（出）任何物品</w:t>
      </w:r>
      <w:r>
        <w:rPr>
          <w:rFonts w:hint="eastAsia" w:ascii="Times New Roman" w:hAnsi="Times New Roman" w:eastAsia="宋体"/>
          <w:strike w:val="0"/>
          <w:dstrike w:val="0"/>
          <w:color w:val="auto"/>
          <w:highlight w:val="none"/>
          <w:lang w:eastAsia="zh-CN"/>
        </w:rPr>
        <w:t>。</w:t>
      </w:r>
    </w:p>
    <w:p w14:paraId="48340069">
      <w:pPr>
        <w:ind w:firstLine="480"/>
        <w:rPr>
          <w:rFonts w:ascii="Times New Roman" w:hAnsi="Times New Roman" w:eastAsia="宋体"/>
          <w:strike w:val="0"/>
          <w:dstrike w:val="0"/>
          <w:color w:val="auto"/>
          <w:highlight w:val="none"/>
        </w:rPr>
        <w:sectPr>
          <w:footerReference r:id="rId23" w:type="default"/>
          <w:footerReference r:id="rId24"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3E005C69">
      <w:pPr>
        <w:pStyle w:val="2"/>
        <w:rPr>
          <w:rFonts w:ascii="Times New Roman" w:hAnsi="Times New Roman" w:eastAsia="宋体"/>
          <w:strike w:val="0"/>
          <w:dstrike w:val="0"/>
          <w:color w:val="auto"/>
          <w:highlight w:val="none"/>
        </w:rPr>
      </w:pPr>
      <w:bookmarkStart w:id="326" w:name="_Toc4280"/>
      <w:bookmarkStart w:id="327" w:name="_Toc89619351"/>
      <w:r>
        <w:rPr>
          <w:rFonts w:hint="eastAsia" w:ascii="Times New Roman" w:hAnsi="Times New Roman" w:eastAsia="宋体"/>
          <w:strike w:val="0"/>
          <w:dstrike w:val="0"/>
          <w:color w:val="auto"/>
          <w:highlight w:val="none"/>
        </w:rPr>
        <w:t>7、环境影响经济损益分析</w:t>
      </w:r>
      <w:bookmarkEnd w:id="326"/>
      <w:bookmarkEnd w:id="327"/>
    </w:p>
    <w:p w14:paraId="740233E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环境影响经济损益分析的主要任务是衡量项目的环保投资所能收到的环境效益和经济效益，衡量建设项目的环保投资在经济上的合理水平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建设项目的社会影响、经济影响、环境影响是一个系统的三要素，最终以提高人类的生活质量为目的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它们之间既是互相促进，又互相制约，必须通过全面规划、综合平衡、正确地把全局利益和局部利益、长远利益和近期利益结合起来，对环境保护和经济发展进行协调，实现社会效益、经济效益、环境效益的三统一，实现经济的持续发展和环境质量的不断改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属于畜牧养殖行业，通过对本项目的经济、社会和环境效益分析，使项目的建设论证更加充分可靠，工程的设计和实施更加完善，为项目决策者更好地考虑环境、经济和社会效益的统一提供依据，以实现经济的持续增长、社会的良性发展和环境质量的保持与改善</w:t>
      </w:r>
      <w:r>
        <w:rPr>
          <w:rFonts w:hint="eastAsia" w:ascii="Times New Roman" w:hAnsi="Times New Roman" w:eastAsia="宋体"/>
          <w:strike w:val="0"/>
          <w:dstrike w:val="0"/>
          <w:color w:val="auto"/>
          <w:highlight w:val="none"/>
          <w:lang w:eastAsia="zh-CN"/>
        </w:rPr>
        <w:t>。</w:t>
      </w:r>
    </w:p>
    <w:p w14:paraId="5719BF14">
      <w:pPr>
        <w:pStyle w:val="3"/>
        <w:rPr>
          <w:rFonts w:ascii="Times New Roman" w:hAnsi="Times New Roman" w:eastAsia="宋体"/>
          <w:strike w:val="0"/>
          <w:dstrike w:val="0"/>
          <w:color w:val="auto"/>
          <w:highlight w:val="none"/>
        </w:rPr>
      </w:pPr>
      <w:bookmarkStart w:id="328" w:name="_Toc89619352"/>
      <w:bookmarkStart w:id="329" w:name="_Toc16957"/>
      <w:r>
        <w:rPr>
          <w:rFonts w:hint="eastAsia" w:ascii="Times New Roman" w:hAnsi="Times New Roman" w:eastAsia="宋体"/>
          <w:strike w:val="0"/>
          <w:dstrike w:val="0"/>
          <w:color w:val="auto"/>
          <w:highlight w:val="none"/>
        </w:rPr>
        <w:t>7.1社会效益分析</w:t>
      </w:r>
      <w:bookmarkEnd w:id="328"/>
      <w:bookmarkEnd w:id="329"/>
    </w:p>
    <w:p w14:paraId="074F08D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本项目的社会效益主要表现在：</w:t>
      </w:r>
    </w:p>
    <w:p w14:paraId="7AABC3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1、通过该项目的实施，调整种植业结构，加大农业综合开发利用的力度，将现有的资源优势转化为产业优势，提高土地的产出效益</w:t>
      </w:r>
      <w:r>
        <w:rPr>
          <w:rFonts w:hint="eastAsia" w:ascii="Times New Roman" w:hAnsi="Times New Roman" w:eastAsia="宋体"/>
          <w:strike w:val="0"/>
          <w:dstrike w:val="0"/>
          <w:color w:val="auto"/>
          <w:highlight w:val="none"/>
          <w:lang w:eastAsia="zh-CN"/>
        </w:rPr>
        <w:t>。</w:t>
      </w:r>
    </w:p>
    <w:p w14:paraId="57BEAC1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2、通过引进优良品质，采用现代化的养殖工艺与装备，通过标准化、规模化</w:t>
      </w:r>
      <w:r>
        <w:rPr>
          <w:rFonts w:hint="eastAsia" w:ascii="Times New Roman" w:hAnsi="Times New Roman" w:eastAsia="宋体"/>
          <w:strike w:val="0"/>
          <w:dstrike w:val="0"/>
          <w:color w:val="auto"/>
          <w:highlight w:val="none"/>
          <w:lang w:eastAsia="zh-CN"/>
        </w:rPr>
        <w:t>骆驼养殖</w:t>
      </w:r>
      <w:r>
        <w:rPr>
          <w:rFonts w:hint="eastAsia" w:ascii="Times New Roman" w:hAnsi="Times New Roman" w:eastAsia="宋体"/>
          <w:strike w:val="0"/>
          <w:dstrike w:val="0"/>
          <w:color w:val="auto"/>
          <w:highlight w:val="none"/>
        </w:rPr>
        <w:t>模式，加速</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畜牧业产业化进程，推动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畜牧业实现高效生产和可持续发展具有较好的示范作用</w:t>
      </w:r>
      <w:r>
        <w:rPr>
          <w:rFonts w:hint="eastAsia" w:ascii="Times New Roman" w:hAnsi="Times New Roman" w:eastAsia="宋体"/>
          <w:strike w:val="0"/>
          <w:dstrike w:val="0"/>
          <w:color w:val="auto"/>
          <w:highlight w:val="none"/>
          <w:lang w:eastAsia="zh-CN"/>
        </w:rPr>
        <w:t>。</w:t>
      </w:r>
    </w:p>
    <w:p w14:paraId="313F45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3、项目实施后将促进和带动周边加工业等相关产业的发展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同时，结合本项目的实施，可以进一步促进规划区内基础设施的建设</w:t>
      </w:r>
      <w:r>
        <w:rPr>
          <w:rFonts w:hint="eastAsia" w:ascii="Times New Roman" w:hAnsi="Times New Roman" w:eastAsia="宋体"/>
          <w:strike w:val="0"/>
          <w:dstrike w:val="0"/>
          <w:color w:val="auto"/>
          <w:highlight w:val="none"/>
          <w:lang w:eastAsia="zh-CN"/>
        </w:rPr>
        <w:t>。</w:t>
      </w:r>
    </w:p>
    <w:p w14:paraId="5B73227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4、本项目的实施可以直接或间接的增加许多就业机会，促进社会的安定团结</w:t>
      </w:r>
      <w:r>
        <w:rPr>
          <w:rFonts w:hint="eastAsia" w:ascii="Times New Roman" w:hAnsi="Times New Roman" w:eastAsia="宋体"/>
          <w:strike w:val="0"/>
          <w:dstrike w:val="0"/>
          <w:color w:val="auto"/>
          <w:highlight w:val="none"/>
          <w:lang w:eastAsia="zh-CN"/>
        </w:rPr>
        <w:t>。</w:t>
      </w:r>
    </w:p>
    <w:p w14:paraId="125BD87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5、项目的实施可以增加当地政府的税收，促进当地经济发展和人民生活质量</w:t>
      </w:r>
      <w:r>
        <w:rPr>
          <w:rFonts w:hint="eastAsia" w:ascii="Times New Roman" w:hAnsi="Times New Roman" w:eastAsia="宋体"/>
          <w:strike w:val="0"/>
          <w:dstrike w:val="0"/>
          <w:color w:val="auto"/>
          <w:highlight w:val="none"/>
          <w:lang w:eastAsia="zh-CN"/>
        </w:rPr>
        <w:t>。</w:t>
      </w:r>
    </w:p>
    <w:p w14:paraId="1B2E3FF4">
      <w:pPr>
        <w:pStyle w:val="3"/>
        <w:rPr>
          <w:rFonts w:ascii="Times New Roman" w:hAnsi="Times New Roman" w:eastAsia="宋体"/>
          <w:strike w:val="0"/>
          <w:dstrike w:val="0"/>
          <w:color w:val="auto"/>
          <w:highlight w:val="none"/>
        </w:rPr>
      </w:pPr>
      <w:bookmarkStart w:id="330" w:name="_Toc89619353"/>
      <w:bookmarkStart w:id="331" w:name="_Toc21517"/>
      <w:r>
        <w:rPr>
          <w:rFonts w:hint="eastAsia" w:ascii="Times New Roman" w:hAnsi="Times New Roman" w:eastAsia="宋体"/>
          <w:strike w:val="0"/>
          <w:dstrike w:val="0"/>
          <w:color w:val="auto"/>
          <w:highlight w:val="none"/>
        </w:rPr>
        <w:t>7.2经济效益分析</w:t>
      </w:r>
      <w:bookmarkEnd w:id="330"/>
      <w:bookmarkEnd w:id="331"/>
    </w:p>
    <w:p w14:paraId="1F15D9E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1、直接经济效益</w:t>
      </w:r>
    </w:p>
    <w:p w14:paraId="4EE3840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根据项目可研提供数据，项目建成后，年收益可达</w:t>
      </w:r>
      <w:r>
        <w:rPr>
          <w:rFonts w:hint="eastAsia" w:ascii="Times New Roman" w:hAnsi="Times New Roman" w:eastAsia="宋体"/>
          <w:strike w:val="0"/>
          <w:dstrike w:val="0"/>
          <w:color w:val="auto"/>
          <w:highlight w:val="none"/>
          <w:lang w:val="en-US" w:eastAsia="zh-CN"/>
        </w:rPr>
        <w:t>3240</w:t>
      </w:r>
      <w:r>
        <w:rPr>
          <w:rFonts w:hint="eastAsia" w:ascii="Times New Roman" w:hAnsi="Times New Roman" w:eastAsia="宋体"/>
          <w:strike w:val="0"/>
          <w:dstrike w:val="0"/>
          <w:color w:val="auto"/>
          <w:highlight w:val="none"/>
        </w:rPr>
        <w:t>万元，项目总投资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元，项目收益率较高</w:t>
      </w:r>
      <w:r>
        <w:rPr>
          <w:rFonts w:hint="eastAsia" w:ascii="Times New Roman" w:hAnsi="Times New Roman" w:eastAsia="宋体"/>
          <w:strike w:val="0"/>
          <w:dstrike w:val="0"/>
          <w:color w:val="auto"/>
          <w:highlight w:val="none"/>
          <w:lang w:eastAsia="zh-CN"/>
        </w:rPr>
        <w:t>。</w:t>
      </w:r>
    </w:p>
    <w:p w14:paraId="0E67FB8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2、间接经济效益</w:t>
      </w:r>
    </w:p>
    <w:p w14:paraId="7E0A1D3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该项目建设有利于调整区域农业结构，带动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及周边地区种植业、运输业及相关产业的发展，形成</w:t>
      </w:r>
      <w:r>
        <w:rPr>
          <w:rFonts w:hint="eastAsia" w:ascii="Times New Roman" w:hAnsi="Times New Roman" w:eastAsia="宋体"/>
          <w:strike w:val="0"/>
          <w:dstrike w:val="0"/>
          <w:color w:val="auto"/>
          <w:highlight w:val="none"/>
          <w:lang w:eastAsia="zh-CN"/>
        </w:rPr>
        <w:t>骆驼养殖</w:t>
      </w:r>
      <w:r>
        <w:rPr>
          <w:rFonts w:hint="eastAsia" w:ascii="Times New Roman" w:hAnsi="Times New Roman" w:eastAsia="宋体"/>
          <w:strike w:val="0"/>
          <w:dstrike w:val="0"/>
          <w:color w:val="auto"/>
          <w:highlight w:val="none"/>
        </w:rPr>
        <w:t>产业链，加快农业产业化进程，有效解决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问题，增加当地农民的收入</w:t>
      </w:r>
      <w:r>
        <w:rPr>
          <w:rFonts w:hint="eastAsia" w:ascii="Times New Roman" w:hAnsi="Times New Roman" w:eastAsia="宋体"/>
          <w:strike w:val="0"/>
          <w:dstrike w:val="0"/>
          <w:color w:val="auto"/>
          <w:highlight w:val="none"/>
          <w:lang w:eastAsia="zh-CN"/>
        </w:rPr>
        <w:t>。</w:t>
      </w:r>
    </w:p>
    <w:p w14:paraId="4F3BBFA1">
      <w:pPr>
        <w:pStyle w:val="3"/>
        <w:rPr>
          <w:rFonts w:hint="eastAsia" w:ascii="Times New Roman" w:hAnsi="Times New Roman" w:eastAsia="宋体"/>
          <w:strike w:val="0"/>
          <w:dstrike w:val="0"/>
          <w:color w:val="auto"/>
          <w:highlight w:val="none"/>
        </w:rPr>
      </w:pPr>
      <w:bookmarkStart w:id="332" w:name="_Toc106663540"/>
      <w:bookmarkStart w:id="333" w:name="_Toc29169"/>
      <w:r>
        <w:rPr>
          <w:rFonts w:hint="eastAsia" w:ascii="Times New Roman" w:hAnsi="Times New Roman" w:eastAsia="宋体"/>
          <w:strike w:val="0"/>
          <w:dstrike w:val="0"/>
          <w:color w:val="auto"/>
          <w:highlight w:val="none"/>
        </w:rPr>
        <w:t>7.3环境效益分析</w:t>
      </w:r>
      <w:bookmarkEnd w:id="332"/>
      <w:bookmarkEnd w:id="333"/>
    </w:p>
    <w:p w14:paraId="0B3A285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本项目拟投资</w:t>
      </w:r>
      <w:r>
        <w:rPr>
          <w:rFonts w:hint="eastAsia" w:ascii="Times New Roman" w:hAnsi="Times New Roman" w:eastAsia="宋体"/>
          <w:strike w:val="0"/>
          <w:dstrike w:val="0"/>
          <w:color w:val="auto"/>
          <w:highlight w:val="none"/>
          <w:lang w:val="en-US" w:eastAsia="zh-CN"/>
        </w:rPr>
        <w:t>52.5</w:t>
      </w:r>
      <w:r>
        <w:rPr>
          <w:rFonts w:ascii="Times New Roman" w:hAnsi="Times New Roman" w:eastAsia="宋体"/>
          <w:strike w:val="0"/>
          <w:dstrike w:val="0"/>
          <w:color w:val="auto"/>
          <w:highlight w:val="none"/>
        </w:rPr>
        <w:t>万元，用于废水处理、场区绿化、恶臭治理及病死</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无害化处理等，保证对环境的影响降低到最小程度，满足建设项目环境保护管理的要求</w:t>
      </w:r>
      <w:r>
        <w:rPr>
          <w:rFonts w:hint="eastAsia" w:ascii="Times New Roman" w:hAnsi="Times New Roman" w:eastAsia="宋体"/>
          <w:strike w:val="0"/>
          <w:dstrike w:val="0"/>
          <w:color w:val="auto"/>
          <w:highlight w:val="none"/>
          <w:lang w:eastAsia="zh-CN"/>
        </w:rPr>
        <w:t>。</w:t>
      </w:r>
    </w:p>
    <w:p w14:paraId="3676963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建设项目环保措施主要是体现国家环保政策，贯彻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总量控制</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达标排放</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污染控制原则，达到保护环境的目的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通过治理措施，</w:t>
      </w:r>
      <w:r>
        <w:rPr>
          <w:rFonts w:hint="eastAsia" w:ascii="Times New Roman" w:hAnsi="Times New Roman" w:eastAsia="宋体"/>
          <w:strike w:val="0"/>
          <w:dstrike w:val="0"/>
          <w:color w:val="auto"/>
          <w:highlight w:val="none"/>
        </w:rPr>
        <w:t>本项目生活污水和生产废水经黑膜池发酵处理后用于项目区周边林带施肥</w:t>
      </w:r>
      <w:r>
        <w:rPr>
          <w:rFonts w:hint="eastAsia" w:ascii="Times New Roman" w:hAnsi="Times New Roman" w:eastAsia="宋体"/>
          <w:strike w:val="0"/>
          <w:dstrike w:val="0"/>
          <w:color w:val="auto"/>
          <w:highlight w:val="none"/>
          <w:lang w:val="en-US" w:eastAsia="zh-CN"/>
        </w:rPr>
        <w:t>，</w:t>
      </w:r>
      <w:r>
        <w:rPr>
          <w:rFonts w:ascii="Times New Roman" w:hAnsi="Times New Roman" w:eastAsia="宋体"/>
          <w:strike w:val="0"/>
          <w:dstrike w:val="0"/>
          <w:color w:val="auto"/>
          <w:highlight w:val="none"/>
        </w:rPr>
        <w:t>可以实现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循环利用”</w:t>
      </w:r>
      <w:r>
        <w:rPr>
          <w:rFonts w:ascii="Times New Roman" w:hAnsi="Times New Roman" w:eastAsia="宋体"/>
          <w:strike w:val="0"/>
          <w:dstrike w:val="0"/>
          <w:color w:val="auto"/>
          <w:highlight w:val="none"/>
        </w:rPr>
        <w:t>，厂界噪声达标</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这些措施的实施产生的环境效益较明显</w:t>
      </w:r>
      <w:r>
        <w:rPr>
          <w:rFonts w:hint="eastAsia" w:ascii="Times New Roman" w:hAnsi="Times New Roman" w:eastAsia="宋体"/>
          <w:strike w:val="0"/>
          <w:dstrike w:val="0"/>
          <w:color w:val="auto"/>
          <w:highlight w:val="none"/>
          <w:lang w:eastAsia="zh-CN"/>
        </w:rPr>
        <w:t>。</w:t>
      </w:r>
    </w:p>
    <w:p w14:paraId="4F913959">
      <w:pPr>
        <w:pStyle w:val="3"/>
        <w:rPr>
          <w:rFonts w:ascii="Times New Roman" w:hAnsi="Times New Roman" w:eastAsia="宋体"/>
          <w:strike w:val="0"/>
          <w:dstrike w:val="0"/>
          <w:color w:val="auto"/>
          <w:highlight w:val="none"/>
        </w:rPr>
      </w:pPr>
      <w:bookmarkStart w:id="334" w:name="_Toc89619354"/>
      <w:bookmarkStart w:id="335" w:name="_Toc2812"/>
      <w:r>
        <w:rPr>
          <w:rFonts w:hint="eastAsia" w:ascii="Times New Roman" w:hAnsi="Times New Roman" w:eastAsia="宋体"/>
          <w:strike w:val="0"/>
          <w:dstrike w:val="0"/>
          <w:color w:val="auto"/>
          <w:highlight w:val="none"/>
        </w:rPr>
        <w:t>7.4环境经济效益分析</w:t>
      </w:r>
      <w:bookmarkEnd w:id="334"/>
      <w:bookmarkEnd w:id="335"/>
    </w:p>
    <w:p w14:paraId="7024F2F4">
      <w:pPr>
        <w:pStyle w:val="4"/>
        <w:rPr>
          <w:rFonts w:ascii="Times New Roman" w:hAnsi="Times New Roman" w:eastAsia="宋体"/>
          <w:strike w:val="0"/>
          <w:dstrike w:val="0"/>
          <w:color w:val="auto"/>
          <w:highlight w:val="none"/>
        </w:rPr>
      </w:pPr>
      <w:bookmarkStart w:id="336" w:name="_Toc106663542"/>
      <w:bookmarkStart w:id="337" w:name="_Toc19048"/>
      <w:r>
        <w:rPr>
          <w:rFonts w:hint="eastAsia" w:ascii="Times New Roman" w:hAnsi="Times New Roman" w:eastAsia="宋体"/>
          <w:strike w:val="0"/>
          <w:dstrike w:val="0"/>
          <w:color w:val="auto"/>
          <w:highlight w:val="none"/>
        </w:rPr>
        <w:t>7.4.1环保投资</w:t>
      </w:r>
      <w:bookmarkEnd w:id="336"/>
      <w:bookmarkEnd w:id="337"/>
    </w:p>
    <w:p w14:paraId="3409343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依据《建设项目环境保护设计规定》，环保设施划分的基本原则是，污染治理环境保护所需的设施、装置和工程设施，生产工艺需要又为环境保护服务的设施，为保证生产有良好环境所采取的防尘、绿化设施等均属环保设施</w:t>
      </w:r>
      <w:r>
        <w:rPr>
          <w:rFonts w:hint="eastAsia" w:ascii="Times New Roman" w:hAnsi="Times New Roman" w:eastAsia="宋体"/>
          <w:strike w:val="0"/>
          <w:dstrike w:val="0"/>
          <w:color w:val="auto"/>
          <w:highlight w:val="none"/>
          <w:lang w:eastAsia="zh-CN"/>
        </w:rPr>
        <w:t>。</w:t>
      </w:r>
    </w:p>
    <w:p w14:paraId="6D2B65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元，其中环保投资为</w:t>
      </w:r>
      <w:r>
        <w:rPr>
          <w:rFonts w:hint="eastAsia" w:ascii="Times New Roman" w:hAnsi="Times New Roman" w:eastAsia="宋体"/>
          <w:strike w:val="0"/>
          <w:dstrike w:val="0"/>
          <w:color w:val="auto"/>
          <w:highlight w:val="none"/>
          <w:lang w:val="en-US" w:eastAsia="zh-CN"/>
        </w:rPr>
        <w:t>52.5</w:t>
      </w:r>
      <w:r>
        <w:rPr>
          <w:rFonts w:hint="eastAsia" w:ascii="Times New Roman" w:hAnsi="Times New Roman" w:eastAsia="宋体"/>
          <w:strike w:val="0"/>
          <w:dstrike w:val="0"/>
          <w:color w:val="auto"/>
          <w:highlight w:val="none"/>
        </w:rPr>
        <w:t>万元，占总投资的</w:t>
      </w:r>
      <w:r>
        <w:rPr>
          <w:rFonts w:hint="eastAsia" w:ascii="Times New Roman" w:hAnsi="Times New Roman" w:eastAsia="宋体"/>
          <w:strike w:val="0"/>
          <w:dstrike w:val="0"/>
          <w:color w:val="auto"/>
          <w:highlight w:val="none"/>
          <w:lang w:val="en-US" w:eastAsia="zh-CN"/>
        </w:rPr>
        <w:t>3.5</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环保投资明细见表7.3-1</w:t>
      </w:r>
      <w:r>
        <w:rPr>
          <w:rFonts w:hint="eastAsia" w:ascii="Times New Roman" w:hAnsi="Times New Roman" w:eastAsia="宋体"/>
          <w:strike w:val="0"/>
          <w:dstrike w:val="0"/>
          <w:color w:val="auto"/>
          <w:highlight w:val="none"/>
          <w:lang w:eastAsia="zh-CN"/>
        </w:rPr>
        <w:t>。</w:t>
      </w:r>
    </w:p>
    <w:p w14:paraId="273504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表7.3-1环境保护投资估算一览表</w:t>
      </w:r>
    </w:p>
    <w:tbl>
      <w:tblPr>
        <w:tblStyle w:val="183"/>
        <w:tblW w:w="503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17"/>
        <w:gridCol w:w="697"/>
        <w:gridCol w:w="1281"/>
        <w:gridCol w:w="3513"/>
        <w:gridCol w:w="978"/>
        <w:gridCol w:w="1372"/>
      </w:tblGrid>
      <w:tr w14:paraId="26430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textDirection w:val="tbRlV"/>
            <w:vAlign w:val="center"/>
          </w:tcPr>
          <w:p w14:paraId="6CF7BF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序号</w:t>
            </w:r>
          </w:p>
        </w:tc>
        <w:tc>
          <w:tcPr>
            <w:tcW w:w="417" w:type="pct"/>
            <w:vAlign w:val="center"/>
          </w:tcPr>
          <w:p w14:paraId="6BC405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类别</w:t>
            </w:r>
          </w:p>
        </w:tc>
        <w:tc>
          <w:tcPr>
            <w:tcW w:w="765" w:type="pct"/>
            <w:vAlign w:val="center"/>
          </w:tcPr>
          <w:p w14:paraId="4EF2147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污染环节源</w:t>
            </w:r>
          </w:p>
        </w:tc>
        <w:tc>
          <w:tcPr>
            <w:tcW w:w="2101" w:type="pct"/>
            <w:vAlign w:val="center"/>
          </w:tcPr>
          <w:p w14:paraId="3A66FF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治理措施</w:t>
            </w:r>
          </w:p>
        </w:tc>
        <w:tc>
          <w:tcPr>
            <w:tcW w:w="585" w:type="pct"/>
            <w:vAlign w:val="center"/>
          </w:tcPr>
          <w:p w14:paraId="213F4F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投资</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万元</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820" w:type="pct"/>
            <w:vAlign w:val="center"/>
          </w:tcPr>
          <w:p w14:paraId="5A4763B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76A1A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11FB3C1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417" w:type="pct"/>
            <w:vAlign w:val="center"/>
          </w:tcPr>
          <w:p w14:paraId="2905FE7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废气</w:t>
            </w:r>
          </w:p>
        </w:tc>
        <w:tc>
          <w:tcPr>
            <w:tcW w:w="765" w:type="pct"/>
            <w:vAlign w:val="center"/>
          </w:tcPr>
          <w:p w14:paraId="2CD783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w:t>
            </w:r>
          </w:p>
        </w:tc>
        <w:tc>
          <w:tcPr>
            <w:tcW w:w="2101" w:type="pct"/>
            <w:vAlign w:val="center"/>
          </w:tcPr>
          <w:p w14:paraId="79FF4A8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透气发酵膜</w:t>
            </w:r>
          </w:p>
        </w:tc>
        <w:tc>
          <w:tcPr>
            <w:tcW w:w="585" w:type="pct"/>
            <w:vAlign w:val="center"/>
          </w:tcPr>
          <w:p w14:paraId="513312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820" w:type="pct"/>
            <w:vAlign w:val="center"/>
          </w:tcPr>
          <w:p w14:paraId="4C5F9BF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CF1C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Merge w:val="restart"/>
            <w:vAlign w:val="center"/>
          </w:tcPr>
          <w:p w14:paraId="5086531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w:t>
            </w:r>
          </w:p>
        </w:tc>
        <w:tc>
          <w:tcPr>
            <w:tcW w:w="417" w:type="pct"/>
            <w:vMerge w:val="restart"/>
            <w:vAlign w:val="center"/>
          </w:tcPr>
          <w:p w14:paraId="6DE050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w:t>
            </w:r>
          </w:p>
        </w:tc>
        <w:tc>
          <w:tcPr>
            <w:tcW w:w="765" w:type="pct"/>
            <w:vMerge w:val="restart"/>
            <w:vAlign w:val="center"/>
          </w:tcPr>
          <w:p w14:paraId="22A3830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生产废水、生活污水</w:t>
            </w:r>
          </w:p>
        </w:tc>
        <w:tc>
          <w:tcPr>
            <w:tcW w:w="2101" w:type="pct"/>
            <w:vMerge w:val="restart"/>
            <w:vAlign w:val="center"/>
          </w:tcPr>
          <w:p w14:paraId="684F340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585" w:type="pct"/>
            <w:vMerge w:val="restart"/>
            <w:vAlign w:val="center"/>
          </w:tcPr>
          <w:p w14:paraId="7835C6C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10</w:t>
            </w:r>
          </w:p>
        </w:tc>
        <w:tc>
          <w:tcPr>
            <w:tcW w:w="820" w:type="pct"/>
            <w:vAlign w:val="center"/>
          </w:tcPr>
          <w:p w14:paraId="7B3E4A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B46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Merge w:val="continue"/>
            <w:vAlign w:val="center"/>
          </w:tcPr>
          <w:p w14:paraId="3E61F0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p>
        </w:tc>
        <w:tc>
          <w:tcPr>
            <w:tcW w:w="417" w:type="pct"/>
            <w:vMerge w:val="continue"/>
            <w:vAlign w:val="center"/>
          </w:tcPr>
          <w:p w14:paraId="50523B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765" w:type="pct"/>
            <w:vMerge w:val="continue"/>
            <w:vAlign w:val="center"/>
          </w:tcPr>
          <w:p w14:paraId="182113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p>
        </w:tc>
        <w:tc>
          <w:tcPr>
            <w:tcW w:w="2101" w:type="pct"/>
            <w:vMerge w:val="continue"/>
            <w:vAlign w:val="center"/>
          </w:tcPr>
          <w:p w14:paraId="41A729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rPr>
            </w:pPr>
          </w:p>
        </w:tc>
        <w:tc>
          <w:tcPr>
            <w:tcW w:w="585" w:type="pct"/>
            <w:vMerge w:val="continue"/>
            <w:vAlign w:val="center"/>
          </w:tcPr>
          <w:p w14:paraId="033F46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p>
        </w:tc>
        <w:tc>
          <w:tcPr>
            <w:tcW w:w="820" w:type="pct"/>
            <w:vAlign w:val="center"/>
          </w:tcPr>
          <w:p w14:paraId="148DF7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51DB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3DBE8AA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w:t>
            </w:r>
          </w:p>
        </w:tc>
        <w:tc>
          <w:tcPr>
            <w:tcW w:w="417" w:type="pct"/>
            <w:vMerge w:val="restart"/>
            <w:tcBorders>
              <w:bottom w:val="nil"/>
            </w:tcBorders>
            <w:vAlign w:val="center"/>
          </w:tcPr>
          <w:p w14:paraId="010ECF0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w:t>
            </w:r>
          </w:p>
        </w:tc>
        <w:tc>
          <w:tcPr>
            <w:tcW w:w="765" w:type="pct"/>
            <w:vAlign w:val="center"/>
          </w:tcPr>
          <w:p w14:paraId="3848AB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病死</w:t>
            </w:r>
            <w:r>
              <w:rPr>
                <w:rFonts w:hint="eastAsia" w:ascii="Times New Roman" w:hAnsi="Times New Roman" w:eastAsia="宋体" w:cs="宋体"/>
                <w:strike w:val="0"/>
                <w:dstrike w:val="0"/>
                <w:color w:val="auto"/>
                <w:spacing w:val="0"/>
                <w:position w:val="0"/>
                <w:sz w:val="21"/>
                <w:szCs w:val="21"/>
                <w:highlight w:val="none"/>
                <w:lang w:eastAsia="zh-CN"/>
              </w:rPr>
              <w:t>骆驼、分娩废弃物（胎衣、死胎、胎盘附属物）</w:t>
            </w:r>
          </w:p>
        </w:tc>
        <w:tc>
          <w:tcPr>
            <w:tcW w:w="2101" w:type="pct"/>
            <w:vAlign w:val="center"/>
          </w:tcPr>
          <w:p w14:paraId="11C8F2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委托具有合法资质的无害化处理单位进行无害化处理</w:t>
            </w:r>
          </w:p>
        </w:tc>
        <w:tc>
          <w:tcPr>
            <w:tcW w:w="585" w:type="pct"/>
            <w:vAlign w:val="center"/>
          </w:tcPr>
          <w:p w14:paraId="72AED13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56EB71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65E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7B36F42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4</w:t>
            </w:r>
          </w:p>
        </w:tc>
        <w:tc>
          <w:tcPr>
            <w:tcW w:w="417" w:type="pct"/>
            <w:vMerge w:val="continue"/>
            <w:tcBorders>
              <w:top w:val="nil"/>
              <w:bottom w:val="nil"/>
            </w:tcBorders>
            <w:vAlign w:val="center"/>
          </w:tcPr>
          <w:p w14:paraId="4BFE73B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5" w:type="pct"/>
            <w:vAlign w:val="center"/>
          </w:tcPr>
          <w:p w14:paraId="5E371A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医疗垃圾</w:t>
            </w:r>
          </w:p>
        </w:tc>
        <w:tc>
          <w:tcPr>
            <w:tcW w:w="2101" w:type="pct"/>
            <w:vAlign w:val="center"/>
          </w:tcPr>
          <w:p w14:paraId="517E7D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设置医疗废物暂存间一座，占地面积</w:t>
            </w:r>
            <w:r>
              <w:rPr>
                <w:rFonts w:ascii="Times New Roman" w:hAnsi="Times New Roman" w:eastAsia="宋体" w:cs="Times New Roman"/>
                <w:strike w:val="0"/>
                <w:dstrike w:val="0"/>
                <w:color w:val="auto"/>
                <w:spacing w:val="0"/>
                <w:position w:val="0"/>
                <w:sz w:val="21"/>
                <w:szCs w:val="21"/>
                <w:highlight w:val="none"/>
              </w:rPr>
              <w:t>15m</w:t>
            </w:r>
            <w:r>
              <w:rPr>
                <w:rFonts w:ascii="Times New Roman" w:hAnsi="Times New Roman" w:eastAsia="宋体" w:cs="Times New Roman"/>
                <w:strike w:val="0"/>
                <w:dstrike w:val="0"/>
                <w:color w:val="auto"/>
                <w:spacing w:val="0"/>
                <w:position w:val="0"/>
                <w:sz w:val="21"/>
                <w:szCs w:val="14"/>
                <w:highlight w:val="none"/>
                <w:vertAlign w:val="superscript"/>
              </w:rPr>
              <w:t>2</w:t>
            </w:r>
          </w:p>
        </w:tc>
        <w:tc>
          <w:tcPr>
            <w:tcW w:w="585" w:type="pct"/>
            <w:vAlign w:val="center"/>
          </w:tcPr>
          <w:p w14:paraId="7D99FE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14A3415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7E43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53144BF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417" w:type="pct"/>
            <w:vMerge w:val="continue"/>
            <w:tcBorders>
              <w:top w:val="nil"/>
            </w:tcBorders>
            <w:vAlign w:val="center"/>
          </w:tcPr>
          <w:p w14:paraId="774C104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5" w:type="pct"/>
            <w:vAlign w:val="center"/>
          </w:tcPr>
          <w:p w14:paraId="1492470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w:t>
            </w:r>
          </w:p>
        </w:tc>
        <w:tc>
          <w:tcPr>
            <w:tcW w:w="2101" w:type="pct"/>
            <w:vAlign w:val="center"/>
          </w:tcPr>
          <w:p w14:paraId="654C55E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厂区设置垃圾桶，集中收集后交环卫部门统一处理</w:t>
            </w:r>
          </w:p>
        </w:tc>
        <w:tc>
          <w:tcPr>
            <w:tcW w:w="585" w:type="pct"/>
            <w:vAlign w:val="center"/>
          </w:tcPr>
          <w:p w14:paraId="286B30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0.5</w:t>
            </w:r>
          </w:p>
        </w:tc>
        <w:tc>
          <w:tcPr>
            <w:tcW w:w="820" w:type="pct"/>
            <w:vAlign w:val="center"/>
          </w:tcPr>
          <w:p w14:paraId="0A3583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406D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0657CC6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417" w:type="pct"/>
            <w:vAlign w:val="center"/>
          </w:tcPr>
          <w:p w14:paraId="0891EB5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w:t>
            </w:r>
          </w:p>
        </w:tc>
        <w:tc>
          <w:tcPr>
            <w:tcW w:w="765" w:type="pct"/>
            <w:vAlign w:val="center"/>
          </w:tcPr>
          <w:p w14:paraId="7DAE20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设备噪声</w:t>
            </w:r>
          </w:p>
        </w:tc>
        <w:tc>
          <w:tcPr>
            <w:tcW w:w="2101" w:type="pct"/>
            <w:vAlign w:val="center"/>
          </w:tcPr>
          <w:p w14:paraId="700046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合理布局，选用低噪声设备、减振、厂房隔声等</w:t>
            </w:r>
          </w:p>
        </w:tc>
        <w:tc>
          <w:tcPr>
            <w:tcW w:w="585" w:type="pct"/>
            <w:vAlign w:val="center"/>
          </w:tcPr>
          <w:p w14:paraId="32CF6E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820" w:type="pct"/>
            <w:vAlign w:val="center"/>
          </w:tcPr>
          <w:p w14:paraId="5A0E84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EC32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0348C5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7</w:t>
            </w:r>
          </w:p>
        </w:tc>
        <w:tc>
          <w:tcPr>
            <w:tcW w:w="1183" w:type="pct"/>
            <w:gridSpan w:val="2"/>
            <w:vAlign w:val="center"/>
          </w:tcPr>
          <w:p w14:paraId="5F2217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w:t>
            </w:r>
          </w:p>
        </w:tc>
        <w:tc>
          <w:tcPr>
            <w:tcW w:w="2101" w:type="pct"/>
            <w:vAlign w:val="center"/>
          </w:tcPr>
          <w:p w14:paraId="4F0EA6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在厂区空地植树种草</w:t>
            </w:r>
          </w:p>
        </w:tc>
        <w:tc>
          <w:tcPr>
            <w:tcW w:w="585" w:type="pct"/>
            <w:vAlign w:val="center"/>
          </w:tcPr>
          <w:p w14:paraId="634B15B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4F4B7A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24C9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52402FC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8</w:t>
            </w:r>
          </w:p>
        </w:tc>
        <w:tc>
          <w:tcPr>
            <w:tcW w:w="417" w:type="pct"/>
            <w:vAlign w:val="center"/>
          </w:tcPr>
          <w:p w14:paraId="3CC44C7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地下水及土壤防治</w:t>
            </w:r>
          </w:p>
        </w:tc>
        <w:tc>
          <w:tcPr>
            <w:tcW w:w="765" w:type="pct"/>
            <w:vAlign w:val="center"/>
          </w:tcPr>
          <w:p w14:paraId="16230E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防渗工程</w:t>
            </w:r>
          </w:p>
        </w:tc>
        <w:tc>
          <w:tcPr>
            <w:tcW w:w="2101" w:type="pct"/>
            <w:vAlign w:val="center"/>
          </w:tcPr>
          <w:p w14:paraId="2E3BEE1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根据</w:t>
            </w:r>
            <w:r>
              <w:rPr>
                <w:rFonts w:ascii="Times New Roman" w:hAnsi="Times New Roman" w:eastAsia="宋体" w:cs="Times New Roman"/>
                <w:strike w:val="0"/>
                <w:dstrike w:val="0"/>
                <w:color w:val="auto"/>
                <w:spacing w:val="0"/>
                <w:position w:val="0"/>
                <w:sz w:val="21"/>
                <w:szCs w:val="21"/>
                <w:highlight w:val="none"/>
              </w:rPr>
              <w:t>HJ610-2016</w:t>
            </w:r>
            <w:r>
              <w:rPr>
                <w:rFonts w:ascii="Times New Roman" w:hAnsi="Times New Roman" w:eastAsia="宋体" w:cs="宋体"/>
                <w:strike w:val="0"/>
                <w:dstrike w:val="0"/>
                <w:color w:val="auto"/>
                <w:spacing w:val="0"/>
                <w:position w:val="0"/>
                <w:sz w:val="21"/>
                <w:szCs w:val="21"/>
                <w:highlight w:val="none"/>
              </w:rPr>
              <w:t>《环境影响评价技术导则地下水环境》及</w:t>
            </w:r>
            <w:r>
              <w:rPr>
                <w:rFonts w:ascii="Times New Roman" w:hAnsi="Times New Roman" w:eastAsia="宋体" w:cs="Times New Roman"/>
                <w:strike w:val="0"/>
                <w:dstrike w:val="0"/>
                <w:color w:val="auto"/>
                <w:spacing w:val="0"/>
                <w:position w:val="0"/>
                <w:sz w:val="21"/>
                <w:szCs w:val="21"/>
                <w:highlight w:val="none"/>
              </w:rPr>
              <w:t>GB18597-2001</w:t>
            </w:r>
            <w:r>
              <w:rPr>
                <w:rFonts w:ascii="Times New Roman" w:hAnsi="Times New Roman" w:eastAsia="宋体" w:cs="宋体"/>
                <w:strike w:val="0"/>
                <w:dstrike w:val="0"/>
                <w:color w:val="auto"/>
                <w:spacing w:val="0"/>
                <w:position w:val="0"/>
                <w:sz w:val="21"/>
                <w:szCs w:val="21"/>
                <w:highlight w:val="none"/>
              </w:rPr>
              <w:t>《危险废物贮存污染控制标准》进行分区防渗，具体如下：</w:t>
            </w:r>
            <w:r>
              <w:rPr>
                <w:rFonts w:hint="eastAsia" w:ascii="Times New Roman" w:hAnsi="Times New Roman" w:eastAsia="宋体" w:cs="宋体"/>
                <w:strike w:val="0"/>
                <w:dstrike w:val="0"/>
                <w:color w:val="auto"/>
                <w:spacing w:val="0"/>
                <w:position w:val="0"/>
                <w:sz w:val="21"/>
                <w:szCs w:val="21"/>
                <w:highlight w:val="none"/>
                <w:lang w:val="en-US" w:eastAsia="zh-CN"/>
              </w:rPr>
              <w:t>（</w:t>
            </w:r>
            <w:r>
              <w:rPr>
                <w:rFonts w:hint="default" w:ascii="Times New Roman" w:hAnsi="Times New Roman" w:eastAsia="宋体" w:cs="宋体"/>
                <w:strike w:val="0"/>
                <w:dstrike w:val="0"/>
                <w:color w:val="auto"/>
                <w:spacing w:val="0"/>
                <w:position w:val="0"/>
                <w:sz w:val="21"/>
                <w:szCs w:val="21"/>
                <w:highlight w:val="none"/>
                <w:lang w:val="en-US" w:eastAsia="zh-CN"/>
              </w:rPr>
              <w:t>1</w:t>
            </w:r>
            <w:r>
              <w:rPr>
                <w:rFonts w:hint="eastAsia" w:ascii="Times New Roman" w:hAnsi="Times New Roman" w:eastAsia="宋体" w:cs="宋体"/>
                <w:strike w:val="0"/>
                <w:dstrike w:val="0"/>
                <w:color w:val="auto"/>
                <w:spacing w:val="0"/>
                <w:position w:val="0"/>
                <w:sz w:val="21"/>
                <w:szCs w:val="21"/>
                <w:highlight w:val="none"/>
                <w:lang w:val="en-US" w:eastAsia="zh-CN"/>
              </w:rPr>
              <w:t>）对医疗废物暂存间、堆肥场、黑膜池按重点防渗区采取措施，</w:t>
            </w: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r>
              <w:rPr>
                <w:rFonts w:hint="eastAsia" w:ascii="Times New Roman" w:hAnsi="Times New Roman" w:eastAsia="宋体"/>
                <w:strike w:val="0"/>
                <w:dstrike w:val="0"/>
                <w:color w:val="auto"/>
                <w:sz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w:t>
            </w:r>
            <w:r>
              <w:rPr>
                <w:rFonts w:hint="default" w:ascii="Times New Roman" w:hAnsi="Times New Roman" w:eastAsia="宋体" w:cs="宋体"/>
                <w:strike w:val="0"/>
                <w:dstrike w:val="0"/>
                <w:color w:val="auto"/>
                <w:spacing w:val="0"/>
                <w:position w:val="0"/>
                <w:sz w:val="21"/>
                <w:szCs w:val="21"/>
                <w:highlight w:val="none"/>
                <w:lang w:val="en-US" w:eastAsia="zh-CN"/>
              </w:rPr>
              <w:t>2</w:t>
            </w:r>
            <w:r>
              <w:rPr>
                <w:rFonts w:hint="eastAsia" w:ascii="Times New Roman" w:hAnsi="Times New Roman" w:eastAsia="宋体" w:cs="宋体"/>
                <w:strike w:val="0"/>
                <w:dstrike w:val="0"/>
                <w:color w:val="auto"/>
                <w:spacing w:val="0"/>
                <w:position w:val="0"/>
                <w:sz w:val="21"/>
                <w:szCs w:val="21"/>
                <w:highlight w:val="none"/>
                <w:lang w:val="en-US" w:eastAsia="zh-CN"/>
              </w:rPr>
              <w:t>）对骆驼圈舍、挤奶厅按一般防渗区采取防渗措施。</w:t>
            </w: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cm/s；或参照GB 16889 执行</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（3）对草料房采取简单防渗措施，水泥地面硬化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585" w:type="pct"/>
            <w:vAlign w:val="center"/>
          </w:tcPr>
          <w:p w14:paraId="242029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20</w:t>
            </w:r>
          </w:p>
        </w:tc>
        <w:tc>
          <w:tcPr>
            <w:tcW w:w="820" w:type="pct"/>
            <w:vAlign w:val="center"/>
          </w:tcPr>
          <w:p w14:paraId="41EFF9B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92C3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492" w:type="pct"/>
            <w:gridSpan w:val="3"/>
            <w:vAlign w:val="center"/>
          </w:tcPr>
          <w:p w14:paraId="10DE0D6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合计</w:t>
            </w:r>
          </w:p>
        </w:tc>
        <w:tc>
          <w:tcPr>
            <w:tcW w:w="2101" w:type="pct"/>
            <w:vAlign w:val="center"/>
          </w:tcPr>
          <w:p w14:paraId="3E13BA3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85" w:type="pct"/>
            <w:vAlign w:val="center"/>
          </w:tcPr>
          <w:p w14:paraId="17A640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52.5</w:t>
            </w:r>
          </w:p>
        </w:tc>
        <w:tc>
          <w:tcPr>
            <w:tcW w:w="820" w:type="pct"/>
            <w:vAlign w:val="center"/>
          </w:tcPr>
          <w:p w14:paraId="5827C4F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bl>
    <w:p w14:paraId="53B6FD3A">
      <w:pPr>
        <w:pStyle w:val="4"/>
        <w:rPr>
          <w:rFonts w:ascii="Times New Roman" w:hAnsi="Times New Roman" w:eastAsia="宋体"/>
          <w:strike w:val="0"/>
          <w:dstrike w:val="0"/>
          <w:color w:val="auto"/>
          <w:highlight w:val="none"/>
        </w:rPr>
      </w:pPr>
      <w:bookmarkStart w:id="338" w:name="_Toc106663543"/>
      <w:bookmarkStart w:id="339" w:name="_Toc4941"/>
      <w:r>
        <w:rPr>
          <w:rFonts w:hint="eastAsia" w:ascii="Times New Roman" w:hAnsi="Times New Roman" w:eastAsia="宋体"/>
          <w:strike w:val="0"/>
          <w:dstrike w:val="0"/>
          <w:color w:val="auto"/>
          <w:highlight w:val="none"/>
        </w:rPr>
        <w:t>7.4.2环境效益分析</w:t>
      </w:r>
      <w:bookmarkEnd w:id="338"/>
      <w:bookmarkEnd w:id="339"/>
    </w:p>
    <w:p w14:paraId="3B2826D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总体来说，本项目生产运行后所产生的环境正面影响相对来说是较大的，这在环境影响预测评价中已经进行了详细评述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污染损失值以潜在损失值为主体，所含因素较多，难以完全量化估算，故本环评重点对所采取的污染防治措施的环境损益进行分析评述</w:t>
      </w:r>
      <w:r>
        <w:rPr>
          <w:rFonts w:hint="eastAsia" w:ascii="Times New Roman" w:hAnsi="Times New Roman" w:eastAsia="宋体"/>
          <w:strike w:val="0"/>
          <w:dstrike w:val="0"/>
          <w:color w:val="auto"/>
          <w:highlight w:val="none"/>
          <w:lang w:eastAsia="zh-CN"/>
        </w:rPr>
        <w:t>。</w:t>
      </w:r>
    </w:p>
    <w:p w14:paraId="3AE4A4B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污染控制措施的经济损益包括两个方面：一是直接经济效益，二是间接经济效益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直接经济效益是指环保措施直接提供的产品价值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即内部效益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，间接经济效益是指污染物治理后所能减少的因污染带来的损失费用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即外部效益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间接经济效益和损失是一个问题的两个方面，两者之间存在着互换关系，即环境污染使污染区域使用功能下降所造成的损失值，可以作为减少污染所得到的利益</w:t>
      </w:r>
      <w:r>
        <w:rPr>
          <w:rFonts w:hint="eastAsia" w:ascii="Times New Roman" w:hAnsi="Times New Roman" w:eastAsia="宋体"/>
          <w:strike w:val="0"/>
          <w:dstrike w:val="0"/>
          <w:color w:val="auto"/>
          <w:highlight w:val="none"/>
          <w:lang w:eastAsia="zh-CN"/>
        </w:rPr>
        <w:t>。</w:t>
      </w:r>
    </w:p>
    <w:p w14:paraId="5C837CD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本项目建成后，产生的</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粪</w:t>
      </w:r>
      <w:r>
        <w:rPr>
          <w:rFonts w:hint="eastAsia" w:ascii="Times New Roman" w:hAnsi="Times New Roman" w:eastAsia="宋体"/>
          <w:strike w:val="0"/>
          <w:dstrike w:val="0"/>
          <w:color w:val="auto"/>
          <w:highlight w:val="none"/>
          <w:lang w:val="en-US" w:eastAsia="zh-CN"/>
        </w:rPr>
        <w:t>处理后作为有机肥外售</w:t>
      </w:r>
      <w:r>
        <w:rPr>
          <w:rFonts w:ascii="Times New Roman" w:hAnsi="Times New Roman" w:eastAsia="宋体"/>
          <w:strike w:val="0"/>
          <w:dstrike w:val="0"/>
          <w:color w:val="auto"/>
          <w:highlight w:val="none"/>
        </w:rPr>
        <w:t>，由其负责定期清运工作，实现资源的综合利用</w:t>
      </w:r>
      <w:r>
        <w:rPr>
          <w:rFonts w:hint="eastAsia" w:ascii="Times New Roman" w:hAnsi="Times New Roman" w:eastAsia="宋体"/>
          <w:strike w:val="0"/>
          <w:dstrike w:val="0"/>
          <w:color w:val="auto"/>
          <w:highlight w:val="none"/>
          <w:lang w:eastAsia="zh-CN"/>
        </w:rPr>
        <w:t>。</w:t>
      </w:r>
    </w:p>
    <w:p w14:paraId="0E990A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在此，间接经济效益是指因采取污染防治措施而避免或减缓环境影响而降低的环境经济损失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根据间接经济效益和损失可以互换的关系，本环评采用污染损失值反推因减少污染所得到的利益，进行环境经济损益分析</w:t>
      </w:r>
      <w:r>
        <w:rPr>
          <w:rFonts w:hint="eastAsia" w:ascii="Times New Roman" w:hAnsi="Times New Roman" w:eastAsia="宋体"/>
          <w:strike w:val="0"/>
          <w:dstrike w:val="0"/>
          <w:color w:val="auto"/>
          <w:highlight w:val="none"/>
          <w:lang w:eastAsia="zh-CN"/>
        </w:rPr>
        <w:t>。</w:t>
      </w:r>
    </w:p>
    <w:p w14:paraId="4EDD5D6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从项目所处位置来看，如果本项目不加治理任意排放，会造成地表水、地下水质量下降，直接影响到项目区附近人群的生活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因此，本项目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若不加治理的排放，所造成的经济损失十分巨大，从反面说明污染治理工程的间接效益巨大</w:t>
      </w:r>
      <w:r>
        <w:rPr>
          <w:rFonts w:hint="eastAsia" w:ascii="Times New Roman" w:hAnsi="Times New Roman" w:eastAsia="宋体"/>
          <w:strike w:val="0"/>
          <w:dstrike w:val="0"/>
          <w:color w:val="auto"/>
          <w:highlight w:val="none"/>
          <w:lang w:eastAsia="zh-CN"/>
        </w:rPr>
        <w:t>。</w:t>
      </w:r>
    </w:p>
    <w:p w14:paraId="69052C70">
      <w:pPr>
        <w:pStyle w:val="3"/>
        <w:rPr>
          <w:rFonts w:ascii="Times New Roman" w:hAnsi="Times New Roman" w:eastAsia="宋体"/>
          <w:strike w:val="0"/>
          <w:dstrike w:val="0"/>
          <w:color w:val="auto"/>
          <w:highlight w:val="none"/>
        </w:rPr>
      </w:pPr>
      <w:bookmarkStart w:id="340" w:name="_Toc89619355"/>
      <w:bookmarkStart w:id="341" w:name="_Toc4832"/>
      <w:bookmarkStart w:id="342" w:name="_Toc24143"/>
      <w:r>
        <w:rPr>
          <w:rFonts w:hint="eastAsia" w:ascii="Times New Roman" w:hAnsi="Times New Roman" w:eastAsia="宋体"/>
          <w:strike w:val="0"/>
          <w:dstrike w:val="0"/>
          <w:color w:val="auto"/>
          <w:highlight w:val="none"/>
        </w:rPr>
        <w:t>7.5小结</w:t>
      </w:r>
      <w:bookmarkEnd w:id="340"/>
      <w:bookmarkEnd w:id="341"/>
      <w:bookmarkEnd w:id="342"/>
    </w:p>
    <w:p w14:paraId="7A9F2C1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综上分析，本项目的实施在促进地方经济发展的同时又具有良好的社会效益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该项目市场前景良好，能促进当地经济的发展，将为周围群众扩大就业机会，能提高群众的生活质量，所以从社会经济角度看是可行的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同时，项目在保证环保投资的前提下，能够实现达标排放，环境效益比较明显，因此从环境经济角度来看也是合理可行的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本项目具有较好的经济效益、社会效益和环境效益</w:t>
      </w:r>
      <w:r>
        <w:rPr>
          <w:rFonts w:hint="eastAsia" w:ascii="Times New Roman" w:hAnsi="Times New Roman" w:eastAsia="宋体"/>
          <w:strike w:val="0"/>
          <w:dstrike w:val="0"/>
          <w:color w:val="auto"/>
          <w:highlight w:val="none"/>
          <w:lang w:eastAsia="zh-CN"/>
        </w:rPr>
        <w:t>。</w:t>
      </w:r>
    </w:p>
    <w:p w14:paraId="35EAB91A">
      <w:pPr>
        <w:tabs>
          <w:tab w:val="center" w:pos="4393"/>
        </w:tabs>
        <w:ind w:firstLine="480"/>
        <w:rPr>
          <w:rFonts w:ascii="Times New Roman" w:hAnsi="Times New Roman" w:eastAsia="宋体"/>
          <w:strike w:val="0"/>
          <w:dstrike w:val="0"/>
          <w:color w:val="auto"/>
          <w:highlight w:val="none"/>
        </w:rPr>
        <w:sectPr>
          <w:footerReference r:id="rId25" w:type="default"/>
          <w:pgSz w:w="11906" w:h="16838"/>
          <w:pgMar w:top="1440" w:right="1800" w:bottom="1440" w:left="1800" w:header="851" w:footer="720" w:gutter="0"/>
          <w:pgBorders>
            <w:top w:val="none" w:sz="0" w:space="0"/>
            <w:left w:val="none" w:sz="0" w:space="0"/>
            <w:bottom w:val="none" w:sz="0" w:space="0"/>
            <w:right w:val="none" w:sz="0" w:space="0"/>
          </w:pgBorders>
          <w:pgNumType w:fmt="decimal"/>
          <w:cols w:space="425" w:num="1"/>
          <w:docGrid w:type="lines" w:linePitch="326" w:charSpace="0"/>
        </w:sectPr>
      </w:pPr>
      <w:r>
        <w:rPr>
          <w:rFonts w:ascii="Times New Roman" w:hAnsi="Times New Roman" w:eastAsia="宋体"/>
          <w:strike w:val="0"/>
          <w:dstrike w:val="0"/>
          <w:color w:val="auto"/>
          <w:highlight w:val="none"/>
        </w:rPr>
        <w:tab/>
      </w:r>
    </w:p>
    <w:p w14:paraId="436D6CDD">
      <w:pPr>
        <w:pStyle w:val="2"/>
        <w:rPr>
          <w:rFonts w:ascii="Times New Roman" w:hAnsi="Times New Roman" w:eastAsia="宋体"/>
          <w:strike w:val="0"/>
          <w:dstrike w:val="0"/>
          <w:color w:val="auto"/>
          <w:highlight w:val="none"/>
        </w:rPr>
      </w:pPr>
      <w:bookmarkStart w:id="343" w:name="_Toc89619356"/>
      <w:bookmarkStart w:id="344" w:name="_Toc6740"/>
      <w:bookmarkStart w:id="345" w:name="_Toc31169"/>
      <w:r>
        <w:rPr>
          <w:rFonts w:hint="eastAsia" w:ascii="Times New Roman" w:hAnsi="Times New Roman" w:eastAsia="宋体"/>
          <w:strike w:val="0"/>
          <w:dstrike w:val="0"/>
          <w:color w:val="auto"/>
          <w:highlight w:val="none"/>
        </w:rPr>
        <w:t>8</w:t>
      </w:r>
      <w:r>
        <w:rPr>
          <w:rFonts w:ascii="Times New Roman" w:hAnsi="Times New Roman" w:eastAsia="宋体"/>
          <w:strike w:val="0"/>
          <w:dstrike w:val="0"/>
          <w:color w:val="auto"/>
          <w:highlight w:val="none"/>
        </w:rPr>
        <w:t>、环境管理与</w:t>
      </w:r>
      <w:r>
        <w:rPr>
          <w:rFonts w:hint="eastAsia" w:ascii="Times New Roman" w:hAnsi="Times New Roman" w:eastAsia="宋体"/>
          <w:strike w:val="0"/>
          <w:dstrike w:val="0"/>
          <w:color w:val="auto"/>
          <w:highlight w:val="none"/>
        </w:rPr>
        <w:t>环境</w:t>
      </w:r>
      <w:r>
        <w:rPr>
          <w:rFonts w:ascii="Times New Roman" w:hAnsi="Times New Roman" w:eastAsia="宋体"/>
          <w:strike w:val="0"/>
          <w:dstrike w:val="0"/>
          <w:color w:val="auto"/>
          <w:highlight w:val="none"/>
        </w:rPr>
        <w:t>监测计划</w:t>
      </w:r>
      <w:bookmarkEnd w:id="343"/>
      <w:bookmarkEnd w:id="344"/>
      <w:bookmarkEnd w:id="345"/>
    </w:p>
    <w:p w14:paraId="3FA15109">
      <w:pPr>
        <w:pStyle w:val="3"/>
        <w:rPr>
          <w:rFonts w:ascii="Times New Roman" w:hAnsi="Times New Roman" w:eastAsia="宋体"/>
          <w:strike w:val="0"/>
          <w:dstrike w:val="0"/>
          <w:color w:val="auto"/>
          <w:highlight w:val="none"/>
        </w:rPr>
      </w:pPr>
      <w:bookmarkStart w:id="346" w:name="_Toc89619357"/>
      <w:bookmarkStart w:id="347" w:name="_Toc27120"/>
      <w:bookmarkStart w:id="348" w:name="_Toc29342"/>
      <w:bookmarkStart w:id="349" w:name="_Toc269723052"/>
      <w:bookmarkStart w:id="350" w:name="_Toc304234029"/>
      <w:bookmarkStart w:id="351" w:name="_Toc117517872"/>
      <w:bookmarkStart w:id="352" w:name="_Toc117518136"/>
      <w:bookmarkStart w:id="353" w:name="_Toc117518577"/>
      <w:bookmarkStart w:id="354" w:name="_Toc273384091"/>
      <w:bookmarkStart w:id="355" w:name="_Toc265225645"/>
      <w:bookmarkStart w:id="356" w:name="_Toc117518217"/>
      <w:bookmarkStart w:id="357" w:name="_Toc23478"/>
      <w:bookmarkStart w:id="358" w:name="_Toc117518302"/>
      <w:bookmarkStart w:id="359" w:name="_Toc117518382"/>
      <w:bookmarkStart w:id="360" w:name="_Toc265225833"/>
      <w:bookmarkStart w:id="361" w:name="_Toc370052948"/>
      <w:r>
        <w:rPr>
          <w:rFonts w:hint="eastAsia" w:ascii="Times New Roman" w:hAnsi="Times New Roman" w:eastAsia="宋体"/>
          <w:strike w:val="0"/>
          <w:dstrike w:val="0"/>
          <w:color w:val="auto"/>
          <w:highlight w:val="none"/>
        </w:rPr>
        <w:t>8.1环境管理</w:t>
      </w:r>
      <w:bookmarkEnd w:id="346"/>
      <w:bookmarkEnd w:id="347"/>
      <w:bookmarkEnd w:id="348"/>
    </w:p>
    <w:p w14:paraId="166F06C7">
      <w:pPr>
        <w:ind w:firstLine="480"/>
        <w:rPr>
          <w:rFonts w:hint="eastAsia" w:ascii="Times New Roman" w:hAnsi="Times New Roman" w:eastAsia="宋体"/>
          <w:strike w:val="0"/>
          <w:dstrike w:val="0"/>
          <w:color w:val="auto"/>
          <w:highlight w:val="none"/>
          <w:lang w:eastAsia="zh-CN"/>
        </w:rPr>
      </w:pPr>
      <w:bookmarkStart w:id="362" w:name="_Toc9027"/>
      <w:r>
        <w:rPr>
          <w:rFonts w:hint="eastAsia" w:ascii="Times New Roman" w:hAnsi="Times New Roman" w:eastAsia="宋体"/>
          <w:strike w:val="0"/>
          <w:dstrike w:val="0"/>
          <w:color w:val="auto"/>
          <w:highlight w:val="none"/>
        </w:rPr>
        <w:t>环境管理是指建设单位、设计单位和施工单位在工程的可行性研究、工程设计、建设期和运行期必须遵守国家、省市的有关环境保护法规、政策、标准，落实环境影响评价报告中拟定采取的减缓措施，并确保环境保护设施处于正常运行状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环境管理计划制定出机构的能力建设、执行各项防治措施的职责、实施进度、监测内容和报告程序，以及资金投入和来源等内容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在工程建设期和运行期，接受地方生态环境主管部门的监督和指导，并配合生态环境主管部门完成对工程建设的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审查</w:t>
      </w:r>
      <w:bookmarkEnd w:id="362"/>
      <w:r>
        <w:rPr>
          <w:rFonts w:hint="eastAsia" w:ascii="Times New Roman" w:hAnsi="Times New Roman" w:eastAsia="宋体"/>
          <w:strike w:val="0"/>
          <w:dstrike w:val="0"/>
          <w:color w:val="auto"/>
          <w:highlight w:val="none"/>
          <w:lang w:eastAsia="zh-CN"/>
        </w:rPr>
        <w:t>。</w:t>
      </w:r>
    </w:p>
    <w:p w14:paraId="6B38B100">
      <w:pPr>
        <w:pStyle w:val="4"/>
        <w:rPr>
          <w:rFonts w:ascii="Times New Roman" w:hAnsi="Times New Roman" w:eastAsia="宋体"/>
          <w:strike w:val="0"/>
          <w:dstrike w:val="0"/>
          <w:color w:val="auto"/>
          <w:highlight w:val="none"/>
        </w:rPr>
      </w:pPr>
      <w:bookmarkStart w:id="363" w:name="_Toc106663547"/>
      <w:bookmarkStart w:id="364" w:name="_Toc9564"/>
      <w:bookmarkStart w:id="365" w:name="_Toc23105"/>
      <w:r>
        <w:rPr>
          <w:rFonts w:hint="eastAsia" w:ascii="Times New Roman" w:hAnsi="Times New Roman" w:eastAsia="宋体"/>
          <w:strike w:val="0"/>
          <w:dstrike w:val="0"/>
          <w:color w:val="auto"/>
          <w:highlight w:val="none"/>
        </w:rPr>
        <w:t>8.1.1设置环境管理机构</w:t>
      </w:r>
      <w:bookmarkEnd w:id="363"/>
      <w:bookmarkEnd w:id="364"/>
      <w:bookmarkEnd w:id="365"/>
    </w:p>
    <w:p w14:paraId="6D1C4DB7">
      <w:pPr>
        <w:ind w:firstLine="480"/>
        <w:rPr>
          <w:rFonts w:hint="eastAsia" w:ascii="Times New Roman" w:hAnsi="Times New Roman" w:eastAsia="宋体"/>
          <w:strike w:val="0"/>
          <w:dstrike w:val="0"/>
          <w:color w:val="auto"/>
          <w:highlight w:val="none"/>
          <w:lang w:eastAsia="zh-CN"/>
        </w:rPr>
      </w:pPr>
      <w:bookmarkStart w:id="366" w:name="_Toc29128"/>
      <w:r>
        <w:rPr>
          <w:rFonts w:hint="eastAsia" w:ascii="Times New Roman" w:hAnsi="Times New Roman" w:eastAsia="宋体"/>
          <w:strike w:val="0"/>
          <w:dstrike w:val="0"/>
          <w:color w:val="auto"/>
          <w:highlight w:val="none"/>
        </w:rPr>
        <w:t>厂区内设置专门的安全生产、环境保护与事故应急管理机构（环保处），并设置专职环保人员负责环境管理、环境监测和事故应急处理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环保处设置专职处长1名，直接向企业领导负责，统一负责管理、组织、落实、监督企业的环境保护工作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厂区内设置兼职环保人员，承担各级环境管理职责，并向环保处负责</w:t>
      </w:r>
      <w:bookmarkEnd w:id="366"/>
      <w:r>
        <w:rPr>
          <w:rFonts w:hint="eastAsia" w:ascii="Times New Roman" w:hAnsi="Times New Roman" w:eastAsia="宋体"/>
          <w:strike w:val="0"/>
          <w:dstrike w:val="0"/>
          <w:color w:val="auto"/>
          <w:highlight w:val="none"/>
          <w:lang w:eastAsia="zh-CN"/>
        </w:rPr>
        <w:t>。</w:t>
      </w:r>
    </w:p>
    <w:p w14:paraId="6C01EB75">
      <w:pPr>
        <w:ind w:firstLine="480"/>
        <w:rPr>
          <w:rFonts w:ascii="Times New Roman" w:hAnsi="Times New Roman" w:eastAsia="宋体"/>
          <w:strike w:val="0"/>
          <w:dstrike w:val="0"/>
          <w:color w:val="auto"/>
          <w:highlight w:val="none"/>
        </w:rPr>
      </w:pPr>
      <w:bookmarkStart w:id="367" w:name="_Toc15753"/>
      <w:r>
        <w:rPr>
          <w:rFonts w:hint="eastAsia" w:ascii="Times New Roman" w:hAnsi="Times New Roman" w:eastAsia="宋体"/>
          <w:strike w:val="0"/>
          <w:dstrike w:val="0"/>
          <w:color w:val="auto"/>
          <w:highlight w:val="none"/>
        </w:rPr>
        <w:t>环保处设置专职管理人员2～3名，负责与各单项污染治理设施的沟通、协调与日常管理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对工作人员实行培训后持证上岗，制定工作人员岗位责任制，增强操作人员的环境保护意识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机构人员具体职责为：</w:t>
      </w:r>
      <w:bookmarkEnd w:id="367"/>
    </w:p>
    <w:p w14:paraId="5032A222">
      <w:pPr>
        <w:ind w:firstLine="480"/>
        <w:rPr>
          <w:rFonts w:hint="eastAsia" w:ascii="Times New Roman" w:hAnsi="Times New Roman" w:eastAsia="宋体"/>
          <w:strike w:val="0"/>
          <w:dstrike w:val="0"/>
          <w:color w:val="auto"/>
          <w:highlight w:val="none"/>
          <w:lang w:eastAsia="zh-CN"/>
        </w:rPr>
      </w:pPr>
      <w:bookmarkStart w:id="368" w:name="_Toc2979"/>
      <w:r>
        <w:rPr>
          <w:rFonts w:hint="eastAsia" w:ascii="Times New Roman" w:hAnsi="Times New Roman" w:eastAsia="宋体"/>
          <w:strike w:val="0"/>
          <w:dstrike w:val="0"/>
          <w:color w:val="auto"/>
          <w:highlight w:val="none"/>
        </w:rPr>
        <w:t>（1）认真贯彻执行国家以及昌吉州、</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环保法规及行业环保规定，负责制定全场近、远期环境保护规划并督促计划实施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落实环保要求，解决存在的环保问题</w:t>
      </w:r>
      <w:bookmarkEnd w:id="368"/>
      <w:r>
        <w:rPr>
          <w:rFonts w:hint="eastAsia" w:ascii="Times New Roman" w:hAnsi="Times New Roman" w:eastAsia="宋体"/>
          <w:strike w:val="0"/>
          <w:dstrike w:val="0"/>
          <w:color w:val="auto"/>
          <w:highlight w:val="none"/>
          <w:lang w:eastAsia="zh-CN"/>
        </w:rPr>
        <w:t>。</w:t>
      </w:r>
    </w:p>
    <w:p w14:paraId="24CFB706">
      <w:pPr>
        <w:ind w:firstLine="480"/>
        <w:rPr>
          <w:rFonts w:ascii="Times New Roman" w:hAnsi="Times New Roman" w:eastAsia="宋体"/>
          <w:strike w:val="0"/>
          <w:dstrike w:val="0"/>
          <w:color w:val="auto"/>
          <w:highlight w:val="none"/>
        </w:rPr>
      </w:pPr>
      <w:bookmarkStart w:id="369" w:name="_Toc32751"/>
      <w:r>
        <w:rPr>
          <w:rFonts w:hint="eastAsia" w:ascii="Times New Roman" w:hAnsi="Times New Roman" w:eastAsia="宋体"/>
          <w:strike w:val="0"/>
          <w:dstrike w:val="0"/>
          <w:color w:val="auto"/>
          <w:highlight w:val="none"/>
        </w:rPr>
        <w:t>（2）组织制定厂内的环境保护管理规章制度，并监督检查其执行情况，针对企业的具体情况，制定并组织实施环境保护规划和年度工作计划；</w:t>
      </w:r>
      <w:bookmarkEnd w:id="369"/>
    </w:p>
    <w:p w14:paraId="24007E50">
      <w:pPr>
        <w:ind w:firstLine="480"/>
        <w:rPr>
          <w:rFonts w:hint="eastAsia" w:ascii="Times New Roman" w:hAnsi="Times New Roman" w:eastAsia="宋体"/>
          <w:strike w:val="0"/>
          <w:dstrike w:val="0"/>
          <w:color w:val="auto"/>
          <w:highlight w:val="none"/>
          <w:lang w:eastAsia="zh-CN"/>
        </w:rPr>
      </w:pPr>
      <w:bookmarkStart w:id="370" w:name="_Toc28465"/>
      <w:r>
        <w:rPr>
          <w:rFonts w:hint="eastAsia" w:ascii="Times New Roman" w:hAnsi="Times New Roman" w:eastAsia="宋体"/>
          <w:strike w:val="0"/>
          <w:dstrike w:val="0"/>
          <w:color w:val="auto"/>
          <w:highlight w:val="none"/>
        </w:rPr>
        <w:t>（3）落实环保设施运行的管理计划、操作规程，及时汇总存在的问题，提交技术部门改进解决</w:t>
      </w:r>
      <w:bookmarkEnd w:id="370"/>
      <w:r>
        <w:rPr>
          <w:rFonts w:hint="eastAsia" w:ascii="Times New Roman" w:hAnsi="Times New Roman" w:eastAsia="宋体"/>
          <w:strike w:val="0"/>
          <w:dstrike w:val="0"/>
          <w:color w:val="auto"/>
          <w:highlight w:val="none"/>
          <w:lang w:eastAsia="zh-CN"/>
        </w:rPr>
        <w:t>。</w:t>
      </w:r>
    </w:p>
    <w:p w14:paraId="123B27B0">
      <w:pPr>
        <w:ind w:firstLine="480"/>
        <w:rPr>
          <w:rFonts w:ascii="Times New Roman" w:hAnsi="Times New Roman" w:eastAsia="宋体"/>
          <w:strike w:val="0"/>
          <w:dstrike w:val="0"/>
          <w:color w:val="auto"/>
          <w:highlight w:val="none"/>
        </w:rPr>
      </w:pPr>
      <w:bookmarkStart w:id="371" w:name="_Toc17709"/>
      <w:r>
        <w:rPr>
          <w:rFonts w:ascii="Times New Roman" w:hAnsi="Times New Roman" w:eastAsia="宋体"/>
          <w:strike w:val="0"/>
          <w:dstrike w:val="0"/>
          <w:color w:val="auto"/>
          <w:highlight w:val="none"/>
        </w:rPr>
        <w:t>（4）负责开展日常的环境监测工作，建立健全原始记录，分析掌握污染动态以及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的综合处置情况；</w:t>
      </w:r>
      <w:bookmarkEnd w:id="371"/>
    </w:p>
    <w:p w14:paraId="12920930">
      <w:pPr>
        <w:ind w:firstLine="480"/>
        <w:rPr>
          <w:rFonts w:ascii="Times New Roman" w:hAnsi="Times New Roman" w:eastAsia="宋体"/>
          <w:strike w:val="0"/>
          <w:dstrike w:val="0"/>
          <w:color w:val="auto"/>
          <w:highlight w:val="none"/>
        </w:rPr>
      </w:pPr>
      <w:bookmarkStart w:id="372" w:name="_Toc32609"/>
      <w:r>
        <w:rPr>
          <w:rFonts w:ascii="Times New Roman" w:hAnsi="Times New Roman" w:eastAsia="宋体"/>
          <w:strike w:val="0"/>
          <w:dstrike w:val="0"/>
          <w:color w:val="auto"/>
          <w:highlight w:val="none"/>
        </w:rPr>
        <w:t>（5）建立环保档案，做好企业环境管理台账记录和企业环保资料的统计整理工作，及时向当地环保部门上报环保工作报表以及提供相应的技术数据；</w:t>
      </w:r>
      <w:bookmarkEnd w:id="372"/>
    </w:p>
    <w:p w14:paraId="1A51FEDC">
      <w:pPr>
        <w:ind w:firstLine="480"/>
        <w:rPr>
          <w:rFonts w:ascii="Times New Roman" w:hAnsi="Times New Roman" w:eastAsia="宋体"/>
          <w:strike w:val="0"/>
          <w:dstrike w:val="0"/>
          <w:color w:val="auto"/>
          <w:highlight w:val="none"/>
        </w:rPr>
      </w:pPr>
      <w:bookmarkStart w:id="373" w:name="_Toc26113"/>
      <w:r>
        <w:rPr>
          <w:rFonts w:ascii="Times New Roman" w:hAnsi="Times New Roman" w:eastAsia="宋体"/>
          <w:strike w:val="0"/>
          <w:dstrike w:val="0"/>
          <w:color w:val="auto"/>
          <w:highlight w:val="none"/>
        </w:rPr>
        <w:t>（7）检查落实安全消防措施，开展环保、安全知识教育，对从事与环保工作有关的特殊岗位（如承担环保设施运行与维护）的员工的技能进行定期培训和考核；</w:t>
      </w:r>
      <w:bookmarkEnd w:id="373"/>
    </w:p>
    <w:p w14:paraId="661413ED">
      <w:pPr>
        <w:ind w:firstLine="480"/>
        <w:rPr>
          <w:rFonts w:ascii="Times New Roman" w:hAnsi="Times New Roman" w:eastAsia="宋体"/>
          <w:strike w:val="0"/>
          <w:dstrike w:val="0"/>
          <w:color w:val="auto"/>
          <w:highlight w:val="none"/>
        </w:rPr>
      </w:pPr>
      <w:bookmarkStart w:id="374" w:name="_Toc21851"/>
      <w:r>
        <w:rPr>
          <w:rFonts w:ascii="Times New Roman" w:hAnsi="Times New Roman" w:eastAsia="宋体"/>
          <w:strike w:val="0"/>
          <w:dstrike w:val="0"/>
          <w:color w:val="auto"/>
          <w:highlight w:val="none"/>
        </w:rPr>
        <w:t>（8）负责处理各类污染事故和突发紧急事件，组织抢救和善后处理工作；</w:t>
      </w:r>
      <w:bookmarkEnd w:id="374"/>
    </w:p>
    <w:p w14:paraId="0570C199">
      <w:pPr>
        <w:ind w:firstLine="480"/>
        <w:rPr>
          <w:rFonts w:hint="eastAsia" w:ascii="Times New Roman" w:hAnsi="Times New Roman" w:eastAsia="宋体"/>
          <w:strike w:val="0"/>
          <w:dstrike w:val="0"/>
          <w:color w:val="auto"/>
          <w:highlight w:val="none"/>
          <w:lang w:eastAsia="zh-CN"/>
        </w:rPr>
      </w:pPr>
      <w:bookmarkStart w:id="375" w:name="_Toc13513"/>
      <w:r>
        <w:rPr>
          <w:rFonts w:ascii="Times New Roman" w:hAnsi="Times New Roman" w:eastAsia="宋体"/>
          <w:strike w:val="0"/>
          <w:dstrike w:val="0"/>
          <w:color w:val="auto"/>
          <w:highlight w:val="none"/>
        </w:rPr>
        <w:t>（9）负责企业的清洁生产工作的开展和维持，配合当地环境保护部门对企业的环境管理</w:t>
      </w:r>
      <w:bookmarkEnd w:id="375"/>
      <w:r>
        <w:rPr>
          <w:rFonts w:hint="eastAsia" w:ascii="Times New Roman" w:hAnsi="Times New Roman" w:eastAsia="宋体"/>
          <w:strike w:val="0"/>
          <w:dstrike w:val="0"/>
          <w:color w:val="auto"/>
          <w:highlight w:val="none"/>
          <w:lang w:eastAsia="zh-CN"/>
        </w:rPr>
        <w:t>。</w:t>
      </w:r>
    </w:p>
    <w:p w14:paraId="328E40D6">
      <w:pPr>
        <w:ind w:firstLine="480"/>
        <w:rPr>
          <w:rFonts w:hint="eastAsia" w:ascii="Times New Roman" w:hAnsi="Times New Roman" w:eastAsia="宋体"/>
          <w:strike w:val="0"/>
          <w:dstrike w:val="0"/>
          <w:color w:val="auto"/>
          <w:highlight w:val="none"/>
          <w:lang w:eastAsia="zh-CN"/>
        </w:rPr>
      </w:pPr>
      <w:bookmarkStart w:id="376" w:name="_Toc2172"/>
      <w:r>
        <w:rPr>
          <w:rFonts w:ascii="Times New Roman" w:hAnsi="Times New Roman" w:eastAsia="宋体"/>
          <w:strike w:val="0"/>
          <w:dstrike w:val="0"/>
          <w:color w:val="auto"/>
          <w:highlight w:val="none"/>
        </w:rPr>
        <w:t>（10）做好企业环境管理信息公开工作</w:t>
      </w:r>
      <w:bookmarkEnd w:id="376"/>
      <w:r>
        <w:rPr>
          <w:rFonts w:hint="eastAsia" w:ascii="Times New Roman" w:hAnsi="Times New Roman" w:eastAsia="宋体"/>
          <w:strike w:val="0"/>
          <w:dstrike w:val="0"/>
          <w:color w:val="auto"/>
          <w:highlight w:val="none"/>
          <w:lang w:eastAsia="zh-CN"/>
        </w:rPr>
        <w:t>。</w:t>
      </w:r>
    </w:p>
    <w:p w14:paraId="26E05A25">
      <w:pPr>
        <w:pStyle w:val="4"/>
        <w:rPr>
          <w:rFonts w:ascii="Times New Roman" w:hAnsi="Times New Roman" w:eastAsia="宋体"/>
          <w:strike w:val="0"/>
          <w:dstrike w:val="0"/>
          <w:color w:val="auto"/>
          <w:highlight w:val="none"/>
        </w:rPr>
      </w:pPr>
      <w:bookmarkStart w:id="377" w:name="_Toc106663548"/>
      <w:bookmarkStart w:id="378" w:name="_Toc2076"/>
      <w:bookmarkStart w:id="379" w:name="_Toc23679"/>
      <w:r>
        <w:rPr>
          <w:rFonts w:ascii="Times New Roman" w:hAnsi="Times New Roman" w:eastAsia="宋体"/>
          <w:strike w:val="0"/>
          <w:dstrike w:val="0"/>
          <w:color w:val="auto"/>
          <w:highlight w:val="none"/>
        </w:rPr>
        <w:t>8.1.2落实环境管理制度</w:t>
      </w:r>
      <w:bookmarkEnd w:id="377"/>
      <w:bookmarkEnd w:id="378"/>
      <w:bookmarkEnd w:id="379"/>
    </w:p>
    <w:p w14:paraId="4FFA35B8">
      <w:pPr>
        <w:ind w:firstLine="480"/>
        <w:rPr>
          <w:rFonts w:hint="eastAsia" w:ascii="Times New Roman" w:hAnsi="Times New Roman" w:eastAsia="宋体"/>
          <w:strike w:val="0"/>
          <w:dstrike w:val="0"/>
          <w:color w:val="auto"/>
          <w:highlight w:val="none"/>
          <w:lang w:eastAsia="zh-CN"/>
        </w:rPr>
      </w:pPr>
      <w:bookmarkStart w:id="380" w:name="_Toc26364"/>
      <w:r>
        <w:rPr>
          <w:rFonts w:ascii="Times New Roman" w:hAnsi="Times New Roman" w:eastAsia="宋体"/>
          <w:strike w:val="0"/>
          <w:dstrike w:val="0"/>
          <w:color w:val="auto"/>
          <w:highlight w:val="none"/>
        </w:rPr>
        <w:t>在本项目设计以及施工与营运过程中必须制定严格的环境管理计划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环境管理由项目负责人直接领导，由具有环境保护知识与经验的工程技术人员担任环保员，负责并协调有关环境监测的具体事项，环保业务上同时接受各子项目所在地的指导和监督</w:t>
      </w:r>
      <w:bookmarkEnd w:id="380"/>
      <w:r>
        <w:rPr>
          <w:rFonts w:hint="eastAsia" w:ascii="Times New Roman" w:hAnsi="Times New Roman" w:eastAsia="宋体"/>
          <w:strike w:val="0"/>
          <w:dstrike w:val="0"/>
          <w:color w:val="auto"/>
          <w:highlight w:val="none"/>
          <w:lang w:eastAsia="zh-CN"/>
        </w:rPr>
        <w:t>。</w:t>
      </w:r>
    </w:p>
    <w:p w14:paraId="01FC8B01">
      <w:pPr>
        <w:ind w:firstLine="480"/>
        <w:rPr>
          <w:rFonts w:ascii="Times New Roman" w:hAnsi="Times New Roman" w:eastAsia="宋体"/>
          <w:strike w:val="0"/>
          <w:dstrike w:val="0"/>
          <w:color w:val="auto"/>
          <w:highlight w:val="none"/>
        </w:rPr>
      </w:pPr>
      <w:bookmarkStart w:id="381" w:name="_Toc1869"/>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制度</w:t>
      </w:r>
      <w:bookmarkEnd w:id="381"/>
    </w:p>
    <w:p w14:paraId="43DB93F8">
      <w:pPr>
        <w:ind w:firstLine="480"/>
        <w:rPr>
          <w:rFonts w:hint="eastAsia" w:ascii="Times New Roman" w:hAnsi="Times New Roman" w:eastAsia="宋体"/>
          <w:strike w:val="0"/>
          <w:dstrike w:val="0"/>
          <w:color w:val="auto"/>
          <w:highlight w:val="none"/>
          <w:lang w:eastAsia="zh-CN"/>
        </w:rPr>
      </w:pPr>
      <w:bookmarkStart w:id="382" w:name="_Toc11513"/>
      <w:r>
        <w:rPr>
          <w:rFonts w:ascii="Times New Roman" w:hAnsi="Times New Roman" w:eastAsia="宋体"/>
          <w:strike w:val="0"/>
          <w:dstrike w:val="0"/>
          <w:color w:val="auto"/>
          <w:highlight w:val="none"/>
        </w:rPr>
        <w:t>根据《建设项目环境保护管理条例》，建设项目需要配套建设的环境保护设施，必须与主体工程同时设计、同时施工、同时投产使用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建设单位应当按照国务院环境保护行政主管部门规定的标准和程序，对配套建设的环境保护设施进行验收，编制验收报告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建设单位在环境保护设施验收过程中，应当如实查验、监测、记载建设项目环境保护设施的建设和调试情况，不得弄虚作假，验收报告应依法向社会公开</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本项目配套建设的环境保护设施经验收合格，方可再次投入生产或者使用</w:t>
      </w:r>
      <w:bookmarkEnd w:id="382"/>
      <w:r>
        <w:rPr>
          <w:rFonts w:hint="eastAsia" w:ascii="Times New Roman" w:hAnsi="Times New Roman" w:eastAsia="宋体"/>
          <w:strike w:val="0"/>
          <w:dstrike w:val="0"/>
          <w:color w:val="auto"/>
          <w:highlight w:val="none"/>
          <w:lang w:eastAsia="zh-CN"/>
        </w:rPr>
        <w:t>。</w:t>
      </w:r>
    </w:p>
    <w:p w14:paraId="4868E2DC">
      <w:pPr>
        <w:ind w:firstLine="480"/>
        <w:rPr>
          <w:rFonts w:ascii="Times New Roman" w:hAnsi="Times New Roman" w:eastAsia="宋体"/>
          <w:strike w:val="0"/>
          <w:dstrike w:val="0"/>
          <w:color w:val="auto"/>
          <w:highlight w:val="none"/>
        </w:rPr>
      </w:pPr>
      <w:bookmarkStart w:id="383" w:name="_Toc12235"/>
      <w:r>
        <w:rPr>
          <w:rFonts w:hint="eastAsia" w:ascii="Times New Roman" w:hAnsi="Times New Roman" w:eastAsia="宋体"/>
          <w:strike w:val="0"/>
          <w:dstrike w:val="0"/>
          <w:color w:val="auto"/>
          <w:highlight w:val="none"/>
        </w:rPr>
        <w:t>（2）排污许可证制度</w:t>
      </w:r>
      <w:bookmarkEnd w:id="383"/>
    </w:p>
    <w:p w14:paraId="5B704ECD">
      <w:pPr>
        <w:ind w:firstLine="480"/>
        <w:rPr>
          <w:rFonts w:hint="eastAsia" w:ascii="Times New Roman" w:hAnsi="Times New Roman" w:eastAsia="宋体"/>
          <w:strike w:val="0"/>
          <w:dstrike w:val="0"/>
          <w:color w:val="auto"/>
          <w:highlight w:val="none"/>
          <w:lang w:eastAsia="zh-CN"/>
        </w:rPr>
      </w:pPr>
      <w:bookmarkStart w:id="384" w:name="_Toc29891"/>
      <w:r>
        <w:rPr>
          <w:rFonts w:hint="eastAsia" w:ascii="Times New Roman" w:hAnsi="Times New Roman" w:eastAsia="宋体"/>
          <w:strike w:val="0"/>
          <w:dstrike w:val="0"/>
          <w:color w:val="auto"/>
          <w:highlight w:val="none"/>
          <w:lang w:val="en-US" w:eastAsia="zh-CN"/>
        </w:rPr>
        <w:t>根据《固定污染源排污许可分类管理名录（2019年版）》，本项目为“一、畜牧业03中的家禽饲养032-无污水排放口的规模化畜禽养殖场、养殖小区”因此为登记管理。</w:t>
      </w:r>
      <w:r>
        <w:rPr>
          <w:rFonts w:ascii="Times New Roman" w:hAnsi="Times New Roman" w:eastAsia="宋体"/>
          <w:strike w:val="0"/>
          <w:dstrike w:val="0"/>
          <w:color w:val="auto"/>
          <w:highlight w:val="none"/>
        </w:rPr>
        <w:t>建设单位应当在项目投入生产或使用并产生实际排污行为之前申请领取排污许可证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依法按照排污许可证申请与核发技术规范提交排污许可申请，申报排放污染物种类、排放浓度等，测算并申报污染物排放量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建设单位应当严格执行排污许可证的规定，禁止无证排污或不按证排污</w:t>
      </w:r>
      <w:bookmarkEnd w:id="384"/>
      <w:r>
        <w:rPr>
          <w:rFonts w:hint="eastAsia" w:ascii="Times New Roman" w:hAnsi="Times New Roman" w:eastAsia="宋体"/>
          <w:strike w:val="0"/>
          <w:dstrike w:val="0"/>
          <w:color w:val="auto"/>
          <w:highlight w:val="none"/>
          <w:lang w:eastAsia="zh-CN"/>
        </w:rPr>
        <w:t>。</w:t>
      </w:r>
    </w:p>
    <w:p w14:paraId="5973A141">
      <w:pPr>
        <w:ind w:firstLine="480"/>
        <w:rPr>
          <w:rFonts w:ascii="Times New Roman" w:hAnsi="Times New Roman" w:eastAsia="宋体"/>
          <w:strike w:val="0"/>
          <w:dstrike w:val="0"/>
          <w:color w:val="auto"/>
          <w:highlight w:val="none"/>
        </w:rPr>
      </w:pPr>
      <w:bookmarkStart w:id="385" w:name="_Toc701"/>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环保台账制度</w:t>
      </w:r>
      <w:bookmarkEnd w:id="385"/>
    </w:p>
    <w:p w14:paraId="57C055BD">
      <w:pPr>
        <w:ind w:firstLine="480"/>
        <w:rPr>
          <w:rFonts w:hint="eastAsia" w:ascii="Times New Roman" w:hAnsi="Times New Roman" w:eastAsia="宋体"/>
          <w:strike w:val="0"/>
          <w:dstrike w:val="0"/>
          <w:color w:val="auto"/>
          <w:highlight w:val="none"/>
          <w:lang w:eastAsia="zh-CN"/>
        </w:rPr>
      </w:pPr>
      <w:bookmarkStart w:id="386" w:name="_Toc12954"/>
      <w:r>
        <w:rPr>
          <w:rFonts w:ascii="Times New Roman" w:hAnsi="Times New Roman" w:eastAsia="宋体"/>
          <w:strike w:val="0"/>
          <w:dstrike w:val="0"/>
          <w:color w:val="auto"/>
          <w:highlight w:val="none"/>
        </w:rPr>
        <w:t>厂内需完善记录制度和档案保存制度，有利于环境管理质量的追踪和持续改进；记录和台帐包括设施运行和维护记录、危险废物进出台帐、废水、废气污染物监测台帐、所有化学品使用台帐、突发性事件的处理、调查记录等，妥善保存所有记录、台帐及污染物排放监测资料、环境管理档案资料等</w:t>
      </w:r>
      <w:bookmarkEnd w:id="386"/>
      <w:r>
        <w:rPr>
          <w:rFonts w:hint="eastAsia" w:ascii="Times New Roman" w:hAnsi="Times New Roman" w:eastAsia="宋体"/>
          <w:strike w:val="0"/>
          <w:dstrike w:val="0"/>
          <w:color w:val="auto"/>
          <w:highlight w:val="none"/>
          <w:lang w:eastAsia="zh-CN"/>
        </w:rPr>
        <w:t>。</w:t>
      </w:r>
    </w:p>
    <w:p w14:paraId="075298C5">
      <w:pPr>
        <w:ind w:firstLine="480"/>
        <w:rPr>
          <w:rFonts w:ascii="Times New Roman" w:hAnsi="Times New Roman" w:eastAsia="宋体"/>
          <w:strike w:val="0"/>
          <w:dstrike w:val="0"/>
          <w:color w:val="auto"/>
          <w:highlight w:val="none"/>
        </w:rPr>
      </w:pPr>
      <w:bookmarkStart w:id="387" w:name="_Toc1104"/>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污染治理设施管理制度</w:t>
      </w:r>
      <w:bookmarkEnd w:id="387"/>
    </w:p>
    <w:p w14:paraId="4ED25690">
      <w:pPr>
        <w:ind w:firstLine="480"/>
        <w:rPr>
          <w:rFonts w:hint="eastAsia" w:ascii="Times New Roman" w:hAnsi="Times New Roman" w:eastAsia="宋体"/>
          <w:strike w:val="0"/>
          <w:dstrike w:val="0"/>
          <w:color w:val="auto"/>
          <w:highlight w:val="none"/>
          <w:lang w:eastAsia="zh-CN"/>
        </w:rPr>
      </w:pPr>
      <w:bookmarkStart w:id="388" w:name="_Toc24380"/>
      <w:r>
        <w:rPr>
          <w:rFonts w:ascii="Times New Roman" w:hAnsi="Times New Roman" w:eastAsia="宋体"/>
          <w:strike w:val="0"/>
          <w:dstrike w:val="0"/>
          <w:color w:val="auto"/>
          <w:highlight w:val="none"/>
        </w:rPr>
        <w:t>厂内必须确保污染处理设施长期、稳定、有效地运行，不得擅自拆除或者闲置污染处理设施，不得故意不正常使用污染处理设施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污染处理设施的管理必须与生产经营活动一起纳入单位日常管理工作的范畴，落实责任人、操作人员、维修人员、运行经费、设备的备品备件、化学药品和其他原辅材料</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同时要建立岗位责任制、制定操作规程、建立管理台帐</w:t>
      </w:r>
      <w:bookmarkEnd w:id="388"/>
      <w:r>
        <w:rPr>
          <w:rFonts w:hint="eastAsia" w:ascii="Times New Roman" w:hAnsi="Times New Roman" w:eastAsia="宋体"/>
          <w:strike w:val="0"/>
          <w:dstrike w:val="0"/>
          <w:color w:val="auto"/>
          <w:highlight w:val="none"/>
          <w:lang w:eastAsia="zh-CN"/>
        </w:rPr>
        <w:t>。</w:t>
      </w:r>
    </w:p>
    <w:p w14:paraId="1EC424F4">
      <w:pPr>
        <w:ind w:firstLine="480"/>
        <w:rPr>
          <w:rFonts w:ascii="Times New Roman" w:hAnsi="Times New Roman" w:eastAsia="宋体"/>
          <w:strike w:val="0"/>
          <w:dstrike w:val="0"/>
          <w:color w:val="auto"/>
          <w:highlight w:val="none"/>
        </w:rPr>
      </w:pPr>
      <w:bookmarkStart w:id="389" w:name="_Toc17029"/>
      <w:r>
        <w:rPr>
          <w:rFonts w:hint="eastAsia" w:ascii="Times New Roman" w:hAnsi="Times New Roman" w:eastAsia="宋体"/>
          <w:strike w:val="0"/>
          <w:dstrike w:val="0"/>
          <w:color w:val="auto"/>
          <w:highlight w:val="none"/>
        </w:rPr>
        <w:t>（5）</w:t>
      </w:r>
      <w:r>
        <w:rPr>
          <w:rFonts w:ascii="Times New Roman" w:hAnsi="Times New Roman" w:eastAsia="宋体"/>
          <w:strike w:val="0"/>
          <w:dstrike w:val="0"/>
          <w:color w:val="auto"/>
          <w:highlight w:val="none"/>
        </w:rPr>
        <w:t>报告制度</w:t>
      </w:r>
      <w:bookmarkEnd w:id="389"/>
    </w:p>
    <w:p w14:paraId="49C8FF54">
      <w:pPr>
        <w:ind w:firstLine="480"/>
        <w:rPr>
          <w:rFonts w:hint="eastAsia" w:ascii="Times New Roman" w:hAnsi="Times New Roman" w:eastAsia="宋体"/>
          <w:strike w:val="0"/>
          <w:dstrike w:val="0"/>
          <w:color w:val="auto"/>
          <w:highlight w:val="none"/>
          <w:lang w:eastAsia="zh-CN"/>
        </w:rPr>
      </w:pPr>
      <w:bookmarkStart w:id="390" w:name="_Toc20462"/>
      <w:r>
        <w:rPr>
          <w:rFonts w:ascii="Times New Roman" w:hAnsi="Times New Roman" w:eastAsia="宋体"/>
          <w:strike w:val="0"/>
          <w:dstrike w:val="0"/>
          <w:color w:val="auto"/>
          <w:highlight w:val="none"/>
        </w:rPr>
        <w:t>报告内容主要为污染治理设施的运行情况、污染物排放情况及污染事故或污染纠纷等</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厂内环境保护相关的所有记录、台帐及污染物排放监测资料、环境管理档案资料等应妥善保存并定期上报，发现污染因子超标，快速果断采取应对措施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建设单位应定期向</w:t>
      </w:r>
      <w:r>
        <w:rPr>
          <w:rFonts w:hint="eastAsia" w:ascii="Times New Roman" w:hAnsi="Times New Roman" w:eastAsia="宋体"/>
          <w:strike w:val="0"/>
          <w:dstrike w:val="0"/>
          <w:color w:val="auto"/>
          <w:highlight w:val="none"/>
          <w:lang w:val="en-US" w:eastAsia="zh-CN"/>
        </w:rPr>
        <w:t>昌吉州生态环境局木垒县分局</w:t>
      </w:r>
      <w:r>
        <w:rPr>
          <w:rFonts w:ascii="Times New Roman" w:hAnsi="Times New Roman" w:eastAsia="宋体"/>
          <w:strike w:val="0"/>
          <w:dstrike w:val="0"/>
          <w:color w:val="auto"/>
          <w:highlight w:val="none"/>
        </w:rPr>
        <w:t>报告污染治理设施运行情况、污染物排放情况以及污染事故、污染纠纷等情况，便于政府部门及时了解污染动态，以利于采取相应的对策措施</w:t>
      </w:r>
      <w:bookmarkEnd w:id="390"/>
      <w:r>
        <w:rPr>
          <w:rFonts w:hint="eastAsia" w:ascii="Times New Roman" w:hAnsi="Times New Roman" w:eastAsia="宋体"/>
          <w:strike w:val="0"/>
          <w:dstrike w:val="0"/>
          <w:color w:val="auto"/>
          <w:highlight w:val="none"/>
          <w:lang w:eastAsia="zh-CN"/>
        </w:rPr>
        <w:t>。</w:t>
      </w:r>
    </w:p>
    <w:p w14:paraId="392E780F">
      <w:pPr>
        <w:ind w:firstLine="480"/>
        <w:rPr>
          <w:rFonts w:ascii="Times New Roman" w:hAnsi="Times New Roman" w:eastAsia="宋体"/>
          <w:strike w:val="0"/>
          <w:dstrike w:val="0"/>
          <w:color w:val="auto"/>
          <w:highlight w:val="none"/>
        </w:rPr>
      </w:pPr>
      <w:bookmarkStart w:id="391" w:name="_Toc1940"/>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环保奖惩制度</w:t>
      </w:r>
      <w:bookmarkEnd w:id="391"/>
    </w:p>
    <w:p w14:paraId="6AD1F1D6">
      <w:pPr>
        <w:ind w:firstLine="480"/>
        <w:rPr>
          <w:rFonts w:hint="eastAsia" w:ascii="Times New Roman" w:hAnsi="Times New Roman" w:eastAsia="宋体"/>
          <w:strike w:val="0"/>
          <w:dstrike w:val="0"/>
          <w:color w:val="auto"/>
          <w:highlight w:val="none"/>
          <w:lang w:eastAsia="zh-CN"/>
        </w:rPr>
      </w:pPr>
      <w:bookmarkStart w:id="392" w:name="_Toc28659"/>
      <w:r>
        <w:rPr>
          <w:rFonts w:ascii="Times New Roman" w:hAnsi="Times New Roman" w:eastAsia="宋体"/>
          <w:strike w:val="0"/>
          <w:dstrike w:val="0"/>
          <w:color w:val="auto"/>
          <w:highlight w:val="none"/>
        </w:rPr>
        <w:t>企业应加强宣传教育，提高员工的污染隐患意识和环境风险意识；制定员工参与环保技术培训的计划，提高员工技术素质水平；设立岗位实责制，制定严格的奖、罚制度</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建议企业设置环境保护奖励条例，纳入人员考核体系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对爱护环保设施、节能降耗、改善环境者实行奖励</w:t>
      </w:r>
      <w:bookmarkEnd w:id="392"/>
      <w:r>
        <w:rPr>
          <w:rFonts w:hint="eastAsia" w:ascii="Times New Roman" w:hAnsi="Times New Roman" w:eastAsia="宋体"/>
          <w:strike w:val="0"/>
          <w:dstrike w:val="0"/>
          <w:color w:val="auto"/>
          <w:highlight w:val="none"/>
          <w:lang w:eastAsia="zh-CN"/>
        </w:rPr>
        <w:t>。</w:t>
      </w:r>
    </w:p>
    <w:p w14:paraId="41CCA7BD">
      <w:pPr>
        <w:ind w:firstLine="480"/>
        <w:rPr>
          <w:rFonts w:hint="eastAsia" w:ascii="Times New Roman" w:hAnsi="Times New Roman" w:eastAsia="宋体"/>
          <w:strike w:val="0"/>
          <w:dstrike w:val="0"/>
          <w:color w:val="auto"/>
          <w:highlight w:val="none"/>
          <w:lang w:eastAsia="zh-CN"/>
        </w:rPr>
      </w:pPr>
      <w:bookmarkStart w:id="393" w:name="_Toc15374"/>
      <w:r>
        <w:rPr>
          <w:rFonts w:ascii="Times New Roman" w:hAnsi="Times New Roman" w:eastAsia="宋体"/>
          <w:strike w:val="0"/>
          <w:dstrike w:val="0"/>
          <w:color w:val="auto"/>
          <w:highlight w:val="none"/>
        </w:rPr>
        <w:t>对环保观念淡薄、不按环保管理要求，造成环保设施损坏、环境污染及资源和能源浪费者一律处以重罚</w:t>
      </w:r>
      <w:bookmarkEnd w:id="393"/>
      <w:r>
        <w:rPr>
          <w:rFonts w:hint="eastAsia" w:ascii="Times New Roman" w:hAnsi="Times New Roman" w:eastAsia="宋体"/>
          <w:strike w:val="0"/>
          <w:dstrike w:val="0"/>
          <w:color w:val="auto"/>
          <w:highlight w:val="none"/>
          <w:lang w:eastAsia="zh-CN"/>
        </w:rPr>
        <w:t>。</w:t>
      </w:r>
    </w:p>
    <w:p w14:paraId="1E19E897">
      <w:pPr>
        <w:ind w:firstLine="480"/>
        <w:rPr>
          <w:rFonts w:ascii="Times New Roman" w:hAnsi="Times New Roman" w:eastAsia="宋体"/>
          <w:strike w:val="0"/>
          <w:dstrike w:val="0"/>
          <w:color w:val="auto"/>
          <w:highlight w:val="none"/>
        </w:rPr>
      </w:pPr>
      <w:bookmarkStart w:id="394" w:name="_Toc28298"/>
      <w:r>
        <w:rPr>
          <w:rFonts w:hint="eastAsia" w:ascii="Times New Roman" w:hAnsi="Times New Roman" w:eastAsia="宋体"/>
          <w:strike w:val="0"/>
          <w:dstrike w:val="0"/>
          <w:color w:val="auto"/>
          <w:highlight w:val="none"/>
        </w:rPr>
        <w:t>（7）</w:t>
      </w:r>
      <w:r>
        <w:rPr>
          <w:rFonts w:ascii="Times New Roman" w:hAnsi="Times New Roman" w:eastAsia="宋体"/>
          <w:strike w:val="0"/>
          <w:dstrike w:val="0"/>
          <w:color w:val="auto"/>
          <w:highlight w:val="none"/>
        </w:rPr>
        <w:t>信息公开制度</w:t>
      </w:r>
      <w:bookmarkEnd w:id="394"/>
    </w:p>
    <w:p w14:paraId="3D339DE9">
      <w:pPr>
        <w:ind w:firstLine="480"/>
        <w:rPr>
          <w:rFonts w:hint="eastAsia" w:ascii="Times New Roman" w:hAnsi="Times New Roman" w:eastAsia="宋体"/>
          <w:strike w:val="0"/>
          <w:dstrike w:val="0"/>
          <w:color w:val="auto"/>
          <w:highlight w:val="none"/>
          <w:lang w:eastAsia="zh-CN"/>
        </w:rPr>
      </w:pPr>
      <w:bookmarkStart w:id="395" w:name="_Toc24420"/>
      <w:r>
        <w:rPr>
          <w:rFonts w:ascii="Times New Roman" w:hAnsi="Times New Roman" w:eastAsia="宋体"/>
          <w:strike w:val="0"/>
          <w:dstrike w:val="0"/>
          <w:color w:val="auto"/>
          <w:highlight w:val="none"/>
        </w:rPr>
        <w:t>建设单位在环评编制、审批、排污许可证申请、竣工环保验收、正常运行等各阶段均应按照有关要求，通过网站或者其他便于公众知悉的方式，依法向社会公开本项目污染物排放清单，明确污染物排放的管理要求</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包括工程组成及原辅材料组分要求，建设项目采取的环境保护措施及主要运行参数，排放的污染物种类、排放浓度和总量指标，排污口信息，执行的环境标准，环境风险防范措施以及环境监测等相关内容</w:t>
      </w:r>
      <w:bookmarkEnd w:id="395"/>
      <w:r>
        <w:rPr>
          <w:rFonts w:hint="eastAsia" w:ascii="Times New Roman" w:hAnsi="Times New Roman" w:eastAsia="宋体"/>
          <w:strike w:val="0"/>
          <w:dstrike w:val="0"/>
          <w:color w:val="auto"/>
          <w:highlight w:val="none"/>
          <w:lang w:eastAsia="zh-CN"/>
        </w:rPr>
        <w:t>。</w:t>
      </w:r>
    </w:p>
    <w:bookmarkEnd w:id="349"/>
    <w:bookmarkEnd w:id="350"/>
    <w:bookmarkEnd w:id="351"/>
    <w:bookmarkEnd w:id="352"/>
    <w:bookmarkEnd w:id="353"/>
    <w:bookmarkEnd w:id="354"/>
    <w:bookmarkEnd w:id="355"/>
    <w:bookmarkEnd w:id="356"/>
    <w:bookmarkEnd w:id="357"/>
    <w:bookmarkEnd w:id="358"/>
    <w:bookmarkEnd w:id="359"/>
    <w:bookmarkEnd w:id="360"/>
    <w:bookmarkEnd w:id="361"/>
    <w:p w14:paraId="1255F686">
      <w:pPr>
        <w:pStyle w:val="4"/>
        <w:rPr>
          <w:rFonts w:ascii="Times New Roman" w:hAnsi="Times New Roman" w:eastAsia="宋体"/>
          <w:strike w:val="0"/>
          <w:dstrike w:val="0"/>
          <w:color w:val="auto"/>
          <w:highlight w:val="none"/>
        </w:rPr>
      </w:pPr>
      <w:bookmarkStart w:id="396" w:name="_Toc106663549"/>
      <w:bookmarkStart w:id="397" w:name="_Toc19009"/>
      <w:r>
        <w:rPr>
          <w:rFonts w:hint="eastAsia" w:ascii="Times New Roman" w:hAnsi="Times New Roman" w:eastAsia="宋体"/>
          <w:strike w:val="0"/>
          <w:dstrike w:val="0"/>
          <w:color w:val="auto"/>
          <w:highlight w:val="none"/>
        </w:rPr>
        <w:t>8.1.3制定环境管理计划</w:t>
      </w:r>
      <w:bookmarkEnd w:id="396"/>
      <w:bookmarkEnd w:id="397"/>
    </w:p>
    <w:p w14:paraId="2AF85EC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8.1.3.1施工期环境管理要求</w:t>
      </w:r>
    </w:p>
    <w:p w14:paraId="47121D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针对项目施工期的环境的影响，采取以下措施：</w:t>
      </w:r>
    </w:p>
    <w:p w14:paraId="520EAF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（1）本项目属于新建项目，建设单位要求施工方采取水、气、声、生态保护及水土保持措施等，将环保工作的执行情况作为工程验收的标准之一等</w:t>
      </w:r>
      <w:r>
        <w:rPr>
          <w:rFonts w:hint="eastAsia" w:ascii="Times New Roman" w:hAnsi="Times New Roman" w:eastAsia="宋体"/>
          <w:strike w:val="0"/>
          <w:dstrike w:val="0"/>
          <w:color w:val="auto"/>
          <w:highlight w:val="none"/>
          <w:lang w:eastAsia="zh-CN"/>
        </w:rPr>
        <w:t>。</w:t>
      </w:r>
    </w:p>
    <w:p w14:paraId="5BD1DE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（2）施工承包方应明确管理人员、职责等，并按照其承包施工段的环保要求，编制详细的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工程施工环境管理方案</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，连同施工计划一起呈报业主环保管理部门以及相关的地方环保部门，前期工程进行回顾性分析</w:t>
      </w:r>
      <w:r>
        <w:rPr>
          <w:rFonts w:hint="eastAsia" w:ascii="Times New Roman" w:hAnsi="Times New Roman" w:eastAsia="宋体"/>
          <w:strike w:val="0"/>
          <w:dstrike w:val="0"/>
          <w:color w:val="auto"/>
          <w:highlight w:val="none"/>
          <w:lang w:eastAsia="zh-CN"/>
        </w:rPr>
        <w:t>。</w:t>
      </w:r>
    </w:p>
    <w:p w14:paraId="56FED3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（3）在施工作业之前，对全体施工人员进行培训，包括环保知识、意识和能力的培训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在施工作业过程中，施工承包方应严格执行批准的工程施工环境管理方案，并认真落实各项环境保护措施</w:t>
      </w:r>
      <w:r>
        <w:rPr>
          <w:rFonts w:hint="eastAsia" w:ascii="Times New Roman" w:hAnsi="Times New Roman" w:eastAsia="宋体"/>
          <w:strike w:val="0"/>
          <w:dstrike w:val="0"/>
          <w:color w:val="auto"/>
          <w:highlight w:val="none"/>
          <w:lang w:eastAsia="zh-CN"/>
        </w:rPr>
        <w:t>。</w:t>
      </w:r>
    </w:p>
    <w:p w14:paraId="5F7B84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（4）建议对该工程实施工程环境监督机制，并纳入到整体工程监理当中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环境监督工作方式以定期巡查为主，对存在重大环境问题隐患的施工区随时进行跟踪检查，做好记录，及时处理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监督环评报告书提出的环保措施得到落实，通过工程监理发出指令来控制施工中的环境问题</w:t>
      </w:r>
      <w:r>
        <w:rPr>
          <w:rFonts w:hint="eastAsia" w:ascii="Times New Roman" w:hAnsi="Times New Roman" w:eastAsia="宋体"/>
          <w:strike w:val="0"/>
          <w:dstrike w:val="0"/>
          <w:color w:val="auto"/>
          <w:highlight w:val="none"/>
          <w:lang w:eastAsia="zh-CN"/>
        </w:rPr>
        <w:t>。</w:t>
      </w:r>
    </w:p>
    <w:p w14:paraId="0FC1E7F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8.1.3.2运营期环境管理要求</w:t>
      </w:r>
    </w:p>
    <w:p w14:paraId="41D866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运营期环境管理主要包括以下几方面：</w:t>
      </w:r>
    </w:p>
    <w:p w14:paraId="66F50E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（1）检查本项目生产运营过程中臭气防护的效果是否符合有关标准</w:t>
      </w:r>
      <w:r>
        <w:rPr>
          <w:rFonts w:hint="eastAsia" w:ascii="Times New Roman" w:hAnsi="Times New Roman" w:eastAsia="宋体"/>
          <w:strike w:val="0"/>
          <w:dstrike w:val="0"/>
          <w:color w:val="auto"/>
          <w:highlight w:val="none"/>
          <w:lang w:eastAsia="zh-CN"/>
        </w:rPr>
        <w:t>。</w:t>
      </w:r>
    </w:p>
    <w:p w14:paraId="03469D8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（2）检查企业是否对生产过程中产生生活污水进行了无害化处理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应建立规范的运行管理和操作责任制度，搞好设备维护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对排放废水水质进行监控，严禁不达标废水排放</w:t>
      </w:r>
      <w:r>
        <w:rPr>
          <w:rFonts w:hint="eastAsia" w:ascii="Times New Roman" w:hAnsi="Times New Roman" w:eastAsia="宋体"/>
          <w:strike w:val="0"/>
          <w:dstrike w:val="0"/>
          <w:color w:val="auto"/>
          <w:highlight w:val="none"/>
          <w:lang w:eastAsia="zh-CN"/>
        </w:rPr>
        <w:t>。</w:t>
      </w:r>
    </w:p>
    <w:p w14:paraId="335A125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（3）厂区产生噪声的设备如风机、水泵是否为国家禁止生产、销售、使用的淘汰产品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一些设备在运行了一段时期后，会产生额外的噪声与振动，也会使噪声值升高，应监督企业加强设备的维护，及时更换磨损部件，降低噪声，以确保厂界噪声满足标准要求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定期对厂界进行噪声监测，发现噪声超标应及时采取有效措施</w:t>
      </w:r>
      <w:r>
        <w:rPr>
          <w:rFonts w:hint="eastAsia" w:ascii="Times New Roman" w:hAnsi="Times New Roman" w:eastAsia="宋体"/>
          <w:strike w:val="0"/>
          <w:dstrike w:val="0"/>
          <w:color w:val="auto"/>
          <w:highlight w:val="none"/>
          <w:lang w:eastAsia="zh-CN"/>
        </w:rPr>
        <w:t>。</w:t>
      </w:r>
    </w:p>
    <w:p w14:paraId="3502C5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（4）检查企业是否对生产过程中产生的畜禽粪、污泥进行合理的用于生产有机肥，病死畜禽尸体是否采用无害化处理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监督企业不准将未处理的固体废物随意排放</w:t>
      </w:r>
      <w:r>
        <w:rPr>
          <w:rFonts w:hint="eastAsia" w:ascii="Times New Roman" w:hAnsi="Times New Roman" w:eastAsia="宋体"/>
          <w:strike w:val="0"/>
          <w:dstrike w:val="0"/>
          <w:color w:val="auto"/>
          <w:highlight w:val="none"/>
          <w:lang w:eastAsia="zh-CN"/>
        </w:rPr>
        <w:t>。</w:t>
      </w:r>
    </w:p>
    <w:p w14:paraId="2AD19A3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（5）厂界周围进行绿化，选择净化效率高的物种，建立绿化带；</w:t>
      </w:r>
    </w:p>
    <w:p w14:paraId="2E6102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本项目环境管理措施及要求见表8.1-1</w:t>
      </w:r>
      <w:r>
        <w:rPr>
          <w:rFonts w:hint="eastAsia" w:ascii="Times New Roman" w:hAnsi="Times New Roman" w:eastAsia="宋体"/>
          <w:strike w:val="0"/>
          <w:dstrike w:val="0"/>
          <w:color w:val="auto"/>
          <w:highlight w:val="none"/>
          <w:lang w:eastAsia="zh-CN"/>
        </w:rPr>
        <w:t>。</w:t>
      </w:r>
    </w:p>
    <w:p w14:paraId="4F8BA3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表8.1-1环境管理措施及要求一览表</w:t>
      </w:r>
    </w:p>
    <w:tbl>
      <w:tblPr>
        <w:tblStyle w:val="8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5110"/>
        <w:gridCol w:w="1049"/>
        <w:gridCol w:w="1062"/>
      </w:tblGrid>
      <w:tr w14:paraId="6A12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8" w:type="pct"/>
            <w:vAlign w:val="center"/>
          </w:tcPr>
          <w:p w14:paraId="7C3DD64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建设阶段</w:t>
            </w:r>
          </w:p>
        </w:tc>
        <w:tc>
          <w:tcPr>
            <w:tcW w:w="3080" w:type="pct"/>
            <w:vAlign w:val="center"/>
          </w:tcPr>
          <w:p w14:paraId="7208E4F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环境监控管理措施</w:t>
            </w:r>
          </w:p>
        </w:tc>
        <w:tc>
          <w:tcPr>
            <w:tcW w:w="632" w:type="pct"/>
            <w:vAlign w:val="center"/>
          </w:tcPr>
          <w:p w14:paraId="7306070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实施方</w:t>
            </w:r>
          </w:p>
        </w:tc>
        <w:tc>
          <w:tcPr>
            <w:tcW w:w="640" w:type="pct"/>
            <w:vAlign w:val="center"/>
          </w:tcPr>
          <w:p w14:paraId="28F7D9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监督管理</w:t>
            </w:r>
          </w:p>
        </w:tc>
      </w:tr>
      <w:tr w14:paraId="468C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Align w:val="center"/>
          </w:tcPr>
          <w:p w14:paraId="57727FA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施工期</w:t>
            </w:r>
          </w:p>
        </w:tc>
        <w:tc>
          <w:tcPr>
            <w:tcW w:w="3080" w:type="pct"/>
            <w:vAlign w:val="center"/>
          </w:tcPr>
          <w:p w14:paraId="47CA4EE8">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（1）注意控制施工现场对地面的扰动，减少扬尘；</w:t>
            </w:r>
          </w:p>
          <w:p w14:paraId="00CC001A">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（2）施工完毕及时清理现场垃圾；</w:t>
            </w:r>
          </w:p>
          <w:p w14:paraId="2ACBFA6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（3）加强施工管理，禁止现场随意乱排生活污水；</w:t>
            </w:r>
          </w:p>
          <w:p w14:paraId="25E09B23">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（4）环保投资、环保措施</w:t>
            </w:r>
            <w:r>
              <w:rPr>
                <w:rFonts w:hint="eastAsia" w:ascii="Times New Roman" w:hAnsi="Times New Roman" w:eastAsia="宋体"/>
                <w:strike w:val="0"/>
                <w:dstrike w:val="0"/>
                <w:color w:val="auto"/>
                <w:kern w:val="2"/>
                <w:sz w:val="21"/>
                <w:szCs w:val="21"/>
                <w:highlight w:val="none"/>
                <w:lang w:eastAsia="zh-CN"/>
              </w:rPr>
              <w:t>”</w:t>
            </w:r>
            <w:r>
              <w:rPr>
                <w:rFonts w:ascii="Times New Roman" w:hAnsi="Times New Roman" w:eastAsia="宋体"/>
                <w:strike w:val="0"/>
                <w:dstrike w:val="0"/>
                <w:color w:val="auto"/>
                <w:kern w:val="2"/>
                <w:sz w:val="21"/>
                <w:szCs w:val="21"/>
                <w:highlight w:val="none"/>
              </w:rPr>
              <w:t>三同时</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39C71C0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施工单位、建设单位</w:t>
            </w:r>
          </w:p>
        </w:tc>
        <w:tc>
          <w:tcPr>
            <w:tcW w:w="640" w:type="pct"/>
            <w:vMerge w:val="restart"/>
            <w:vAlign w:val="center"/>
          </w:tcPr>
          <w:p w14:paraId="3872469B">
            <w:pPr>
              <w:snapToGrid w:val="0"/>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rPr>
              <w:t>昌吉州生态环境局、</w:t>
            </w:r>
            <w:r>
              <w:rPr>
                <w:rFonts w:hint="eastAsia" w:ascii="Times New Roman" w:hAnsi="Times New Roman" w:eastAsia="宋体"/>
                <w:strike w:val="0"/>
                <w:dstrike w:val="0"/>
                <w:color w:val="auto"/>
                <w:kern w:val="2"/>
                <w:sz w:val="21"/>
                <w:szCs w:val="21"/>
                <w:highlight w:val="none"/>
                <w:lang w:val="en-US" w:eastAsia="zh-CN"/>
              </w:rPr>
              <w:t>昌吉州生态环境局木垒县分局</w:t>
            </w:r>
          </w:p>
        </w:tc>
      </w:tr>
      <w:tr w14:paraId="6BC6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648" w:type="pct"/>
            <w:vMerge w:val="restart"/>
            <w:vAlign w:val="center"/>
          </w:tcPr>
          <w:p w14:paraId="7861BB0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运营期</w:t>
            </w:r>
          </w:p>
        </w:tc>
        <w:tc>
          <w:tcPr>
            <w:tcW w:w="3080" w:type="pct"/>
            <w:vAlign w:val="center"/>
          </w:tcPr>
          <w:p w14:paraId="7384B6A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（1）废气治理</w:t>
            </w:r>
          </w:p>
          <w:p w14:paraId="51D09EE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1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圈舍的恶臭气体以无组织形式排放；</w:t>
            </w:r>
          </w:p>
          <w:p w14:paraId="2AD30460">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2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定期对臭气排放进行监测，环保设施严格控制、定期检查、减少臭气排放；</w:t>
            </w:r>
          </w:p>
          <w:p w14:paraId="11D5186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3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③</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加强环保设施维护工作，保持其正常运行</w:t>
            </w:r>
          </w:p>
        </w:tc>
        <w:tc>
          <w:tcPr>
            <w:tcW w:w="632" w:type="pct"/>
            <w:vAlign w:val="center"/>
          </w:tcPr>
          <w:p w14:paraId="395C76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027E82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5BBE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6A62CC4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65CB8A45">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rPr>
              <w:t>（2）</w:t>
            </w:r>
            <w:r>
              <w:rPr>
                <w:rFonts w:ascii="Times New Roman" w:hAnsi="Times New Roman" w:eastAsia="宋体"/>
                <w:strike w:val="0"/>
                <w:dstrike w:val="0"/>
                <w:color w:val="auto"/>
                <w:kern w:val="2"/>
                <w:sz w:val="21"/>
                <w:szCs w:val="21"/>
                <w:highlight w:val="none"/>
              </w:rPr>
              <w:t>加强管理，保证粪污处理设施正常运行</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6963B43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67CDFD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0A6C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3812442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18922EEB">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（3）噪声</w:t>
            </w:r>
          </w:p>
          <w:p w14:paraId="48EA02F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hint="eastAsia" w:ascii="Times New Roman" w:hAnsi="Times New Roman" w:eastAsia="宋体" w:cs="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t>选用低噪声设备及必要的隔声、减震措施；</w:t>
            </w:r>
          </w:p>
          <w:p w14:paraId="3C6E18F9">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cs="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t>保持设备良好的运营工况，及时维修检修</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46C8D06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2DFCDA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17B7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01099E3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3049842F">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（4）固体废物</w:t>
            </w:r>
          </w:p>
          <w:p w14:paraId="60E65BDA">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1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粪便</w:t>
            </w:r>
            <w:r>
              <w:rPr>
                <w:rFonts w:hint="eastAsia" w:ascii="Times New Roman" w:hAnsi="Times New Roman" w:eastAsia="宋体"/>
                <w:strike w:val="0"/>
                <w:dstrike w:val="0"/>
                <w:color w:val="auto"/>
                <w:kern w:val="2"/>
                <w:sz w:val="21"/>
                <w:szCs w:val="21"/>
                <w:highlight w:val="none"/>
                <w:lang w:val="en-US" w:eastAsia="zh-CN"/>
              </w:rPr>
              <w:t>清运至堆肥场，处理后作为有机肥外售</w:t>
            </w:r>
            <w:r>
              <w:rPr>
                <w:rFonts w:ascii="Times New Roman" w:hAnsi="Times New Roman" w:eastAsia="宋体"/>
                <w:strike w:val="0"/>
                <w:dstrike w:val="0"/>
                <w:color w:val="auto"/>
                <w:kern w:val="2"/>
                <w:sz w:val="21"/>
                <w:szCs w:val="21"/>
                <w:highlight w:val="none"/>
              </w:rPr>
              <w:t>；</w:t>
            </w:r>
          </w:p>
          <w:p w14:paraId="2DCC27A9">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2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医疗废物等暂存在</w:t>
            </w:r>
            <w:r>
              <w:rPr>
                <w:rFonts w:hint="eastAsia" w:ascii="Times New Roman" w:hAnsi="Times New Roman" w:eastAsia="宋体"/>
                <w:strike w:val="0"/>
                <w:dstrike w:val="0"/>
                <w:color w:val="auto"/>
                <w:kern w:val="2"/>
                <w:sz w:val="21"/>
                <w:szCs w:val="21"/>
                <w:highlight w:val="none"/>
                <w:lang w:eastAsia="zh-CN"/>
              </w:rPr>
              <w:t>医疗废物暂存间</w:t>
            </w:r>
            <w:r>
              <w:rPr>
                <w:rFonts w:ascii="Times New Roman" w:hAnsi="Times New Roman" w:eastAsia="宋体"/>
                <w:strike w:val="0"/>
                <w:dstrike w:val="0"/>
                <w:color w:val="auto"/>
                <w:kern w:val="2"/>
                <w:sz w:val="21"/>
                <w:szCs w:val="21"/>
                <w:highlight w:val="none"/>
              </w:rPr>
              <w:t>的专用容器内，定期委托当地有资质的单位处理；</w:t>
            </w:r>
          </w:p>
          <w:p w14:paraId="432C030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3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③</w:t>
            </w:r>
            <w:r>
              <w:rPr>
                <w:rFonts w:ascii="Times New Roman" w:hAnsi="Times New Roman" w:eastAsia="宋体"/>
                <w:strike w:val="0"/>
                <w:dstrike w:val="0"/>
                <w:color w:val="auto"/>
                <w:kern w:val="2"/>
                <w:sz w:val="21"/>
                <w:szCs w:val="21"/>
                <w:highlight w:val="none"/>
              </w:rPr>
              <w:fldChar w:fldCharType="end"/>
            </w:r>
            <w:r>
              <w:rPr>
                <w:rFonts w:hint="eastAsia" w:ascii="Times New Roman" w:hAnsi="Times New Roman" w:eastAsia="宋体"/>
                <w:strike w:val="0"/>
                <w:dstrike w:val="0"/>
                <w:color w:val="auto"/>
                <w:kern w:val="2"/>
                <w:sz w:val="21"/>
                <w:szCs w:val="21"/>
                <w:highlight w:val="none"/>
                <w:lang w:eastAsia="zh-CN"/>
              </w:rPr>
              <w:t>病死骆驼</w:t>
            </w:r>
            <w:r>
              <w:rPr>
                <w:rFonts w:hint="eastAsia" w:ascii="Times New Roman" w:hAnsi="Times New Roman" w:eastAsia="宋体"/>
                <w:strike w:val="0"/>
                <w:dstrike w:val="0"/>
                <w:color w:val="auto"/>
                <w:kern w:val="2"/>
                <w:sz w:val="21"/>
                <w:szCs w:val="21"/>
                <w:highlight w:val="none"/>
              </w:rPr>
              <w:t>尸体</w:t>
            </w:r>
            <w:r>
              <w:rPr>
                <w:rFonts w:hint="eastAsia" w:ascii="Times New Roman" w:hAnsi="Times New Roman" w:eastAsia="宋体"/>
                <w:strike w:val="0"/>
                <w:dstrike w:val="0"/>
                <w:color w:val="auto"/>
                <w:kern w:val="2"/>
                <w:sz w:val="21"/>
                <w:szCs w:val="21"/>
                <w:highlight w:val="none"/>
                <w:lang w:val="en-US" w:eastAsia="zh-CN"/>
              </w:rPr>
              <w:t>设置无害化处理池处理</w:t>
            </w:r>
            <w:r>
              <w:rPr>
                <w:rFonts w:ascii="Times New Roman" w:hAnsi="Times New Roman" w:eastAsia="宋体"/>
                <w:strike w:val="0"/>
                <w:dstrike w:val="0"/>
                <w:color w:val="auto"/>
                <w:kern w:val="2"/>
                <w:sz w:val="21"/>
                <w:szCs w:val="21"/>
                <w:highlight w:val="none"/>
              </w:rPr>
              <w:t>；</w:t>
            </w:r>
          </w:p>
          <w:p w14:paraId="3C0D544A">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4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④</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生活垃圾委托环卫部门定期统一清运</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1E4879E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57AB205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7CC6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0C17B73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749E3FBB">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（5）生态保护</w:t>
            </w:r>
          </w:p>
          <w:p w14:paraId="357C281A">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加强厂区及外围绿化，厂区绿化系数达到</w:t>
            </w:r>
            <w:r>
              <w:rPr>
                <w:rFonts w:hint="eastAsia" w:ascii="Times New Roman" w:hAnsi="Times New Roman" w:eastAsia="宋体"/>
                <w:strike w:val="0"/>
                <w:dstrike w:val="0"/>
                <w:color w:val="auto"/>
                <w:kern w:val="2"/>
                <w:sz w:val="21"/>
                <w:szCs w:val="21"/>
                <w:highlight w:val="none"/>
              </w:rPr>
              <w:t>1</w:t>
            </w:r>
            <w:r>
              <w:rPr>
                <w:rFonts w:ascii="Times New Roman" w:hAnsi="Times New Roman" w:eastAsia="宋体"/>
                <w:strike w:val="0"/>
                <w:dstrike w:val="0"/>
                <w:color w:val="auto"/>
                <w:kern w:val="2"/>
                <w:sz w:val="21"/>
                <w:szCs w:val="21"/>
                <w:highlight w:val="none"/>
              </w:rPr>
              <w:t>%的要求</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71C2572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2AADA31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626A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30C9E14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4CF8534E">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（6）环境管理</w:t>
            </w:r>
          </w:p>
          <w:p w14:paraId="7F283084">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建立经常性环境监测制度，完善厂、工段、班组环保机构及环境目标管理</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6F71811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69EA39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bl>
    <w:p w14:paraId="5DDE1FEA">
      <w:pPr>
        <w:pStyle w:val="4"/>
        <w:rPr>
          <w:rFonts w:ascii="Times New Roman" w:hAnsi="Times New Roman" w:eastAsia="宋体"/>
          <w:strike w:val="0"/>
          <w:dstrike w:val="0"/>
          <w:color w:val="auto"/>
          <w:highlight w:val="none"/>
        </w:rPr>
      </w:pPr>
      <w:bookmarkStart w:id="398" w:name="_Toc106663550"/>
      <w:bookmarkStart w:id="399" w:name="_Toc956"/>
      <w:r>
        <w:rPr>
          <w:rFonts w:ascii="Times New Roman" w:hAnsi="Times New Roman" w:eastAsia="宋体"/>
          <w:strike w:val="0"/>
          <w:dstrike w:val="0"/>
          <w:color w:val="auto"/>
          <w:highlight w:val="none"/>
        </w:rPr>
        <w:t>8.1.4排污</w:t>
      </w:r>
      <w:r>
        <w:rPr>
          <w:rFonts w:hint="eastAsia" w:ascii="Times New Roman" w:hAnsi="Times New Roman" w:eastAsia="宋体"/>
          <w:strike w:val="0"/>
          <w:dstrike w:val="0"/>
          <w:color w:val="auto"/>
          <w:highlight w:val="none"/>
        </w:rPr>
        <w:t>口规范化设置</w:t>
      </w:r>
      <w:bookmarkEnd w:id="398"/>
      <w:bookmarkEnd w:id="399"/>
    </w:p>
    <w:p w14:paraId="385FC0C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w:t>
      </w:r>
      <w:r>
        <w:rPr>
          <w:rFonts w:ascii="Times New Roman" w:hAnsi="Times New Roman" w:eastAsia="宋体"/>
          <w:color w:val="auto"/>
        </w:rPr>
        <w:t>《排污许可管理办法（试行）》</w:t>
      </w:r>
      <w:r>
        <w:rPr>
          <w:rFonts w:hint="eastAsia" w:ascii="Times New Roman" w:hAnsi="Times New Roman" w:eastAsia="宋体"/>
          <w:color w:val="auto"/>
          <w:lang w:eastAsia="zh-CN"/>
        </w:rPr>
        <w:t>（</w:t>
      </w:r>
      <w:r>
        <w:rPr>
          <w:rFonts w:hint="eastAsia" w:ascii="Times New Roman" w:hAnsi="Times New Roman" w:eastAsia="宋体"/>
          <w:color w:val="auto"/>
        </w:rPr>
        <w:t xml:space="preserve">部令第 </w:t>
      </w:r>
      <w:r>
        <w:rPr>
          <w:rFonts w:hint="eastAsia" w:ascii="Times New Roman" w:hAnsi="Times New Roman" w:eastAsia="宋体"/>
          <w:color w:val="auto"/>
          <w:lang w:val="en-US" w:eastAsia="zh-CN"/>
        </w:rPr>
        <w:t>32</w:t>
      </w:r>
      <w:r>
        <w:rPr>
          <w:rFonts w:hint="eastAsia" w:ascii="Times New Roman" w:hAnsi="Times New Roman" w:eastAsia="宋体"/>
          <w:color w:val="auto"/>
        </w:rPr>
        <w:t xml:space="preserve"> 号，20</w:t>
      </w:r>
      <w:r>
        <w:rPr>
          <w:rFonts w:hint="eastAsia" w:ascii="Times New Roman" w:hAnsi="Times New Roman" w:eastAsia="宋体"/>
          <w:color w:val="auto"/>
          <w:lang w:val="en-US" w:eastAsia="zh-CN"/>
        </w:rPr>
        <w:t>24</w:t>
      </w:r>
      <w:r>
        <w:rPr>
          <w:rFonts w:hint="eastAsia" w:ascii="Times New Roman" w:hAnsi="Times New Roman" w:eastAsia="宋体"/>
          <w:color w:val="auto"/>
        </w:rPr>
        <w:t xml:space="preserve"> 年</w:t>
      </w:r>
      <w:r>
        <w:rPr>
          <w:rFonts w:hint="eastAsia" w:ascii="Times New Roman" w:hAnsi="Times New Roman" w:eastAsia="宋体"/>
          <w:color w:val="auto"/>
          <w:lang w:eastAsia="zh-CN"/>
        </w:rPr>
        <w:t>）</w:t>
      </w:r>
      <w:r>
        <w:rPr>
          <w:rFonts w:ascii="Times New Roman" w:hAnsi="Times New Roman" w:eastAsia="宋体"/>
          <w:strike w:val="0"/>
          <w:dstrike w:val="0"/>
          <w:color w:val="auto"/>
          <w:highlight w:val="none"/>
        </w:rPr>
        <w:t>，排污单位应当依法持有排污许可证，并按照排污许可证的规定排放污染物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应当取得排污许可证而未取得的，不得排放污染物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固定噪声源、固体废物贮存和排气筒必须按照国家和自治区的有关规定进行建设，应符合</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一明显、二合理、三便于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的要求，即环保标志明显，排污口设置合理，便于采集样品、便于监测计量、便于公众参与和监督管理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同时要求按照国家环保总局制定的《环境保护图形标志实施细则（试行）》的规定，设置与排污口相应的图形标志牌</w:t>
      </w:r>
      <w:r>
        <w:rPr>
          <w:rFonts w:hint="eastAsia" w:ascii="Times New Roman" w:hAnsi="Times New Roman" w:eastAsia="宋体"/>
          <w:strike w:val="0"/>
          <w:dstrike w:val="0"/>
          <w:color w:val="auto"/>
          <w:highlight w:val="none"/>
          <w:lang w:eastAsia="zh-CN"/>
        </w:rPr>
        <w:t>。</w:t>
      </w:r>
    </w:p>
    <w:p w14:paraId="3E75215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本项目应按《环境保护图形标志—排放口（源）》（GB15562.1-1995）</w:t>
      </w:r>
      <w:r>
        <w:rPr>
          <w:rFonts w:hint="eastAsia" w:ascii="Times New Roman" w:hAnsi="Times New Roman" w:eastAsia="宋体"/>
          <w:strike w:val="0"/>
          <w:dstrike w:val="0"/>
          <w:color w:val="auto"/>
          <w:highlight w:val="none"/>
          <w:lang w:val="en-US" w:eastAsia="zh-CN"/>
        </w:rPr>
        <w:t>和《危险废物识别标志设置技术规范》（HJ1276-2022）</w:t>
      </w:r>
      <w:r>
        <w:rPr>
          <w:rFonts w:ascii="Times New Roman" w:hAnsi="Times New Roman" w:eastAsia="宋体"/>
          <w:strike w:val="0"/>
          <w:dstrike w:val="0"/>
          <w:color w:val="auto"/>
          <w:highlight w:val="none"/>
        </w:rPr>
        <w:t>规定的图形，在各气、水、声排污口（源）挂牌标识，做到各排污口（源）的环保标志明显，便于企业管理和公众监督</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污染物排放口的环保图形标志牌应设置在靠近采样点的醒目位置处，标志牌设置高度为其上缘距地面约2m</w:t>
      </w:r>
      <w:r>
        <w:rPr>
          <w:rFonts w:hint="eastAsia" w:ascii="Times New Roman" w:hAnsi="Times New Roman" w:eastAsia="宋体"/>
          <w:strike w:val="0"/>
          <w:dstrike w:val="0"/>
          <w:color w:val="auto"/>
          <w:highlight w:val="none"/>
          <w:lang w:eastAsia="zh-CN"/>
        </w:rPr>
        <w:t>。</w:t>
      </w:r>
    </w:p>
    <w:p w14:paraId="7A50270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本项目环境保护图形标志具体设置图形见图8.1-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41DE3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highlight w:val="none"/>
        </w:rPr>
      </w:pPr>
      <w:r>
        <w:rPr>
          <w:rFonts w:ascii="Times New Roman" w:hAnsi="Times New Roman" w:eastAsia="宋体"/>
          <w:caps w:val="0"/>
          <w:smallCaps w:val="0"/>
          <w:strike w:val="0"/>
          <w:dstrike w:val="0"/>
          <w:color w:val="auto"/>
          <w:highlight w:val="none"/>
        </w:rPr>
        <w:drawing>
          <wp:inline distT="0" distB="0" distL="114300" distR="114300">
            <wp:extent cx="5276215" cy="1837690"/>
            <wp:effectExtent l="0" t="0" r="635" b="1016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80"/>
                    <a:srcRect t="1025"/>
                    <a:stretch>
                      <a:fillRect/>
                    </a:stretch>
                  </pic:blipFill>
                  <pic:spPr>
                    <a:xfrm>
                      <a:off x="0" y="0"/>
                      <a:ext cx="5276215" cy="1837690"/>
                    </a:xfrm>
                    <a:prstGeom prst="rect">
                      <a:avLst/>
                    </a:prstGeom>
                    <a:noFill/>
                    <a:ln>
                      <a:noFill/>
                    </a:ln>
                  </pic:spPr>
                </pic:pic>
              </a:graphicData>
            </a:graphic>
          </wp:inline>
        </w:drawing>
      </w:r>
      <w:r>
        <w:rPr>
          <w:rFonts w:hint="eastAsia" w:ascii="Times New Roman" w:hAnsi="Times New Roman" w:eastAsia="宋体" w:cs="Times New Roman"/>
          <w:b/>
          <w:bCs/>
          <w:strike w:val="0"/>
          <w:dstrike w:val="0"/>
          <w:color w:val="auto"/>
          <w:sz w:val="24"/>
          <w:highlight w:val="none"/>
          <w:lang w:val="en-US" w:eastAsia="zh-CN" w:bidi="ar-SA"/>
        </w:rPr>
        <w:t>图8.1-环境保护图形标志</w:t>
      </w:r>
    </w:p>
    <w:p w14:paraId="3D037F2C">
      <w:pPr>
        <w:pStyle w:val="4"/>
        <w:rPr>
          <w:rFonts w:ascii="Times New Roman" w:hAnsi="Times New Roman" w:eastAsia="宋体"/>
          <w:strike w:val="0"/>
          <w:dstrike w:val="0"/>
          <w:color w:val="auto"/>
          <w:highlight w:val="none"/>
        </w:rPr>
      </w:pPr>
      <w:bookmarkStart w:id="400" w:name="_Toc106663551"/>
      <w:bookmarkStart w:id="401" w:name="_Toc28280"/>
      <w:r>
        <w:rPr>
          <w:rFonts w:hint="eastAsia" w:ascii="Times New Roman" w:hAnsi="Times New Roman" w:eastAsia="宋体"/>
          <w:strike w:val="0"/>
          <w:dstrike w:val="0"/>
          <w:color w:val="auto"/>
          <w:highlight w:val="none"/>
        </w:rPr>
        <w:t>8.1.5</w:t>
      </w:r>
      <w:r>
        <w:rPr>
          <w:rFonts w:ascii="Times New Roman" w:hAnsi="Times New Roman" w:eastAsia="宋体"/>
          <w:strike w:val="0"/>
          <w:dstrike w:val="0"/>
          <w:color w:val="auto"/>
          <w:highlight w:val="none"/>
        </w:rPr>
        <w:t>环境影响评价制度与排污许可制衔接分析</w:t>
      </w:r>
      <w:bookmarkEnd w:id="400"/>
      <w:bookmarkEnd w:id="401"/>
    </w:p>
    <w:p w14:paraId="59D8897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根据环办环评</w:t>
      </w:r>
      <w:r>
        <w:rPr>
          <w:rFonts w:hint="eastAsia" w:ascii="Times New Roman" w:hAnsi="Times New Roman" w:eastAsia="宋体"/>
          <w:strike w:val="0"/>
          <w:dstrike w:val="0"/>
          <w:color w:val="auto"/>
          <w:highlight w:val="none"/>
          <w:lang w:eastAsia="zh-CN"/>
        </w:rPr>
        <w:t>〔2017〕84号</w:t>
      </w:r>
      <w:r>
        <w:rPr>
          <w:rFonts w:ascii="Times New Roman" w:hAnsi="Times New Roman" w:eastAsia="宋体"/>
          <w:strike w:val="0"/>
          <w:dstrike w:val="0"/>
          <w:color w:val="auto"/>
          <w:highlight w:val="none"/>
        </w:rPr>
        <w:t>《关于做好环境影响评价制度与排污许可制衔接相关工作的通知》，为贯彻落实《国务院办公厅关于印发控制污染物排放许可制实施方案的通知》（国办发〔2016〕81号），推进环境质量改善，现就做好建设项目环境影响评价制度与排污许可制有机衔接相关工作通知</w:t>
      </w:r>
      <w:r>
        <w:rPr>
          <w:rFonts w:hint="eastAsia" w:ascii="Times New Roman" w:hAnsi="Times New Roman" w:eastAsia="宋体"/>
          <w:strike w:val="0"/>
          <w:dstrike w:val="0"/>
          <w:color w:val="auto"/>
          <w:highlight w:val="none"/>
          <w:lang w:eastAsia="zh-CN"/>
        </w:rPr>
        <w:t>。</w:t>
      </w:r>
    </w:p>
    <w:p w14:paraId="0A48456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建设项目发生实际排污行为之前，排污单位应当按照国家环境保护相关法律法规以及《排污许可证申请与核发技术规范畜禽养殖行业》（HJ1029-2019）中相关规定申请排污许可证，不得无证排污或不按证排污</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污染物排放相关的主要内容应当纳入排污许可证</w:t>
      </w:r>
      <w:r>
        <w:rPr>
          <w:rFonts w:hint="eastAsia" w:ascii="Times New Roman" w:hAnsi="Times New Roman" w:eastAsia="宋体"/>
          <w:strike w:val="0"/>
          <w:dstrike w:val="0"/>
          <w:color w:val="auto"/>
          <w:highlight w:val="none"/>
          <w:lang w:eastAsia="zh-CN"/>
        </w:rPr>
        <w:t>。</w:t>
      </w:r>
    </w:p>
    <w:p w14:paraId="18A84801">
      <w:pPr>
        <w:pStyle w:val="4"/>
        <w:rPr>
          <w:rFonts w:ascii="Times New Roman" w:hAnsi="Times New Roman" w:eastAsia="宋体"/>
          <w:strike w:val="0"/>
          <w:dstrike w:val="0"/>
          <w:color w:val="auto"/>
          <w:highlight w:val="none"/>
        </w:rPr>
      </w:pPr>
      <w:bookmarkStart w:id="402" w:name="_Toc106663552"/>
      <w:bookmarkStart w:id="403" w:name="_Toc19052"/>
      <w:r>
        <w:rPr>
          <w:rFonts w:hint="eastAsia" w:ascii="Times New Roman" w:hAnsi="Times New Roman" w:eastAsia="宋体"/>
          <w:strike w:val="0"/>
          <w:dstrike w:val="0"/>
          <w:color w:val="auto"/>
          <w:highlight w:val="none"/>
        </w:rPr>
        <w:t>8.1.6</w:t>
      </w:r>
      <w:r>
        <w:rPr>
          <w:rFonts w:ascii="Times New Roman" w:hAnsi="Times New Roman" w:eastAsia="宋体"/>
          <w:strike w:val="0"/>
          <w:dstrike w:val="0"/>
          <w:color w:val="auto"/>
          <w:highlight w:val="none"/>
        </w:rPr>
        <w:t>企业环境信息公开</w:t>
      </w:r>
      <w:bookmarkEnd w:id="402"/>
      <w:bookmarkEnd w:id="403"/>
    </w:p>
    <w:p w14:paraId="302C2E6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根据《企业事业单位环境信息公开办法》（环境保护部第31号）相关规定，企业事业单位应当建立健全本单位环境信息公开制度，制定机构负责本单位环境信息公开日常工作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根据企业特点，新疆国瑞牧升科技有限公司网站或本单位的资料索取点、信息公开栏、信息亭、电子屏幕或其他便于公众及时、准确获得信息的场所和方式公开下列信息：</w:t>
      </w:r>
    </w:p>
    <w:p w14:paraId="457BBFA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1、项目基础信息：包括单位名称、组织机构代码、法定代表人、生产地址、联系方式，以及生产经营和管理服务的主要内容、产品及规模</w:t>
      </w:r>
      <w:r>
        <w:rPr>
          <w:rFonts w:hint="eastAsia" w:ascii="Times New Roman" w:hAnsi="Times New Roman" w:eastAsia="宋体"/>
          <w:strike w:val="0"/>
          <w:dstrike w:val="0"/>
          <w:color w:val="auto"/>
          <w:highlight w:val="none"/>
          <w:lang w:eastAsia="zh-CN"/>
        </w:rPr>
        <w:t>。</w:t>
      </w:r>
    </w:p>
    <w:p w14:paraId="0B4AF79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2、排污信息：包括主要污染物及特征污染物的名称、排放方式、排放口数量和分布情况、排放浓度和总量、超标情况，及执行的污染物排放标准、核定的排放总量</w:t>
      </w:r>
      <w:r>
        <w:rPr>
          <w:rFonts w:hint="eastAsia" w:ascii="Times New Roman" w:hAnsi="Times New Roman" w:eastAsia="宋体"/>
          <w:strike w:val="0"/>
          <w:dstrike w:val="0"/>
          <w:color w:val="auto"/>
          <w:highlight w:val="none"/>
          <w:lang w:eastAsia="zh-CN"/>
        </w:rPr>
        <w:t>。</w:t>
      </w:r>
    </w:p>
    <w:p w14:paraId="698A2B6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3、防治污染设施的建设和运行情况</w:t>
      </w:r>
      <w:r>
        <w:rPr>
          <w:rFonts w:hint="eastAsia" w:ascii="Times New Roman" w:hAnsi="Times New Roman" w:eastAsia="宋体"/>
          <w:strike w:val="0"/>
          <w:dstrike w:val="0"/>
          <w:color w:val="auto"/>
          <w:highlight w:val="none"/>
          <w:lang w:eastAsia="zh-CN"/>
        </w:rPr>
        <w:t>。</w:t>
      </w:r>
    </w:p>
    <w:p w14:paraId="159802E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4、建设项目环境影响评价及其他环境保护行政许可情况</w:t>
      </w:r>
      <w:r>
        <w:rPr>
          <w:rFonts w:hint="eastAsia" w:ascii="Times New Roman" w:hAnsi="Times New Roman" w:eastAsia="宋体"/>
          <w:strike w:val="0"/>
          <w:dstrike w:val="0"/>
          <w:color w:val="auto"/>
          <w:highlight w:val="none"/>
          <w:lang w:eastAsia="zh-CN"/>
        </w:rPr>
        <w:t>。</w:t>
      </w:r>
    </w:p>
    <w:p w14:paraId="0E4CD14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5、突发环境事件应急预案</w:t>
      </w:r>
      <w:r>
        <w:rPr>
          <w:rFonts w:hint="eastAsia" w:ascii="Times New Roman" w:hAnsi="Times New Roman" w:eastAsia="宋体"/>
          <w:strike w:val="0"/>
          <w:dstrike w:val="0"/>
          <w:color w:val="auto"/>
          <w:highlight w:val="none"/>
          <w:lang w:eastAsia="zh-CN"/>
        </w:rPr>
        <w:t>。</w:t>
      </w:r>
    </w:p>
    <w:p w14:paraId="2446063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6、其他应当公开的环境信息</w:t>
      </w:r>
      <w:r>
        <w:rPr>
          <w:rFonts w:hint="eastAsia" w:ascii="Times New Roman" w:hAnsi="Times New Roman" w:eastAsia="宋体"/>
          <w:strike w:val="0"/>
          <w:dstrike w:val="0"/>
          <w:color w:val="auto"/>
          <w:highlight w:val="none"/>
          <w:lang w:eastAsia="zh-CN"/>
        </w:rPr>
        <w:t>。</w:t>
      </w:r>
    </w:p>
    <w:p w14:paraId="77F6C8F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如若公司的环境信息发生变更或有新生成时，应在环境信息生成或者变更之日起三十日内予以公开</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环境保护主管部门应当宣传和引导公众监督企业事业单位环境信息公开工作</w:t>
      </w:r>
      <w:r>
        <w:rPr>
          <w:rFonts w:hint="eastAsia" w:ascii="Times New Roman" w:hAnsi="Times New Roman" w:eastAsia="宋体"/>
          <w:strike w:val="0"/>
          <w:dstrike w:val="0"/>
          <w:color w:val="auto"/>
          <w:highlight w:val="none"/>
          <w:lang w:eastAsia="zh-CN"/>
        </w:rPr>
        <w:t>。</w:t>
      </w:r>
    </w:p>
    <w:p w14:paraId="0E201900">
      <w:pPr>
        <w:pStyle w:val="3"/>
        <w:rPr>
          <w:rFonts w:ascii="Times New Roman" w:hAnsi="Times New Roman" w:eastAsia="宋体"/>
          <w:strike w:val="0"/>
          <w:dstrike w:val="0"/>
          <w:color w:val="auto"/>
          <w:highlight w:val="none"/>
        </w:rPr>
      </w:pPr>
      <w:bookmarkStart w:id="404" w:name="_Toc24182"/>
      <w:bookmarkStart w:id="405" w:name="_Toc269723053"/>
      <w:bookmarkStart w:id="406" w:name="_Toc113278854"/>
      <w:bookmarkStart w:id="407" w:name="_Toc79578680"/>
      <w:bookmarkStart w:id="408" w:name="_Toc265225646"/>
      <w:bookmarkStart w:id="409" w:name="_Toc112970953"/>
      <w:bookmarkStart w:id="410" w:name="_Toc75019041"/>
      <w:bookmarkStart w:id="411" w:name="_Toc94001017"/>
      <w:bookmarkStart w:id="412" w:name="_Toc273384092"/>
      <w:bookmarkStart w:id="413" w:name="_Toc112971017"/>
      <w:bookmarkStart w:id="414" w:name="_Toc265225834"/>
      <w:bookmarkStart w:id="415" w:name="_Toc370052949"/>
      <w:bookmarkStart w:id="416" w:name="_Toc304234030"/>
      <w:bookmarkStart w:id="417" w:name="_Toc113254453"/>
      <w:bookmarkStart w:id="418" w:name="_Toc116777512"/>
      <w:bookmarkStart w:id="419" w:name="_Toc113254183"/>
      <w:bookmarkStart w:id="420" w:name="_Toc4338"/>
      <w:bookmarkStart w:id="421" w:name="_Toc32002"/>
      <w:bookmarkStart w:id="422" w:name="_Toc89619358"/>
      <w:r>
        <w:rPr>
          <w:rFonts w:hint="eastAsia" w:ascii="Times New Roman" w:hAnsi="Times New Roman" w:eastAsia="宋体"/>
          <w:strike w:val="0"/>
          <w:dstrike w:val="0"/>
          <w:color w:val="auto"/>
          <w:highlight w:val="none"/>
        </w:rPr>
        <w:t>8.2</w:t>
      </w:r>
      <w:r>
        <w:rPr>
          <w:rFonts w:ascii="Times New Roman" w:hAnsi="Times New Roman" w:eastAsia="宋体"/>
          <w:strike w:val="0"/>
          <w:dstrike w:val="0"/>
          <w:color w:val="auto"/>
          <w:highlight w:val="none"/>
        </w:rPr>
        <w:t>环境监测</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Fonts w:hint="eastAsia" w:ascii="Times New Roman" w:hAnsi="Times New Roman" w:eastAsia="宋体"/>
          <w:strike w:val="0"/>
          <w:dstrike w:val="0"/>
          <w:color w:val="auto"/>
          <w:highlight w:val="none"/>
        </w:rPr>
        <w:t>计划</w:t>
      </w:r>
      <w:bookmarkEnd w:id="420"/>
      <w:bookmarkEnd w:id="421"/>
      <w:bookmarkEnd w:id="422"/>
    </w:p>
    <w:p w14:paraId="51D482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根据本项目污染源和厂址区域环境特点，按照《排污单位自行监测技术指南总则》（HJ819）、《排污许可证申请与核发技术规范畜禽养殖行业》（HJ1029-2019）</w:t>
      </w:r>
      <w:r>
        <w:rPr>
          <w:rFonts w:hint="eastAsia" w:ascii="Times New Roman" w:hAnsi="Times New Roman" w:eastAsia="宋体"/>
          <w:strike w:val="0"/>
          <w:dstrike w:val="0"/>
          <w:color w:val="auto"/>
          <w:highlight w:val="none"/>
          <w:lang w:eastAsia="zh-CN"/>
        </w:rPr>
        <w:t>、《畜禽养殖产地环境评价规范》（</w:t>
      </w:r>
      <w:r>
        <w:rPr>
          <w:rFonts w:hint="eastAsia" w:ascii="Times New Roman" w:hAnsi="Times New Roman" w:eastAsia="宋体"/>
          <w:strike w:val="0"/>
          <w:dstrike w:val="0"/>
          <w:color w:val="auto"/>
          <w:highlight w:val="none"/>
          <w:lang w:val="en-US" w:eastAsia="zh-CN"/>
        </w:rPr>
        <w:t>HJ 568-2010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制定环境监测方案</w:t>
      </w:r>
      <w:r>
        <w:rPr>
          <w:rFonts w:hint="eastAsia" w:ascii="Times New Roman" w:hAnsi="Times New Roman" w:eastAsia="宋体"/>
          <w:strike w:val="0"/>
          <w:dstrike w:val="0"/>
          <w:color w:val="auto"/>
          <w:highlight w:val="none"/>
          <w:lang w:eastAsia="zh-CN"/>
        </w:rPr>
        <w:t>。</w:t>
      </w:r>
    </w:p>
    <w:p w14:paraId="3553F7F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针对本项目所排污染物情况，制定详细监测计划见表</w:t>
      </w:r>
      <w:r>
        <w:rPr>
          <w:rFonts w:hint="eastAsia" w:ascii="Times New Roman" w:hAnsi="Times New Roman" w:eastAsia="宋体"/>
          <w:strike w:val="0"/>
          <w:dstrike w:val="0"/>
          <w:color w:val="auto"/>
          <w:highlight w:val="none"/>
        </w:rPr>
        <w:t>8.2-1</w:t>
      </w:r>
      <w:r>
        <w:rPr>
          <w:rFonts w:hint="eastAsia" w:ascii="Times New Roman" w:hAnsi="Times New Roman" w:eastAsia="宋体"/>
          <w:strike w:val="0"/>
          <w:dstrike w:val="0"/>
          <w:color w:val="auto"/>
          <w:highlight w:val="none"/>
          <w:lang w:eastAsia="zh-CN"/>
        </w:rPr>
        <w:t>。</w:t>
      </w:r>
    </w:p>
    <w:p w14:paraId="72FD3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表8.2-1建设项目环境监测计划一览表</w:t>
      </w:r>
    </w:p>
    <w:tbl>
      <w:tblPr>
        <w:tblStyle w:val="39"/>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autofit"/>
        <w:tblCellMar>
          <w:top w:w="0" w:type="dxa"/>
          <w:left w:w="0" w:type="dxa"/>
          <w:bottom w:w="0" w:type="dxa"/>
          <w:right w:w="0" w:type="dxa"/>
        </w:tblCellMar>
      </w:tblPr>
      <w:tblGrid>
        <w:gridCol w:w="1324"/>
        <w:gridCol w:w="3317"/>
        <w:gridCol w:w="2454"/>
        <w:gridCol w:w="1208"/>
      </w:tblGrid>
      <w:tr w14:paraId="4C23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97" w:type="pct"/>
            <w:tcBorders>
              <w:tl2br w:val="nil"/>
              <w:tr2bl w:val="nil"/>
            </w:tcBorders>
            <w:shd w:val="clear" w:color="000000" w:fill="auto"/>
            <w:vAlign w:val="center"/>
          </w:tcPr>
          <w:p w14:paraId="6794A78C">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要素</w:t>
            </w:r>
          </w:p>
        </w:tc>
        <w:tc>
          <w:tcPr>
            <w:tcW w:w="1997" w:type="pct"/>
            <w:tcBorders>
              <w:tl2br w:val="nil"/>
              <w:tr2bl w:val="nil"/>
            </w:tcBorders>
            <w:shd w:val="clear" w:color="000000" w:fill="auto"/>
            <w:vAlign w:val="center"/>
          </w:tcPr>
          <w:p w14:paraId="0C34136F">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监测点位</w:t>
            </w:r>
          </w:p>
        </w:tc>
        <w:tc>
          <w:tcPr>
            <w:tcW w:w="1477" w:type="pct"/>
            <w:tcBorders>
              <w:tl2br w:val="nil"/>
              <w:tr2bl w:val="nil"/>
            </w:tcBorders>
            <w:shd w:val="clear" w:color="000000" w:fill="auto"/>
            <w:vAlign w:val="center"/>
          </w:tcPr>
          <w:p w14:paraId="7BDEF21E">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监测项目</w:t>
            </w:r>
          </w:p>
        </w:tc>
        <w:tc>
          <w:tcPr>
            <w:tcW w:w="727" w:type="pct"/>
            <w:tcBorders>
              <w:tl2br w:val="nil"/>
              <w:tr2bl w:val="nil"/>
            </w:tcBorders>
            <w:shd w:val="clear" w:color="000000" w:fill="auto"/>
            <w:vAlign w:val="center"/>
          </w:tcPr>
          <w:p w14:paraId="1038CC36">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监测频次</w:t>
            </w:r>
          </w:p>
        </w:tc>
      </w:tr>
      <w:tr w14:paraId="04DE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7" w:type="pct"/>
            <w:tcBorders>
              <w:tl2br w:val="nil"/>
              <w:tr2bl w:val="nil"/>
            </w:tcBorders>
            <w:shd w:val="clear" w:color="000000" w:fill="auto"/>
            <w:vAlign w:val="center"/>
          </w:tcPr>
          <w:p w14:paraId="3EFCAA87">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废气</w:t>
            </w:r>
          </w:p>
        </w:tc>
        <w:tc>
          <w:tcPr>
            <w:tcW w:w="1997" w:type="pct"/>
            <w:tcBorders>
              <w:tl2br w:val="nil"/>
              <w:tr2bl w:val="nil"/>
            </w:tcBorders>
            <w:shd w:val="clear" w:color="000000" w:fill="auto"/>
            <w:vAlign w:val="center"/>
          </w:tcPr>
          <w:p w14:paraId="00198304">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厂界</w:t>
            </w:r>
          </w:p>
        </w:tc>
        <w:tc>
          <w:tcPr>
            <w:tcW w:w="1477" w:type="pct"/>
            <w:tcBorders>
              <w:tl2br w:val="nil"/>
              <w:tr2bl w:val="nil"/>
            </w:tcBorders>
            <w:shd w:val="clear" w:color="000000" w:fill="auto"/>
            <w:vAlign w:val="center"/>
          </w:tcPr>
          <w:p w14:paraId="7B7B3461">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NH</w:t>
            </w:r>
            <w:r>
              <w:rPr>
                <w:rFonts w:hint="eastAsia" w:ascii="Times New Roman" w:hAnsi="Times New Roman" w:eastAsia="宋体"/>
                <w:strike w:val="0"/>
                <w:dstrike w:val="0"/>
                <w:color w:val="auto"/>
                <w:sz w:val="21"/>
                <w:szCs w:val="24"/>
                <w:highlight w:val="none"/>
                <w:vertAlign w:val="subscript"/>
              </w:rPr>
              <w:t>3</w:t>
            </w:r>
            <w:r>
              <w:rPr>
                <w:rFonts w:hint="eastAsia" w:ascii="Times New Roman" w:hAnsi="Times New Roman" w:eastAsia="宋体"/>
                <w:strike w:val="0"/>
                <w:dstrike w:val="0"/>
                <w:color w:val="auto"/>
                <w:sz w:val="21"/>
                <w:szCs w:val="24"/>
                <w:highlight w:val="none"/>
              </w:rPr>
              <w:t>、H</w:t>
            </w:r>
            <w:r>
              <w:rPr>
                <w:rFonts w:hint="eastAsia" w:ascii="Times New Roman" w:hAnsi="Times New Roman" w:eastAsia="宋体"/>
                <w:strike w:val="0"/>
                <w:dstrike w:val="0"/>
                <w:color w:val="auto"/>
                <w:sz w:val="21"/>
                <w:szCs w:val="24"/>
                <w:highlight w:val="none"/>
                <w:vertAlign w:val="subscript"/>
              </w:rPr>
              <w:t>2</w:t>
            </w:r>
            <w:r>
              <w:rPr>
                <w:rFonts w:hint="eastAsia" w:ascii="Times New Roman" w:hAnsi="Times New Roman" w:eastAsia="宋体"/>
                <w:strike w:val="0"/>
                <w:dstrike w:val="0"/>
                <w:color w:val="auto"/>
                <w:sz w:val="21"/>
                <w:szCs w:val="24"/>
                <w:highlight w:val="none"/>
              </w:rPr>
              <w:t>S、</w:t>
            </w:r>
            <w:r>
              <w:rPr>
                <w:rFonts w:hint="eastAsia" w:ascii="Times New Roman" w:hAnsi="Times New Roman" w:eastAsia="宋体"/>
                <w:strike w:val="0"/>
                <w:dstrike w:val="0"/>
                <w:color w:val="auto"/>
                <w:sz w:val="21"/>
                <w:szCs w:val="24"/>
                <w:highlight w:val="none"/>
                <w:lang w:val="en-US" w:eastAsia="zh-CN"/>
              </w:rPr>
              <w:t>TSP、</w:t>
            </w:r>
            <w:r>
              <w:rPr>
                <w:rFonts w:hint="eastAsia" w:ascii="Times New Roman" w:hAnsi="Times New Roman" w:eastAsia="宋体"/>
                <w:strike w:val="0"/>
                <w:dstrike w:val="0"/>
                <w:color w:val="auto"/>
                <w:sz w:val="21"/>
                <w:szCs w:val="24"/>
                <w:highlight w:val="none"/>
              </w:rPr>
              <w:t>臭气浓度</w:t>
            </w:r>
          </w:p>
        </w:tc>
        <w:tc>
          <w:tcPr>
            <w:tcW w:w="727" w:type="pct"/>
            <w:tcBorders>
              <w:tl2br w:val="nil"/>
              <w:tr2bl w:val="nil"/>
            </w:tcBorders>
            <w:shd w:val="clear" w:color="000000" w:fill="auto"/>
            <w:vAlign w:val="center"/>
          </w:tcPr>
          <w:p w14:paraId="163CFB0A">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rPr>
              <w:t>年</w:t>
            </w:r>
          </w:p>
        </w:tc>
      </w:tr>
      <w:tr w14:paraId="3E4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430F97FA">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噪声</w:t>
            </w:r>
          </w:p>
        </w:tc>
        <w:tc>
          <w:tcPr>
            <w:tcW w:w="1997" w:type="pct"/>
            <w:tcBorders>
              <w:tl2br w:val="nil"/>
              <w:tr2bl w:val="nil"/>
            </w:tcBorders>
            <w:shd w:val="clear" w:color="000000" w:fill="auto"/>
            <w:vAlign w:val="center"/>
          </w:tcPr>
          <w:p w14:paraId="16781663">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厂界四周外1m</w:t>
            </w:r>
          </w:p>
        </w:tc>
        <w:tc>
          <w:tcPr>
            <w:tcW w:w="1477" w:type="pct"/>
            <w:tcBorders>
              <w:tl2br w:val="nil"/>
              <w:tr2bl w:val="nil"/>
            </w:tcBorders>
            <w:shd w:val="clear" w:color="000000" w:fill="auto"/>
            <w:vAlign w:val="center"/>
          </w:tcPr>
          <w:p w14:paraId="015332F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等效A声级</w:t>
            </w:r>
          </w:p>
        </w:tc>
        <w:tc>
          <w:tcPr>
            <w:tcW w:w="727" w:type="pct"/>
            <w:tcBorders>
              <w:tl2br w:val="nil"/>
              <w:tr2bl w:val="nil"/>
            </w:tcBorders>
            <w:shd w:val="clear" w:color="000000" w:fill="auto"/>
            <w:vAlign w:val="center"/>
          </w:tcPr>
          <w:p w14:paraId="1732C62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rPr>
              <w:t>季度</w:t>
            </w:r>
          </w:p>
        </w:tc>
      </w:tr>
      <w:tr w14:paraId="550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7E474E06">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地下水</w:t>
            </w:r>
          </w:p>
        </w:tc>
        <w:tc>
          <w:tcPr>
            <w:tcW w:w="1997" w:type="pct"/>
            <w:tcBorders>
              <w:tl2br w:val="nil"/>
              <w:tr2bl w:val="nil"/>
            </w:tcBorders>
            <w:shd w:val="clear" w:color="000000" w:fill="auto"/>
            <w:vAlign w:val="center"/>
          </w:tcPr>
          <w:p w14:paraId="2276B46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建设项目场地下游500m范围内</w:t>
            </w:r>
          </w:p>
        </w:tc>
        <w:tc>
          <w:tcPr>
            <w:tcW w:w="1477" w:type="pct"/>
            <w:tcBorders>
              <w:tl2br w:val="nil"/>
              <w:tr2bl w:val="nil"/>
            </w:tcBorders>
            <w:shd w:val="clear" w:color="000000" w:fill="auto"/>
            <w:vAlign w:val="center"/>
          </w:tcPr>
          <w:p w14:paraId="6918DBA8">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pH、耗氧量、溶解性总固体、挥发性酚类、阴离子表面活性剂、氯化物、硫化物、石油类、汞、镉、砷、六价铬、铅、总大肠菌群、菌落总数</w:t>
            </w:r>
          </w:p>
        </w:tc>
        <w:tc>
          <w:tcPr>
            <w:tcW w:w="727" w:type="pct"/>
            <w:tcBorders>
              <w:tl2br w:val="nil"/>
              <w:tr2bl w:val="nil"/>
            </w:tcBorders>
            <w:shd w:val="clear" w:color="000000" w:fill="auto"/>
            <w:vAlign w:val="center"/>
          </w:tcPr>
          <w:p w14:paraId="265B49B1">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lang w:val="en-US" w:eastAsia="zh-CN"/>
              </w:rPr>
              <w:t>1</w:t>
            </w:r>
            <w:r>
              <w:rPr>
                <w:rFonts w:hint="eastAsia" w:ascii="Times New Roman" w:hAnsi="Times New Roman" w:eastAsia="宋体"/>
                <w:strike w:val="0"/>
                <w:dstrike w:val="0"/>
                <w:color w:val="auto"/>
                <w:sz w:val="21"/>
                <w:szCs w:val="24"/>
                <w:highlight w:val="none"/>
              </w:rPr>
              <w:t>年</w:t>
            </w:r>
          </w:p>
        </w:tc>
      </w:tr>
      <w:tr w14:paraId="6BAC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04BABB1E">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土壤</w:t>
            </w:r>
          </w:p>
        </w:tc>
        <w:tc>
          <w:tcPr>
            <w:tcW w:w="1997" w:type="pct"/>
            <w:tcBorders>
              <w:tl2br w:val="nil"/>
              <w:tr2bl w:val="nil"/>
            </w:tcBorders>
            <w:shd w:val="clear" w:color="000000" w:fill="auto"/>
            <w:vAlign w:val="center"/>
          </w:tcPr>
          <w:p w14:paraId="79770EFB">
            <w:pPr>
              <w:snapToGrid w:val="0"/>
              <w:spacing w:line="240" w:lineRule="auto"/>
              <w:ind w:firstLine="0" w:firstLineChars="0"/>
              <w:jc w:val="center"/>
              <w:rPr>
                <w:rFonts w:hint="eastAsia" w:ascii="Times New Roman" w:hAnsi="Times New Roman" w:eastAsia="宋体"/>
                <w:strike w:val="0"/>
                <w:dstrike w:val="0"/>
                <w:color w:val="auto"/>
                <w:sz w:val="21"/>
                <w:szCs w:val="24"/>
                <w:highlight w:val="none"/>
                <w:lang w:eastAsia="zh-CN"/>
              </w:rPr>
            </w:pPr>
            <w:r>
              <w:rPr>
                <w:rFonts w:hint="eastAsia" w:ascii="Times New Roman" w:hAnsi="Times New Roman" w:eastAsia="宋体"/>
                <w:strike w:val="0"/>
                <w:dstrike w:val="0"/>
                <w:color w:val="auto"/>
                <w:sz w:val="21"/>
                <w:szCs w:val="24"/>
                <w:highlight w:val="none"/>
                <w:lang w:val="en-US" w:eastAsia="zh-CN"/>
              </w:rPr>
              <w:t>项目区内</w:t>
            </w:r>
          </w:p>
        </w:tc>
        <w:tc>
          <w:tcPr>
            <w:tcW w:w="1477" w:type="pct"/>
            <w:tcBorders>
              <w:tl2br w:val="nil"/>
              <w:tr2bl w:val="nil"/>
            </w:tcBorders>
            <w:shd w:val="clear" w:color="000000" w:fill="auto"/>
            <w:vAlign w:val="center"/>
          </w:tcPr>
          <w:p w14:paraId="66BEE975">
            <w:pPr>
              <w:snapToGrid w:val="0"/>
              <w:spacing w:line="240" w:lineRule="auto"/>
              <w:ind w:firstLine="0" w:firstLineChars="0"/>
              <w:jc w:val="center"/>
              <w:rPr>
                <w:rFonts w:hint="default" w:ascii="Times New Roman" w:hAnsi="Times New Roman" w:eastAsia="宋体"/>
                <w:strike w:val="0"/>
                <w:dstrike w:val="0"/>
                <w:color w:val="auto"/>
                <w:sz w:val="21"/>
                <w:szCs w:val="24"/>
                <w:highlight w:val="none"/>
                <w:lang w:val="en-US"/>
              </w:rPr>
            </w:pPr>
            <w:r>
              <w:rPr>
                <w:rFonts w:hint="default" w:ascii="Times New Roman" w:hAnsi="Times New Roman" w:eastAsia="宋体"/>
                <w:strike w:val="0"/>
                <w:dstrike w:val="0"/>
                <w:color w:val="auto"/>
                <w:sz w:val="21"/>
                <w:szCs w:val="24"/>
                <w:highlight w:val="none"/>
                <w:lang w:val="en-US" w:eastAsia="zh-CN"/>
              </w:rPr>
              <w:t>pH</w:t>
            </w:r>
            <w:r>
              <w:rPr>
                <w:rFonts w:hint="eastAsia" w:ascii="Times New Roman" w:hAnsi="Times New Roman" w:eastAsia="宋体"/>
                <w:strike w:val="0"/>
                <w:dstrike w:val="0"/>
                <w:color w:val="auto"/>
                <w:sz w:val="21"/>
                <w:szCs w:val="24"/>
                <w:highlight w:val="none"/>
                <w:lang w:val="en-US" w:eastAsia="zh-CN"/>
              </w:rPr>
              <w:t>、重金属、土壤中寄生虫卵数</w:t>
            </w:r>
          </w:p>
        </w:tc>
        <w:tc>
          <w:tcPr>
            <w:tcW w:w="727" w:type="pct"/>
            <w:tcBorders>
              <w:tl2br w:val="nil"/>
              <w:tr2bl w:val="nil"/>
            </w:tcBorders>
            <w:shd w:val="clear" w:color="000000" w:fill="auto"/>
            <w:vAlign w:val="center"/>
          </w:tcPr>
          <w:p w14:paraId="27870643">
            <w:pPr>
              <w:snapToGrid w:val="0"/>
              <w:spacing w:line="240" w:lineRule="auto"/>
              <w:ind w:firstLine="0" w:firstLineChars="0"/>
              <w:jc w:val="center"/>
              <w:rPr>
                <w:rFonts w:hint="default" w:ascii="Times New Roman" w:hAnsi="Times New Roman" w:eastAsia="宋体"/>
                <w:strike w:val="0"/>
                <w:dstrike w:val="0"/>
                <w:color w:val="auto"/>
                <w:sz w:val="21"/>
                <w:szCs w:val="24"/>
                <w:highlight w:val="none"/>
                <w:lang w:val="en-US" w:eastAsia="zh-CN"/>
              </w:rPr>
            </w:pPr>
            <w:r>
              <w:rPr>
                <w:rFonts w:hint="eastAsia" w:ascii="Times New Roman" w:hAnsi="Times New Roman" w:eastAsia="宋体"/>
                <w:strike w:val="0"/>
                <w:dstrike w:val="0"/>
                <w:color w:val="auto"/>
                <w:sz w:val="21"/>
                <w:szCs w:val="24"/>
                <w:highlight w:val="none"/>
                <w:lang w:val="en-US" w:eastAsia="zh-CN"/>
              </w:rPr>
              <w:t>必要时开展</w:t>
            </w:r>
          </w:p>
        </w:tc>
      </w:tr>
    </w:tbl>
    <w:p w14:paraId="78A4DCA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关于监测点的选取、监测项目及监测周期的确定应根据国家规定的环境监测技术规范进行</w:t>
      </w:r>
      <w:r>
        <w:rPr>
          <w:rFonts w:hint="eastAsia" w:ascii="Times New Roman" w:hAnsi="Times New Roman" w:eastAsia="宋体"/>
          <w:strike w:val="0"/>
          <w:dstrike w:val="0"/>
          <w:color w:val="auto"/>
          <w:highlight w:val="none"/>
          <w:lang w:eastAsia="zh-CN"/>
        </w:rPr>
        <w:t>。</w:t>
      </w:r>
    </w:p>
    <w:p w14:paraId="4CFED9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非正常工况根据实际情况随时进行监测，如发生异常或对环境产生不利影响需立即采取相应措施进行处理</w:t>
      </w:r>
      <w:r>
        <w:rPr>
          <w:rFonts w:hint="eastAsia" w:ascii="Times New Roman" w:hAnsi="Times New Roman" w:eastAsia="宋体"/>
          <w:strike w:val="0"/>
          <w:dstrike w:val="0"/>
          <w:color w:val="auto"/>
          <w:highlight w:val="none"/>
          <w:lang w:eastAsia="zh-CN"/>
        </w:rPr>
        <w:t>。</w:t>
      </w:r>
    </w:p>
    <w:p w14:paraId="470BFE7B">
      <w:pPr>
        <w:pStyle w:val="3"/>
        <w:rPr>
          <w:rFonts w:ascii="Times New Roman" w:hAnsi="Times New Roman" w:eastAsia="宋体"/>
          <w:strike w:val="0"/>
          <w:dstrike w:val="0"/>
          <w:color w:val="auto"/>
          <w:highlight w:val="none"/>
        </w:rPr>
      </w:pPr>
      <w:bookmarkStart w:id="423" w:name="_Toc15438"/>
      <w:bookmarkStart w:id="424" w:name="_Toc89619359"/>
      <w:bookmarkStart w:id="425" w:name="_Toc18212"/>
      <w:bookmarkStart w:id="426" w:name="_Toc282"/>
      <w:r>
        <w:rPr>
          <w:rFonts w:hint="eastAsia" w:ascii="Times New Roman" w:hAnsi="Times New Roman" w:eastAsia="宋体"/>
          <w:strike w:val="0"/>
          <w:dstrike w:val="0"/>
          <w:color w:val="auto"/>
          <w:highlight w:val="none"/>
        </w:rPr>
        <w:t>8.3</w:t>
      </w:r>
      <w:r>
        <w:rPr>
          <w:rFonts w:ascii="Times New Roman" w:hAnsi="Times New Roman" w:eastAsia="宋体"/>
          <w:strike w:val="0"/>
          <w:dstrike w:val="0"/>
          <w:color w:val="auto"/>
          <w:highlight w:val="none"/>
        </w:rPr>
        <w:t>竣工验收管理</w:t>
      </w:r>
      <w:bookmarkEnd w:id="423"/>
      <w:bookmarkEnd w:id="424"/>
      <w:bookmarkEnd w:id="425"/>
      <w:bookmarkEnd w:id="426"/>
    </w:p>
    <w:p w14:paraId="1D5E97AB">
      <w:pPr>
        <w:pStyle w:val="4"/>
        <w:rPr>
          <w:rFonts w:ascii="Times New Roman" w:hAnsi="Times New Roman" w:eastAsia="宋体"/>
          <w:strike w:val="0"/>
          <w:dstrike w:val="0"/>
          <w:color w:val="auto"/>
          <w:highlight w:val="none"/>
        </w:rPr>
      </w:pPr>
      <w:bookmarkStart w:id="427" w:name="_Toc5046"/>
      <w:bookmarkStart w:id="428" w:name="_Toc106663555"/>
      <w:r>
        <w:rPr>
          <w:rFonts w:hint="eastAsia" w:ascii="Times New Roman" w:hAnsi="Times New Roman" w:eastAsia="宋体"/>
          <w:strike w:val="0"/>
          <w:dstrike w:val="0"/>
          <w:color w:val="auto"/>
          <w:highlight w:val="none"/>
        </w:rPr>
        <w:t>8.3.1竣工验收管理及要求</w:t>
      </w:r>
      <w:bookmarkEnd w:id="427"/>
      <w:bookmarkEnd w:id="428"/>
    </w:p>
    <w:p w14:paraId="1DBE80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根据《建设项目竣工环境保护验收暂行办法》，建设项目竣工后建设单位自主开展环境保护验收及相关监督管理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项目建设中应配套建设气、水、噪声或者固体废物污染防治设施，正式投入生产或使用之前自主开展环境保护验收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环境保护设施是指防治环境污染和生态破坏以及开展环境监测所需的装置、设备和工程设施等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验收报告分为验收监测（调查）报告、验收意见和其他需要说明的事项等三项内容</w:t>
      </w:r>
      <w:r>
        <w:rPr>
          <w:rFonts w:hint="eastAsia" w:ascii="Times New Roman" w:hAnsi="Times New Roman" w:eastAsia="宋体"/>
          <w:strike w:val="0"/>
          <w:dstrike w:val="0"/>
          <w:color w:val="auto"/>
          <w:highlight w:val="none"/>
          <w:lang w:eastAsia="zh-CN"/>
        </w:rPr>
        <w:t>。</w:t>
      </w:r>
    </w:p>
    <w:p w14:paraId="020E85F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（1）建设项目竣工环境保护验收的主要依据包括：</w:t>
      </w:r>
    </w:p>
    <w:p w14:paraId="70FCB26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①建设项目环境保护相关法律、法规、规章、标准和规范性文件；</w:t>
      </w:r>
    </w:p>
    <w:p w14:paraId="292B8AB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②建设项目竣工环境保护验收技术规范；</w:t>
      </w:r>
    </w:p>
    <w:p w14:paraId="230F98F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③建设项目环境影响报告书及审批部门审批决定</w:t>
      </w:r>
      <w:r>
        <w:rPr>
          <w:rFonts w:hint="eastAsia" w:ascii="Times New Roman" w:hAnsi="Times New Roman" w:eastAsia="宋体"/>
          <w:strike w:val="0"/>
          <w:dstrike w:val="0"/>
          <w:color w:val="auto"/>
          <w:highlight w:val="none"/>
          <w:lang w:eastAsia="zh-CN"/>
        </w:rPr>
        <w:t>。</w:t>
      </w:r>
    </w:p>
    <w:p w14:paraId="07E7136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（2）验收的程序和内容</w:t>
      </w:r>
    </w:p>
    <w:p w14:paraId="54F6E03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建设项目竣工后，建设单位应当如实查验、监测、记载建设项目环境保护设施的建设和调试情况，编制验收监测（调查）报告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以排放污染物为主的建设项目，参照《建设项目竣工环境保护验收技术指南污染影响类》编制验收监测报告</w:t>
      </w:r>
      <w:r>
        <w:rPr>
          <w:rFonts w:hint="eastAsia" w:ascii="Times New Roman" w:hAnsi="Times New Roman" w:eastAsia="宋体"/>
          <w:strike w:val="0"/>
          <w:dstrike w:val="0"/>
          <w:color w:val="auto"/>
          <w:highlight w:val="none"/>
          <w:lang w:eastAsia="zh-CN"/>
        </w:rPr>
        <w:t>。</w:t>
      </w:r>
    </w:p>
    <w:p w14:paraId="046A56D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建设单位应当确保调试期间污染物排放符合国家和地方有关污染物排放标准和排污许可等相关管理规定</w:t>
      </w:r>
      <w:r>
        <w:rPr>
          <w:rFonts w:hint="eastAsia" w:ascii="Times New Roman" w:hAnsi="Times New Roman" w:eastAsia="宋体"/>
          <w:strike w:val="0"/>
          <w:dstrike w:val="0"/>
          <w:color w:val="auto"/>
          <w:highlight w:val="none"/>
          <w:lang w:eastAsia="zh-CN"/>
        </w:rPr>
        <w:t>。</w:t>
      </w:r>
    </w:p>
    <w:p w14:paraId="3508E29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环境保护设施未与主体工程同时建成的，或者应当取得排污许可证但未取得的，建设单位不得对该建设项目环境保护设施进行调试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调试期间，建设单位应当对环境保护设施运行情况和建设项目对环境的影响进行监测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验收监测应当在确保主体工程调试工况稳定、环境保护设施运行正常的情况下进行，并如实记录监测时的实际工况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国家和地方有关污染物排放标准或者行业验收技术规范对工况和生产负荷另有规定的，按其规定执行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建设单位开展验收监测活动，可根据自身条件和能力，利用自有人员、场所和设备自行监测；也可以委托其他有能力的监测机构开展监测</w:t>
      </w:r>
      <w:r>
        <w:rPr>
          <w:rFonts w:hint="eastAsia" w:ascii="Times New Roman" w:hAnsi="Times New Roman" w:eastAsia="宋体"/>
          <w:strike w:val="0"/>
          <w:dstrike w:val="0"/>
          <w:color w:val="auto"/>
          <w:highlight w:val="none"/>
          <w:lang w:eastAsia="zh-CN"/>
        </w:rPr>
        <w:t>。</w:t>
      </w:r>
    </w:p>
    <w:p w14:paraId="0DAAEE0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验收监测（调查）报告编制完成后，建设单位应当根据验收监测（调查）报告结论，逐一检查是否存在验收不合格的情形，提出验收意见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存在问题的，建设单位应当进行整改，整改完成后方可提出验收意见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验收意见包括工程建设基本情况、工程变动情况、环境保护设施落实情况、环境保护设施调试效果、工程建设对环境的影响、验收结论和后续要求等内容，验收结论应当明确该建设项目环境保护设施是否验收合格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建设项目配套建设的环境保护设施经验收合格后，其主体工程方可投入生产或者使用；未经验收或者验收不合格的，不得投入生产或者使用</w:t>
      </w:r>
      <w:r>
        <w:rPr>
          <w:rFonts w:hint="eastAsia" w:ascii="Times New Roman" w:hAnsi="Times New Roman" w:eastAsia="宋体"/>
          <w:strike w:val="0"/>
          <w:dstrike w:val="0"/>
          <w:color w:val="auto"/>
          <w:highlight w:val="none"/>
          <w:lang w:eastAsia="zh-CN"/>
        </w:rPr>
        <w:t>。</w:t>
      </w:r>
    </w:p>
    <w:p w14:paraId="367D5DF3">
      <w:pPr>
        <w:pStyle w:val="4"/>
        <w:rPr>
          <w:rFonts w:ascii="Times New Roman" w:hAnsi="Times New Roman" w:eastAsia="宋体"/>
          <w:strike w:val="0"/>
          <w:dstrike w:val="0"/>
          <w:color w:val="auto"/>
          <w:highlight w:val="none"/>
        </w:rPr>
      </w:pPr>
      <w:bookmarkStart w:id="429" w:name="_Toc106663556"/>
      <w:bookmarkStart w:id="430" w:name="_Toc26604"/>
      <w:r>
        <w:rPr>
          <w:rFonts w:hint="eastAsia" w:ascii="Times New Roman" w:hAnsi="Times New Roman" w:eastAsia="宋体"/>
          <w:strike w:val="0"/>
          <w:dstrike w:val="0"/>
          <w:color w:val="auto"/>
          <w:highlight w:val="none"/>
        </w:rPr>
        <w:t>8.3.2环境保护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w:t>
      </w:r>
      <w:bookmarkEnd w:id="429"/>
      <w:bookmarkEnd w:id="430"/>
    </w:p>
    <w:p w14:paraId="3F26384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根据《中华人民共和国环境保护法》规定，项目建成后，应全面检查项目对周围环境的改变及环保设施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情况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项目试运行一段时间，达到生产正常、稳定后，由建设单位成立验收组进行自主验收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项目环保设施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竣工验收内容见表8.3-1</w:t>
      </w:r>
      <w:r>
        <w:rPr>
          <w:rFonts w:hint="eastAsia" w:ascii="Times New Roman" w:hAnsi="Times New Roman" w:eastAsia="宋体"/>
          <w:strike w:val="0"/>
          <w:dstrike w:val="0"/>
          <w:color w:val="auto"/>
          <w:highlight w:val="none"/>
          <w:lang w:eastAsia="zh-CN"/>
        </w:rPr>
        <w:t>。</w:t>
      </w:r>
    </w:p>
    <w:p w14:paraId="5FA2FD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表8.3-1本项目环保设施”三同时”验收一览表</w:t>
      </w:r>
    </w:p>
    <w:tbl>
      <w:tblPr>
        <w:tblStyle w:val="183"/>
        <w:tblW w:w="503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8"/>
        <w:gridCol w:w="660"/>
        <w:gridCol w:w="923"/>
        <w:gridCol w:w="3122"/>
        <w:gridCol w:w="3105"/>
      </w:tblGrid>
      <w:tr w14:paraId="0CB40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vAlign w:val="center"/>
          </w:tcPr>
          <w:p w14:paraId="76FAEB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污染类</w:t>
            </w:r>
            <w:r>
              <w:rPr>
                <w:rFonts w:hint="eastAsia" w:ascii="Times New Roman" w:hAnsi="Times New Roman" w:eastAsia="宋体" w:cs="宋体"/>
                <w:strike w:val="0"/>
                <w:dstrike w:val="0"/>
                <w:color w:val="auto"/>
                <w:spacing w:val="0"/>
                <w:position w:val="0"/>
                <w:sz w:val="21"/>
                <w:szCs w:val="21"/>
                <w:highlight w:val="none"/>
                <w:lang w:val="en-US" w:eastAsia="zh-CN"/>
              </w:rPr>
              <w:t>别</w:t>
            </w:r>
          </w:p>
        </w:tc>
        <w:tc>
          <w:tcPr>
            <w:tcW w:w="395" w:type="pct"/>
            <w:tcBorders>
              <w:tl2br w:val="nil"/>
              <w:tr2bl w:val="nil"/>
            </w:tcBorders>
            <w:vAlign w:val="center"/>
          </w:tcPr>
          <w:p w14:paraId="2CEFF5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w:t>
            </w:r>
          </w:p>
        </w:tc>
        <w:tc>
          <w:tcPr>
            <w:tcW w:w="552" w:type="pct"/>
            <w:tcBorders>
              <w:tl2br w:val="nil"/>
              <w:tr2bl w:val="nil"/>
            </w:tcBorders>
            <w:vAlign w:val="center"/>
          </w:tcPr>
          <w:p w14:paraId="4C0559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w:t>
            </w:r>
          </w:p>
        </w:tc>
        <w:tc>
          <w:tcPr>
            <w:tcW w:w="1866" w:type="pct"/>
            <w:tcBorders>
              <w:tl2br w:val="nil"/>
              <w:tr2bl w:val="nil"/>
            </w:tcBorders>
            <w:vAlign w:val="center"/>
          </w:tcPr>
          <w:p w14:paraId="3A1DE0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环保措施</w:t>
            </w:r>
          </w:p>
        </w:tc>
        <w:tc>
          <w:tcPr>
            <w:tcW w:w="1857" w:type="pct"/>
            <w:tcBorders>
              <w:tl2br w:val="nil"/>
              <w:tr2bl w:val="nil"/>
            </w:tcBorders>
            <w:vAlign w:val="center"/>
          </w:tcPr>
          <w:p w14:paraId="0479897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验收标准</w:t>
            </w:r>
          </w:p>
        </w:tc>
      </w:tr>
      <w:tr w14:paraId="3D203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vAlign w:val="center"/>
          </w:tcPr>
          <w:p w14:paraId="0ACBA3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废气</w:t>
            </w:r>
          </w:p>
        </w:tc>
        <w:tc>
          <w:tcPr>
            <w:tcW w:w="395" w:type="pct"/>
            <w:tcBorders>
              <w:tl2br w:val="nil"/>
              <w:tr2bl w:val="nil"/>
            </w:tcBorders>
            <w:vAlign w:val="center"/>
          </w:tcPr>
          <w:p w14:paraId="02EE4A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vMerge w:val="restart"/>
            <w:tcBorders>
              <w:tl2br w:val="nil"/>
              <w:tr2bl w:val="nil"/>
            </w:tcBorders>
            <w:vAlign w:val="center"/>
          </w:tcPr>
          <w:p w14:paraId="3D663C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臭气浓度、</w:t>
            </w: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p>
        </w:tc>
        <w:tc>
          <w:tcPr>
            <w:tcW w:w="1866" w:type="pct"/>
            <w:tcBorders>
              <w:tl2br w:val="nil"/>
              <w:tr2bl w:val="nil"/>
            </w:tcBorders>
            <w:vAlign w:val="center"/>
          </w:tcPr>
          <w:p w14:paraId="52E6EB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1857" w:type="pct"/>
            <w:vMerge w:val="restart"/>
            <w:tcBorders>
              <w:tl2br w:val="nil"/>
              <w:tr2bl w:val="nil"/>
            </w:tcBorders>
            <w:vAlign w:val="center"/>
          </w:tcPr>
          <w:p w14:paraId="0BC55F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臭气浓度排放执行《畜禽养殖业污染物排放标准》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GB18596-2001</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中集约化畜禽养殖业恶臭污染物排放标准，</w:t>
            </w: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r>
              <w:rPr>
                <w:rFonts w:ascii="Times New Roman" w:hAnsi="Times New Roman" w:eastAsia="宋体" w:cs="宋体"/>
                <w:strike w:val="0"/>
                <w:dstrike w:val="0"/>
                <w:color w:val="auto"/>
                <w:spacing w:val="0"/>
                <w:position w:val="0"/>
                <w:sz w:val="21"/>
                <w:szCs w:val="21"/>
                <w:highlight w:val="none"/>
              </w:rPr>
              <w:t>厂界排放浓度执行《恶臭污染物排放标准》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GB14554-93</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中表</w:t>
            </w: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新污染源二级标准</w:t>
            </w:r>
          </w:p>
        </w:tc>
      </w:tr>
      <w:tr w14:paraId="2D1E3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7C5AA0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0FB21A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552" w:type="pct"/>
            <w:vMerge w:val="continue"/>
            <w:tcBorders>
              <w:tl2br w:val="nil"/>
              <w:tr2bl w:val="nil"/>
            </w:tcBorders>
            <w:vAlign w:val="center"/>
          </w:tcPr>
          <w:p w14:paraId="0F18DC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66" w:type="pct"/>
            <w:tcBorders>
              <w:tl2br w:val="nil"/>
              <w:tr2bl w:val="nil"/>
            </w:tcBorders>
            <w:vAlign w:val="center"/>
          </w:tcPr>
          <w:p w14:paraId="18FB77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在晾晒棚周边喷洒除臭剂进行处理</w:t>
            </w:r>
          </w:p>
        </w:tc>
        <w:tc>
          <w:tcPr>
            <w:tcW w:w="1857" w:type="pct"/>
            <w:vMerge w:val="continue"/>
            <w:tcBorders>
              <w:tl2br w:val="nil"/>
              <w:tr2bl w:val="nil"/>
            </w:tcBorders>
            <w:vAlign w:val="center"/>
          </w:tcPr>
          <w:p w14:paraId="015DD8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1B4C3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vAlign w:val="center"/>
          </w:tcPr>
          <w:p w14:paraId="32914D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w:t>
            </w:r>
          </w:p>
        </w:tc>
        <w:tc>
          <w:tcPr>
            <w:tcW w:w="395" w:type="pct"/>
            <w:tcBorders>
              <w:tl2br w:val="nil"/>
              <w:tr2bl w:val="nil"/>
            </w:tcBorders>
            <w:vAlign w:val="center"/>
          </w:tcPr>
          <w:p w14:paraId="614DBB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骆驼圈舍</w:t>
            </w:r>
            <w:r>
              <w:rPr>
                <w:rFonts w:ascii="Times New Roman" w:hAnsi="Times New Roman" w:eastAsia="宋体" w:cs="宋体"/>
                <w:strike w:val="0"/>
                <w:dstrike w:val="0"/>
                <w:color w:val="auto"/>
                <w:spacing w:val="0"/>
                <w:position w:val="0"/>
                <w:sz w:val="21"/>
                <w:szCs w:val="21"/>
                <w:highlight w:val="none"/>
              </w:rPr>
              <w:t>和管理区</w:t>
            </w:r>
          </w:p>
        </w:tc>
        <w:tc>
          <w:tcPr>
            <w:tcW w:w="552" w:type="pct"/>
            <w:tcBorders>
              <w:tl2br w:val="nil"/>
              <w:tr2bl w:val="nil"/>
            </w:tcBorders>
            <w:vAlign w:val="center"/>
          </w:tcPr>
          <w:p w14:paraId="7B545A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生活污水</w:t>
            </w:r>
          </w:p>
        </w:tc>
        <w:tc>
          <w:tcPr>
            <w:tcW w:w="1866" w:type="pct"/>
            <w:vMerge w:val="restart"/>
            <w:tcBorders>
              <w:tl2br w:val="nil"/>
              <w:tr2bl w:val="nil"/>
            </w:tcBorders>
            <w:vAlign w:val="center"/>
          </w:tcPr>
          <w:p w14:paraId="7AE4B9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z w:val="21"/>
                <w:szCs w:val="24"/>
                <w:lang w:eastAsia="zh-CN"/>
              </w:rPr>
              <w:t>本项目生活污水和生产废水经黑膜池发酵处理后用于项目区周边林带施肥。</w:t>
            </w:r>
          </w:p>
        </w:tc>
        <w:tc>
          <w:tcPr>
            <w:tcW w:w="1857" w:type="pct"/>
            <w:vMerge w:val="restart"/>
            <w:tcBorders>
              <w:tl2br w:val="nil"/>
              <w:tr2bl w:val="nil"/>
            </w:tcBorders>
            <w:vAlign w:val="center"/>
          </w:tcPr>
          <w:p w14:paraId="560664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56A84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3A6240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528B4F3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挤奶大厅</w:t>
            </w:r>
          </w:p>
        </w:tc>
        <w:tc>
          <w:tcPr>
            <w:tcW w:w="552" w:type="pct"/>
            <w:tcBorders>
              <w:tl2br w:val="nil"/>
              <w:tr2bl w:val="nil"/>
            </w:tcBorders>
            <w:vAlign w:val="center"/>
          </w:tcPr>
          <w:p w14:paraId="4E575B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清洗废水</w:t>
            </w:r>
          </w:p>
        </w:tc>
        <w:tc>
          <w:tcPr>
            <w:tcW w:w="1866" w:type="pct"/>
            <w:vMerge w:val="continue"/>
            <w:tcBorders>
              <w:tl2br w:val="nil"/>
              <w:tr2bl w:val="nil"/>
            </w:tcBorders>
            <w:vAlign w:val="center"/>
          </w:tcPr>
          <w:p w14:paraId="6C6CDF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57" w:type="pct"/>
            <w:vMerge w:val="continue"/>
            <w:tcBorders>
              <w:tl2br w:val="nil"/>
              <w:tr2bl w:val="nil"/>
            </w:tcBorders>
            <w:vAlign w:val="center"/>
          </w:tcPr>
          <w:p w14:paraId="16863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5EA7D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1C057AF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058333C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设备清洗</w:t>
            </w:r>
          </w:p>
        </w:tc>
        <w:tc>
          <w:tcPr>
            <w:tcW w:w="552" w:type="pct"/>
            <w:tcBorders>
              <w:tl2br w:val="nil"/>
              <w:tr2bl w:val="nil"/>
            </w:tcBorders>
            <w:vAlign w:val="center"/>
          </w:tcPr>
          <w:p w14:paraId="79EB7A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清洗废水</w:t>
            </w:r>
          </w:p>
        </w:tc>
        <w:tc>
          <w:tcPr>
            <w:tcW w:w="1866" w:type="pct"/>
            <w:vMerge w:val="continue"/>
            <w:tcBorders>
              <w:tl2br w:val="nil"/>
              <w:tr2bl w:val="nil"/>
            </w:tcBorders>
            <w:vAlign w:val="center"/>
          </w:tcPr>
          <w:p w14:paraId="7CA22C2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57" w:type="pct"/>
            <w:vMerge w:val="continue"/>
            <w:tcBorders>
              <w:tl2br w:val="nil"/>
              <w:tr2bl w:val="nil"/>
            </w:tcBorders>
            <w:vAlign w:val="center"/>
          </w:tcPr>
          <w:p w14:paraId="3B965E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2C71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textDirection w:val="tbRlV"/>
            <w:vAlign w:val="center"/>
          </w:tcPr>
          <w:p w14:paraId="170F43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w:t>
            </w:r>
          </w:p>
        </w:tc>
        <w:tc>
          <w:tcPr>
            <w:tcW w:w="395" w:type="pct"/>
            <w:tcBorders>
              <w:tl2br w:val="nil"/>
              <w:tr2bl w:val="nil"/>
            </w:tcBorders>
            <w:vAlign w:val="center"/>
          </w:tcPr>
          <w:p w14:paraId="3380F3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w:t>
            </w:r>
          </w:p>
        </w:tc>
        <w:tc>
          <w:tcPr>
            <w:tcW w:w="552" w:type="pct"/>
            <w:tcBorders>
              <w:tl2br w:val="nil"/>
              <w:tr2bl w:val="nil"/>
            </w:tcBorders>
            <w:vAlign w:val="center"/>
          </w:tcPr>
          <w:p w14:paraId="4DFBE5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设备噪声</w:t>
            </w:r>
          </w:p>
        </w:tc>
        <w:tc>
          <w:tcPr>
            <w:tcW w:w="1866" w:type="pct"/>
            <w:tcBorders>
              <w:tl2br w:val="nil"/>
              <w:tr2bl w:val="nil"/>
            </w:tcBorders>
            <w:vAlign w:val="center"/>
          </w:tcPr>
          <w:p w14:paraId="46FA4F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合理布置</w:t>
            </w:r>
            <w:r>
              <w:rPr>
                <w:rFonts w:hint="eastAsia" w:ascii="Times New Roman" w:hAnsi="Times New Roman" w:eastAsia="宋体" w:cs="宋体"/>
                <w:strike w:val="0"/>
                <w:dstrike w:val="0"/>
                <w:color w:val="auto"/>
                <w:spacing w:val="0"/>
                <w:position w:val="0"/>
                <w:sz w:val="21"/>
                <w:szCs w:val="21"/>
                <w:highlight w:val="none"/>
                <w:lang w:eastAsia="zh-CN"/>
              </w:rPr>
              <w:t>骆驼圈舍</w:t>
            </w:r>
            <w:r>
              <w:rPr>
                <w:rFonts w:ascii="Times New Roman" w:hAnsi="Times New Roman" w:eastAsia="宋体" w:cs="宋体"/>
                <w:strike w:val="0"/>
                <w:dstrike w:val="0"/>
                <w:color w:val="auto"/>
                <w:spacing w:val="0"/>
                <w:position w:val="0"/>
                <w:sz w:val="21"/>
                <w:szCs w:val="21"/>
                <w:highlight w:val="none"/>
              </w:rPr>
              <w:t>间距，选用低噪声设备、厂房隔声减振等措施后</w:t>
            </w:r>
          </w:p>
        </w:tc>
        <w:tc>
          <w:tcPr>
            <w:tcW w:w="1857" w:type="pct"/>
            <w:tcBorders>
              <w:tl2br w:val="nil"/>
              <w:tr2bl w:val="nil"/>
            </w:tcBorders>
            <w:vAlign w:val="center"/>
          </w:tcPr>
          <w:p w14:paraId="6088EC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厂界噪声执行《工业企业厂界环境噪声排放标准》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GB12348-2008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2</w:t>
            </w:r>
            <w:r>
              <w:rPr>
                <w:rFonts w:ascii="Times New Roman" w:hAnsi="Times New Roman" w:eastAsia="宋体" w:cs="宋体"/>
                <w:strike w:val="0"/>
                <w:dstrike w:val="0"/>
                <w:color w:val="auto"/>
                <w:spacing w:val="0"/>
                <w:position w:val="0"/>
                <w:sz w:val="21"/>
                <w:szCs w:val="21"/>
                <w:highlight w:val="none"/>
              </w:rPr>
              <w:t>类标准限值</w:t>
            </w:r>
          </w:p>
        </w:tc>
      </w:tr>
      <w:tr w14:paraId="014B3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textDirection w:val="tbRlV"/>
            <w:vAlign w:val="center"/>
          </w:tcPr>
          <w:p w14:paraId="1CB9A51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w:t>
            </w:r>
          </w:p>
        </w:tc>
        <w:tc>
          <w:tcPr>
            <w:tcW w:w="395" w:type="pct"/>
            <w:tcBorders>
              <w:tl2br w:val="nil"/>
              <w:tr2bl w:val="nil"/>
            </w:tcBorders>
            <w:vAlign w:val="center"/>
          </w:tcPr>
          <w:p w14:paraId="160D476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管理区</w:t>
            </w:r>
          </w:p>
        </w:tc>
        <w:tc>
          <w:tcPr>
            <w:tcW w:w="552" w:type="pct"/>
            <w:tcBorders>
              <w:tl2br w:val="nil"/>
              <w:tr2bl w:val="nil"/>
            </w:tcBorders>
            <w:vAlign w:val="center"/>
          </w:tcPr>
          <w:p w14:paraId="2CFDCD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w:t>
            </w:r>
          </w:p>
        </w:tc>
        <w:tc>
          <w:tcPr>
            <w:tcW w:w="1866" w:type="pct"/>
            <w:tcBorders>
              <w:tl2br w:val="nil"/>
              <w:tr2bl w:val="nil"/>
            </w:tcBorders>
            <w:vAlign w:val="center"/>
          </w:tcPr>
          <w:p w14:paraId="79EF10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生活垃圾集中收集合理处置</w:t>
            </w:r>
          </w:p>
        </w:tc>
        <w:tc>
          <w:tcPr>
            <w:tcW w:w="1857" w:type="pct"/>
            <w:tcBorders>
              <w:tl2br w:val="nil"/>
              <w:tr2bl w:val="nil"/>
            </w:tcBorders>
            <w:vAlign w:val="center"/>
          </w:tcPr>
          <w:p w14:paraId="3D286E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44D6E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49F517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4F391A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tcBorders>
              <w:tl2br w:val="nil"/>
              <w:tr2bl w:val="nil"/>
            </w:tcBorders>
            <w:vAlign w:val="center"/>
          </w:tcPr>
          <w:p w14:paraId="25A1FE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eastAsia="zh-CN"/>
              </w:rPr>
              <w:t>骆驼粪便</w:t>
            </w:r>
          </w:p>
        </w:tc>
        <w:tc>
          <w:tcPr>
            <w:tcW w:w="1866" w:type="pct"/>
            <w:tcBorders>
              <w:tl2br w:val="nil"/>
              <w:tr2bl w:val="nil"/>
            </w:tcBorders>
            <w:vAlign w:val="center"/>
          </w:tcPr>
          <w:p w14:paraId="5FC36A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清运至堆肥场，处理后外售</w:t>
            </w:r>
          </w:p>
        </w:tc>
        <w:tc>
          <w:tcPr>
            <w:tcW w:w="1857" w:type="pct"/>
            <w:tcBorders>
              <w:tl2br w:val="nil"/>
              <w:tr2bl w:val="nil"/>
            </w:tcBorders>
            <w:vAlign w:val="center"/>
          </w:tcPr>
          <w:p w14:paraId="7665C0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090B6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045E01F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68B1767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tcBorders>
              <w:tl2br w:val="nil"/>
              <w:tr2bl w:val="nil"/>
            </w:tcBorders>
            <w:vAlign w:val="center"/>
          </w:tcPr>
          <w:p w14:paraId="5C74BB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病死</w:t>
            </w:r>
            <w:r>
              <w:rPr>
                <w:rFonts w:hint="eastAsia" w:ascii="Times New Roman" w:hAnsi="Times New Roman" w:eastAsia="宋体" w:cs="宋体"/>
                <w:strike w:val="0"/>
                <w:dstrike w:val="0"/>
                <w:color w:val="auto"/>
                <w:spacing w:val="0"/>
                <w:position w:val="0"/>
                <w:sz w:val="21"/>
                <w:szCs w:val="21"/>
                <w:highlight w:val="none"/>
                <w:lang w:eastAsia="zh-CN"/>
              </w:rPr>
              <w:t>骆驼</w:t>
            </w:r>
          </w:p>
        </w:tc>
        <w:tc>
          <w:tcPr>
            <w:tcW w:w="1866" w:type="pct"/>
            <w:tcBorders>
              <w:tl2br w:val="nil"/>
              <w:tr2bl w:val="nil"/>
            </w:tcBorders>
            <w:vAlign w:val="center"/>
          </w:tcPr>
          <w:p w14:paraId="0A00F2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委托具有合法资质的无害化处理单位进行无害化处理。</w:t>
            </w:r>
          </w:p>
        </w:tc>
        <w:tc>
          <w:tcPr>
            <w:tcW w:w="1857" w:type="pct"/>
            <w:tcBorders>
              <w:tl2br w:val="nil"/>
              <w:tr2bl w:val="nil"/>
            </w:tcBorders>
            <w:vAlign w:val="center"/>
          </w:tcPr>
          <w:p w14:paraId="70D792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按照《畜禽养殖业污染防治技术规范》</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HJ/T81-2001</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要求进行</w:t>
            </w:r>
            <w:r>
              <w:rPr>
                <w:rFonts w:hint="eastAsia" w:ascii="Times New Roman" w:hAnsi="Times New Roman" w:eastAsia="宋体" w:cs="宋体"/>
                <w:strike w:val="0"/>
                <w:dstrike w:val="0"/>
                <w:color w:val="auto"/>
                <w:spacing w:val="0"/>
                <w:position w:val="0"/>
                <w:sz w:val="21"/>
                <w:szCs w:val="21"/>
                <w:highlight w:val="none"/>
                <w:lang w:val="en-US" w:eastAsia="zh-CN"/>
              </w:rPr>
              <w:t>处置</w:t>
            </w:r>
          </w:p>
        </w:tc>
      </w:tr>
      <w:tr w14:paraId="4AFB0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vAlign w:val="center"/>
          </w:tcPr>
          <w:p w14:paraId="715BE2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6B589B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生产加工区</w:t>
            </w:r>
          </w:p>
        </w:tc>
        <w:tc>
          <w:tcPr>
            <w:tcW w:w="552" w:type="pct"/>
            <w:tcBorders>
              <w:tl2br w:val="nil"/>
              <w:tr2bl w:val="nil"/>
            </w:tcBorders>
            <w:vAlign w:val="center"/>
          </w:tcPr>
          <w:p w14:paraId="6787D43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废弃包装袋</w:t>
            </w:r>
          </w:p>
        </w:tc>
        <w:tc>
          <w:tcPr>
            <w:tcW w:w="1866" w:type="pct"/>
            <w:tcBorders>
              <w:tl2br w:val="nil"/>
              <w:tr2bl w:val="nil"/>
            </w:tcBorders>
            <w:vAlign w:val="center"/>
          </w:tcPr>
          <w:p w14:paraId="636484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饲料包装袋集中收集后外售</w:t>
            </w:r>
          </w:p>
        </w:tc>
        <w:tc>
          <w:tcPr>
            <w:tcW w:w="1857" w:type="pct"/>
            <w:tcBorders>
              <w:tl2br w:val="nil"/>
              <w:tr2bl w:val="nil"/>
            </w:tcBorders>
            <w:vAlign w:val="center"/>
          </w:tcPr>
          <w:p w14:paraId="1AD0C4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合理处置</w:t>
            </w:r>
          </w:p>
        </w:tc>
      </w:tr>
      <w:tr w14:paraId="10EAD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vAlign w:val="center"/>
          </w:tcPr>
          <w:p w14:paraId="48CFEA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7F00D9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危废暂存间</w:t>
            </w:r>
          </w:p>
        </w:tc>
        <w:tc>
          <w:tcPr>
            <w:tcW w:w="552" w:type="pct"/>
            <w:tcBorders>
              <w:tl2br w:val="nil"/>
              <w:tr2bl w:val="nil"/>
            </w:tcBorders>
            <w:vAlign w:val="center"/>
          </w:tcPr>
          <w:p w14:paraId="629CBB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医疗废物</w:t>
            </w:r>
          </w:p>
        </w:tc>
        <w:tc>
          <w:tcPr>
            <w:tcW w:w="1866" w:type="pct"/>
            <w:tcBorders>
              <w:tl2br w:val="nil"/>
              <w:tr2bl w:val="nil"/>
            </w:tcBorders>
            <w:vAlign w:val="center"/>
          </w:tcPr>
          <w:p w14:paraId="34E345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按照《危险废物储存场所管理规范》设置医疗废物暂存间，定期</w:t>
            </w:r>
          </w:p>
          <w:p w14:paraId="288BC8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交由有资质的单位</w:t>
            </w:r>
          </w:p>
        </w:tc>
        <w:tc>
          <w:tcPr>
            <w:tcW w:w="1857" w:type="pct"/>
            <w:tcBorders>
              <w:tl2br w:val="nil"/>
              <w:tr2bl w:val="nil"/>
            </w:tcBorders>
            <w:vAlign w:val="center"/>
          </w:tcPr>
          <w:p w14:paraId="6F36A5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721E2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vAlign w:val="center"/>
          </w:tcPr>
          <w:p w14:paraId="56D4B03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w:t>
            </w:r>
          </w:p>
        </w:tc>
        <w:tc>
          <w:tcPr>
            <w:tcW w:w="2814" w:type="pct"/>
            <w:gridSpan w:val="3"/>
            <w:tcBorders>
              <w:tl2br w:val="nil"/>
              <w:tr2bl w:val="nil"/>
            </w:tcBorders>
            <w:vAlign w:val="center"/>
          </w:tcPr>
          <w:p w14:paraId="555F0BF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种植草坪、树木，景观造型设计等</w:t>
            </w:r>
          </w:p>
        </w:tc>
        <w:tc>
          <w:tcPr>
            <w:tcW w:w="1857" w:type="pct"/>
            <w:tcBorders>
              <w:tl2br w:val="nil"/>
              <w:tr2bl w:val="nil"/>
            </w:tcBorders>
            <w:vAlign w:val="center"/>
          </w:tcPr>
          <w:p w14:paraId="3C4873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绿化率达</w:t>
            </w:r>
            <w:r>
              <w:rPr>
                <w:rFonts w:ascii="Times New Roman" w:hAnsi="Times New Roman" w:eastAsia="宋体" w:cs="Times New Roman"/>
                <w:strike w:val="0"/>
                <w:dstrike w:val="0"/>
                <w:color w:val="auto"/>
                <w:spacing w:val="0"/>
                <w:position w:val="0"/>
                <w:sz w:val="21"/>
                <w:szCs w:val="21"/>
                <w:highlight w:val="none"/>
              </w:rPr>
              <w:t>10%</w:t>
            </w:r>
          </w:p>
        </w:tc>
      </w:tr>
    </w:tbl>
    <w:p w14:paraId="195CA804">
      <w:pPr>
        <w:pStyle w:val="3"/>
        <w:rPr>
          <w:rFonts w:ascii="Times New Roman" w:hAnsi="Times New Roman" w:eastAsia="宋体"/>
          <w:strike w:val="0"/>
          <w:dstrike w:val="0"/>
          <w:color w:val="auto"/>
          <w:highlight w:val="none"/>
        </w:rPr>
      </w:pPr>
      <w:bookmarkStart w:id="431" w:name="_Toc89619360"/>
      <w:bookmarkStart w:id="432" w:name="_Toc19743"/>
      <w:r>
        <w:rPr>
          <w:rFonts w:hint="eastAsia" w:ascii="Times New Roman" w:hAnsi="Times New Roman" w:eastAsia="宋体"/>
          <w:strike w:val="0"/>
          <w:dstrike w:val="0"/>
          <w:color w:val="auto"/>
          <w:highlight w:val="none"/>
        </w:rPr>
        <w:t>8.4污染源排放清单</w:t>
      </w:r>
      <w:bookmarkEnd w:id="431"/>
      <w:bookmarkEnd w:id="432"/>
    </w:p>
    <w:p w14:paraId="37F9D29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本项目运营期间污染物排放清单见表8.4-1</w:t>
      </w:r>
      <w:r>
        <w:rPr>
          <w:rFonts w:hint="eastAsia" w:ascii="Times New Roman" w:hAnsi="Times New Roman" w:eastAsia="宋体"/>
          <w:strike w:val="0"/>
          <w:dstrike w:val="0"/>
          <w:color w:val="auto"/>
          <w:highlight w:val="none"/>
          <w:lang w:eastAsia="zh-CN"/>
        </w:rPr>
        <w:t>。</w:t>
      </w:r>
    </w:p>
    <w:p w14:paraId="233BF1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表8.4-1运营期污染源排放清单</w:t>
      </w:r>
    </w:p>
    <w:tbl>
      <w:tblPr>
        <w:tblStyle w:val="183"/>
        <w:tblW w:w="503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4"/>
        <w:gridCol w:w="953"/>
        <w:gridCol w:w="1273"/>
        <w:gridCol w:w="1489"/>
        <w:gridCol w:w="3093"/>
        <w:gridCol w:w="1131"/>
      </w:tblGrid>
      <w:tr w14:paraId="6FDC8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818" w:type="pct"/>
            <w:gridSpan w:val="2"/>
            <w:tcBorders>
              <w:tl2br w:val="nil"/>
              <w:tr2bl w:val="nil"/>
            </w:tcBorders>
            <w:vAlign w:val="center"/>
          </w:tcPr>
          <w:p w14:paraId="24B267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762" w:type="pct"/>
            <w:tcBorders>
              <w:tl2br w:val="nil"/>
              <w:tr2bl w:val="nil"/>
            </w:tcBorders>
            <w:vAlign w:val="center"/>
          </w:tcPr>
          <w:p w14:paraId="673D2D4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主要污染物</w:t>
            </w:r>
          </w:p>
        </w:tc>
        <w:tc>
          <w:tcPr>
            <w:tcW w:w="891" w:type="pct"/>
            <w:tcBorders>
              <w:tl2br w:val="nil"/>
              <w:tr2bl w:val="nil"/>
            </w:tcBorders>
            <w:vAlign w:val="center"/>
          </w:tcPr>
          <w:p w14:paraId="0026BF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产生量</w:t>
            </w:r>
          </w:p>
        </w:tc>
        <w:tc>
          <w:tcPr>
            <w:tcW w:w="1851" w:type="pct"/>
            <w:tcBorders>
              <w:tl2br w:val="nil"/>
              <w:tr2bl w:val="nil"/>
            </w:tcBorders>
            <w:vAlign w:val="center"/>
          </w:tcPr>
          <w:p w14:paraId="5EDBBE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处置措施</w:t>
            </w:r>
          </w:p>
        </w:tc>
        <w:tc>
          <w:tcPr>
            <w:tcW w:w="675" w:type="pct"/>
            <w:tcBorders>
              <w:tl2br w:val="nil"/>
              <w:tr2bl w:val="nil"/>
            </w:tcBorders>
            <w:vAlign w:val="center"/>
          </w:tcPr>
          <w:p w14:paraId="4B6ACA5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排放量</w:t>
            </w:r>
          </w:p>
        </w:tc>
      </w:tr>
      <w:tr w14:paraId="10B92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restart"/>
            <w:tcBorders>
              <w:tl2br w:val="nil"/>
              <w:tr2bl w:val="nil"/>
            </w:tcBorders>
            <w:vAlign w:val="center"/>
          </w:tcPr>
          <w:p w14:paraId="2248F3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废气</w:t>
            </w:r>
          </w:p>
        </w:tc>
        <w:tc>
          <w:tcPr>
            <w:tcW w:w="570" w:type="pct"/>
            <w:vMerge w:val="restart"/>
            <w:tcBorders>
              <w:tl2br w:val="nil"/>
              <w:tr2bl w:val="nil"/>
            </w:tcBorders>
            <w:vAlign w:val="center"/>
          </w:tcPr>
          <w:p w14:paraId="4AE64FD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骆驼圈舍</w:t>
            </w:r>
          </w:p>
        </w:tc>
        <w:tc>
          <w:tcPr>
            <w:tcW w:w="762" w:type="pct"/>
            <w:tcBorders>
              <w:tl2br w:val="nil"/>
              <w:tr2bl w:val="nil"/>
            </w:tcBorders>
            <w:vAlign w:val="center"/>
          </w:tcPr>
          <w:p w14:paraId="6BCE9C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02DA995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943.599kg/a</w:t>
            </w:r>
          </w:p>
        </w:tc>
        <w:tc>
          <w:tcPr>
            <w:tcW w:w="1851" w:type="pct"/>
            <w:vMerge w:val="restart"/>
            <w:tcBorders>
              <w:tl2br w:val="nil"/>
              <w:tr2bl w:val="nil"/>
            </w:tcBorders>
            <w:vAlign w:val="center"/>
          </w:tcPr>
          <w:p w14:paraId="15E6454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675" w:type="pct"/>
            <w:tcBorders>
              <w:tl2br w:val="nil"/>
              <w:tr2bl w:val="nil"/>
            </w:tcBorders>
            <w:vAlign w:val="center"/>
          </w:tcPr>
          <w:p w14:paraId="2CDEF76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141.54kg/a</w:t>
            </w:r>
          </w:p>
        </w:tc>
      </w:tr>
      <w:tr w14:paraId="57E6F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4DD7D9F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64100EA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01D808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72FF4F9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94.36kg/a</w:t>
            </w:r>
          </w:p>
        </w:tc>
        <w:tc>
          <w:tcPr>
            <w:tcW w:w="1851" w:type="pct"/>
            <w:vMerge w:val="continue"/>
            <w:tcBorders>
              <w:tl2br w:val="nil"/>
              <w:tr2bl w:val="nil"/>
            </w:tcBorders>
            <w:vAlign w:val="center"/>
          </w:tcPr>
          <w:p w14:paraId="1619A94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3070571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14.154kg/a</w:t>
            </w:r>
          </w:p>
        </w:tc>
      </w:tr>
      <w:tr w14:paraId="588D2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1FAC80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7EAD4F49">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堆肥场</w:t>
            </w:r>
          </w:p>
        </w:tc>
        <w:tc>
          <w:tcPr>
            <w:tcW w:w="762" w:type="pct"/>
            <w:tcBorders>
              <w:tl2br w:val="nil"/>
              <w:tr2bl w:val="nil"/>
            </w:tcBorders>
            <w:vAlign w:val="center"/>
          </w:tcPr>
          <w:p w14:paraId="0352C06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28007E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22.8347kg/a</w:t>
            </w:r>
          </w:p>
        </w:tc>
        <w:tc>
          <w:tcPr>
            <w:tcW w:w="1851" w:type="pct"/>
            <w:vMerge w:val="restart"/>
            <w:tcBorders>
              <w:tl2br w:val="nil"/>
              <w:tr2bl w:val="nil"/>
            </w:tcBorders>
            <w:vAlign w:val="center"/>
          </w:tcPr>
          <w:p w14:paraId="17585F5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675" w:type="pct"/>
            <w:tcBorders>
              <w:tl2br w:val="nil"/>
              <w:tr2bl w:val="nil"/>
            </w:tcBorders>
            <w:vAlign w:val="center"/>
          </w:tcPr>
          <w:p w14:paraId="23ADCA3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9.1350kg/a</w:t>
            </w:r>
          </w:p>
        </w:tc>
      </w:tr>
      <w:tr w14:paraId="687F6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7A69F03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00390D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4272AEA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4E17EFD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0.5481kg/a</w:t>
            </w:r>
          </w:p>
        </w:tc>
        <w:tc>
          <w:tcPr>
            <w:tcW w:w="1851" w:type="pct"/>
            <w:vMerge w:val="continue"/>
            <w:tcBorders>
              <w:tl2br w:val="nil"/>
              <w:tr2bl w:val="nil"/>
            </w:tcBorders>
            <w:vAlign w:val="center"/>
          </w:tcPr>
          <w:p w14:paraId="42B324D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504B738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0.2192kg/a</w:t>
            </w:r>
          </w:p>
        </w:tc>
      </w:tr>
      <w:tr w14:paraId="4C1F6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5BF03D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19225C9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w:t>
            </w:r>
          </w:p>
        </w:tc>
        <w:tc>
          <w:tcPr>
            <w:tcW w:w="762" w:type="pct"/>
            <w:tcBorders>
              <w:tl2br w:val="nil"/>
              <w:tr2bl w:val="nil"/>
            </w:tcBorders>
            <w:vAlign w:val="center"/>
          </w:tcPr>
          <w:p w14:paraId="2E7C695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603F76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olor w:val="auto"/>
                <w:kern w:val="0"/>
                <w:sz w:val="21"/>
                <w:szCs w:val="21"/>
                <w:lang w:val="en-US" w:eastAsia="zh-CN" w:bidi="ar"/>
              </w:rPr>
              <w:t>4.8670</w:t>
            </w:r>
            <w:r>
              <w:rPr>
                <w:rFonts w:hint="eastAsia" w:ascii="Times New Roman" w:hAnsi="Times New Roman" w:eastAsia="宋体" w:cs="Times New Roman"/>
                <w:strike w:val="0"/>
                <w:dstrike w:val="0"/>
                <w:color w:val="auto"/>
                <w:spacing w:val="0"/>
                <w:sz w:val="21"/>
                <w:szCs w:val="21"/>
                <w:highlight w:val="none"/>
                <w:lang w:val="en-US" w:eastAsia="zh-CN"/>
              </w:rPr>
              <w:t>kg/a</w:t>
            </w:r>
          </w:p>
        </w:tc>
        <w:tc>
          <w:tcPr>
            <w:tcW w:w="1851" w:type="pct"/>
            <w:vMerge w:val="restart"/>
            <w:tcBorders>
              <w:tl2br w:val="nil"/>
              <w:tr2bl w:val="nil"/>
            </w:tcBorders>
            <w:vAlign w:val="center"/>
          </w:tcPr>
          <w:p w14:paraId="7858211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r>
              <w:rPr>
                <w:rFonts w:hint="eastAsia" w:ascii="Times New Roman" w:hAnsi="Times New Roman" w:eastAsia="宋体" w:cs="宋体"/>
                <w:color w:val="auto"/>
                <w:kern w:val="0"/>
                <w:sz w:val="21"/>
                <w:szCs w:val="21"/>
                <w:lang w:bidi="ar"/>
              </w:rPr>
              <w:t>池体覆膜密闭，喷洒除臭剂、加强绿化</w:t>
            </w:r>
          </w:p>
        </w:tc>
        <w:tc>
          <w:tcPr>
            <w:tcW w:w="1131" w:type="dxa"/>
            <w:tcBorders>
              <w:tl2br w:val="nil"/>
              <w:tr2bl w:val="nil"/>
            </w:tcBorders>
            <w:vAlign w:val="center"/>
          </w:tcPr>
          <w:p w14:paraId="45F425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bCs/>
                <w:color w:val="auto"/>
                <w:spacing w:val="-10"/>
                <w:sz w:val="21"/>
                <w:szCs w:val="21"/>
                <w:lang w:val="en-US" w:eastAsia="zh-CN"/>
              </w:rPr>
              <w:t>0.7301</w:t>
            </w:r>
            <w:r>
              <w:rPr>
                <w:rFonts w:hint="eastAsia" w:ascii="Times New Roman" w:hAnsi="Times New Roman" w:eastAsia="宋体" w:cs="Times New Roman"/>
                <w:strike w:val="0"/>
                <w:dstrike w:val="0"/>
                <w:color w:val="auto"/>
                <w:spacing w:val="0"/>
                <w:sz w:val="21"/>
                <w:szCs w:val="21"/>
                <w:highlight w:val="none"/>
                <w:lang w:val="en-US" w:eastAsia="zh-CN"/>
              </w:rPr>
              <w:t>kg/a</w:t>
            </w:r>
          </w:p>
        </w:tc>
      </w:tr>
      <w:tr w14:paraId="1CA63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869FB3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23859D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3BE48F8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20D623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ascii="Times New Roman" w:hAnsi="Times New Roman" w:eastAsia="宋体"/>
                <w:color w:val="auto"/>
                <w:kern w:val="0"/>
                <w:sz w:val="21"/>
                <w:szCs w:val="21"/>
                <w:lang w:bidi="ar"/>
              </w:rPr>
              <w:t>0.</w:t>
            </w:r>
            <w:r>
              <w:rPr>
                <w:rFonts w:hint="eastAsia" w:ascii="Times New Roman" w:hAnsi="Times New Roman" w:eastAsia="宋体"/>
                <w:color w:val="auto"/>
                <w:kern w:val="0"/>
                <w:sz w:val="21"/>
                <w:szCs w:val="21"/>
                <w:lang w:val="en-US" w:eastAsia="zh-CN" w:bidi="ar"/>
              </w:rPr>
              <w:t>1884</w:t>
            </w:r>
            <w:r>
              <w:rPr>
                <w:rFonts w:hint="eastAsia" w:ascii="Times New Roman" w:hAnsi="Times New Roman" w:eastAsia="宋体" w:cs="Times New Roman"/>
                <w:strike w:val="0"/>
                <w:dstrike w:val="0"/>
                <w:color w:val="auto"/>
                <w:spacing w:val="0"/>
                <w:sz w:val="21"/>
                <w:szCs w:val="21"/>
                <w:highlight w:val="none"/>
                <w:lang w:val="en-US" w:eastAsia="zh-CN"/>
              </w:rPr>
              <w:t>kg/a</w:t>
            </w:r>
          </w:p>
        </w:tc>
        <w:tc>
          <w:tcPr>
            <w:tcW w:w="1851" w:type="pct"/>
            <w:vMerge w:val="continue"/>
            <w:tcBorders>
              <w:tl2br w:val="nil"/>
              <w:tr2bl w:val="nil"/>
            </w:tcBorders>
            <w:vAlign w:val="center"/>
          </w:tcPr>
          <w:p w14:paraId="094AECF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1131" w:type="dxa"/>
            <w:tcBorders>
              <w:tl2br w:val="nil"/>
              <w:tr2bl w:val="nil"/>
            </w:tcBorders>
            <w:vAlign w:val="center"/>
          </w:tcPr>
          <w:p w14:paraId="252D8B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bCs/>
                <w:color w:val="auto"/>
                <w:spacing w:val="-10"/>
                <w:sz w:val="21"/>
                <w:szCs w:val="21"/>
                <w:lang w:val="en-US" w:eastAsia="zh-CN"/>
              </w:rPr>
              <w:t>0.0283</w:t>
            </w:r>
            <w:r>
              <w:rPr>
                <w:rFonts w:hint="eastAsia" w:ascii="Times New Roman" w:hAnsi="Times New Roman" w:eastAsia="宋体" w:cs="Times New Roman"/>
                <w:strike w:val="0"/>
                <w:dstrike w:val="0"/>
                <w:color w:val="auto"/>
                <w:spacing w:val="0"/>
                <w:sz w:val="21"/>
                <w:szCs w:val="21"/>
                <w:highlight w:val="none"/>
                <w:lang w:val="en-US" w:eastAsia="zh-CN"/>
              </w:rPr>
              <w:t>kg/a</w:t>
            </w:r>
          </w:p>
        </w:tc>
      </w:tr>
      <w:tr w14:paraId="7BF15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248" w:type="pct"/>
            <w:vMerge w:val="restart"/>
            <w:tcBorders>
              <w:tl2br w:val="nil"/>
              <w:tr2bl w:val="nil"/>
            </w:tcBorders>
            <w:vAlign w:val="center"/>
          </w:tcPr>
          <w:p w14:paraId="5AA2E4A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废水</w:t>
            </w:r>
          </w:p>
        </w:tc>
        <w:tc>
          <w:tcPr>
            <w:tcW w:w="570" w:type="pct"/>
            <w:tcBorders>
              <w:tl2br w:val="nil"/>
              <w:tr2bl w:val="nil"/>
            </w:tcBorders>
            <w:vAlign w:val="center"/>
          </w:tcPr>
          <w:p w14:paraId="4A7C54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33F57B5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生活污水</w:t>
            </w:r>
          </w:p>
        </w:tc>
        <w:tc>
          <w:tcPr>
            <w:tcW w:w="891" w:type="pct"/>
            <w:tcBorders>
              <w:tl2br w:val="nil"/>
              <w:tr2bl w:val="nil"/>
            </w:tcBorders>
            <w:vAlign w:val="center"/>
          </w:tcPr>
          <w:p w14:paraId="62944A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restart"/>
            <w:tcBorders>
              <w:tl2br w:val="nil"/>
              <w:tr2bl w:val="nil"/>
            </w:tcBorders>
            <w:vAlign w:val="center"/>
          </w:tcPr>
          <w:p w14:paraId="48686B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经地下排污管道自流至舍外黑膜池，发酵处理后定期外售有机肥厂</w:t>
            </w:r>
          </w:p>
        </w:tc>
        <w:tc>
          <w:tcPr>
            <w:tcW w:w="675" w:type="pct"/>
            <w:tcBorders>
              <w:tl2br w:val="nil"/>
              <w:tr2bl w:val="nil"/>
            </w:tcBorders>
            <w:vAlign w:val="center"/>
          </w:tcPr>
          <w:p w14:paraId="7F1C9F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56317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248" w:type="pct"/>
            <w:vMerge w:val="continue"/>
            <w:tcBorders>
              <w:tl2br w:val="nil"/>
              <w:tr2bl w:val="nil"/>
            </w:tcBorders>
            <w:vAlign w:val="center"/>
          </w:tcPr>
          <w:p w14:paraId="716674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5086CB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挤奶大厅</w:t>
            </w:r>
          </w:p>
        </w:tc>
        <w:tc>
          <w:tcPr>
            <w:tcW w:w="762" w:type="pct"/>
            <w:tcBorders>
              <w:tl2br w:val="nil"/>
              <w:tr2bl w:val="nil"/>
            </w:tcBorders>
            <w:vAlign w:val="center"/>
          </w:tcPr>
          <w:p w14:paraId="10BA29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0463DE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b/>
                <w:bCs/>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2336m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6B68E1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c>
          <w:tcPr>
            <w:tcW w:w="675" w:type="pct"/>
            <w:tcBorders>
              <w:tl2br w:val="nil"/>
              <w:tr2bl w:val="nil"/>
            </w:tcBorders>
            <w:vAlign w:val="center"/>
          </w:tcPr>
          <w:p w14:paraId="71275A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2336m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795A4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1570872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固体废物</w:t>
            </w:r>
          </w:p>
        </w:tc>
        <w:tc>
          <w:tcPr>
            <w:tcW w:w="570" w:type="pct"/>
            <w:tcBorders>
              <w:tl2br w:val="nil"/>
              <w:tr2bl w:val="nil"/>
            </w:tcBorders>
            <w:vAlign w:val="center"/>
          </w:tcPr>
          <w:p w14:paraId="6351BC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圈舍</w:t>
            </w:r>
          </w:p>
        </w:tc>
        <w:tc>
          <w:tcPr>
            <w:tcW w:w="762" w:type="pct"/>
            <w:tcBorders>
              <w:tl2br w:val="nil"/>
              <w:tr2bl w:val="nil"/>
            </w:tcBorders>
            <w:vAlign w:val="center"/>
          </w:tcPr>
          <w:p w14:paraId="25D6D1D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891" w:type="pct"/>
            <w:tcBorders>
              <w:tl2br w:val="nil"/>
              <w:tr2bl w:val="nil"/>
            </w:tcBorders>
            <w:vAlign w:val="center"/>
          </w:tcPr>
          <w:p w14:paraId="3EB9C59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c>
          <w:tcPr>
            <w:tcW w:w="1851" w:type="pct"/>
            <w:tcBorders>
              <w:tl2br w:val="nil"/>
              <w:tr2bl w:val="nil"/>
            </w:tcBorders>
            <w:vAlign w:val="center"/>
          </w:tcPr>
          <w:p w14:paraId="50AB13F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清理后外售作为有机肥使用</w:t>
            </w:r>
          </w:p>
        </w:tc>
        <w:tc>
          <w:tcPr>
            <w:tcW w:w="675" w:type="pct"/>
            <w:tcBorders>
              <w:tl2br w:val="nil"/>
              <w:tr2bl w:val="nil"/>
            </w:tcBorders>
            <w:vAlign w:val="center"/>
          </w:tcPr>
          <w:p w14:paraId="108F87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r>
      <w:tr w14:paraId="11025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41500A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334C49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养殖区</w:t>
            </w:r>
          </w:p>
        </w:tc>
        <w:tc>
          <w:tcPr>
            <w:tcW w:w="762" w:type="pct"/>
            <w:tcBorders>
              <w:tl2br w:val="nil"/>
              <w:tr2bl w:val="nil"/>
            </w:tcBorders>
            <w:vAlign w:val="center"/>
          </w:tcPr>
          <w:p w14:paraId="087944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891" w:type="pct"/>
            <w:tcBorders>
              <w:tl2br w:val="nil"/>
              <w:tr2bl w:val="nil"/>
            </w:tcBorders>
            <w:vAlign w:val="center"/>
          </w:tcPr>
          <w:p w14:paraId="31F7FC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6338B17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委托具有合法资质的无害化处理单位进行无害化处理</w:t>
            </w:r>
          </w:p>
        </w:tc>
        <w:tc>
          <w:tcPr>
            <w:tcW w:w="675" w:type="pct"/>
            <w:tcBorders>
              <w:tl2br w:val="nil"/>
              <w:tr2bl w:val="nil"/>
            </w:tcBorders>
            <w:vAlign w:val="center"/>
          </w:tcPr>
          <w:p w14:paraId="2804DB4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r>
      <w:tr w14:paraId="217CA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248" w:type="pct"/>
            <w:vMerge w:val="continue"/>
            <w:tcBorders>
              <w:tl2br w:val="nil"/>
              <w:tr2bl w:val="nil"/>
            </w:tcBorders>
            <w:textDirection w:val="tbRlV"/>
            <w:vAlign w:val="center"/>
          </w:tcPr>
          <w:p w14:paraId="74082FE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53C4B34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c>
          <w:tcPr>
            <w:tcW w:w="762" w:type="pct"/>
            <w:tcBorders>
              <w:tl2br w:val="nil"/>
              <w:tr2bl w:val="nil"/>
            </w:tcBorders>
            <w:vAlign w:val="center"/>
          </w:tcPr>
          <w:p w14:paraId="4D7448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891" w:type="pct"/>
            <w:tcBorders>
              <w:tl2br w:val="nil"/>
              <w:tr2bl w:val="nil"/>
            </w:tcBorders>
            <w:vAlign w:val="center"/>
          </w:tcPr>
          <w:p w14:paraId="30DF488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c>
          <w:tcPr>
            <w:tcW w:w="1851" w:type="pct"/>
            <w:tcBorders>
              <w:tl2br w:val="nil"/>
              <w:tr2bl w:val="nil"/>
            </w:tcBorders>
            <w:vAlign w:val="center"/>
          </w:tcPr>
          <w:p w14:paraId="3409F93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设置</w:t>
            </w:r>
            <w:r>
              <w:rPr>
                <w:rFonts w:hint="eastAsia" w:ascii="Times New Roman" w:hAnsi="Times New Roman" w:eastAsia="宋体" w:cs="宋体"/>
                <w:strike w:val="0"/>
                <w:dstrike w:val="0"/>
                <w:color w:val="auto"/>
                <w:spacing w:val="0"/>
                <w:sz w:val="21"/>
                <w:szCs w:val="21"/>
                <w:highlight w:val="none"/>
                <w:lang w:eastAsia="zh-CN"/>
              </w:rPr>
              <w:t>医疗废物暂存间</w:t>
            </w:r>
            <w:r>
              <w:rPr>
                <w:rFonts w:ascii="Times New Roman" w:hAnsi="Times New Roman" w:eastAsia="宋体" w:cs="宋体"/>
                <w:strike w:val="0"/>
                <w:dstrike w:val="0"/>
                <w:color w:val="auto"/>
                <w:spacing w:val="0"/>
                <w:sz w:val="21"/>
                <w:szCs w:val="21"/>
                <w:highlight w:val="none"/>
              </w:rPr>
              <w:t>暂存后定期交由有资质单位处置</w:t>
            </w:r>
          </w:p>
        </w:tc>
        <w:tc>
          <w:tcPr>
            <w:tcW w:w="675" w:type="pct"/>
            <w:tcBorders>
              <w:tl2br w:val="nil"/>
              <w:tr2bl w:val="nil"/>
            </w:tcBorders>
            <w:vAlign w:val="center"/>
          </w:tcPr>
          <w:p w14:paraId="4CA165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r>
      <w:tr w14:paraId="4CBD0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3BB5A4A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266AE5C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骆驼圈舍</w:t>
            </w:r>
          </w:p>
        </w:tc>
        <w:tc>
          <w:tcPr>
            <w:tcW w:w="762" w:type="pct"/>
            <w:tcBorders>
              <w:tl2br w:val="nil"/>
              <w:tr2bl w:val="nil"/>
            </w:tcBorders>
            <w:vAlign w:val="center"/>
          </w:tcPr>
          <w:p w14:paraId="175CBD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废包装材料</w:t>
            </w:r>
          </w:p>
        </w:tc>
        <w:tc>
          <w:tcPr>
            <w:tcW w:w="891" w:type="pct"/>
            <w:tcBorders>
              <w:tl2br w:val="nil"/>
              <w:tr2bl w:val="nil"/>
            </w:tcBorders>
            <w:vAlign w:val="center"/>
          </w:tcPr>
          <w:p w14:paraId="2533ED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c>
          <w:tcPr>
            <w:tcW w:w="1851" w:type="pct"/>
            <w:tcBorders>
              <w:tl2br w:val="nil"/>
              <w:tr2bl w:val="nil"/>
            </w:tcBorders>
            <w:vAlign w:val="center"/>
          </w:tcPr>
          <w:p w14:paraId="60CBAE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交由废物回收单位处置</w:t>
            </w:r>
          </w:p>
        </w:tc>
        <w:tc>
          <w:tcPr>
            <w:tcW w:w="675" w:type="pct"/>
            <w:tcBorders>
              <w:tl2br w:val="nil"/>
              <w:tr2bl w:val="nil"/>
            </w:tcBorders>
            <w:vAlign w:val="center"/>
          </w:tcPr>
          <w:p w14:paraId="5BDBE6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r>
      <w:tr w14:paraId="3888F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248" w:type="pct"/>
            <w:vMerge w:val="continue"/>
            <w:tcBorders>
              <w:tl2br w:val="nil"/>
              <w:tr2bl w:val="nil"/>
            </w:tcBorders>
            <w:textDirection w:val="tbRlV"/>
            <w:vAlign w:val="center"/>
          </w:tcPr>
          <w:p w14:paraId="178772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4BBFE2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7A315B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生活垃圾</w:t>
            </w:r>
          </w:p>
        </w:tc>
        <w:tc>
          <w:tcPr>
            <w:tcW w:w="891" w:type="pct"/>
            <w:tcBorders>
              <w:tl2br w:val="nil"/>
              <w:tr2bl w:val="nil"/>
            </w:tcBorders>
            <w:vAlign w:val="center"/>
          </w:tcPr>
          <w:p w14:paraId="66B37F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2734163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由环卫部门运至垃圾填埋场</w:t>
            </w:r>
          </w:p>
        </w:tc>
        <w:tc>
          <w:tcPr>
            <w:tcW w:w="675" w:type="pct"/>
            <w:tcBorders>
              <w:tl2br w:val="nil"/>
              <w:tr2bl w:val="nil"/>
            </w:tcBorders>
            <w:vAlign w:val="center"/>
          </w:tcPr>
          <w:p w14:paraId="72FD7D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r>
      <w:tr w14:paraId="1802A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jc w:val="center"/>
        </w:trPr>
        <w:tc>
          <w:tcPr>
            <w:tcW w:w="248" w:type="pct"/>
            <w:tcBorders>
              <w:tl2br w:val="nil"/>
              <w:tr2bl w:val="nil"/>
            </w:tcBorders>
            <w:vAlign w:val="center"/>
          </w:tcPr>
          <w:p w14:paraId="26E1E59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噪声</w:t>
            </w:r>
          </w:p>
        </w:tc>
        <w:tc>
          <w:tcPr>
            <w:tcW w:w="1332" w:type="pct"/>
            <w:gridSpan w:val="2"/>
            <w:tcBorders>
              <w:tl2br w:val="nil"/>
              <w:tr2bl w:val="nil"/>
            </w:tcBorders>
            <w:vAlign w:val="center"/>
          </w:tcPr>
          <w:p w14:paraId="41D39B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工艺设备运行噪声，声级在</w:t>
            </w:r>
            <w:r>
              <w:rPr>
                <w:rFonts w:ascii="Times New Roman" w:hAnsi="Times New Roman" w:eastAsia="宋体" w:cs="Times New Roman"/>
                <w:strike w:val="0"/>
                <w:dstrike w:val="0"/>
                <w:color w:val="auto"/>
                <w:spacing w:val="0"/>
                <w:sz w:val="21"/>
                <w:szCs w:val="21"/>
                <w:highlight w:val="none"/>
              </w:rPr>
              <w:t>75~95dB</w:t>
            </w:r>
          </w:p>
          <w:p w14:paraId="08214F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A</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之间</w:t>
            </w:r>
          </w:p>
        </w:tc>
        <w:tc>
          <w:tcPr>
            <w:tcW w:w="3418" w:type="pct"/>
            <w:gridSpan w:val="3"/>
            <w:tcBorders>
              <w:tl2br w:val="nil"/>
              <w:tr2bl w:val="nil"/>
            </w:tcBorders>
            <w:vAlign w:val="center"/>
          </w:tcPr>
          <w:p w14:paraId="77F6CD7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设备选用低噪声设备，在安装时采取降噪减震措施，全部</w:t>
            </w:r>
          </w:p>
          <w:p w14:paraId="51B79C3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安装于室内，使用时定期检修，做好设备保养，落实工作</w:t>
            </w:r>
          </w:p>
          <w:p w14:paraId="6FEC72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间防噪声劳动保护和管理，完善厂区绿化建设</w:t>
            </w:r>
          </w:p>
        </w:tc>
      </w:tr>
    </w:tbl>
    <w:p w14:paraId="194DAD5A">
      <w:pPr>
        <w:ind w:firstLine="480"/>
        <w:rPr>
          <w:rFonts w:ascii="Times New Roman" w:hAnsi="Times New Roman" w:eastAsia="宋体"/>
          <w:strike w:val="0"/>
          <w:dstrike w:val="0"/>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72E5C9CA">
      <w:pPr>
        <w:pStyle w:val="2"/>
        <w:rPr>
          <w:rFonts w:ascii="Times New Roman" w:hAnsi="Times New Roman" w:eastAsia="宋体"/>
          <w:strike w:val="0"/>
          <w:dstrike w:val="0"/>
          <w:color w:val="auto"/>
          <w:highlight w:val="none"/>
        </w:rPr>
      </w:pPr>
      <w:bookmarkStart w:id="433" w:name="_Toc9779"/>
      <w:bookmarkStart w:id="434" w:name="_Toc89619361"/>
      <w:r>
        <w:rPr>
          <w:rFonts w:hint="eastAsia" w:ascii="Times New Roman" w:hAnsi="Times New Roman" w:eastAsia="宋体"/>
          <w:strike w:val="0"/>
          <w:dstrike w:val="0"/>
          <w:color w:val="auto"/>
          <w:highlight w:val="none"/>
        </w:rPr>
        <w:t>9、结论与建议</w:t>
      </w:r>
      <w:bookmarkEnd w:id="433"/>
      <w:bookmarkEnd w:id="434"/>
    </w:p>
    <w:p w14:paraId="2440E93D">
      <w:pPr>
        <w:pStyle w:val="3"/>
        <w:rPr>
          <w:rFonts w:ascii="Times New Roman" w:hAnsi="Times New Roman" w:eastAsia="宋体"/>
          <w:strike w:val="0"/>
          <w:dstrike w:val="0"/>
          <w:color w:val="auto"/>
          <w:highlight w:val="none"/>
        </w:rPr>
      </w:pPr>
      <w:bookmarkStart w:id="435" w:name="_Toc89619362"/>
      <w:bookmarkStart w:id="436" w:name="_Toc13917"/>
      <w:r>
        <w:rPr>
          <w:rFonts w:hint="eastAsia" w:ascii="Times New Roman" w:hAnsi="Times New Roman" w:eastAsia="宋体"/>
          <w:strike w:val="0"/>
          <w:dstrike w:val="0"/>
          <w:color w:val="auto"/>
          <w:highlight w:val="none"/>
        </w:rPr>
        <w:t>9.1建设项目概况</w:t>
      </w:r>
      <w:bookmarkEnd w:id="435"/>
      <w:bookmarkEnd w:id="436"/>
    </w:p>
    <w:p w14:paraId="3B3A9DA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（1）项目名称：</w:t>
      </w:r>
      <w:r>
        <w:rPr>
          <w:rFonts w:hint="eastAsia" w:ascii="Times New Roman" w:hAnsi="Times New Roman" w:eastAsia="宋体"/>
          <w:strike w:val="0"/>
          <w:dstrike w:val="0"/>
          <w:color w:val="auto"/>
          <w:highlight w:val="none"/>
          <w:lang w:eastAsia="zh-CN"/>
        </w:rPr>
        <w:t>木垒县2026年长眉驼良种繁育基地建设项目</w:t>
      </w:r>
    </w:p>
    <w:p w14:paraId="5221672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w:t>
      </w:r>
      <w:r>
        <w:rPr>
          <w:rFonts w:hint="eastAsia" w:ascii="Times New Roman" w:hAnsi="Times New Roman" w:eastAsia="宋体"/>
          <w:strike w:val="0"/>
          <w:dstrike w:val="0"/>
          <w:color w:val="auto"/>
          <w:highlight w:val="none"/>
          <w:lang w:eastAsia="zh-CN"/>
        </w:rPr>
        <w:t>木垒县博斯坦乡人民政府</w:t>
      </w:r>
    </w:p>
    <w:p w14:paraId="2C3DB7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（3）项目性质：新建</w:t>
      </w:r>
    </w:p>
    <w:p w14:paraId="26BB3AA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（4）建设地点：本项目位于</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，项目北侧和南侧为空地、西侧为农田，东侧为无名道路</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中心地理坐标：90°36′6.39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″E，43°44′50.07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p>
    <w:p w14:paraId="28C071C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（5）项目投资：项目总投资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w:t>
      </w:r>
      <w:r>
        <w:rPr>
          <w:rFonts w:hint="eastAsia" w:ascii="Times New Roman" w:hAnsi="Times New Roman" w:eastAsia="宋体"/>
          <w:strike w:val="0"/>
          <w:dstrike w:val="0"/>
          <w:color w:val="auto"/>
          <w:highlight w:val="none"/>
          <w:lang w:eastAsia="zh-CN"/>
        </w:rPr>
        <w:t>。</w:t>
      </w:r>
    </w:p>
    <w:p w14:paraId="61679FB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（6）占地面积：本项目总占地面积为</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7C597BA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（7）生产规模：饲养规模达到</w:t>
      </w:r>
      <w:r>
        <w:rPr>
          <w:rFonts w:hint="eastAsia" w:ascii="Times New Roman" w:hAnsi="Times New Roman" w:eastAsia="宋体"/>
          <w:strike w:val="0"/>
          <w:dstrike w:val="0"/>
          <w:color w:val="auto"/>
          <w:highlight w:val="none"/>
          <w:lang w:val="en-US" w:eastAsia="zh-CN"/>
        </w:rPr>
        <w:t>1015头</w:t>
      </w:r>
      <w:r>
        <w:rPr>
          <w:rFonts w:hint="eastAsia" w:ascii="Times New Roman" w:hAnsi="Times New Roman" w:eastAsia="宋体"/>
          <w:strike w:val="0"/>
          <w:dstrike w:val="0"/>
          <w:color w:val="auto"/>
          <w:highlight w:val="none"/>
          <w:lang w:eastAsia="zh-CN"/>
        </w:rPr>
        <w:t>。</w:t>
      </w:r>
    </w:p>
    <w:p w14:paraId="551E1C0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（8）劳动定员：本项目建成投产后，劳动定员为</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人，年生产</w:t>
      </w:r>
      <w:r>
        <w:rPr>
          <w:rFonts w:hint="eastAsia" w:ascii="Times New Roman" w:hAnsi="Times New Roman" w:eastAsia="宋体"/>
          <w:strike w:val="0"/>
          <w:dstrike w:val="0"/>
          <w:color w:val="auto"/>
          <w:highlight w:val="none"/>
          <w:lang w:val="en-US" w:eastAsia="zh-CN"/>
        </w:rPr>
        <w:t>365</w:t>
      </w:r>
      <w:r>
        <w:rPr>
          <w:rFonts w:hint="eastAsia" w:ascii="Times New Roman" w:hAnsi="Times New Roman" w:eastAsia="宋体"/>
          <w:strike w:val="0"/>
          <w:dstrike w:val="0"/>
          <w:color w:val="auto"/>
          <w:highlight w:val="none"/>
        </w:rPr>
        <w:t>天</w:t>
      </w:r>
      <w:r>
        <w:rPr>
          <w:rFonts w:hint="eastAsia" w:ascii="Times New Roman" w:hAnsi="Times New Roman" w:eastAsia="宋体"/>
          <w:strike w:val="0"/>
          <w:dstrike w:val="0"/>
          <w:color w:val="auto"/>
          <w:highlight w:val="none"/>
          <w:lang w:eastAsia="zh-CN"/>
        </w:rPr>
        <w:t>。</w:t>
      </w:r>
    </w:p>
    <w:p w14:paraId="691159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（9）项目实施规划：计划202</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月建成投产</w:t>
      </w:r>
      <w:r>
        <w:rPr>
          <w:rFonts w:hint="eastAsia" w:ascii="Times New Roman" w:hAnsi="Times New Roman" w:eastAsia="宋体"/>
          <w:strike w:val="0"/>
          <w:dstrike w:val="0"/>
          <w:color w:val="auto"/>
          <w:highlight w:val="none"/>
          <w:lang w:eastAsia="zh-CN"/>
        </w:rPr>
        <w:t>。</w:t>
      </w:r>
    </w:p>
    <w:p w14:paraId="67EECD9C">
      <w:pPr>
        <w:pStyle w:val="3"/>
        <w:rPr>
          <w:rFonts w:ascii="Times New Roman" w:hAnsi="Times New Roman" w:eastAsia="宋体"/>
          <w:strike w:val="0"/>
          <w:dstrike w:val="0"/>
          <w:color w:val="auto"/>
          <w:highlight w:val="none"/>
        </w:rPr>
      </w:pPr>
      <w:bookmarkStart w:id="437" w:name="_Toc89619363"/>
      <w:bookmarkStart w:id="438" w:name="_Toc21346"/>
      <w:r>
        <w:rPr>
          <w:rFonts w:hint="eastAsia" w:ascii="Times New Roman" w:hAnsi="Times New Roman" w:eastAsia="宋体"/>
          <w:strike w:val="0"/>
          <w:dstrike w:val="0"/>
          <w:color w:val="auto"/>
          <w:highlight w:val="none"/>
        </w:rPr>
        <w:t>9.2产业政策及相关规划符合性结论</w:t>
      </w:r>
      <w:bookmarkEnd w:id="437"/>
      <w:bookmarkEnd w:id="438"/>
    </w:p>
    <w:p w14:paraId="67968DC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本项目为标准化规模</w:t>
      </w:r>
      <w:r>
        <w:rPr>
          <w:rFonts w:hint="eastAsia" w:ascii="Times New Roman" w:hAnsi="Times New Roman" w:eastAsia="宋体"/>
          <w:strike w:val="0"/>
          <w:dstrike w:val="0"/>
          <w:color w:val="auto"/>
          <w:highlight w:val="none"/>
          <w:lang w:val="en-US" w:eastAsia="zh-CN"/>
        </w:rPr>
        <w:t>骆驼养殖</w:t>
      </w:r>
      <w:r>
        <w:rPr>
          <w:rFonts w:hint="eastAsia" w:ascii="Times New Roman" w:hAnsi="Times New Roman" w:eastAsia="宋体"/>
          <w:strike w:val="0"/>
          <w:dstrike w:val="0"/>
          <w:color w:val="auto"/>
          <w:highlight w:val="none"/>
        </w:rPr>
        <w:t>项目，属于《</w:t>
      </w:r>
      <w:r>
        <w:rPr>
          <w:rFonts w:hint="eastAsia" w:ascii="Times New Roman" w:hAnsi="Times New Roman" w:eastAsia="宋体"/>
          <w:strike w:val="0"/>
          <w:dstrike w:val="0"/>
          <w:color w:val="auto"/>
          <w:highlight w:val="none"/>
          <w:lang w:eastAsia="zh-CN"/>
        </w:rPr>
        <w:t>产业结构调整指导目录（2024年本）</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第一类鼓励类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一、农林业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4、畜禽标准化规模养殖技术开发与应用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，符合国家产业政策</w:t>
      </w:r>
      <w:r>
        <w:rPr>
          <w:rFonts w:hint="eastAsia" w:ascii="Times New Roman" w:hAnsi="Times New Roman" w:eastAsia="宋体"/>
          <w:strike w:val="0"/>
          <w:dstrike w:val="0"/>
          <w:color w:val="auto"/>
          <w:highlight w:val="none"/>
          <w:lang w:eastAsia="zh-CN"/>
        </w:rPr>
        <w:t>。</w:t>
      </w:r>
    </w:p>
    <w:p w14:paraId="17B2DB8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项目的建设符合《新疆维吾尔自治区国民经济和社会发展第十五个五年规划纲要》、《新疆维吾尔自治区畜牧业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十四五</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发展规划》等相关要求，选址符合《畜禽规模养殖污染防治条例》（国务院令第643号）、《畜禽养殖业污染防治技术规范》（HJ/T81-2001）、《畜禽养殖业污染防治技术政策》（环发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）等相关要求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项目的建设地点不涉及国家法规、标准规范限定的禁建区，不在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划定的禁养区内</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因此，本项目建设可行</w:t>
      </w:r>
      <w:r>
        <w:rPr>
          <w:rFonts w:hint="eastAsia" w:ascii="Times New Roman" w:hAnsi="Times New Roman" w:eastAsia="宋体"/>
          <w:strike w:val="0"/>
          <w:dstrike w:val="0"/>
          <w:color w:val="auto"/>
          <w:highlight w:val="none"/>
          <w:lang w:eastAsia="zh-CN"/>
        </w:rPr>
        <w:t>。</w:t>
      </w:r>
    </w:p>
    <w:p w14:paraId="7572039E">
      <w:pPr>
        <w:ind w:firstLine="480"/>
        <w:rPr>
          <w:rFonts w:ascii="Times New Roman" w:hAnsi="Times New Roman" w:eastAsia="宋体"/>
          <w:strike w:val="0"/>
          <w:dstrike w:val="0"/>
          <w:color w:val="auto"/>
          <w:highlight w:val="none"/>
        </w:rPr>
      </w:pPr>
    </w:p>
    <w:p w14:paraId="5E45F32B">
      <w:pPr>
        <w:pStyle w:val="3"/>
        <w:rPr>
          <w:rFonts w:ascii="Times New Roman" w:hAnsi="Times New Roman" w:eastAsia="宋体"/>
          <w:strike w:val="0"/>
          <w:dstrike w:val="0"/>
          <w:color w:val="auto"/>
          <w:highlight w:val="none"/>
        </w:rPr>
      </w:pPr>
      <w:bookmarkStart w:id="439" w:name="_Toc89619364"/>
      <w:bookmarkStart w:id="440" w:name="_Toc29881"/>
      <w:r>
        <w:rPr>
          <w:rFonts w:hint="eastAsia" w:ascii="Times New Roman" w:hAnsi="Times New Roman" w:eastAsia="宋体"/>
          <w:strike w:val="0"/>
          <w:dstrike w:val="0"/>
          <w:color w:val="auto"/>
          <w:highlight w:val="none"/>
        </w:rPr>
        <w:t>9.3环境质量现状评价结论</w:t>
      </w:r>
      <w:bookmarkEnd w:id="439"/>
      <w:bookmarkEnd w:id="440"/>
    </w:p>
    <w:p w14:paraId="13C5DE5F">
      <w:pPr>
        <w:pStyle w:val="4"/>
        <w:rPr>
          <w:rFonts w:ascii="Times New Roman" w:hAnsi="Times New Roman" w:eastAsia="宋体"/>
          <w:strike w:val="0"/>
          <w:dstrike w:val="0"/>
          <w:color w:val="auto"/>
          <w:highlight w:val="none"/>
        </w:rPr>
      </w:pPr>
      <w:bookmarkStart w:id="441" w:name="_Toc106663562"/>
      <w:bookmarkStart w:id="442" w:name="_Toc17587"/>
      <w:r>
        <w:rPr>
          <w:rFonts w:hint="eastAsia" w:ascii="Times New Roman" w:hAnsi="Times New Roman" w:eastAsia="宋体"/>
          <w:strike w:val="0"/>
          <w:dstrike w:val="0"/>
          <w:color w:val="auto"/>
          <w:highlight w:val="none"/>
        </w:rPr>
        <w:t>9.3.1大气环境质量现状评价结论</w:t>
      </w:r>
      <w:bookmarkEnd w:id="441"/>
      <w:bookmarkEnd w:id="442"/>
    </w:p>
    <w:p w14:paraId="517EBF5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根据项目所在区域环境空气统计数据，项目所在区域PM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二级标准要求，本项目所在区域为</w:t>
      </w:r>
      <w:r>
        <w:rPr>
          <w:rFonts w:hint="eastAsia" w:ascii="Times New Roman" w:hAnsi="Times New Roman" w:eastAsia="宋体"/>
          <w:strike w:val="0"/>
          <w:dstrike w:val="0"/>
          <w:color w:val="auto"/>
          <w:highlight w:val="none"/>
        </w:rPr>
        <w:t>不</w:t>
      </w:r>
      <w:r>
        <w:rPr>
          <w:rFonts w:ascii="Times New Roman" w:hAnsi="Times New Roman" w:eastAsia="宋体"/>
          <w:strike w:val="0"/>
          <w:dstrike w:val="0"/>
          <w:color w:val="auto"/>
          <w:highlight w:val="none"/>
        </w:rPr>
        <w:t>达标区域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特征污染物</w:t>
      </w:r>
      <w:r>
        <w:rPr>
          <w:rFonts w:hint="eastAsia" w:ascii="Times New Roman" w:hAnsi="Times New Roman" w:eastAsia="宋体"/>
          <w:strike w:val="0"/>
          <w:dstrike w:val="0"/>
          <w:color w:val="auto"/>
          <w:highlight w:val="none"/>
          <w:lang w:val="en-US" w:eastAsia="zh-CN"/>
        </w:rPr>
        <w:t>TSP满足</w:t>
      </w:r>
      <w:r>
        <w:rPr>
          <w:rFonts w:hint="eastAsia" w:ascii="Times New Roman" w:hAnsi="Times New Roman" w:eastAsia="宋体"/>
          <w:strike w:val="0"/>
          <w:dstrike w:val="0"/>
          <w:color w:val="auto"/>
          <w:highlight w:val="none"/>
        </w:rPr>
        <w:t>《环境空气质量标准》（GB3095-20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表2环境空气污染物其他项目浓度限值二级标准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在监测时段内浓度值满足《环境影响评价技术导则大气环境》（HJ2.2-2018）附录D中的标准值，</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在监测时段内达标，区域内硫化氢和氨空气质量现状良好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臭气浓度满足《恶臭污染物排放标准》（GB 14554-93）二级标准限值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项目所在区域</w:t>
      </w:r>
      <w:r>
        <w:rPr>
          <w:rFonts w:hint="eastAsia" w:ascii="Times New Roman" w:hAnsi="Times New Roman" w:eastAsia="宋体"/>
          <w:strike w:val="0"/>
          <w:dstrike w:val="0"/>
          <w:color w:val="auto"/>
          <w:highlight w:val="none"/>
          <w:lang w:val="en-US" w:eastAsia="zh-CN"/>
        </w:rPr>
        <w:t>大气环境</w:t>
      </w:r>
      <w:r>
        <w:rPr>
          <w:rFonts w:hint="eastAsia" w:ascii="Times New Roman" w:hAnsi="Times New Roman" w:eastAsia="宋体"/>
          <w:strike w:val="0"/>
          <w:dstrike w:val="0"/>
          <w:color w:val="auto"/>
          <w:highlight w:val="none"/>
        </w:rPr>
        <w:t>质量现状</w:t>
      </w:r>
      <w:r>
        <w:rPr>
          <w:rFonts w:hint="eastAsia" w:ascii="Times New Roman" w:hAnsi="Times New Roman" w:eastAsia="宋体"/>
          <w:strike w:val="0"/>
          <w:dstrike w:val="0"/>
          <w:color w:val="auto"/>
          <w:highlight w:val="none"/>
          <w:lang w:val="en-US" w:eastAsia="zh-CN"/>
        </w:rPr>
        <w:t>一般</w:t>
      </w:r>
      <w:r>
        <w:rPr>
          <w:rFonts w:hint="eastAsia" w:ascii="Times New Roman" w:hAnsi="Times New Roman" w:eastAsia="宋体"/>
          <w:strike w:val="0"/>
          <w:dstrike w:val="0"/>
          <w:color w:val="auto"/>
          <w:highlight w:val="none"/>
          <w:lang w:eastAsia="zh-CN"/>
        </w:rPr>
        <w:t>。</w:t>
      </w:r>
    </w:p>
    <w:p w14:paraId="0F29F419">
      <w:pPr>
        <w:pStyle w:val="4"/>
        <w:rPr>
          <w:rFonts w:ascii="Times New Roman" w:hAnsi="Times New Roman" w:eastAsia="宋体"/>
          <w:strike w:val="0"/>
          <w:dstrike w:val="0"/>
          <w:color w:val="auto"/>
          <w:highlight w:val="none"/>
        </w:rPr>
      </w:pPr>
      <w:bookmarkStart w:id="443" w:name="_Toc106663563"/>
      <w:bookmarkStart w:id="444" w:name="_Toc8501"/>
      <w:r>
        <w:rPr>
          <w:rFonts w:hint="eastAsia" w:ascii="Times New Roman" w:hAnsi="Times New Roman" w:eastAsia="宋体"/>
          <w:strike w:val="0"/>
          <w:dstrike w:val="0"/>
          <w:color w:val="auto"/>
          <w:highlight w:val="none"/>
        </w:rPr>
        <w:t>9.3.2地下水环境质量现状评价结论</w:t>
      </w:r>
      <w:bookmarkEnd w:id="443"/>
      <w:bookmarkEnd w:id="444"/>
    </w:p>
    <w:p w14:paraId="375BBA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由监测结果可知，地下水监测点中水质指标均符合《地下水质量标准》（GB/T14848-2017）Ⅲ类标准，项目所在区域周边地下水质量现状</w:t>
      </w:r>
      <w:r>
        <w:rPr>
          <w:rFonts w:hint="eastAsia" w:ascii="Times New Roman" w:hAnsi="Times New Roman" w:eastAsia="宋体"/>
          <w:strike w:val="0"/>
          <w:dstrike w:val="0"/>
          <w:color w:val="auto"/>
          <w:highlight w:val="none"/>
          <w:lang w:val="en-US" w:eastAsia="zh-CN"/>
        </w:rPr>
        <w:t>良好</w:t>
      </w:r>
      <w:r>
        <w:rPr>
          <w:rFonts w:hint="eastAsia" w:ascii="Times New Roman" w:hAnsi="Times New Roman" w:eastAsia="宋体"/>
          <w:strike w:val="0"/>
          <w:dstrike w:val="0"/>
          <w:color w:val="auto"/>
          <w:highlight w:val="none"/>
          <w:lang w:eastAsia="zh-CN"/>
        </w:rPr>
        <w:t>。</w:t>
      </w:r>
    </w:p>
    <w:p w14:paraId="11C59F55">
      <w:pPr>
        <w:pStyle w:val="4"/>
        <w:rPr>
          <w:rFonts w:ascii="Times New Roman" w:hAnsi="Times New Roman" w:eastAsia="宋体"/>
          <w:strike w:val="0"/>
          <w:dstrike w:val="0"/>
          <w:color w:val="auto"/>
          <w:highlight w:val="none"/>
        </w:rPr>
      </w:pPr>
      <w:bookmarkStart w:id="445" w:name="_Toc106663564"/>
      <w:bookmarkStart w:id="446" w:name="_Toc11530"/>
      <w:r>
        <w:rPr>
          <w:rFonts w:hint="eastAsia" w:ascii="Times New Roman" w:hAnsi="Times New Roman" w:eastAsia="宋体"/>
          <w:strike w:val="0"/>
          <w:dstrike w:val="0"/>
          <w:color w:val="auto"/>
          <w:highlight w:val="none"/>
        </w:rPr>
        <w:t>9.3.3声环境质量现状评价结论</w:t>
      </w:r>
      <w:bookmarkEnd w:id="445"/>
      <w:bookmarkEnd w:id="446"/>
    </w:p>
    <w:p w14:paraId="20BC334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项目建设地点声环境质量良好，各监测点昼夜间噪声均符合《声环境质量标准》（GB3096-2008）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2类声环境功能区噪声限值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6C8226E1">
      <w:pPr>
        <w:pStyle w:val="4"/>
        <w:rPr>
          <w:rFonts w:ascii="Times New Roman" w:hAnsi="Times New Roman" w:eastAsia="宋体"/>
          <w:strike w:val="0"/>
          <w:dstrike w:val="0"/>
          <w:color w:val="auto"/>
          <w:highlight w:val="none"/>
        </w:rPr>
      </w:pPr>
      <w:bookmarkStart w:id="447" w:name="_Toc106663565"/>
      <w:bookmarkStart w:id="448" w:name="_Toc20844"/>
      <w:r>
        <w:rPr>
          <w:rFonts w:hint="eastAsia" w:ascii="Times New Roman" w:hAnsi="Times New Roman" w:eastAsia="宋体"/>
          <w:strike w:val="0"/>
          <w:dstrike w:val="0"/>
          <w:color w:val="auto"/>
          <w:highlight w:val="none"/>
        </w:rPr>
        <w:t>9.3.4土壤环境质量现状评价结论</w:t>
      </w:r>
      <w:bookmarkEnd w:id="447"/>
      <w:bookmarkEnd w:id="448"/>
    </w:p>
    <w:p w14:paraId="05AB8B4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监测结果显示，本项目监测区内土壤环境质量满足</w:t>
      </w:r>
      <w:r>
        <w:rPr>
          <w:rFonts w:hint="eastAsia" w:ascii="Times New Roman" w:hAnsi="Times New Roman" w:eastAsia="宋体"/>
          <w:strike w:val="0"/>
          <w:dstrike w:val="0"/>
          <w:color w:val="auto"/>
          <w:highlight w:val="none"/>
          <w:lang w:eastAsia="zh-CN"/>
        </w:rPr>
        <w:t>《土壤环境质量农用地土壤污染风险管控标准（试行）》</w:t>
      </w:r>
      <w:r>
        <w:rPr>
          <w:rFonts w:hint="eastAsia" w:ascii="Times New Roman" w:hAnsi="Times New Roman" w:eastAsia="宋体"/>
          <w:strike w:val="0"/>
          <w:dstrike w:val="0"/>
          <w:color w:val="auto"/>
          <w:highlight w:val="none"/>
        </w:rPr>
        <w:t>（GB15618-2018）中农用地风险筛选值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项目建设地点</w:t>
      </w:r>
      <w:r>
        <w:rPr>
          <w:rFonts w:hint="eastAsia" w:ascii="Times New Roman" w:hAnsi="Times New Roman" w:eastAsia="宋体"/>
          <w:strike w:val="0"/>
          <w:dstrike w:val="0"/>
          <w:color w:val="auto"/>
          <w:highlight w:val="none"/>
          <w:lang w:val="en-US" w:eastAsia="zh-CN"/>
        </w:rPr>
        <w:t>土壤</w:t>
      </w:r>
      <w:r>
        <w:rPr>
          <w:rFonts w:hint="eastAsia" w:ascii="Times New Roman" w:hAnsi="Times New Roman" w:eastAsia="宋体"/>
          <w:strike w:val="0"/>
          <w:dstrike w:val="0"/>
          <w:color w:val="auto"/>
          <w:highlight w:val="none"/>
        </w:rPr>
        <w:t>环境质量良好</w:t>
      </w:r>
      <w:r>
        <w:rPr>
          <w:rFonts w:hint="eastAsia" w:ascii="Times New Roman" w:hAnsi="Times New Roman" w:eastAsia="宋体"/>
          <w:strike w:val="0"/>
          <w:dstrike w:val="0"/>
          <w:color w:val="auto"/>
          <w:highlight w:val="none"/>
          <w:lang w:eastAsia="zh-CN"/>
        </w:rPr>
        <w:t>。</w:t>
      </w:r>
    </w:p>
    <w:p w14:paraId="7078E4AD">
      <w:pPr>
        <w:pStyle w:val="3"/>
        <w:rPr>
          <w:rFonts w:ascii="Times New Roman" w:hAnsi="Times New Roman" w:eastAsia="宋体"/>
          <w:strike w:val="0"/>
          <w:dstrike w:val="0"/>
          <w:color w:val="auto"/>
          <w:highlight w:val="none"/>
        </w:rPr>
      </w:pPr>
      <w:bookmarkStart w:id="449" w:name="_Toc89619365"/>
      <w:bookmarkStart w:id="450" w:name="_Toc18642"/>
      <w:r>
        <w:rPr>
          <w:rFonts w:hint="eastAsia" w:ascii="Times New Roman" w:hAnsi="Times New Roman" w:eastAsia="宋体"/>
          <w:strike w:val="0"/>
          <w:dstrike w:val="0"/>
          <w:color w:val="auto"/>
          <w:highlight w:val="none"/>
        </w:rPr>
        <w:t>9.4环境影响评价结论</w:t>
      </w:r>
      <w:bookmarkEnd w:id="449"/>
      <w:bookmarkEnd w:id="450"/>
    </w:p>
    <w:p w14:paraId="6266AC26">
      <w:pPr>
        <w:pStyle w:val="4"/>
        <w:rPr>
          <w:rFonts w:ascii="Times New Roman" w:hAnsi="Times New Roman" w:eastAsia="宋体"/>
          <w:strike w:val="0"/>
          <w:dstrike w:val="0"/>
          <w:color w:val="auto"/>
          <w:highlight w:val="none"/>
        </w:rPr>
      </w:pPr>
      <w:bookmarkStart w:id="451" w:name="_Toc106663567"/>
      <w:bookmarkStart w:id="452" w:name="_Toc16492"/>
      <w:r>
        <w:rPr>
          <w:rFonts w:hint="eastAsia" w:ascii="Times New Roman" w:hAnsi="Times New Roman" w:eastAsia="宋体"/>
          <w:strike w:val="0"/>
          <w:dstrike w:val="0"/>
          <w:color w:val="auto"/>
          <w:highlight w:val="none"/>
        </w:rPr>
        <w:t>9.4.1大气环境影响评价结论</w:t>
      </w:r>
      <w:bookmarkEnd w:id="451"/>
      <w:bookmarkEnd w:id="452"/>
    </w:p>
    <w:p w14:paraId="4D9AAA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本项目运行期采取了积极有效的污染治理措施，各大气污染物对环境空气的贡献值均不大，并且可以达标排放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本项目防护距离为500m，周边500m范围内无敏感目标，所以项目运营过程中对周围环境空气影响不大</w:t>
      </w:r>
      <w:r>
        <w:rPr>
          <w:rFonts w:hint="eastAsia" w:ascii="Times New Roman" w:hAnsi="Times New Roman" w:eastAsia="宋体"/>
          <w:strike w:val="0"/>
          <w:dstrike w:val="0"/>
          <w:color w:val="auto"/>
          <w:highlight w:val="none"/>
          <w:lang w:eastAsia="zh-CN"/>
        </w:rPr>
        <w:t>。</w:t>
      </w:r>
    </w:p>
    <w:p w14:paraId="320CFE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因此，从环境空气的角度来看，本项目是可行的</w:t>
      </w:r>
      <w:r>
        <w:rPr>
          <w:rFonts w:hint="eastAsia" w:ascii="Times New Roman" w:hAnsi="Times New Roman" w:eastAsia="宋体"/>
          <w:strike w:val="0"/>
          <w:dstrike w:val="0"/>
          <w:color w:val="auto"/>
          <w:highlight w:val="none"/>
          <w:lang w:eastAsia="zh-CN"/>
        </w:rPr>
        <w:t>。</w:t>
      </w:r>
    </w:p>
    <w:p w14:paraId="1955468D">
      <w:pPr>
        <w:pStyle w:val="4"/>
        <w:rPr>
          <w:rFonts w:ascii="Times New Roman" w:hAnsi="Times New Roman" w:eastAsia="宋体"/>
          <w:strike w:val="0"/>
          <w:dstrike w:val="0"/>
          <w:color w:val="auto"/>
          <w:highlight w:val="none"/>
        </w:rPr>
      </w:pPr>
      <w:bookmarkStart w:id="453" w:name="_Toc106663568"/>
      <w:bookmarkStart w:id="454" w:name="_Toc24042"/>
      <w:r>
        <w:rPr>
          <w:rFonts w:hint="eastAsia" w:ascii="Times New Roman" w:hAnsi="Times New Roman" w:eastAsia="宋体"/>
          <w:strike w:val="0"/>
          <w:dstrike w:val="0"/>
          <w:color w:val="auto"/>
          <w:highlight w:val="none"/>
        </w:rPr>
        <w:t>9.4.2水环境影响评价结论</w:t>
      </w:r>
      <w:bookmarkEnd w:id="453"/>
      <w:bookmarkEnd w:id="454"/>
    </w:p>
    <w:p w14:paraId="7F9BE8B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本项目养殖产生的废水</w:t>
      </w:r>
      <w:r>
        <w:rPr>
          <w:rFonts w:hint="eastAsia" w:ascii="Times New Roman" w:hAnsi="Times New Roman" w:eastAsia="宋体"/>
          <w:strike w:val="0"/>
          <w:dstrike w:val="0"/>
          <w:color w:val="auto"/>
          <w:highlight w:val="none"/>
          <w:lang w:val="en-US" w:eastAsia="zh-CN"/>
        </w:rPr>
        <w:t>主要为生活污水和挤奶大厅清洗废水</w:t>
      </w:r>
      <w:r>
        <w:rPr>
          <w:rFonts w:ascii="Times New Roman" w:hAnsi="Times New Roman" w:eastAsia="宋体"/>
          <w:strike w:val="0"/>
          <w:dstrike w:val="0"/>
          <w:color w:val="auto"/>
          <w:highlight w:val="none"/>
        </w:rPr>
        <w:t>，主要污染物是CODcr、BOD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和SS，不含其它有毒有害物质</w:t>
      </w: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本项目废水不会进入地表水体，与地表水也不发生水力联系，对地表水环境影响不大</w:t>
      </w:r>
      <w:r>
        <w:rPr>
          <w:rFonts w:hint="eastAsia" w:ascii="Times New Roman" w:hAnsi="Times New Roman" w:eastAsia="宋体"/>
          <w:strike w:val="0"/>
          <w:dstrike w:val="0"/>
          <w:color w:val="auto"/>
          <w:highlight w:val="none"/>
          <w:lang w:eastAsia="zh-CN"/>
        </w:rPr>
        <w:t>。</w:t>
      </w:r>
    </w:p>
    <w:p w14:paraId="72BD68B4">
      <w:pPr>
        <w:pStyle w:val="4"/>
        <w:rPr>
          <w:rFonts w:ascii="Times New Roman" w:hAnsi="Times New Roman" w:eastAsia="宋体"/>
          <w:strike w:val="0"/>
          <w:dstrike w:val="0"/>
          <w:color w:val="auto"/>
          <w:highlight w:val="none"/>
        </w:rPr>
      </w:pPr>
      <w:bookmarkStart w:id="455" w:name="_Toc106663569"/>
      <w:bookmarkStart w:id="456" w:name="_Toc24442"/>
      <w:r>
        <w:rPr>
          <w:rFonts w:hint="eastAsia" w:ascii="Times New Roman" w:hAnsi="Times New Roman" w:eastAsia="宋体"/>
          <w:strike w:val="0"/>
          <w:dstrike w:val="0"/>
          <w:color w:val="auto"/>
          <w:highlight w:val="none"/>
        </w:rPr>
        <w:t>9.4.3声环境影响评价结论</w:t>
      </w:r>
      <w:bookmarkEnd w:id="455"/>
      <w:bookmarkEnd w:id="456"/>
    </w:p>
    <w:p w14:paraId="171938B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在落实本报告提出的各项噪声污染控制措施后，本项目运行期可满足《工业企业厂界环境噪声排放标准》（GB12348-2008）中的声环境2类功能区标准，对区域声环境的影响较小</w:t>
      </w:r>
      <w:r>
        <w:rPr>
          <w:rFonts w:hint="eastAsia" w:ascii="Times New Roman" w:hAnsi="Times New Roman" w:eastAsia="宋体"/>
          <w:strike w:val="0"/>
          <w:dstrike w:val="0"/>
          <w:color w:val="auto"/>
          <w:highlight w:val="none"/>
          <w:lang w:eastAsia="zh-CN"/>
        </w:rPr>
        <w:t>。</w:t>
      </w:r>
    </w:p>
    <w:p w14:paraId="07492468">
      <w:pPr>
        <w:pStyle w:val="4"/>
        <w:rPr>
          <w:rFonts w:ascii="Times New Roman" w:hAnsi="Times New Roman" w:eastAsia="宋体"/>
          <w:strike w:val="0"/>
          <w:dstrike w:val="0"/>
          <w:color w:val="auto"/>
          <w:highlight w:val="none"/>
        </w:rPr>
      </w:pPr>
      <w:bookmarkStart w:id="457" w:name="_Toc22497"/>
      <w:bookmarkStart w:id="458" w:name="_Toc106663570"/>
      <w:r>
        <w:rPr>
          <w:rFonts w:hint="eastAsia" w:ascii="Times New Roman" w:hAnsi="Times New Roman" w:eastAsia="宋体"/>
          <w:strike w:val="0"/>
          <w:dstrike w:val="0"/>
          <w:color w:val="auto"/>
          <w:highlight w:val="none"/>
        </w:rPr>
        <w:t>9.4.4固体废物环境影响分析结论</w:t>
      </w:r>
      <w:bookmarkEnd w:id="457"/>
      <w:bookmarkEnd w:id="458"/>
    </w:p>
    <w:p w14:paraId="735D7F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建设项目产生的固体废物均得到了妥善处置和利用，符合《畜禽养殖业污染防治技术规范》，所以本工程固体废物对环境的影响可以接受</w:t>
      </w:r>
      <w:r>
        <w:rPr>
          <w:rFonts w:hint="eastAsia" w:ascii="Times New Roman" w:hAnsi="Times New Roman" w:eastAsia="宋体"/>
          <w:strike w:val="0"/>
          <w:dstrike w:val="0"/>
          <w:color w:val="auto"/>
          <w:highlight w:val="none"/>
          <w:lang w:eastAsia="zh-CN"/>
        </w:rPr>
        <w:t>。</w:t>
      </w:r>
    </w:p>
    <w:p w14:paraId="52BD42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综上所述，项目在建设过程中加强管理，定期监测，无事故发生的前提下，从环境角度分析是可行的</w:t>
      </w:r>
      <w:r>
        <w:rPr>
          <w:rFonts w:hint="eastAsia" w:ascii="Times New Roman" w:hAnsi="Times New Roman" w:eastAsia="宋体"/>
          <w:strike w:val="0"/>
          <w:dstrike w:val="0"/>
          <w:color w:val="auto"/>
          <w:highlight w:val="none"/>
          <w:lang w:eastAsia="zh-CN"/>
        </w:rPr>
        <w:t>。</w:t>
      </w:r>
    </w:p>
    <w:p w14:paraId="405CDFFA">
      <w:pPr>
        <w:pStyle w:val="3"/>
        <w:rPr>
          <w:rFonts w:ascii="Times New Roman" w:hAnsi="Times New Roman" w:eastAsia="宋体"/>
          <w:strike w:val="0"/>
          <w:dstrike w:val="0"/>
          <w:color w:val="auto"/>
          <w:highlight w:val="none"/>
        </w:rPr>
      </w:pPr>
      <w:bookmarkStart w:id="459" w:name="_Toc89619366"/>
      <w:bookmarkStart w:id="460" w:name="_Toc5596"/>
      <w:r>
        <w:rPr>
          <w:rFonts w:hint="eastAsia" w:ascii="Times New Roman" w:hAnsi="Times New Roman" w:eastAsia="宋体"/>
          <w:strike w:val="0"/>
          <w:dstrike w:val="0"/>
          <w:color w:val="auto"/>
          <w:highlight w:val="none"/>
        </w:rPr>
        <w:t>9.5污染防治措施</w:t>
      </w:r>
      <w:bookmarkEnd w:id="459"/>
      <w:bookmarkEnd w:id="460"/>
    </w:p>
    <w:p w14:paraId="6DD1449A">
      <w:pPr>
        <w:pStyle w:val="4"/>
        <w:rPr>
          <w:rFonts w:ascii="Times New Roman" w:hAnsi="Times New Roman" w:eastAsia="宋体"/>
          <w:strike w:val="0"/>
          <w:dstrike w:val="0"/>
          <w:color w:val="auto"/>
          <w:highlight w:val="none"/>
        </w:rPr>
      </w:pPr>
      <w:bookmarkStart w:id="461" w:name="_Toc19206"/>
      <w:bookmarkStart w:id="462" w:name="_Toc106663572"/>
      <w:r>
        <w:rPr>
          <w:rFonts w:hint="eastAsia" w:ascii="Times New Roman" w:hAnsi="Times New Roman" w:eastAsia="宋体"/>
          <w:strike w:val="0"/>
          <w:dstrike w:val="0"/>
          <w:color w:val="auto"/>
          <w:highlight w:val="none"/>
        </w:rPr>
        <w:t>9.5.1大气环境保护措施</w:t>
      </w:r>
      <w:bookmarkEnd w:id="461"/>
      <w:bookmarkEnd w:id="462"/>
    </w:p>
    <w:p w14:paraId="4AFD737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施工期环境影响评价</w:t>
      </w:r>
    </w:p>
    <w:p w14:paraId="7185FEE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施工期间主要是噪声和扬尘对环境的影响，而这样的影响是短暂和间歇的，且周围环境简单，在采取一定的措施后，其对环境的影响会降至最小程度</w:t>
      </w:r>
      <w:r>
        <w:rPr>
          <w:rFonts w:hint="eastAsia" w:ascii="Times New Roman" w:hAnsi="Times New Roman" w:eastAsia="宋体"/>
          <w:strike w:val="0"/>
          <w:dstrike w:val="0"/>
          <w:color w:val="auto"/>
          <w:highlight w:val="none"/>
          <w:lang w:eastAsia="zh-CN"/>
        </w:rPr>
        <w:t>。</w:t>
      </w:r>
    </w:p>
    <w:p w14:paraId="748D1DB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运营期环境影响评价</w:t>
      </w:r>
    </w:p>
    <w:p w14:paraId="4EC7FAB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①大气环境影响评价</w:t>
      </w:r>
    </w:p>
    <w:p w14:paraId="42D41A7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根据预测结果，NH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和H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S最大地面空气质量浓度不大，占标率不高，为降低臭气对周围环境的影响，可采取以下措施：</w:t>
      </w:r>
      <w:r>
        <w:rPr>
          <w:rFonts w:hint="eastAsia" w:ascii="Times New Roman" w:hAnsi="Times New Roman" w:eastAsia="宋体"/>
          <w:strike w:val="0"/>
          <w:dstrike w:val="0"/>
          <w:color w:val="auto"/>
          <w:highlight w:val="none"/>
          <w:lang w:eastAsia="zh-CN"/>
        </w:rPr>
        <w:t>骆驼粪便</w:t>
      </w:r>
      <w:r>
        <w:rPr>
          <w:rFonts w:hint="eastAsia" w:ascii="Times New Roman" w:hAnsi="Times New Roman" w:eastAsia="宋体"/>
          <w:strike w:val="0"/>
          <w:dstrike w:val="0"/>
          <w:color w:val="auto"/>
          <w:highlight w:val="none"/>
          <w:lang w:val="en-US" w:eastAsia="zh-CN"/>
        </w:rPr>
        <w:t>定期清理</w:t>
      </w:r>
      <w:r>
        <w:rPr>
          <w:rFonts w:ascii="Times New Roman" w:hAnsi="Times New Roman" w:eastAsia="宋体"/>
          <w:strike w:val="0"/>
          <w:dstrike w:val="0"/>
          <w:color w:val="auto"/>
          <w:highlight w:val="none"/>
        </w:rPr>
        <w:t>、定期对易产生恶臭区域进行除臭液喷洒；在厂区周围设置绿化，吸收阻隔气味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通过采取以上措施，本项目恶臭污染物最大地面空气质量浓度均满足《环境影响评价技术导则大气环境》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附录D其他污染物空气质量浓度参考限值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因此，本项目运行期间恶臭气体对环境空气影响不大</w:t>
      </w:r>
      <w:r>
        <w:rPr>
          <w:rFonts w:hint="eastAsia" w:ascii="Times New Roman" w:hAnsi="Times New Roman" w:eastAsia="宋体"/>
          <w:strike w:val="0"/>
          <w:dstrike w:val="0"/>
          <w:color w:val="auto"/>
          <w:highlight w:val="none"/>
          <w:lang w:eastAsia="zh-CN"/>
        </w:rPr>
        <w:t>。</w:t>
      </w:r>
    </w:p>
    <w:p w14:paraId="1FFC175F">
      <w:pPr>
        <w:pStyle w:val="4"/>
        <w:rPr>
          <w:rFonts w:ascii="Times New Roman" w:hAnsi="Times New Roman" w:eastAsia="宋体"/>
          <w:strike w:val="0"/>
          <w:dstrike w:val="0"/>
          <w:color w:val="auto"/>
          <w:highlight w:val="none"/>
        </w:rPr>
      </w:pPr>
      <w:bookmarkStart w:id="463" w:name="_Toc106663573"/>
      <w:bookmarkStart w:id="464" w:name="_Toc28709"/>
      <w:r>
        <w:rPr>
          <w:rFonts w:hint="eastAsia" w:ascii="Times New Roman" w:hAnsi="Times New Roman" w:eastAsia="宋体"/>
          <w:strike w:val="0"/>
          <w:dstrike w:val="0"/>
          <w:color w:val="auto"/>
          <w:highlight w:val="none"/>
        </w:rPr>
        <w:t>9.5.2水环境保护措施</w:t>
      </w:r>
      <w:bookmarkEnd w:id="463"/>
      <w:bookmarkEnd w:id="464"/>
    </w:p>
    <w:p w14:paraId="12225C06">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9.5.2.1污水防治措施</w:t>
      </w:r>
    </w:p>
    <w:p w14:paraId="648411E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本项目养殖产生的废水</w:t>
      </w:r>
      <w:r>
        <w:rPr>
          <w:rFonts w:hint="eastAsia" w:ascii="Times New Roman" w:hAnsi="Times New Roman" w:eastAsia="宋体"/>
          <w:strike w:val="0"/>
          <w:dstrike w:val="0"/>
          <w:color w:val="auto"/>
          <w:highlight w:val="none"/>
          <w:lang w:val="en-US" w:eastAsia="zh-CN"/>
        </w:rPr>
        <w:t>主要为生活污水和生产废水</w:t>
      </w:r>
      <w:r>
        <w:rPr>
          <w:rFonts w:ascii="Times New Roman" w:hAnsi="Times New Roman" w:eastAsia="宋体"/>
          <w:strike w:val="0"/>
          <w:dstrike w:val="0"/>
          <w:color w:val="auto"/>
          <w:highlight w:val="none"/>
        </w:rPr>
        <w:t>，主要污染物是CODcr、BOD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和SS，不含其它有毒有害物质</w:t>
      </w: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本项目废水不会进入地表水体，与地表水也不发生水力联系，对地表水环境影响不大</w:t>
      </w:r>
      <w:r>
        <w:rPr>
          <w:rFonts w:hint="eastAsia" w:ascii="Times New Roman" w:hAnsi="Times New Roman" w:eastAsia="宋体"/>
          <w:strike w:val="0"/>
          <w:dstrike w:val="0"/>
          <w:color w:val="auto"/>
          <w:highlight w:val="none"/>
          <w:lang w:eastAsia="zh-CN"/>
        </w:rPr>
        <w:t>。</w:t>
      </w:r>
    </w:p>
    <w:p w14:paraId="4A69B53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9.5.2.2地下水污染防治措施</w:t>
      </w:r>
    </w:p>
    <w:p w14:paraId="6C655A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为防止对地下水造成污染，对厂区各区域分别采用不同的防渗措施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项目场地分为重点防渗区、一般防渗区和简单防渗区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一般工业固废临时贮存场所防渗效果应满足《一般工业固体废物贮存和填埋污染控制标准》（GB18599-2020）中的相关要求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危险废物储存场所防渗效果应满足《危险废物贮存污染控制标准》（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）中的有关要求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运营期厂区安排专人定期进行巡查，杜绝</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跑、冒、滴、漏</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等事故的发生，进行严格的防渗处理，从源头上防止污水进入地下水含水层之间</w:t>
      </w:r>
      <w:r>
        <w:rPr>
          <w:rFonts w:hint="eastAsia" w:ascii="Times New Roman" w:hAnsi="Times New Roman" w:eastAsia="宋体"/>
          <w:strike w:val="0"/>
          <w:dstrike w:val="0"/>
          <w:color w:val="auto"/>
          <w:highlight w:val="none"/>
          <w:lang w:eastAsia="zh-CN"/>
        </w:rPr>
        <w:t>。</w:t>
      </w:r>
    </w:p>
    <w:p w14:paraId="02C16B30">
      <w:pPr>
        <w:pStyle w:val="4"/>
        <w:rPr>
          <w:rFonts w:ascii="Times New Roman" w:hAnsi="Times New Roman" w:eastAsia="宋体"/>
          <w:strike w:val="0"/>
          <w:dstrike w:val="0"/>
          <w:color w:val="auto"/>
          <w:highlight w:val="none"/>
        </w:rPr>
      </w:pPr>
      <w:bookmarkStart w:id="465" w:name="_Toc15650"/>
      <w:bookmarkStart w:id="466" w:name="_Toc106663574"/>
      <w:r>
        <w:rPr>
          <w:rFonts w:hint="eastAsia" w:ascii="Times New Roman" w:hAnsi="Times New Roman" w:eastAsia="宋体"/>
          <w:strike w:val="0"/>
          <w:dstrike w:val="0"/>
          <w:color w:val="auto"/>
          <w:highlight w:val="none"/>
        </w:rPr>
        <w:t>9.5.3噪声</w:t>
      </w:r>
      <w:bookmarkEnd w:id="465"/>
      <w:bookmarkEnd w:id="466"/>
    </w:p>
    <w:p w14:paraId="125F103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本项目在建筑上采取隔声、吸声措施，在场区内外种植树木，以降低噪声向外辐射；通过合理布局生产车间，达到阻隔、衰减噪声的目的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降噪后厂界噪声值可达到《工业企业厂界环境噪声排放标准》（GB12348-2008）中的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w:t>
      </w:r>
      <w:r>
        <w:rPr>
          <w:rFonts w:hint="eastAsia" w:ascii="Times New Roman" w:hAnsi="Times New Roman" w:eastAsia="宋体"/>
          <w:strike w:val="0"/>
          <w:dstrike w:val="0"/>
          <w:color w:val="auto"/>
          <w:highlight w:val="none"/>
          <w:lang w:eastAsia="zh-CN"/>
        </w:rPr>
        <w:t>。</w:t>
      </w:r>
    </w:p>
    <w:p w14:paraId="49855049">
      <w:pPr>
        <w:pStyle w:val="4"/>
        <w:rPr>
          <w:rFonts w:ascii="Times New Roman" w:hAnsi="Times New Roman" w:eastAsia="宋体"/>
          <w:strike w:val="0"/>
          <w:dstrike w:val="0"/>
          <w:color w:val="auto"/>
          <w:highlight w:val="none"/>
        </w:rPr>
      </w:pPr>
      <w:bookmarkStart w:id="467" w:name="_Toc106663575"/>
      <w:bookmarkStart w:id="468" w:name="_Toc17037"/>
      <w:r>
        <w:rPr>
          <w:rFonts w:hint="eastAsia" w:ascii="Times New Roman" w:hAnsi="Times New Roman" w:eastAsia="宋体"/>
          <w:strike w:val="0"/>
          <w:dstrike w:val="0"/>
          <w:color w:val="auto"/>
          <w:highlight w:val="none"/>
        </w:rPr>
        <w:t>9.5.4固体废弃物</w:t>
      </w:r>
      <w:bookmarkEnd w:id="467"/>
      <w:bookmarkEnd w:id="468"/>
    </w:p>
    <w:p w14:paraId="25206B9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本项目产生的固体废物主要为</w:t>
      </w:r>
      <w:r>
        <w:rPr>
          <w:rFonts w:hint="eastAsia" w:ascii="Times New Roman" w:hAnsi="Times New Roman" w:eastAsia="宋体"/>
          <w:strike w:val="0"/>
          <w:dstrike w:val="0"/>
          <w:color w:val="auto"/>
          <w:highlight w:val="none"/>
          <w:lang w:eastAsia="zh-CN"/>
        </w:rPr>
        <w:t>骆</w:t>
      </w:r>
      <w:r>
        <w:rPr>
          <w:rFonts w:hint="eastAsia" w:ascii="Times New Roman" w:hAnsi="Times New Roman" w:eastAsia="宋体" w:cs="宋体"/>
          <w:strike w:val="0"/>
          <w:dstrike w:val="0"/>
          <w:color w:val="auto"/>
          <w:spacing w:val="0"/>
          <w:sz w:val="24"/>
          <w:szCs w:val="24"/>
          <w:highlight w:val="none"/>
          <w:lang w:eastAsia="zh-CN"/>
        </w:rPr>
        <w:t>骆驼粪便、病死骆驼、分娩废弃物（胎衣、死胎、胎盘附属物）、挤奶大厅废弃的一次性挤奶耗材、塑料奶管、废弃包装物、生活垃圾、医疗废物、黑膜池污泥</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本项目区产生的</w:t>
      </w:r>
      <w:r>
        <w:rPr>
          <w:rFonts w:hint="eastAsia" w:ascii="Times New Roman" w:hAnsi="Times New Roman" w:eastAsia="宋体" w:cs="宋体"/>
          <w:strike w:val="0"/>
          <w:dstrike w:val="0"/>
          <w:color w:val="auto"/>
          <w:spacing w:val="0"/>
          <w:position w:val="0"/>
          <w:sz w:val="24"/>
          <w:szCs w:val="24"/>
          <w:highlight w:val="none"/>
          <w:lang w:eastAsia="zh-CN"/>
        </w:rPr>
        <w:t>骆驼粪便</w:t>
      </w:r>
      <w:r>
        <w:rPr>
          <w:rFonts w:hint="eastAsia" w:ascii="Times New Roman" w:hAnsi="Times New Roman" w:eastAsia="宋体" w:cs="宋体"/>
          <w:strike w:val="0"/>
          <w:dstrike w:val="0"/>
          <w:color w:val="auto"/>
          <w:spacing w:val="0"/>
          <w:position w:val="0"/>
          <w:sz w:val="24"/>
          <w:szCs w:val="24"/>
          <w:highlight w:val="none"/>
          <w:lang w:val="en-US" w:eastAsia="zh-CN"/>
        </w:rPr>
        <w:t>清运至堆肥场，经发酵处理后作为有机肥外售</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val="en-US" w:eastAsia="zh-CN"/>
        </w:rPr>
        <w:t>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挤奶大厅废弃的一次性挤奶耗材、塑料奶管、废弃包装物</w:t>
      </w:r>
      <w:r>
        <w:rPr>
          <w:rFonts w:ascii="Times New Roman" w:hAnsi="Times New Roman" w:eastAsia="宋体" w:cs="宋体"/>
          <w:strike w:val="0"/>
          <w:dstrike w:val="0"/>
          <w:color w:val="auto"/>
          <w:spacing w:val="0"/>
          <w:position w:val="0"/>
          <w:sz w:val="24"/>
          <w:szCs w:val="24"/>
          <w:highlight w:val="none"/>
        </w:rPr>
        <w:t>进行外售，生活垃圾集中收集由当地环卫部门处置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医疗废物储存于</w:t>
      </w:r>
      <w:r>
        <w:rPr>
          <w:rFonts w:hint="eastAsia" w:ascii="Times New Roman" w:hAnsi="Times New Roman" w:eastAsia="宋体" w:cs="宋体"/>
          <w:strike w:val="0"/>
          <w:dstrike w:val="0"/>
          <w:color w:val="auto"/>
          <w:spacing w:val="0"/>
          <w:position w:val="0"/>
          <w:sz w:val="24"/>
          <w:szCs w:val="24"/>
          <w:highlight w:val="none"/>
          <w:lang w:eastAsia="zh-CN"/>
        </w:rPr>
        <w:t>医疗废物暂存间</w:t>
      </w:r>
      <w:r>
        <w:rPr>
          <w:rFonts w:ascii="Times New Roman" w:hAnsi="Times New Roman" w:eastAsia="宋体" w:cs="宋体"/>
          <w:strike w:val="0"/>
          <w:dstrike w:val="0"/>
          <w:color w:val="auto"/>
          <w:spacing w:val="0"/>
          <w:position w:val="0"/>
          <w:sz w:val="24"/>
          <w:szCs w:val="24"/>
          <w:highlight w:val="none"/>
        </w:rPr>
        <w:t>，交由有资质的单位进行处置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黑膜池污泥定期运至堆肥场，经过处理后作为同骆驼粪便一同作为有机肥外售</w:t>
      </w:r>
      <w:r>
        <w:rPr>
          <w:rFonts w:hint="eastAsia" w:ascii="Times New Roman" w:hAnsi="Times New Roman" w:eastAsia="宋体"/>
          <w:strike w:val="0"/>
          <w:dstrike w:val="0"/>
          <w:color w:val="auto"/>
          <w:highlight w:val="none"/>
          <w:lang w:eastAsia="zh-CN"/>
        </w:rPr>
        <w:t>。</w:t>
      </w:r>
    </w:p>
    <w:p w14:paraId="69F2345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综上分析，对固体废物采取相应治理措施后，固废可以得到合理处置，产生的固体废物对周围环境影响不大</w:t>
      </w:r>
      <w:r>
        <w:rPr>
          <w:rFonts w:hint="eastAsia" w:ascii="Times New Roman" w:hAnsi="Times New Roman" w:eastAsia="宋体"/>
          <w:strike w:val="0"/>
          <w:dstrike w:val="0"/>
          <w:color w:val="auto"/>
          <w:highlight w:val="none"/>
          <w:lang w:eastAsia="zh-CN"/>
        </w:rPr>
        <w:t>。</w:t>
      </w:r>
    </w:p>
    <w:p w14:paraId="3473DD65">
      <w:pPr>
        <w:pStyle w:val="3"/>
        <w:rPr>
          <w:rFonts w:ascii="Times New Roman" w:hAnsi="Times New Roman" w:eastAsia="宋体"/>
          <w:strike w:val="0"/>
          <w:dstrike w:val="0"/>
          <w:color w:val="auto"/>
          <w:highlight w:val="none"/>
        </w:rPr>
      </w:pPr>
      <w:bookmarkStart w:id="469" w:name="_Toc18644"/>
      <w:bookmarkStart w:id="470" w:name="_Toc89619367"/>
      <w:r>
        <w:rPr>
          <w:rFonts w:hint="eastAsia" w:ascii="Times New Roman" w:hAnsi="Times New Roman" w:eastAsia="宋体"/>
          <w:strike w:val="0"/>
          <w:dstrike w:val="0"/>
          <w:color w:val="auto"/>
          <w:highlight w:val="none"/>
        </w:rPr>
        <w:t>9.6公众意见采纳情况</w:t>
      </w:r>
      <w:bookmarkEnd w:id="469"/>
      <w:bookmarkEnd w:id="470"/>
    </w:p>
    <w:p w14:paraId="172D70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本项目建设单位严格按照《环境影响评价公众参与办法》（部令第4号）的规定，进行了的公众参与工作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首先在确定环评单位后，在环评互联网网站进行了第一次网上公示，并给出了公众意见表链接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报告初稿完成后在环评互联网进行了第二次网上公示，第二次网上公示给出了环评报告链接，并在项目所在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园户村镇公示栏内进行了公示张贴，同时在当地报纸上进行了两次公示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建设方拟报批前，在环评互联网进行了第三次信息公示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本项目在公示期间未收到公众通过网络、电话及书信等方式提出的意见</w:t>
      </w:r>
      <w:r>
        <w:rPr>
          <w:rFonts w:hint="eastAsia" w:ascii="Times New Roman" w:hAnsi="Times New Roman" w:eastAsia="宋体"/>
          <w:strike w:val="0"/>
          <w:dstrike w:val="0"/>
          <w:color w:val="auto"/>
          <w:highlight w:val="none"/>
          <w:lang w:eastAsia="zh-CN"/>
        </w:rPr>
        <w:t>。</w:t>
      </w:r>
    </w:p>
    <w:p w14:paraId="10BD0017">
      <w:pPr>
        <w:pStyle w:val="3"/>
        <w:rPr>
          <w:rFonts w:ascii="Times New Roman" w:hAnsi="Times New Roman" w:eastAsia="宋体"/>
          <w:strike w:val="0"/>
          <w:dstrike w:val="0"/>
          <w:color w:val="auto"/>
          <w:highlight w:val="none"/>
        </w:rPr>
      </w:pPr>
      <w:bookmarkStart w:id="471" w:name="_Toc89619368"/>
      <w:bookmarkStart w:id="472" w:name="_Toc8028"/>
      <w:r>
        <w:rPr>
          <w:rFonts w:hint="eastAsia" w:ascii="Times New Roman" w:hAnsi="Times New Roman" w:eastAsia="宋体"/>
          <w:strike w:val="0"/>
          <w:dstrike w:val="0"/>
          <w:color w:val="auto"/>
          <w:highlight w:val="none"/>
        </w:rPr>
        <w:t>9.7环境经济损益分析结论</w:t>
      </w:r>
      <w:bookmarkEnd w:id="471"/>
      <w:bookmarkEnd w:id="472"/>
    </w:p>
    <w:p w14:paraId="5C1B0F5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本项目的建设可提高养殖生产水平，提高经济效益，同时增加了就业机会，促进农村社会稳定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本项目建设达产后，经济效益较显著，环保投资合理，获得的环境效益显著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因此本项目的建设从环境经济损益的角度分析是可行的</w:t>
      </w:r>
      <w:r>
        <w:rPr>
          <w:rFonts w:hint="eastAsia" w:ascii="Times New Roman" w:hAnsi="Times New Roman" w:eastAsia="宋体"/>
          <w:strike w:val="0"/>
          <w:dstrike w:val="0"/>
          <w:color w:val="auto"/>
          <w:highlight w:val="none"/>
          <w:lang w:eastAsia="zh-CN"/>
        </w:rPr>
        <w:t>。</w:t>
      </w:r>
    </w:p>
    <w:p w14:paraId="02C33C3A">
      <w:pPr>
        <w:pStyle w:val="3"/>
        <w:rPr>
          <w:rFonts w:ascii="Times New Roman" w:hAnsi="Times New Roman" w:eastAsia="宋体"/>
          <w:strike w:val="0"/>
          <w:dstrike w:val="0"/>
          <w:color w:val="auto"/>
          <w:highlight w:val="none"/>
        </w:rPr>
      </w:pPr>
      <w:bookmarkStart w:id="473" w:name="_Toc89619369"/>
      <w:bookmarkStart w:id="474" w:name="_Toc6365"/>
      <w:r>
        <w:rPr>
          <w:rFonts w:hint="eastAsia" w:ascii="Times New Roman" w:hAnsi="Times New Roman" w:eastAsia="宋体"/>
          <w:strike w:val="0"/>
          <w:dstrike w:val="0"/>
          <w:color w:val="auto"/>
          <w:highlight w:val="none"/>
        </w:rPr>
        <w:t>9.8环境管理与监测结论</w:t>
      </w:r>
      <w:bookmarkEnd w:id="473"/>
      <w:bookmarkEnd w:id="474"/>
    </w:p>
    <w:p w14:paraId="01F867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本项目运行期通过加强建设和试运行期间的环境管理与监控，建立健全安全生产管理制度，制订科学严谨的操作规程，通过职工操作技能培训，提高危险识辨、防护和保护能力，落实责任到人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同时加强厂内各类设备包括污染治理设施的日常运行管理和维护，对生产设备进行定期检测，对关键设备进行不定期测试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增强岗位职责和环保、安全意识，保证生产设施和环保治理设施运行的可靠性、稳定性</w:t>
      </w:r>
      <w:r>
        <w:rPr>
          <w:rFonts w:hint="eastAsia" w:ascii="Times New Roman" w:hAnsi="Times New Roman" w:eastAsia="宋体"/>
          <w:strike w:val="0"/>
          <w:dstrike w:val="0"/>
          <w:color w:val="auto"/>
          <w:highlight w:val="none"/>
          <w:lang w:eastAsia="zh-CN"/>
        </w:rPr>
        <w:t>。</w:t>
      </w:r>
    </w:p>
    <w:p w14:paraId="6CEAA54A">
      <w:pPr>
        <w:pStyle w:val="3"/>
        <w:rPr>
          <w:rFonts w:ascii="Times New Roman" w:hAnsi="Times New Roman" w:eastAsia="宋体"/>
          <w:strike w:val="0"/>
          <w:dstrike w:val="0"/>
          <w:color w:val="auto"/>
          <w:highlight w:val="none"/>
        </w:rPr>
      </w:pPr>
      <w:bookmarkStart w:id="475" w:name="_Toc18811"/>
      <w:bookmarkStart w:id="476" w:name="_Toc89619370"/>
      <w:r>
        <w:rPr>
          <w:rFonts w:hint="eastAsia" w:ascii="Times New Roman" w:hAnsi="Times New Roman" w:eastAsia="宋体"/>
          <w:strike w:val="0"/>
          <w:dstrike w:val="0"/>
          <w:color w:val="auto"/>
          <w:highlight w:val="none"/>
        </w:rPr>
        <w:t>9.9总量控制</w:t>
      </w:r>
      <w:bookmarkEnd w:id="475"/>
      <w:bookmarkEnd w:id="476"/>
    </w:p>
    <w:p w14:paraId="691B96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本项目无需申请总量控制指标</w:t>
      </w:r>
      <w:r>
        <w:rPr>
          <w:rFonts w:hint="eastAsia" w:ascii="Times New Roman" w:hAnsi="Times New Roman" w:eastAsia="宋体"/>
          <w:strike w:val="0"/>
          <w:dstrike w:val="0"/>
          <w:color w:val="auto"/>
          <w:highlight w:val="none"/>
          <w:lang w:eastAsia="zh-CN"/>
        </w:rPr>
        <w:t>。</w:t>
      </w:r>
    </w:p>
    <w:p w14:paraId="66DACD89">
      <w:pPr>
        <w:pStyle w:val="3"/>
        <w:rPr>
          <w:rFonts w:ascii="Times New Roman" w:hAnsi="Times New Roman" w:eastAsia="宋体"/>
          <w:strike w:val="0"/>
          <w:dstrike w:val="0"/>
          <w:color w:val="auto"/>
          <w:highlight w:val="none"/>
        </w:rPr>
      </w:pPr>
      <w:bookmarkStart w:id="477" w:name="_Toc89619371"/>
      <w:bookmarkStart w:id="478" w:name="_Toc25327"/>
      <w:r>
        <w:rPr>
          <w:rFonts w:hint="eastAsia" w:ascii="Times New Roman" w:hAnsi="Times New Roman" w:eastAsia="宋体"/>
          <w:strike w:val="0"/>
          <w:dstrike w:val="0"/>
          <w:color w:val="auto"/>
          <w:highlight w:val="none"/>
        </w:rPr>
        <w:t>9.10综合结论</w:t>
      </w:r>
      <w:bookmarkEnd w:id="477"/>
      <w:bookmarkEnd w:id="478"/>
    </w:p>
    <w:p w14:paraId="3F3FDD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本项目符合国家产业政策和相关规划，选址合理，在认真贯彻执行国家环保法律、法规，严格落实环评规定的各项环保措施，加强环境管理情况下，污染物的排放可以满足达标排放的要求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本项目具有良好的经济效益、社会效益和环境效益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公众参与调查工作中，未收到公众对该项目的相关意见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本项目符合环保部发布《关于以改善环境质量为核心加强环评管理的通知》关于</w:t>
      </w:r>
      <w:r>
        <w:rPr>
          <w:rFonts w:hint="eastAsia" w:ascii="Times New Roman" w:hAnsi="Times New Roman" w:eastAsia="宋体"/>
          <w:strike w:val="0"/>
          <w:dstrike w:val="0"/>
          <w:color w:val="auto"/>
          <w:highlight w:val="none"/>
          <w:lang w:val="en-US" w:eastAsia="zh-CN"/>
        </w:rPr>
        <w:t>生态环境分区管控要求</w:t>
      </w:r>
      <w:r>
        <w:rPr>
          <w:rFonts w:hint="eastAsia" w:ascii="Times New Roman" w:hAnsi="Times New Roman" w:eastAsia="宋体"/>
          <w:strike w:val="0"/>
          <w:dstrike w:val="0"/>
          <w:color w:val="auto"/>
          <w:highlight w:val="none"/>
          <w:lang w:eastAsia="zh-CN"/>
        </w:rPr>
        <w:t>。</w:t>
      </w:r>
    </w:p>
    <w:p w14:paraId="7BF651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因此，从环保角度考虑，本项目的建设是可行的</w:t>
      </w:r>
      <w:r>
        <w:rPr>
          <w:rFonts w:hint="eastAsia" w:ascii="Times New Roman" w:hAnsi="Times New Roman" w:eastAsia="宋体"/>
          <w:strike w:val="0"/>
          <w:dstrike w:val="0"/>
          <w:color w:val="auto"/>
          <w:highlight w:val="none"/>
          <w:lang w:eastAsia="zh-CN"/>
        </w:rPr>
        <w:t>。</w:t>
      </w:r>
    </w:p>
    <w:p w14:paraId="785B6EC8">
      <w:pPr>
        <w:pStyle w:val="3"/>
        <w:rPr>
          <w:rFonts w:ascii="Times New Roman" w:hAnsi="Times New Roman" w:eastAsia="宋体"/>
          <w:strike w:val="0"/>
          <w:dstrike w:val="0"/>
          <w:color w:val="auto"/>
          <w:highlight w:val="none"/>
        </w:rPr>
      </w:pPr>
      <w:bookmarkStart w:id="479" w:name="_Toc19610"/>
      <w:bookmarkStart w:id="480" w:name="_Toc89619372"/>
      <w:r>
        <w:rPr>
          <w:rFonts w:hint="eastAsia" w:ascii="Times New Roman" w:hAnsi="Times New Roman" w:eastAsia="宋体"/>
          <w:strike w:val="0"/>
          <w:dstrike w:val="0"/>
          <w:color w:val="auto"/>
          <w:highlight w:val="none"/>
        </w:rPr>
        <w:t>9.11要求</w:t>
      </w:r>
      <w:bookmarkEnd w:id="479"/>
      <w:bookmarkEnd w:id="480"/>
    </w:p>
    <w:p w14:paraId="08DA27E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（1）建设单位在本项目实施过程中，应认真落实本项目提到的各项治理措施，加强对环保设施的运行管理，制定有效的管理规章制度，建立环保管理机制，防止出现事故性和非正常污染排放</w:t>
      </w:r>
      <w:r>
        <w:rPr>
          <w:rFonts w:hint="eastAsia" w:ascii="Times New Roman" w:hAnsi="Times New Roman" w:eastAsia="宋体"/>
          <w:strike w:val="0"/>
          <w:dstrike w:val="0"/>
          <w:color w:val="auto"/>
          <w:highlight w:val="none"/>
          <w:lang w:eastAsia="zh-CN"/>
        </w:rPr>
        <w:t>。</w:t>
      </w:r>
    </w:p>
    <w:p w14:paraId="605E170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（2）建设单位在项目实施过程中应严格执行原国家环保总局颁布的《畜禽养殖业污染防治技术规范》（HJ/T81-2001）</w:t>
      </w:r>
      <w:r>
        <w:rPr>
          <w:rFonts w:hint="eastAsia" w:ascii="Times New Roman" w:hAnsi="Times New Roman" w:eastAsia="宋体"/>
          <w:strike w:val="0"/>
          <w:dstrike w:val="0"/>
          <w:color w:val="auto"/>
          <w:highlight w:val="none"/>
          <w:lang w:eastAsia="zh-CN"/>
        </w:rPr>
        <w:t>。</w:t>
      </w:r>
    </w:p>
    <w:p w14:paraId="312669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（3）严格执行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制度，落实各项环保措施，平时注意各项环保设施的维护，及时发现处理设备的隐患，确保处理系统正常运行；开、停、检修要有预案，有严密周全的计划，确保不发生非正常排放</w:t>
      </w:r>
      <w:r>
        <w:rPr>
          <w:rFonts w:hint="eastAsia" w:ascii="Times New Roman" w:hAnsi="Times New Roman" w:eastAsia="宋体"/>
          <w:strike w:val="0"/>
          <w:dstrike w:val="0"/>
          <w:color w:val="auto"/>
          <w:highlight w:val="none"/>
          <w:lang w:eastAsia="zh-CN"/>
        </w:rPr>
        <w:t>。</w:t>
      </w:r>
    </w:p>
    <w:p w14:paraId="64D609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（4）饲养人员每年应至少进行一次身体检查，如发现患有危害人、畜禽的传染病者，应及时调离，以防传染</w:t>
      </w:r>
      <w:r>
        <w:rPr>
          <w:rFonts w:hint="eastAsia" w:ascii="Times New Roman" w:hAnsi="Times New Roman" w:eastAsia="宋体"/>
          <w:strike w:val="0"/>
          <w:dstrike w:val="0"/>
          <w:color w:val="auto"/>
          <w:highlight w:val="none"/>
          <w:lang w:eastAsia="zh-CN"/>
        </w:rPr>
        <w:t>。</w:t>
      </w:r>
    </w:p>
    <w:p w14:paraId="03DE2AD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（5）落实环境监测计划</w:t>
      </w:r>
      <w:r>
        <w:rPr>
          <w:rFonts w:hint="eastAsia" w:ascii="Times New Roman" w:hAnsi="Times New Roman" w:eastAsia="宋体"/>
          <w:strike w:val="0"/>
          <w:dstrike w:val="0"/>
          <w:color w:val="auto"/>
          <w:highlight w:val="none"/>
          <w:lang w:eastAsia="zh-CN"/>
        </w:rPr>
        <w:t>。</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Noto Sans CJK JP Regular">
    <w:altName w:val="Arial"/>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hicago">
    <w:altName w:val="Arial"/>
    <w:panose1 w:val="00000000000000000000"/>
    <w:charset w:val="00"/>
    <w:family w:val="swiss"/>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Segoe UI Symbol">
    <w:panose1 w:val="020B0502040204020203"/>
    <w:charset w:val="00"/>
    <w:family w:val="auto"/>
    <w:pitch w:val="default"/>
    <w:sig w:usb0="800001E3" w:usb1="1200FFEF" w:usb2="00040000" w:usb3="04000000" w:csb0="00000001" w:csb1="40000000"/>
  </w:font>
  <w:font w:name="KSOF6B657194">
    <w:panose1 w:val="02020500000000000000"/>
    <w:charset w:val="88"/>
    <w:family w:val="auto"/>
    <w:pitch w:val="default"/>
    <w:sig w:usb0="00000001" w:usb1="00000000" w:usb2="00000000" w:usb3="00000000" w:csb0="00100001" w:csb1="00000000"/>
  </w:font>
  <w:font w:name="KSOFA61C387F">
    <w:panose1 w:val="020B060403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C4B2">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A9473">
                          <w:pPr>
                            <w:pStyle w:val="26"/>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77A9473">
                    <w:pPr>
                      <w:pStyle w:val="26"/>
                    </w:pPr>
                    <w:r>
                      <w:fldChar w:fldCharType="begin"/>
                    </w:r>
                    <w:r>
                      <w:instrText xml:space="preserve"> PAGE  \* MERGEFORMAT </w:instrText>
                    </w:r>
                    <w:r>
                      <w:fldChar w:fldCharType="separate"/>
                    </w:r>
                    <w:r>
                      <w:t>IX</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740CA">
    <w:pPr>
      <w:spacing w:line="224" w:lineRule="auto"/>
      <w:ind w:left="4856"/>
      <w:rPr>
        <w:rFonts w:hint="eastAsia" w:ascii="等线" w:hAnsi="等线" w:eastAsia="宋体" w:cs="等线"/>
        <w:sz w:val="18"/>
        <w:szCs w:val="18"/>
        <w:lang w:eastAsia="zh-CN"/>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17F45">
                          <w:pPr>
                            <w:pStyle w:val="26"/>
                          </w:pPr>
                          <w:r>
                            <w:fldChar w:fldCharType="begin"/>
                          </w:r>
                          <w:r>
                            <w:instrText xml:space="preserve"> PAGE  \* MERGEFORMAT </w:instrText>
                          </w:r>
                          <w:r>
                            <w:fldChar w:fldCharType="separate"/>
                          </w:r>
                          <w:r>
                            <w:t>LXXXV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0E217F45">
                    <w:pPr>
                      <w:pStyle w:val="26"/>
                    </w:pPr>
                    <w:r>
                      <w:fldChar w:fldCharType="begin"/>
                    </w:r>
                    <w:r>
                      <w:instrText xml:space="preserve"> PAGE  \* MERGEFORMAT </w:instrText>
                    </w:r>
                    <w:r>
                      <w:fldChar w:fldCharType="separate"/>
                    </w:r>
                    <w:r>
                      <w:t>LXXXV</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09BE9">
    <w:pPr>
      <w:pStyle w:val="26"/>
      <w:ind w:firstLine="360"/>
      <w:jc w:val="cente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88FFA">
                          <w:pPr>
                            <w:pStyle w:val="26"/>
                          </w:pPr>
                          <w:r>
                            <w:fldChar w:fldCharType="begin"/>
                          </w:r>
                          <w:r>
                            <w:instrText xml:space="preserve"> PAGE  \* MERGEFORMAT </w:instrText>
                          </w:r>
                          <w:r>
                            <w:fldChar w:fldCharType="separate"/>
                          </w:r>
                          <w:r>
                            <w:t>XCIX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14:paraId="23B88FFA">
                    <w:pPr>
                      <w:pStyle w:val="26"/>
                    </w:pPr>
                    <w:r>
                      <w:fldChar w:fldCharType="begin"/>
                    </w:r>
                    <w:r>
                      <w:instrText xml:space="preserve"> PAGE  \* MERGEFORMAT </w:instrText>
                    </w:r>
                    <w:r>
                      <w:fldChar w:fldCharType="separate"/>
                    </w:r>
                    <w:r>
                      <w:t>XCIX</w:t>
                    </w:r>
                    <w:r>
                      <w:fldChar w:fldCharType="end"/>
                    </w:r>
                  </w:p>
                </w:txbxContent>
              </v:textbox>
            </v:shape>
          </w:pict>
        </mc:Fallback>
      </mc:AlternateContent>
    </w:r>
  </w:p>
  <w:p w14:paraId="704BE99D">
    <w:pPr>
      <w:pStyle w:val="12"/>
      <w:kinsoku w:val="0"/>
      <w:overflowPunct w:val="0"/>
      <w:spacing w:line="14" w:lineRule="auto"/>
      <w:rPr>
        <w:rFonts w:eastAsia="等线"/>
        <w:sz w:val="20"/>
        <w:szCs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8B29">
    <w:pPr>
      <w:spacing w:line="1" w:lineRule="exact"/>
      <w:ind w:firstLine="480"/>
    </w:pPr>
    <w:r>
      <w:rPr>
        <w:sz w:val="24"/>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A099B">
                          <w:pPr>
                            <w:pStyle w:val="26"/>
                          </w:pPr>
                          <w:r>
                            <w:fldChar w:fldCharType="begin"/>
                          </w:r>
                          <w:r>
                            <w:instrText xml:space="preserve"> PAGE  \* MERGEFORMAT </w:instrText>
                          </w:r>
                          <w:r>
                            <w:fldChar w:fldCharType="separate"/>
                          </w:r>
                          <w:r>
                            <w:t>CXLI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T7t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k+7WNAIAAGUEAAAOAAAAAAAAAAEAIAAAAB8BAABkcnMvZTJvRG9jLnhtbFBL&#10;BQYAAAAABgAGAFkBAADFBQAAAAA=&#10;">
              <v:fill on="f" focussize="0,0"/>
              <v:stroke on="f" weight="0.5pt"/>
              <v:imagedata o:title=""/>
              <o:lock v:ext="edit" aspectratio="f"/>
              <v:textbox inset="0mm,0mm,0mm,0mm" style="mso-fit-shape-to-text:t;">
                <w:txbxContent>
                  <w:p w14:paraId="73BA099B">
                    <w:pPr>
                      <w:pStyle w:val="26"/>
                    </w:pPr>
                    <w:r>
                      <w:fldChar w:fldCharType="begin"/>
                    </w:r>
                    <w:r>
                      <w:instrText xml:space="preserve"> PAGE  \* MERGEFORMAT </w:instrText>
                    </w:r>
                    <w:r>
                      <w:fldChar w:fldCharType="separate"/>
                    </w:r>
                    <w:r>
                      <w:t>CXLI</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0F49F">
    <w:pPr>
      <w:spacing w:line="1" w:lineRule="exact"/>
      <w:ind w:firstLine="480"/>
    </w:pPr>
    <w:r>
      <w:rPr>
        <w:sz w:val="24"/>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E4200">
                          <w:pPr>
                            <w:pStyle w:val="26"/>
                          </w:pPr>
                          <w:r>
                            <w:fldChar w:fldCharType="begin"/>
                          </w:r>
                          <w:r>
                            <w:instrText xml:space="preserve"> PAGE  \* MERGEFORMAT </w:instrText>
                          </w:r>
                          <w:r>
                            <w:fldChar w:fldCharType="separate"/>
                          </w:r>
                          <w:r>
                            <w:t>CXL</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043E4200">
                    <w:pPr>
                      <w:pStyle w:val="26"/>
                    </w:pPr>
                    <w:r>
                      <w:fldChar w:fldCharType="begin"/>
                    </w:r>
                    <w:r>
                      <w:instrText xml:space="preserve"> PAGE  \* MERGEFORMAT </w:instrText>
                    </w:r>
                    <w:r>
                      <w:fldChar w:fldCharType="separate"/>
                    </w:r>
                    <w:r>
                      <w:t>CXL</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5600B">
    <w:pPr>
      <w:spacing w:line="224" w:lineRule="auto"/>
      <w:ind w:left="4546"/>
      <w:rPr>
        <w:rFonts w:hint="eastAsia" w:ascii="等线" w:hAnsi="等线" w:eastAsia="宋体" w:cs="等线"/>
        <w:sz w:val="18"/>
        <w:szCs w:val="18"/>
        <w:lang w:eastAsia="zh-CN"/>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06D8F">
                          <w:pPr>
                            <w:pStyle w:val="26"/>
                          </w:pPr>
                          <w:r>
                            <w:fldChar w:fldCharType="begin"/>
                          </w:r>
                          <w:r>
                            <w:instrText xml:space="preserve"> PAGE  \* MERGEFORMAT </w:instrText>
                          </w:r>
                          <w:r>
                            <w:fldChar w:fldCharType="separate"/>
                          </w:r>
                          <w:r>
                            <w:t>CLXI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16F06D8F">
                    <w:pPr>
                      <w:pStyle w:val="26"/>
                    </w:pPr>
                    <w:r>
                      <w:fldChar w:fldCharType="begin"/>
                    </w:r>
                    <w:r>
                      <w:instrText xml:space="preserve"> PAGE  \* MERGEFORMAT </w:instrText>
                    </w:r>
                    <w:r>
                      <w:fldChar w:fldCharType="separate"/>
                    </w:r>
                    <w:r>
                      <w:t>CLXI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C4A45">
    <w:pPr>
      <w:pStyle w:val="26"/>
      <w:ind w:firstLine="420"/>
      <w:rPr>
        <w:sz w:val="21"/>
        <w:szCs w:val="21"/>
      </w:rPr>
    </w:pPr>
    <w:r>
      <w:rPr>
        <w:sz w:val="21"/>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7C6A1">
                          <w:pPr>
                            <w:pStyle w:val="26"/>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5927C6A1">
                    <w:pPr>
                      <w:pStyle w:val="26"/>
                    </w:pPr>
                    <w:r>
                      <w:fldChar w:fldCharType="begin"/>
                    </w:r>
                    <w:r>
                      <w:instrText xml:space="preserve"> PAGE  \* MERGEFORMAT </w:instrText>
                    </w:r>
                    <w:r>
                      <w:fldChar w:fldCharType="separate"/>
                    </w:r>
                    <w:r>
                      <w:t>X</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359D">
    <w:pPr>
      <w:pStyle w:val="26"/>
      <w:ind w:firstLine="360"/>
      <w:jc w:val="cente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94196">
                          <w:pPr>
                            <w:pStyle w:val="26"/>
                          </w:pPr>
                          <w:r>
                            <w:fldChar w:fldCharType="begin"/>
                          </w:r>
                          <w:r>
                            <w:instrText xml:space="preserve"> PAGE  \* MERGEFORMAT </w:instrText>
                          </w:r>
                          <w:r>
                            <w:fldChar w:fldCharType="separate"/>
                          </w:r>
                          <w:r>
                            <w:t>VIII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61B94196">
                    <w:pPr>
                      <w:pStyle w:val="26"/>
                    </w:pPr>
                    <w:r>
                      <w:fldChar w:fldCharType="begin"/>
                    </w:r>
                    <w:r>
                      <w:instrText xml:space="preserve"> PAGE  \* MERGEFORMAT </w:instrText>
                    </w:r>
                    <w:r>
                      <w:fldChar w:fldCharType="separate"/>
                    </w:r>
                    <w:r>
                      <w:t>VIII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57F3">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B10BC">
                          <w:pPr>
                            <w:pStyle w:val="26"/>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666B10BC">
                    <w:pPr>
                      <w:pStyle w:val="26"/>
                    </w:pPr>
                    <w:r>
                      <w:fldChar w:fldCharType="begin"/>
                    </w:r>
                    <w:r>
                      <w:instrText xml:space="preserve"> PAGE  \* MERGEFORMAT </w:instrText>
                    </w:r>
                    <w:r>
                      <w:fldChar w:fldCharType="separate"/>
                    </w:r>
                    <w:r>
                      <w:t>IX</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F91C3">
    <w:pPr>
      <w:pStyle w:val="26"/>
      <w:ind w:firstLine="420"/>
      <w:rPr>
        <w:sz w:val="21"/>
        <w:szCs w:val="21"/>
      </w:rPr>
    </w:pPr>
    <w:r>
      <w:rPr>
        <w:sz w:val="21"/>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D9146">
                          <w:pPr>
                            <w:pStyle w:val="2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103D9146">
                    <w:pPr>
                      <w:pStyle w:val="2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C578">
    <w:pPr>
      <w:pStyle w:val="26"/>
      <w:ind w:firstLine="360"/>
      <w:jc w:val="cente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624CB">
                          <w:pPr>
                            <w:pStyle w:val="2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357624CB">
                    <w:pPr>
                      <w:pStyle w:val="2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BC3FF">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531DA">
                          <w:pPr>
                            <w:pStyle w:val="26"/>
                          </w:pPr>
                          <w:r>
                            <w:fldChar w:fldCharType="begin"/>
                          </w:r>
                          <w:r>
                            <w:instrText xml:space="preserve"> PAGE  \* MERGEFORMAT </w:instrText>
                          </w:r>
                          <w:r>
                            <w:fldChar w:fldCharType="separate"/>
                          </w:r>
                          <w:r>
                            <w:t>XVII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675531DA">
                    <w:pPr>
                      <w:pStyle w:val="26"/>
                    </w:pPr>
                    <w:r>
                      <w:fldChar w:fldCharType="begin"/>
                    </w:r>
                    <w:r>
                      <w:instrText xml:space="preserve"> PAGE  \* MERGEFORMAT </w:instrText>
                    </w:r>
                    <w:r>
                      <w:fldChar w:fldCharType="separate"/>
                    </w:r>
                    <w:r>
                      <w:t>XVII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23EE">
    <w:pPr>
      <w:keepNext w:val="0"/>
      <w:keepLines w:val="0"/>
      <w:pageBreakBefore w:val="0"/>
      <w:widowControl w:val="0"/>
      <w:kinsoku/>
      <w:wordWrap/>
      <w:overflowPunct/>
      <w:topLinePunct w:val="0"/>
      <w:autoSpaceDE/>
      <w:autoSpaceDN/>
      <w:bidi w:val="0"/>
      <w:adjustRightInd/>
      <w:snapToGrid/>
      <w:spacing w:line="224" w:lineRule="auto"/>
      <w:ind w:right="0" w:firstLine="0" w:firstLineChars="0"/>
      <w:jc w:val="center"/>
      <w:textAlignment w:val="auto"/>
      <w:rPr>
        <w:rFonts w:ascii="等线" w:hAnsi="等线" w:eastAsia="等线" w:cs="等线"/>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3A70D">
                          <w:pPr>
                            <w:pStyle w:val="26"/>
                          </w:pPr>
                          <w:r>
                            <w:fldChar w:fldCharType="begin"/>
                          </w:r>
                          <w:r>
                            <w:instrText xml:space="preserve"> PAGE  \* MERGEFORMAT </w:instrText>
                          </w:r>
                          <w:r>
                            <w:fldChar w:fldCharType="separate"/>
                          </w:r>
                          <w:r>
                            <w:t>XLIII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0B93A70D">
                    <w:pPr>
                      <w:pStyle w:val="26"/>
                    </w:pPr>
                    <w:r>
                      <w:fldChar w:fldCharType="begin"/>
                    </w:r>
                    <w:r>
                      <w:instrText xml:space="preserve"> PAGE  \* MERGEFORMAT </w:instrText>
                    </w:r>
                    <w:r>
                      <w:fldChar w:fldCharType="separate"/>
                    </w:r>
                    <w:r>
                      <w:t>XLIII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4B902">
    <w:pPr>
      <w:spacing w:line="224" w:lineRule="auto"/>
      <w:ind w:left="4281"/>
      <w:rPr>
        <w:rFonts w:ascii="等线" w:hAnsi="等线" w:eastAsia="等线" w:cs="等线"/>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4C867">
                          <w:pPr>
                            <w:pStyle w:val="26"/>
                          </w:pPr>
                          <w:r>
                            <w:fldChar w:fldCharType="begin"/>
                          </w:r>
                          <w:r>
                            <w:instrText xml:space="preserve"> PAGE  \* MERGEFORMAT </w:instrText>
                          </w:r>
                          <w:r>
                            <w:fldChar w:fldCharType="separate"/>
                          </w:r>
                          <w:r>
                            <w:t>LXXI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7404C867">
                    <w:pPr>
                      <w:pStyle w:val="26"/>
                    </w:pPr>
                    <w:r>
                      <w:fldChar w:fldCharType="begin"/>
                    </w:r>
                    <w:r>
                      <w:instrText xml:space="preserve"> PAGE  \* MERGEFORMAT </w:instrText>
                    </w:r>
                    <w:r>
                      <w:fldChar w:fldCharType="separate"/>
                    </w:r>
                    <w:r>
                      <w:t>LXXI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C31DF">
    <w:pPr>
      <w:keepNext w:val="0"/>
      <w:keepLines w:val="0"/>
      <w:pageBreakBefore w:val="0"/>
      <w:widowControl w:val="0"/>
      <w:kinsoku/>
      <w:wordWrap/>
      <w:overflowPunct/>
      <w:topLinePunct w:val="0"/>
      <w:bidi w:val="0"/>
      <w:adjustRightInd/>
      <w:snapToGrid/>
      <w:spacing w:line="360" w:lineRule="auto"/>
      <w:ind w:left="0" w:firstLine="0" w:firstLineChars="0"/>
      <w:jc w:val="center"/>
      <w:textAlignment w:val="auto"/>
      <w:rPr>
        <w:rFonts w:ascii="等线" w:hAnsi="等线" w:eastAsia="等线" w:cs="等线"/>
        <w:sz w:val="18"/>
        <w:szCs w:val="18"/>
      </w:rPr>
    </w:pPr>
    <w:r>
      <mc:AlternateContent>
        <mc:Choice Requires="wps">
          <w:drawing>
            <wp:anchor distT="0" distB="0" distL="114300" distR="114300" simplePos="0" relativeHeight="251740160" behindDoc="0" locked="0" layoutInCell="0" allowOverlap="1">
              <wp:simplePos x="0" y="0"/>
              <wp:positionH relativeFrom="page">
                <wp:posOffset>1122045</wp:posOffset>
              </wp:positionH>
              <wp:positionV relativeFrom="page">
                <wp:posOffset>708660</wp:posOffset>
              </wp:positionV>
              <wp:extent cx="5317490" cy="9525"/>
              <wp:effectExtent l="0" t="0" r="0" b="0"/>
              <wp:wrapNone/>
              <wp:docPr id="40" name="任意多边形 40"/>
              <wp:cNvGraphicFramePr/>
              <a:graphic xmlns:a="http://schemas.openxmlformats.org/drawingml/2006/main">
                <a:graphicData uri="http://schemas.microsoft.com/office/word/2010/wordprocessingShape">
                  <wps:wsp>
                    <wps:cNvSpPr/>
                    <wps:spPr>
                      <a:xfrm>
                        <a:off x="0" y="0"/>
                        <a:ext cx="5317490" cy="9525"/>
                      </a:xfrm>
                      <a:custGeom>
                        <a:avLst/>
                        <a:gdLst/>
                        <a:ahLst/>
                        <a:cxnLst/>
                        <a:pathLst>
                          <a:path w="8374" h="15">
                            <a:moveTo>
                              <a:pt x="0" y="14"/>
                            </a:moveTo>
                            <a:lnTo>
                              <a:pt x="8373" y="14"/>
                            </a:lnTo>
                            <a:lnTo>
                              <a:pt x="837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35pt;margin-top:55.8pt;height:0.75pt;width:418.7pt;mso-position-horizontal-relative:page;mso-position-vertical-relative:page;z-index:251740160;mso-width-relative:page;mso-height-relative:page;" fillcolor="#000000" filled="t" stroked="f" coordsize="8374,15" o:allowincell="f" o:gfxdata="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H5k3WAAAADAEAAA8AAAAA&#10;AAAAAQAgAAAAIgAAAGRycy9kb3ducmV2LnhtbFBLAQIUABQAAAAIAIdO4kAPebfxFgIAAH4EAAAO&#10;AAAAAAAAAAEAIAAAACUBAABkcnMvZTJvRG9jLnhtbFBLBQYAAAAABgAGAFkBAACtBQAAAAA=&#10;" path="m0,14l8373,14,8373,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w:t>
    </w:r>
    <w:r>
      <w:rPr>
        <w:rFonts w:ascii="等线" w:hAnsi="等线" w:eastAsia="等线" w:cs="等线"/>
        <w:sz w:val="18"/>
        <w:szCs w:val="18"/>
      </w:rPr>
      <w:t>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7B051">
    <w:pPr>
      <w:pStyle w:val="16"/>
      <w:pBdr>
        <w:bottom w:val="thinThickSmallGap" w:color="auto" w:sz="24" w:space="1"/>
      </w:pBdr>
      <w:ind w:firstLine="0" w:firstLineChars="0"/>
    </w:pPr>
    <w:r>
      <w:rPr>
        <w:rFonts w:hint="eastAsia"/>
        <w:lang w:eastAsia="zh-CN"/>
      </w:rPr>
      <w:t>木垒县2026年长眉驼良种繁育基地建设项目</w:t>
    </w:r>
    <w:r>
      <w:rPr>
        <w:rFonts w:hint="eastAsia"/>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3D2B">
    <w:pPr>
      <w:pStyle w:val="16"/>
      <w:pBdr>
        <w:bottom w:val="thinThickSmallGap" w:color="auto" w:sz="24" w:space="1"/>
      </w:pBdr>
      <w:ind w:firstLine="360"/>
    </w:pPr>
    <w:r>
      <w:rPr>
        <w:rFonts w:hint="eastAsia"/>
        <w:lang w:eastAsia="zh-CN"/>
      </w:rPr>
      <w:t>木垒县2026年长眉驼良种繁育基地建设项目</w:t>
    </w:r>
    <w:r>
      <w:rPr>
        <w:rFonts w:hint="eastAsia"/>
      </w:rPr>
      <w:t>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B96A6">
    <w:pPr>
      <w:keepNext w:val="0"/>
      <w:keepLines w:val="0"/>
      <w:pageBreakBefore w:val="0"/>
      <w:widowControl w:val="0"/>
      <w:kinsoku/>
      <w:wordWrap/>
      <w:overflowPunct/>
      <w:topLinePunct w:val="0"/>
      <w:autoSpaceDE/>
      <w:autoSpaceDN/>
      <w:bidi w:val="0"/>
      <w:adjustRightInd/>
      <w:snapToGrid/>
      <w:spacing w:line="226" w:lineRule="auto"/>
      <w:ind w:firstLine="0" w:firstLineChars="0"/>
      <w:jc w:val="center"/>
      <w:textAlignment w:val="auto"/>
      <w:rPr>
        <w:rFonts w:ascii="等线" w:hAnsi="等线" w:eastAsia="等线" w:cs="等线"/>
        <w:sz w:val="18"/>
        <w:szCs w:val="18"/>
      </w:rPr>
    </w:pPr>
    <w:r>
      <mc:AlternateContent>
        <mc:Choice Requires="wps">
          <w:drawing>
            <wp:anchor distT="0" distB="0" distL="114300" distR="114300" simplePos="0" relativeHeight="251741184" behindDoc="0" locked="0" layoutInCell="0" allowOverlap="1">
              <wp:simplePos x="0" y="0"/>
              <wp:positionH relativeFrom="page">
                <wp:posOffset>1123950</wp:posOffset>
              </wp:positionH>
              <wp:positionV relativeFrom="page">
                <wp:posOffset>708660</wp:posOffset>
              </wp:positionV>
              <wp:extent cx="5313680" cy="9525"/>
              <wp:effectExtent l="0" t="0" r="0" b="0"/>
              <wp:wrapNone/>
              <wp:docPr id="43" name="任意多边形 43"/>
              <wp:cNvGraphicFramePr/>
              <a:graphic xmlns:a="http://schemas.openxmlformats.org/drawingml/2006/main">
                <a:graphicData uri="http://schemas.microsoft.com/office/word/2010/wordprocessingShape">
                  <wps:wsp>
                    <wps:cNvSpPr/>
                    <wps:spPr>
                      <a:xfrm>
                        <a:off x="0" y="0"/>
                        <a:ext cx="5313680" cy="9525"/>
                      </a:xfrm>
                      <a:custGeom>
                        <a:avLst/>
                        <a:gdLst/>
                        <a:ahLst/>
                        <a:cxnLst/>
                        <a:pathLst>
                          <a:path w="8367" h="15">
                            <a:moveTo>
                              <a:pt x="0" y="14"/>
                            </a:moveTo>
                            <a:lnTo>
                              <a:pt x="8367" y="14"/>
                            </a:lnTo>
                            <a:lnTo>
                              <a:pt x="836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5pt;margin-top:55.8pt;height:0.75pt;width:418.4pt;mso-position-horizontal-relative:page;mso-position-vertical-relative:page;z-index:251741184;mso-width-relative:page;mso-height-relative:page;" fillcolor="#000000" filled="t" stroked="f" coordsize="8367,15" o:allowincell="f" o:gfxdata="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YXn82AAAAAwBAAAPAAAA&#10;AAAAAAEAIAAAACIAAABkcnMvZG93bnJldi54bWxQSwECFAAUAAAACACHTuJAEHBlVhUCAAB+BAAA&#10;DgAAAAAAAAABACAAAAAnAQAAZHJzL2Uyb0RvYy54bWxQSwUGAAAAAAYABgBZAQAArgUAAAAA&#10;" path="m0,14l8367,14,8367,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w:t>
    </w:r>
    <w:r>
      <w:rPr>
        <w:rFonts w:ascii="等线" w:hAnsi="等线" w:eastAsia="等线" w:cs="等线"/>
        <w:sz w:val="18"/>
        <w:szCs w:val="18"/>
      </w:rPr>
      <w:t>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1DD5C">
    <w:pPr>
      <w:keepNext w:val="0"/>
      <w:keepLines w:val="0"/>
      <w:pageBreakBefore w:val="0"/>
      <w:widowControl w:val="0"/>
      <w:kinsoku/>
      <w:wordWrap/>
      <w:overflowPunct/>
      <w:topLinePunct w:val="0"/>
      <w:autoSpaceDE/>
      <w:autoSpaceDN/>
      <w:bidi w:val="0"/>
      <w:adjustRightInd/>
      <w:snapToGrid/>
      <w:spacing w:line="226" w:lineRule="auto"/>
      <w:ind w:firstLine="0" w:firstLineChars="0"/>
      <w:jc w:val="center"/>
      <w:textAlignment w:val="auto"/>
      <w:rPr>
        <w:rFonts w:hint="eastAsia" w:ascii="等线" w:hAnsi="等线" w:eastAsia="宋体" w:cs="等线"/>
        <w:sz w:val="18"/>
        <w:szCs w:val="18"/>
        <w:lang w:eastAsia="zh-CN"/>
      </w:rPr>
    </w:pPr>
    <w:r>
      <mc:AlternateContent>
        <mc:Choice Requires="wps">
          <w:drawing>
            <wp:anchor distT="0" distB="0" distL="114300" distR="114300" simplePos="0" relativeHeight="251742208" behindDoc="0" locked="0" layoutInCell="0" allowOverlap="1">
              <wp:simplePos x="0" y="0"/>
              <wp:positionH relativeFrom="page">
                <wp:posOffset>1123950</wp:posOffset>
              </wp:positionH>
              <wp:positionV relativeFrom="page">
                <wp:posOffset>708660</wp:posOffset>
              </wp:positionV>
              <wp:extent cx="5313680" cy="9525"/>
              <wp:effectExtent l="0" t="0" r="0" b="0"/>
              <wp:wrapNone/>
              <wp:docPr id="45" name="任意多边形 45"/>
              <wp:cNvGraphicFramePr/>
              <a:graphic xmlns:a="http://schemas.openxmlformats.org/drawingml/2006/main">
                <a:graphicData uri="http://schemas.microsoft.com/office/word/2010/wordprocessingShape">
                  <wps:wsp>
                    <wps:cNvSpPr/>
                    <wps:spPr>
                      <a:xfrm>
                        <a:off x="0" y="0"/>
                        <a:ext cx="5313680" cy="9525"/>
                      </a:xfrm>
                      <a:custGeom>
                        <a:avLst/>
                        <a:gdLst/>
                        <a:ahLst/>
                        <a:cxnLst/>
                        <a:pathLst>
                          <a:path w="8367" h="15">
                            <a:moveTo>
                              <a:pt x="0" y="14"/>
                            </a:moveTo>
                            <a:lnTo>
                              <a:pt x="8367" y="14"/>
                            </a:lnTo>
                            <a:lnTo>
                              <a:pt x="836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5pt;margin-top:55.8pt;height:0.75pt;width:418.4pt;mso-position-horizontal-relative:page;mso-position-vertical-relative:page;z-index:251742208;mso-width-relative:page;mso-height-relative:page;" fillcolor="#000000" filled="t" stroked="f" coordsize="8367,15" o:allowincell="f" o:gfxdata="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mF5/NgAAAAMAQAADwAA&#10;AAAAAAABACAAAAAiAAAAZHJzL2Rvd25yZXYueG1sUEsBAhQAFAAAAAgAh07iQNRXPqQWAgAAfgQA&#10;AA4AAAAAAAAAAQAgAAAAJwEAAGRycy9lMm9Eb2MueG1sUEsFBgAAAAAGAAYAWQEAAK8FAAAAAA==&#10;" path="m0,14l8367,14,8367,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木垒县2026年长眉驼良种繁育基地建设项目环境影响报告书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DB9AC">
    <w:pPr>
      <w:spacing w:line="218" w:lineRule="auto"/>
      <w:ind w:left="2698"/>
      <w:jc w:val="center"/>
      <w:rPr>
        <w:rFonts w:hint="eastAsia" w:ascii="宋体" w:hAnsi="宋体" w:eastAsia="宋体" w:cs="宋体"/>
        <w:sz w:val="18"/>
        <w:szCs w:val="18"/>
        <w:lang w:eastAsia="zh-CN"/>
      </w:rPr>
    </w:pPr>
    <w:r>
      <mc:AlternateContent>
        <mc:Choice Requires="wps">
          <w:drawing>
            <wp:anchor distT="0" distB="0" distL="114300" distR="114300" simplePos="0" relativeHeight="251743232" behindDoc="0" locked="0" layoutInCell="0" allowOverlap="1">
              <wp:simplePos x="0" y="0"/>
              <wp:positionH relativeFrom="page">
                <wp:posOffset>988695</wp:posOffset>
              </wp:positionH>
              <wp:positionV relativeFrom="page">
                <wp:posOffset>701675</wp:posOffset>
              </wp:positionV>
              <wp:extent cx="5690870" cy="9525"/>
              <wp:effectExtent l="0" t="0" r="0" b="0"/>
              <wp:wrapNone/>
              <wp:docPr id="107" name="任意多边形 107"/>
              <wp:cNvGraphicFramePr/>
              <a:graphic xmlns:a="http://schemas.openxmlformats.org/drawingml/2006/main">
                <a:graphicData uri="http://schemas.microsoft.com/office/word/2010/wordprocessingShape">
                  <wps:wsp>
                    <wps:cNvSpPr/>
                    <wps:spPr>
                      <a:xfrm>
                        <a:off x="0" y="0"/>
                        <a:ext cx="5690870" cy="9525"/>
                      </a:xfrm>
                      <a:custGeom>
                        <a:avLst/>
                        <a:gdLst/>
                        <a:ahLst/>
                        <a:cxnLst/>
                        <a:pathLst>
                          <a:path w="8962" h="15">
                            <a:moveTo>
                              <a:pt x="0" y="14"/>
                            </a:moveTo>
                            <a:lnTo>
                              <a:pt x="8961" y="14"/>
                            </a:lnTo>
                            <a:lnTo>
                              <a:pt x="896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7.85pt;margin-top:55.25pt;height:0.75pt;width:448.1pt;mso-position-horizontal-relative:page;mso-position-vertical-relative:page;z-index:251743232;mso-width-relative:page;mso-height-relative:page;" fillcolor="#000000" filled="t" stroked="f" coordsize="8962,15" o:allowincell="f" o:gfxdata="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TXl/x2QAAAAwBAAAP&#10;AAAAAAAAAAEAIAAAACIAAABkcnMvZG93bnJldi54bWxQSwECFAAUAAAACACHTuJAX4W9jBcCAACA&#10;BAAADgAAAAAAAAABACAAAAAoAQAAZHJzL2Uyb0RvYy54bWxQSwUGAAAAAAYABgBZAQAAsQUAAAAA&#10;" path="m0,14l8961,14,8961,0,0,0,0,14xe">
              <v:fill on="t" focussize="0,0"/>
              <v:stroke on="f"/>
              <v:imagedata o:title=""/>
              <o:lock v:ext="edit" aspectratio="f"/>
            </v:shape>
          </w:pict>
        </mc:Fallback>
      </mc:AlternateContent>
    </w:r>
    <w:r>
      <w:rPr>
        <w:rFonts w:hint="eastAsia" w:ascii="宋体" w:hAnsi="宋体" w:cs="宋体"/>
        <w:spacing w:val="-1"/>
        <w:sz w:val="18"/>
        <w:szCs w:val="18"/>
        <w:lang w:eastAsia="zh-CN"/>
      </w:rPr>
      <w:t>木垒县2026年长眉驼良种繁育基地建设项目环境影响报告书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8ECCD">
    <w:pPr>
      <w:pStyle w:val="16"/>
      <w:pBdr>
        <w:bottom w:val="thinThickSmallGap" w:color="auto" w:sz="24" w:space="1"/>
      </w:pBdr>
      <w:ind w:firstLine="0" w:firstLineChars="0"/>
    </w:pPr>
  </w:p>
  <w:p w14:paraId="6C326310">
    <w:pPr>
      <w:pStyle w:val="16"/>
      <w:pBdr>
        <w:bottom w:val="thinThickSmallGap" w:color="auto" w:sz="24" w:space="1"/>
      </w:pBdr>
      <w:ind w:firstLine="0" w:firstLineChars="0"/>
    </w:pPr>
    <w:r>
      <w:rPr>
        <w:rFonts w:hint="eastAsia"/>
        <w:lang w:eastAsia="zh-CN"/>
      </w:rPr>
      <w:t>木垒县2026年长眉驼良种繁育基地建设项目</w:t>
    </w:r>
    <w:r>
      <w:rPr>
        <w:rFonts w:hint="eastAsia"/>
      </w:rPr>
      <w:t>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2064D"/>
    <w:multiLevelType w:val="multilevel"/>
    <w:tmpl w:val="00A2064D"/>
    <w:lvl w:ilvl="0" w:tentative="0">
      <w:start w:val="1"/>
      <w:numFmt w:val="decimal"/>
      <w:suff w:val="space"/>
      <w:lvlText w:val="%1"/>
      <w:lvlJc w:val="left"/>
      <w:pPr>
        <w:ind w:left="0" w:firstLine="0"/>
      </w:pPr>
      <w:rPr>
        <w:rFonts w:hint="eastAsia" w:ascii="黑体" w:eastAsia="黑体"/>
        <w:b/>
        <w:i w:val="0"/>
        <w:sz w:val="36"/>
        <w:szCs w:val="36"/>
      </w:rPr>
    </w:lvl>
    <w:lvl w:ilvl="1" w:tentative="0">
      <w:start w:val="1"/>
      <w:numFmt w:val="decimal"/>
      <w:suff w:val="space"/>
      <w:lvlText w:val="%1.%2"/>
      <w:lvlJc w:val="left"/>
      <w:pPr>
        <w:ind w:left="0" w:firstLine="0"/>
      </w:pPr>
      <w:rPr>
        <w:rFonts w:hint="default" w:ascii="Times New Roman" w:hAnsi="Times New Roman" w:eastAsia="黑体"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
      <w:suff w:val="space"/>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pStyle w:val="128"/>
      <w:suff w:val="space"/>
      <w:lvlText w:val="%1.%2.%3.%4"/>
      <w:lvlJc w:val="left"/>
      <w:pPr>
        <w:ind w:left="0" w:firstLine="0"/>
      </w:pPr>
      <w:rPr>
        <w:rFonts w:hint="default" w:ascii="Times New Roman" w:hAnsi="Times New Roman" w:eastAsia="宋体" w:cs="Times New Roman"/>
        <w:b/>
        <w:i w:val="0"/>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11BC38E9"/>
    <w:multiLevelType w:val="singleLevel"/>
    <w:tmpl w:val="11BC38E9"/>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iOGYwNDU3MTQxNTI2N2U2NjcwOGRlYThlYTJlNDgifQ=="/>
  </w:docVars>
  <w:rsids>
    <w:rsidRoot w:val="00332B32"/>
    <w:rsid w:val="0000036F"/>
    <w:rsid w:val="0000037F"/>
    <w:rsid w:val="00000BC6"/>
    <w:rsid w:val="00002AB7"/>
    <w:rsid w:val="00002DBA"/>
    <w:rsid w:val="00003628"/>
    <w:rsid w:val="000045A9"/>
    <w:rsid w:val="00004C6C"/>
    <w:rsid w:val="0000552F"/>
    <w:rsid w:val="0000567F"/>
    <w:rsid w:val="00005CE5"/>
    <w:rsid w:val="00005DD8"/>
    <w:rsid w:val="0000629E"/>
    <w:rsid w:val="00006DE7"/>
    <w:rsid w:val="000118E0"/>
    <w:rsid w:val="00012856"/>
    <w:rsid w:val="00012D55"/>
    <w:rsid w:val="000135F4"/>
    <w:rsid w:val="00014425"/>
    <w:rsid w:val="0001451E"/>
    <w:rsid w:val="00014686"/>
    <w:rsid w:val="000148DD"/>
    <w:rsid w:val="00015472"/>
    <w:rsid w:val="00015A3F"/>
    <w:rsid w:val="00015B32"/>
    <w:rsid w:val="00015CD7"/>
    <w:rsid w:val="000167E7"/>
    <w:rsid w:val="00016AF7"/>
    <w:rsid w:val="00020334"/>
    <w:rsid w:val="000205C1"/>
    <w:rsid w:val="00022429"/>
    <w:rsid w:val="0002263F"/>
    <w:rsid w:val="0002277B"/>
    <w:rsid w:val="000227D5"/>
    <w:rsid w:val="00022A97"/>
    <w:rsid w:val="00022C0C"/>
    <w:rsid w:val="00022EB1"/>
    <w:rsid w:val="00022F32"/>
    <w:rsid w:val="0002306F"/>
    <w:rsid w:val="0002373E"/>
    <w:rsid w:val="00024B3C"/>
    <w:rsid w:val="000262BF"/>
    <w:rsid w:val="00026728"/>
    <w:rsid w:val="000268F6"/>
    <w:rsid w:val="000269AD"/>
    <w:rsid w:val="00027773"/>
    <w:rsid w:val="00027CB9"/>
    <w:rsid w:val="000307AA"/>
    <w:rsid w:val="00031AEF"/>
    <w:rsid w:val="00031B94"/>
    <w:rsid w:val="0003204A"/>
    <w:rsid w:val="000323C5"/>
    <w:rsid w:val="00032AAC"/>
    <w:rsid w:val="00033215"/>
    <w:rsid w:val="00033D71"/>
    <w:rsid w:val="000345AD"/>
    <w:rsid w:val="00034814"/>
    <w:rsid w:val="000355D6"/>
    <w:rsid w:val="00035709"/>
    <w:rsid w:val="0003675A"/>
    <w:rsid w:val="00036AE2"/>
    <w:rsid w:val="00036B69"/>
    <w:rsid w:val="00036F82"/>
    <w:rsid w:val="000379D2"/>
    <w:rsid w:val="000406A3"/>
    <w:rsid w:val="0004157A"/>
    <w:rsid w:val="000415FF"/>
    <w:rsid w:val="00042376"/>
    <w:rsid w:val="00042615"/>
    <w:rsid w:val="00042FC1"/>
    <w:rsid w:val="0004532C"/>
    <w:rsid w:val="000457CE"/>
    <w:rsid w:val="000458F0"/>
    <w:rsid w:val="00046F68"/>
    <w:rsid w:val="00047895"/>
    <w:rsid w:val="00047C5F"/>
    <w:rsid w:val="00047C92"/>
    <w:rsid w:val="000503B1"/>
    <w:rsid w:val="00050431"/>
    <w:rsid w:val="00050B4A"/>
    <w:rsid w:val="00051656"/>
    <w:rsid w:val="00051B3B"/>
    <w:rsid w:val="00051C73"/>
    <w:rsid w:val="00052059"/>
    <w:rsid w:val="00052731"/>
    <w:rsid w:val="00053C50"/>
    <w:rsid w:val="000565A6"/>
    <w:rsid w:val="0005749F"/>
    <w:rsid w:val="00057516"/>
    <w:rsid w:val="0005784C"/>
    <w:rsid w:val="00057E0B"/>
    <w:rsid w:val="00057E4F"/>
    <w:rsid w:val="0006078A"/>
    <w:rsid w:val="00061177"/>
    <w:rsid w:val="00061966"/>
    <w:rsid w:val="000622D7"/>
    <w:rsid w:val="00063177"/>
    <w:rsid w:val="00063AFB"/>
    <w:rsid w:val="00064D12"/>
    <w:rsid w:val="00064DA7"/>
    <w:rsid w:val="00064F5C"/>
    <w:rsid w:val="00066278"/>
    <w:rsid w:val="000677AA"/>
    <w:rsid w:val="00070115"/>
    <w:rsid w:val="000701EF"/>
    <w:rsid w:val="000702AA"/>
    <w:rsid w:val="0007034D"/>
    <w:rsid w:val="000705E5"/>
    <w:rsid w:val="00071002"/>
    <w:rsid w:val="0007161B"/>
    <w:rsid w:val="00071657"/>
    <w:rsid w:val="000721D4"/>
    <w:rsid w:val="00072AB7"/>
    <w:rsid w:val="00072BF2"/>
    <w:rsid w:val="00072EEB"/>
    <w:rsid w:val="00073342"/>
    <w:rsid w:val="00073A7D"/>
    <w:rsid w:val="00073B3D"/>
    <w:rsid w:val="000740CD"/>
    <w:rsid w:val="00074FE8"/>
    <w:rsid w:val="000754FE"/>
    <w:rsid w:val="0007766A"/>
    <w:rsid w:val="0008086A"/>
    <w:rsid w:val="00080ADA"/>
    <w:rsid w:val="00081127"/>
    <w:rsid w:val="0008154E"/>
    <w:rsid w:val="00081CE9"/>
    <w:rsid w:val="00082C42"/>
    <w:rsid w:val="00083122"/>
    <w:rsid w:val="0008387B"/>
    <w:rsid w:val="00083B4F"/>
    <w:rsid w:val="00083C4B"/>
    <w:rsid w:val="0008494F"/>
    <w:rsid w:val="00085732"/>
    <w:rsid w:val="00085A2E"/>
    <w:rsid w:val="00086550"/>
    <w:rsid w:val="000867C3"/>
    <w:rsid w:val="000868C8"/>
    <w:rsid w:val="00086E17"/>
    <w:rsid w:val="00086E55"/>
    <w:rsid w:val="00091719"/>
    <w:rsid w:val="000924ED"/>
    <w:rsid w:val="000927BC"/>
    <w:rsid w:val="00092D94"/>
    <w:rsid w:val="000938DC"/>
    <w:rsid w:val="00094119"/>
    <w:rsid w:val="00094A1C"/>
    <w:rsid w:val="00095D49"/>
    <w:rsid w:val="00096093"/>
    <w:rsid w:val="0009676A"/>
    <w:rsid w:val="00097356"/>
    <w:rsid w:val="000A14EF"/>
    <w:rsid w:val="000A1E30"/>
    <w:rsid w:val="000A2064"/>
    <w:rsid w:val="000A2133"/>
    <w:rsid w:val="000A2E76"/>
    <w:rsid w:val="000A38DD"/>
    <w:rsid w:val="000A4D52"/>
    <w:rsid w:val="000A7786"/>
    <w:rsid w:val="000B05CA"/>
    <w:rsid w:val="000B1C7E"/>
    <w:rsid w:val="000B1EC6"/>
    <w:rsid w:val="000B285C"/>
    <w:rsid w:val="000B2EAD"/>
    <w:rsid w:val="000B3B39"/>
    <w:rsid w:val="000B3F5A"/>
    <w:rsid w:val="000B44E9"/>
    <w:rsid w:val="000B4A2E"/>
    <w:rsid w:val="000B4A8D"/>
    <w:rsid w:val="000B5AB1"/>
    <w:rsid w:val="000B61F3"/>
    <w:rsid w:val="000C098F"/>
    <w:rsid w:val="000C09AE"/>
    <w:rsid w:val="000C16E5"/>
    <w:rsid w:val="000C1AC2"/>
    <w:rsid w:val="000C1AFB"/>
    <w:rsid w:val="000C26AA"/>
    <w:rsid w:val="000C26F3"/>
    <w:rsid w:val="000C298B"/>
    <w:rsid w:val="000C3641"/>
    <w:rsid w:val="000C3B28"/>
    <w:rsid w:val="000C3E87"/>
    <w:rsid w:val="000C5BD4"/>
    <w:rsid w:val="000C5D64"/>
    <w:rsid w:val="000C68B8"/>
    <w:rsid w:val="000C77F9"/>
    <w:rsid w:val="000D0166"/>
    <w:rsid w:val="000D1667"/>
    <w:rsid w:val="000D25E4"/>
    <w:rsid w:val="000D290A"/>
    <w:rsid w:val="000D3B84"/>
    <w:rsid w:val="000D47EF"/>
    <w:rsid w:val="000D498B"/>
    <w:rsid w:val="000D4A00"/>
    <w:rsid w:val="000D4C7D"/>
    <w:rsid w:val="000D6018"/>
    <w:rsid w:val="000D6298"/>
    <w:rsid w:val="000D6C73"/>
    <w:rsid w:val="000D7552"/>
    <w:rsid w:val="000E02AE"/>
    <w:rsid w:val="000E04CD"/>
    <w:rsid w:val="000E1E74"/>
    <w:rsid w:val="000E20D0"/>
    <w:rsid w:val="000E65F0"/>
    <w:rsid w:val="000E67AE"/>
    <w:rsid w:val="000E6CE4"/>
    <w:rsid w:val="000E7179"/>
    <w:rsid w:val="000E78F5"/>
    <w:rsid w:val="000E7EE1"/>
    <w:rsid w:val="000F0C55"/>
    <w:rsid w:val="000F1B9E"/>
    <w:rsid w:val="000F20A1"/>
    <w:rsid w:val="000F2796"/>
    <w:rsid w:val="000F2AC4"/>
    <w:rsid w:val="000F3528"/>
    <w:rsid w:val="000F35A4"/>
    <w:rsid w:val="000F380F"/>
    <w:rsid w:val="000F3B17"/>
    <w:rsid w:val="000F415E"/>
    <w:rsid w:val="00101698"/>
    <w:rsid w:val="00101B19"/>
    <w:rsid w:val="00101F9C"/>
    <w:rsid w:val="00102374"/>
    <w:rsid w:val="00102397"/>
    <w:rsid w:val="00103E56"/>
    <w:rsid w:val="00104382"/>
    <w:rsid w:val="00104865"/>
    <w:rsid w:val="00104B3D"/>
    <w:rsid w:val="0010508F"/>
    <w:rsid w:val="001054C9"/>
    <w:rsid w:val="001059F0"/>
    <w:rsid w:val="00105EE8"/>
    <w:rsid w:val="00106311"/>
    <w:rsid w:val="00106572"/>
    <w:rsid w:val="00106B47"/>
    <w:rsid w:val="00107468"/>
    <w:rsid w:val="00110052"/>
    <w:rsid w:val="00110E17"/>
    <w:rsid w:val="00111E6C"/>
    <w:rsid w:val="00112157"/>
    <w:rsid w:val="00112D67"/>
    <w:rsid w:val="0011375F"/>
    <w:rsid w:val="00113DF4"/>
    <w:rsid w:val="00114342"/>
    <w:rsid w:val="00114A7B"/>
    <w:rsid w:val="00114B94"/>
    <w:rsid w:val="00114BA5"/>
    <w:rsid w:val="00114F91"/>
    <w:rsid w:val="00115AB4"/>
    <w:rsid w:val="001160DF"/>
    <w:rsid w:val="001163D9"/>
    <w:rsid w:val="00116B61"/>
    <w:rsid w:val="00116D4A"/>
    <w:rsid w:val="001174A4"/>
    <w:rsid w:val="001175D8"/>
    <w:rsid w:val="001178D7"/>
    <w:rsid w:val="00117D9C"/>
    <w:rsid w:val="001202FF"/>
    <w:rsid w:val="00120CC6"/>
    <w:rsid w:val="0012104C"/>
    <w:rsid w:val="00122666"/>
    <w:rsid w:val="00122BF7"/>
    <w:rsid w:val="0012314A"/>
    <w:rsid w:val="001236CF"/>
    <w:rsid w:val="001236DE"/>
    <w:rsid w:val="0012392F"/>
    <w:rsid w:val="00123B07"/>
    <w:rsid w:val="00124621"/>
    <w:rsid w:val="00125617"/>
    <w:rsid w:val="00125736"/>
    <w:rsid w:val="0012576E"/>
    <w:rsid w:val="001261F6"/>
    <w:rsid w:val="0012678C"/>
    <w:rsid w:val="00126DB8"/>
    <w:rsid w:val="0012719E"/>
    <w:rsid w:val="0012743C"/>
    <w:rsid w:val="00127646"/>
    <w:rsid w:val="00127B6E"/>
    <w:rsid w:val="00127E24"/>
    <w:rsid w:val="001307DB"/>
    <w:rsid w:val="00131D37"/>
    <w:rsid w:val="00132921"/>
    <w:rsid w:val="00132B62"/>
    <w:rsid w:val="00132D61"/>
    <w:rsid w:val="00134AB5"/>
    <w:rsid w:val="001352DA"/>
    <w:rsid w:val="00135551"/>
    <w:rsid w:val="0013671C"/>
    <w:rsid w:val="00136C01"/>
    <w:rsid w:val="00136C97"/>
    <w:rsid w:val="00137894"/>
    <w:rsid w:val="00137D24"/>
    <w:rsid w:val="00140B69"/>
    <w:rsid w:val="00141759"/>
    <w:rsid w:val="00141B99"/>
    <w:rsid w:val="0014203D"/>
    <w:rsid w:val="0014247C"/>
    <w:rsid w:val="0014280F"/>
    <w:rsid w:val="001428C9"/>
    <w:rsid w:val="00142973"/>
    <w:rsid w:val="00143B5A"/>
    <w:rsid w:val="00144AF7"/>
    <w:rsid w:val="0014552C"/>
    <w:rsid w:val="00145836"/>
    <w:rsid w:val="00145BA7"/>
    <w:rsid w:val="001467F4"/>
    <w:rsid w:val="00146B15"/>
    <w:rsid w:val="00150EC4"/>
    <w:rsid w:val="0015125B"/>
    <w:rsid w:val="001515E2"/>
    <w:rsid w:val="001518F4"/>
    <w:rsid w:val="00151EEB"/>
    <w:rsid w:val="00153344"/>
    <w:rsid w:val="0015441F"/>
    <w:rsid w:val="001549B9"/>
    <w:rsid w:val="00155DE2"/>
    <w:rsid w:val="0015660C"/>
    <w:rsid w:val="00156B5B"/>
    <w:rsid w:val="0015706B"/>
    <w:rsid w:val="00160068"/>
    <w:rsid w:val="00160D6E"/>
    <w:rsid w:val="00162604"/>
    <w:rsid w:val="00162FDC"/>
    <w:rsid w:val="00163718"/>
    <w:rsid w:val="00163B22"/>
    <w:rsid w:val="00163C8F"/>
    <w:rsid w:val="001642C1"/>
    <w:rsid w:val="00164772"/>
    <w:rsid w:val="00164789"/>
    <w:rsid w:val="00164B19"/>
    <w:rsid w:val="00166A76"/>
    <w:rsid w:val="00166C28"/>
    <w:rsid w:val="00167FB0"/>
    <w:rsid w:val="00171481"/>
    <w:rsid w:val="00173329"/>
    <w:rsid w:val="00174234"/>
    <w:rsid w:val="00174BC9"/>
    <w:rsid w:val="0017558D"/>
    <w:rsid w:val="001760BC"/>
    <w:rsid w:val="0017615A"/>
    <w:rsid w:val="001766FF"/>
    <w:rsid w:val="00177506"/>
    <w:rsid w:val="001777A4"/>
    <w:rsid w:val="001800EE"/>
    <w:rsid w:val="00180610"/>
    <w:rsid w:val="00180B85"/>
    <w:rsid w:val="001810EF"/>
    <w:rsid w:val="001812ED"/>
    <w:rsid w:val="00181ED3"/>
    <w:rsid w:val="001821C9"/>
    <w:rsid w:val="001826C0"/>
    <w:rsid w:val="00183CCC"/>
    <w:rsid w:val="00183E14"/>
    <w:rsid w:val="00184887"/>
    <w:rsid w:val="00184A1F"/>
    <w:rsid w:val="00184C13"/>
    <w:rsid w:val="00184E7C"/>
    <w:rsid w:val="00185195"/>
    <w:rsid w:val="00186AF7"/>
    <w:rsid w:val="00186E14"/>
    <w:rsid w:val="00187F78"/>
    <w:rsid w:val="00190C61"/>
    <w:rsid w:val="00190FFD"/>
    <w:rsid w:val="0019360C"/>
    <w:rsid w:val="00193E87"/>
    <w:rsid w:val="00194041"/>
    <w:rsid w:val="00194197"/>
    <w:rsid w:val="00194555"/>
    <w:rsid w:val="001947B4"/>
    <w:rsid w:val="001957C1"/>
    <w:rsid w:val="0019623E"/>
    <w:rsid w:val="001964AF"/>
    <w:rsid w:val="00196A36"/>
    <w:rsid w:val="00196B23"/>
    <w:rsid w:val="001A00BE"/>
    <w:rsid w:val="001A218A"/>
    <w:rsid w:val="001A2F37"/>
    <w:rsid w:val="001A39F3"/>
    <w:rsid w:val="001A605B"/>
    <w:rsid w:val="001A669A"/>
    <w:rsid w:val="001B04E1"/>
    <w:rsid w:val="001B058A"/>
    <w:rsid w:val="001B16AD"/>
    <w:rsid w:val="001B1BBB"/>
    <w:rsid w:val="001B1C74"/>
    <w:rsid w:val="001B248A"/>
    <w:rsid w:val="001B2AD7"/>
    <w:rsid w:val="001B2EDC"/>
    <w:rsid w:val="001B36B7"/>
    <w:rsid w:val="001B389E"/>
    <w:rsid w:val="001B54A7"/>
    <w:rsid w:val="001B622B"/>
    <w:rsid w:val="001B639C"/>
    <w:rsid w:val="001B65AC"/>
    <w:rsid w:val="001B6BF7"/>
    <w:rsid w:val="001B7837"/>
    <w:rsid w:val="001B7F4D"/>
    <w:rsid w:val="001C1AB4"/>
    <w:rsid w:val="001C31E9"/>
    <w:rsid w:val="001C3FC2"/>
    <w:rsid w:val="001C4584"/>
    <w:rsid w:val="001C4E99"/>
    <w:rsid w:val="001C5B98"/>
    <w:rsid w:val="001C6608"/>
    <w:rsid w:val="001C69A3"/>
    <w:rsid w:val="001C708F"/>
    <w:rsid w:val="001C71BD"/>
    <w:rsid w:val="001D0ECF"/>
    <w:rsid w:val="001D107F"/>
    <w:rsid w:val="001D3AF7"/>
    <w:rsid w:val="001D486F"/>
    <w:rsid w:val="001D4E23"/>
    <w:rsid w:val="001D5C78"/>
    <w:rsid w:val="001D5DA3"/>
    <w:rsid w:val="001D5E94"/>
    <w:rsid w:val="001D6E88"/>
    <w:rsid w:val="001D7125"/>
    <w:rsid w:val="001D75DF"/>
    <w:rsid w:val="001D76B5"/>
    <w:rsid w:val="001E17C0"/>
    <w:rsid w:val="001E279D"/>
    <w:rsid w:val="001E2823"/>
    <w:rsid w:val="001E2BBB"/>
    <w:rsid w:val="001E2C92"/>
    <w:rsid w:val="001E2D7B"/>
    <w:rsid w:val="001E33F4"/>
    <w:rsid w:val="001E39A9"/>
    <w:rsid w:val="001E4959"/>
    <w:rsid w:val="001E4F3D"/>
    <w:rsid w:val="001E6CF4"/>
    <w:rsid w:val="001E6FF2"/>
    <w:rsid w:val="001E7EA8"/>
    <w:rsid w:val="001F0DAF"/>
    <w:rsid w:val="001F0FCD"/>
    <w:rsid w:val="001F11B3"/>
    <w:rsid w:val="001F4534"/>
    <w:rsid w:val="001F60F0"/>
    <w:rsid w:val="001F7BB9"/>
    <w:rsid w:val="001F7F33"/>
    <w:rsid w:val="002008C5"/>
    <w:rsid w:val="002010FA"/>
    <w:rsid w:val="00201E5B"/>
    <w:rsid w:val="00202362"/>
    <w:rsid w:val="0020257C"/>
    <w:rsid w:val="0020323D"/>
    <w:rsid w:val="002032D1"/>
    <w:rsid w:val="00203795"/>
    <w:rsid w:val="00203F09"/>
    <w:rsid w:val="0020438E"/>
    <w:rsid w:val="00204BD5"/>
    <w:rsid w:val="00204D48"/>
    <w:rsid w:val="00204E1F"/>
    <w:rsid w:val="00205509"/>
    <w:rsid w:val="0020597C"/>
    <w:rsid w:val="002068E8"/>
    <w:rsid w:val="00206F28"/>
    <w:rsid w:val="002072D8"/>
    <w:rsid w:val="00207776"/>
    <w:rsid w:val="0021102E"/>
    <w:rsid w:val="00211160"/>
    <w:rsid w:val="00211549"/>
    <w:rsid w:val="002125F0"/>
    <w:rsid w:val="00212F2A"/>
    <w:rsid w:val="002144C9"/>
    <w:rsid w:val="00214C38"/>
    <w:rsid w:val="00215AA4"/>
    <w:rsid w:val="00215FC8"/>
    <w:rsid w:val="00216565"/>
    <w:rsid w:val="0021686A"/>
    <w:rsid w:val="002206C2"/>
    <w:rsid w:val="0022157B"/>
    <w:rsid w:val="00222CC4"/>
    <w:rsid w:val="00223210"/>
    <w:rsid w:val="00223ECE"/>
    <w:rsid w:val="00223EDD"/>
    <w:rsid w:val="00224032"/>
    <w:rsid w:val="00224437"/>
    <w:rsid w:val="00225149"/>
    <w:rsid w:val="00225165"/>
    <w:rsid w:val="00225C30"/>
    <w:rsid w:val="00226957"/>
    <w:rsid w:val="00227BB2"/>
    <w:rsid w:val="00227EC8"/>
    <w:rsid w:val="002302E5"/>
    <w:rsid w:val="00230E23"/>
    <w:rsid w:val="00231F92"/>
    <w:rsid w:val="00232811"/>
    <w:rsid w:val="00232E65"/>
    <w:rsid w:val="0023324D"/>
    <w:rsid w:val="0023393F"/>
    <w:rsid w:val="00233D6D"/>
    <w:rsid w:val="00235A8C"/>
    <w:rsid w:val="00235C9C"/>
    <w:rsid w:val="00235F42"/>
    <w:rsid w:val="00236CB3"/>
    <w:rsid w:val="00237437"/>
    <w:rsid w:val="00237871"/>
    <w:rsid w:val="00237C8D"/>
    <w:rsid w:val="0024021D"/>
    <w:rsid w:val="00240416"/>
    <w:rsid w:val="002416CA"/>
    <w:rsid w:val="00242BFD"/>
    <w:rsid w:val="0024416E"/>
    <w:rsid w:val="00244351"/>
    <w:rsid w:val="00244DB6"/>
    <w:rsid w:val="002458DD"/>
    <w:rsid w:val="00245BAD"/>
    <w:rsid w:val="002469E3"/>
    <w:rsid w:val="00246B79"/>
    <w:rsid w:val="00246F13"/>
    <w:rsid w:val="00247C96"/>
    <w:rsid w:val="00250116"/>
    <w:rsid w:val="002513A5"/>
    <w:rsid w:val="00251CF4"/>
    <w:rsid w:val="00251F58"/>
    <w:rsid w:val="00252E78"/>
    <w:rsid w:val="00252E9E"/>
    <w:rsid w:val="00253A2D"/>
    <w:rsid w:val="00253ACB"/>
    <w:rsid w:val="002542A2"/>
    <w:rsid w:val="00254449"/>
    <w:rsid w:val="00254A8A"/>
    <w:rsid w:val="0025502A"/>
    <w:rsid w:val="0025505D"/>
    <w:rsid w:val="00255794"/>
    <w:rsid w:val="00256F1F"/>
    <w:rsid w:val="0025749E"/>
    <w:rsid w:val="00257D5F"/>
    <w:rsid w:val="00260D21"/>
    <w:rsid w:val="00260F06"/>
    <w:rsid w:val="0026102C"/>
    <w:rsid w:val="00261E6C"/>
    <w:rsid w:val="00262510"/>
    <w:rsid w:val="0026456E"/>
    <w:rsid w:val="0026524D"/>
    <w:rsid w:val="00265EB7"/>
    <w:rsid w:val="00266E95"/>
    <w:rsid w:val="0026704A"/>
    <w:rsid w:val="0026738C"/>
    <w:rsid w:val="00267837"/>
    <w:rsid w:val="0026785B"/>
    <w:rsid w:val="00267DC0"/>
    <w:rsid w:val="0027141D"/>
    <w:rsid w:val="00271C1B"/>
    <w:rsid w:val="0027231C"/>
    <w:rsid w:val="00272B20"/>
    <w:rsid w:val="00273AF8"/>
    <w:rsid w:val="002741A6"/>
    <w:rsid w:val="00274C66"/>
    <w:rsid w:val="00275225"/>
    <w:rsid w:val="00276317"/>
    <w:rsid w:val="002770F1"/>
    <w:rsid w:val="002779EE"/>
    <w:rsid w:val="00280554"/>
    <w:rsid w:val="00280C0A"/>
    <w:rsid w:val="00280DE0"/>
    <w:rsid w:val="00281685"/>
    <w:rsid w:val="00281DEB"/>
    <w:rsid w:val="002835EB"/>
    <w:rsid w:val="00283D8A"/>
    <w:rsid w:val="00283ED2"/>
    <w:rsid w:val="00283F21"/>
    <w:rsid w:val="002846C1"/>
    <w:rsid w:val="00285B12"/>
    <w:rsid w:val="00286323"/>
    <w:rsid w:val="002864A6"/>
    <w:rsid w:val="00286628"/>
    <w:rsid w:val="00286BED"/>
    <w:rsid w:val="0029077E"/>
    <w:rsid w:val="0029125B"/>
    <w:rsid w:val="002921C8"/>
    <w:rsid w:val="00292E8C"/>
    <w:rsid w:val="00293FC3"/>
    <w:rsid w:val="00294D50"/>
    <w:rsid w:val="00295838"/>
    <w:rsid w:val="00295912"/>
    <w:rsid w:val="00295A4A"/>
    <w:rsid w:val="00295CC2"/>
    <w:rsid w:val="00296D73"/>
    <w:rsid w:val="00297128"/>
    <w:rsid w:val="00297BC4"/>
    <w:rsid w:val="002A017E"/>
    <w:rsid w:val="002A0415"/>
    <w:rsid w:val="002A0C5C"/>
    <w:rsid w:val="002A17B7"/>
    <w:rsid w:val="002A3A62"/>
    <w:rsid w:val="002A425A"/>
    <w:rsid w:val="002A5398"/>
    <w:rsid w:val="002A54C7"/>
    <w:rsid w:val="002A5C3E"/>
    <w:rsid w:val="002A5C4E"/>
    <w:rsid w:val="002A7347"/>
    <w:rsid w:val="002A74A7"/>
    <w:rsid w:val="002A79F3"/>
    <w:rsid w:val="002B0449"/>
    <w:rsid w:val="002B0851"/>
    <w:rsid w:val="002B0B61"/>
    <w:rsid w:val="002B0DF6"/>
    <w:rsid w:val="002B0E33"/>
    <w:rsid w:val="002B2A0D"/>
    <w:rsid w:val="002B43A0"/>
    <w:rsid w:val="002B524D"/>
    <w:rsid w:val="002B5628"/>
    <w:rsid w:val="002B6296"/>
    <w:rsid w:val="002B64E1"/>
    <w:rsid w:val="002B6542"/>
    <w:rsid w:val="002B6954"/>
    <w:rsid w:val="002B6A57"/>
    <w:rsid w:val="002B7AD0"/>
    <w:rsid w:val="002C052A"/>
    <w:rsid w:val="002C087A"/>
    <w:rsid w:val="002C0F13"/>
    <w:rsid w:val="002C17AC"/>
    <w:rsid w:val="002C1C13"/>
    <w:rsid w:val="002C254A"/>
    <w:rsid w:val="002C266C"/>
    <w:rsid w:val="002C3198"/>
    <w:rsid w:val="002C4AD4"/>
    <w:rsid w:val="002C534F"/>
    <w:rsid w:val="002C5C01"/>
    <w:rsid w:val="002C6701"/>
    <w:rsid w:val="002C6EA4"/>
    <w:rsid w:val="002C72AE"/>
    <w:rsid w:val="002C7770"/>
    <w:rsid w:val="002C7F45"/>
    <w:rsid w:val="002D220E"/>
    <w:rsid w:val="002D2D51"/>
    <w:rsid w:val="002D3CB1"/>
    <w:rsid w:val="002D4AE3"/>
    <w:rsid w:val="002D5873"/>
    <w:rsid w:val="002E093D"/>
    <w:rsid w:val="002E094B"/>
    <w:rsid w:val="002E0A00"/>
    <w:rsid w:val="002E0E45"/>
    <w:rsid w:val="002E0F5C"/>
    <w:rsid w:val="002E1084"/>
    <w:rsid w:val="002E10EC"/>
    <w:rsid w:val="002E1246"/>
    <w:rsid w:val="002E1481"/>
    <w:rsid w:val="002E1D18"/>
    <w:rsid w:val="002E2264"/>
    <w:rsid w:val="002E3981"/>
    <w:rsid w:val="002E3B4E"/>
    <w:rsid w:val="002E4363"/>
    <w:rsid w:val="002E58EB"/>
    <w:rsid w:val="002E5948"/>
    <w:rsid w:val="002E6700"/>
    <w:rsid w:val="002E6975"/>
    <w:rsid w:val="002E71FF"/>
    <w:rsid w:val="002F10EE"/>
    <w:rsid w:val="002F2529"/>
    <w:rsid w:val="002F28D9"/>
    <w:rsid w:val="002F3C5E"/>
    <w:rsid w:val="002F5544"/>
    <w:rsid w:val="002F647F"/>
    <w:rsid w:val="002F6771"/>
    <w:rsid w:val="002F682E"/>
    <w:rsid w:val="002F6994"/>
    <w:rsid w:val="002F6C4B"/>
    <w:rsid w:val="002F6ECE"/>
    <w:rsid w:val="002F7155"/>
    <w:rsid w:val="002F71A1"/>
    <w:rsid w:val="00301246"/>
    <w:rsid w:val="00302812"/>
    <w:rsid w:val="00302D9C"/>
    <w:rsid w:val="00302E2B"/>
    <w:rsid w:val="003036AA"/>
    <w:rsid w:val="003039FC"/>
    <w:rsid w:val="00303FC0"/>
    <w:rsid w:val="003041C0"/>
    <w:rsid w:val="00304AFE"/>
    <w:rsid w:val="00304C2D"/>
    <w:rsid w:val="00304F03"/>
    <w:rsid w:val="003065CB"/>
    <w:rsid w:val="00311A79"/>
    <w:rsid w:val="0031343F"/>
    <w:rsid w:val="0031364C"/>
    <w:rsid w:val="003148BF"/>
    <w:rsid w:val="00314B65"/>
    <w:rsid w:val="00316612"/>
    <w:rsid w:val="0031669D"/>
    <w:rsid w:val="0031781A"/>
    <w:rsid w:val="0032064A"/>
    <w:rsid w:val="0032123F"/>
    <w:rsid w:val="00321436"/>
    <w:rsid w:val="003214A7"/>
    <w:rsid w:val="00322967"/>
    <w:rsid w:val="00322A1E"/>
    <w:rsid w:val="00322EBD"/>
    <w:rsid w:val="003230DD"/>
    <w:rsid w:val="003237C5"/>
    <w:rsid w:val="0032386A"/>
    <w:rsid w:val="00323914"/>
    <w:rsid w:val="00323E37"/>
    <w:rsid w:val="003246A1"/>
    <w:rsid w:val="0032536B"/>
    <w:rsid w:val="003262E5"/>
    <w:rsid w:val="00327A16"/>
    <w:rsid w:val="00330377"/>
    <w:rsid w:val="00331224"/>
    <w:rsid w:val="00331F39"/>
    <w:rsid w:val="003321D9"/>
    <w:rsid w:val="00332B32"/>
    <w:rsid w:val="00332F3A"/>
    <w:rsid w:val="00333AF9"/>
    <w:rsid w:val="00335363"/>
    <w:rsid w:val="00335D0D"/>
    <w:rsid w:val="00335D30"/>
    <w:rsid w:val="00336C74"/>
    <w:rsid w:val="00336DEC"/>
    <w:rsid w:val="003370A3"/>
    <w:rsid w:val="00337774"/>
    <w:rsid w:val="00337EB3"/>
    <w:rsid w:val="0034018B"/>
    <w:rsid w:val="00341E87"/>
    <w:rsid w:val="00341E89"/>
    <w:rsid w:val="0034288E"/>
    <w:rsid w:val="0034348B"/>
    <w:rsid w:val="0034489E"/>
    <w:rsid w:val="00345A44"/>
    <w:rsid w:val="003466E4"/>
    <w:rsid w:val="003470E0"/>
    <w:rsid w:val="003470E4"/>
    <w:rsid w:val="003474BB"/>
    <w:rsid w:val="00350FED"/>
    <w:rsid w:val="00351720"/>
    <w:rsid w:val="00351C89"/>
    <w:rsid w:val="00351F1D"/>
    <w:rsid w:val="00351F93"/>
    <w:rsid w:val="0035201F"/>
    <w:rsid w:val="003528BC"/>
    <w:rsid w:val="003532B6"/>
    <w:rsid w:val="00353B4A"/>
    <w:rsid w:val="0035424F"/>
    <w:rsid w:val="00354D31"/>
    <w:rsid w:val="00355550"/>
    <w:rsid w:val="00355874"/>
    <w:rsid w:val="0035603C"/>
    <w:rsid w:val="00356295"/>
    <w:rsid w:val="003567E9"/>
    <w:rsid w:val="0035686C"/>
    <w:rsid w:val="00360FB8"/>
    <w:rsid w:val="003614CB"/>
    <w:rsid w:val="00361E25"/>
    <w:rsid w:val="00362725"/>
    <w:rsid w:val="003629A1"/>
    <w:rsid w:val="0036576A"/>
    <w:rsid w:val="003664D0"/>
    <w:rsid w:val="00366B76"/>
    <w:rsid w:val="00366F1C"/>
    <w:rsid w:val="003678BC"/>
    <w:rsid w:val="00370A6B"/>
    <w:rsid w:val="00370F15"/>
    <w:rsid w:val="003723D9"/>
    <w:rsid w:val="00373209"/>
    <w:rsid w:val="003736D0"/>
    <w:rsid w:val="00374BE8"/>
    <w:rsid w:val="00375181"/>
    <w:rsid w:val="0037547A"/>
    <w:rsid w:val="00376890"/>
    <w:rsid w:val="0038175E"/>
    <w:rsid w:val="00385373"/>
    <w:rsid w:val="003866B5"/>
    <w:rsid w:val="00387418"/>
    <w:rsid w:val="00387FA9"/>
    <w:rsid w:val="00390AE9"/>
    <w:rsid w:val="003917D4"/>
    <w:rsid w:val="003921C7"/>
    <w:rsid w:val="0039267B"/>
    <w:rsid w:val="0039410E"/>
    <w:rsid w:val="00394588"/>
    <w:rsid w:val="0039482B"/>
    <w:rsid w:val="00394D2B"/>
    <w:rsid w:val="003950EE"/>
    <w:rsid w:val="00396B9D"/>
    <w:rsid w:val="00397310"/>
    <w:rsid w:val="00397606"/>
    <w:rsid w:val="003979A6"/>
    <w:rsid w:val="00397AB1"/>
    <w:rsid w:val="00397D15"/>
    <w:rsid w:val="003A06FB"/>
    <w:rsid w:val="003A0A07"/>
    <w:rsid w:val="003A1A19"/>
    <w:rsid w:val="003A298B"/>
    <w:rsid w:val="003A397E"/>
    <w:rsid w:val="003A4A52"/>
    <w:rsid w:val="003A532D"/>
    <w:rsid w:val="003A53B2"/>
    <w:rsid w:val="003A5DF8"/>
    <w:rsid w:val="003A6785"/>
    <w:rsid w:val="003A6D33"/>
    <w:rsid w:val="003A6FB3"/>
    <w:rsid w:val="003A7868"/>
    <w:rsid w:val="003A78E5"/>
    <w:rsid w:val="003A7948"/>
    <w:rsid w:val="003B17CA"/>
    <w:rsid w:val="003B1D0A"/>
    <w:rsid w:val="003B254E"/>
    <w:rsid w:val="003B2BE1"/>
    <w:rsid w:val="003B3A55"/>
    <w:rsid w:val="003B4009"/>
    <w:rsid w:val="003B40A1"/>
    <w:rsid w:val="003B4201"/>
    <w:rsid w:val="003B4AB1"/>
    <w:rsid w:val="003B4EB0"/>
    <w:rsid w:val="003B6683"/>
    <w:rsid w:val="003B7B46"/>
    <w:rsid w:val="003B7B8C"/>
    <w:rsid w:val="003C07AB"/>
    <w:rsid w:val="003C17B0"/>
    <w:rsid w:val="003C1EDA"/>
    <w:rsid w:val="003C22A4"/>
    <w:rsid w:val="003C465C"/>
    <w:rsid w:val="003C4CAE"/>
    <w:rsid w:val="003C4F1B"/>
    <w:rsid w:val="003C5537"/>
    <w:rsid w:val="003C5972"/>
    <w:rsid w:val="003C6167"/>
    <w:rsid w:val="003C6C48"/>
    <w:rsid w:val="003C70F4"/>
    <w:rsid w:val="003C7868"/>
    <w:rsid w:val="003D0140"/>
    <w:rsid w:val="003D0539"/>
    <w:rsid w:val="003D0E97"/>
    <w:rsid w:val="003D0EBB"/>
    <w:rsid w:val="003D2083"/>
    <w:rsid w:val="003D20E2"/>
    <w:rsid w:val="003D33CB"/>
    <w:rsid w:val="003D39C2"/>
    <w:rsid w:val="003D39D0"/>
    <w:rsid w:val="003D4D8F"/>
    <w:rsid w:val="003D4FF0"/>
    <w:rsid w:val="003D57D9"/>
    <w:rsid w:val="003D69FB"/>
    <w:rsid w:val="003D6B1C"/>
    <w:rsid w:val="003D73FF"/>
    <w:rsid w:val="003D79B8"/>
    <w:rsid w:val="003D7C12"/>
    <w:rsid w:val="003D7D9F"/>
    <w:rsid w:val="003E0771"/>
    <w:rsid w:val="003E13CF"/>
    <w:rsid w:val="003E23A9"/>
    <w:rsid w:val="003E29E4"/>
    <w:rsid w:val="003E2BC8"/>
    <w:rsid w:val="003E31E0"/>
    <w:rsid w:val="003E3F63"/>
    <w:rsid w:val="003E507B"/>
    <w:rsid w:val="003E5E9F"/>
    <w:rsid w:val="003E71BA"/>
    <w:rsid w:val="003E72EC"/>
    <w:rsid w:val="003E7D44"/>
    <w:rsid w:val="003E7E17"/>
    <w:rsid w:val="003F039C"/>
    <w:rsid w:val="003F0938"/>
    <w:rsid w:val="003F0D05"/>
    <w:rsid w:val="003F127B"/>
    <w:rsid w:val="003F1421"/>
    <w:rsid w:val="003F1502"/>
    <w:rsid w:val="003F15AA"/>
    <w:rsid w:val="003F2C8F"/>
    <w:rsid w:val="003F2CBC"/>
    <w:rsid w:val="003F369D"/>
    <w:rsid w:val="003F38C2"/>
    <w:rsid w:val="003F39ED"/>
    <w:rsid w:val="003F4E20"/>
    <w:rsid w:val="003F5D87"/>
    <w:rsid w:val="003F78EB"/>
    <w:rsid w:val="00400119"/>
    <w:rsid w:val="0040026B"/>
    <w:rsid w:val="0040125F"/>
    <w:rsid w:val="00401813"/>
    <w:rsid w:val="00401979"/>
    <w:rsid w:val="0040236E"/>
    <w:rsid w:val="00402854"/>
    <w:rsid w:val="00402B63"/>
    <w:rsid w:val="00402CB8"/>
    <w:rsid w:val="00403951"/>
    <w:rsid w:val="004039F3"/>
    <w:rsid w:val="00405499"/>
    <w:rsid w:val="004055A8"/>
    <w:rsid w:val="00405907"/>
    <w:rsid w:val="00406EF1"/>
    <w:rsid w:val="00406F45"/>
    <w:rsid w:val="00407031"/>
    <w:rsid w:val="00410527"/>
    <w:rsid w:val="00412B06"/>
    <w:rsid w:val="00413DE9"/>
    <w:rsid w:val="004143F4"/>
    <w:rsid w:val="00414D7D"/>
    <w:rsid w:val="00415637"/>
    <w:rsid w:val="004157BA"/>
    <w:rsid w:val="00415936"/>
    <w:rsid w:val="00415AA9"/>
    <w:rsid w:val="00416530"/>
    <w:rsid w:val="00416720"/>
    <w:rsid w:val="00416C79"/>
    <w:rsid w:val="004170F3"/>
    <w:rsid w:val="00417362"/>
    <w:rsid w:val="00417626"/>
    <w:rsid w:val="00417B4C"/>
    <w:rsid w:val="00420718"/>
    <w:rsid w:val="00421F21"/>
    <w:rsid w:val="0042339A"/>
    <w:rsid w:val="00423D91"/>
    <w:rsid w:val="00424E05"/>
    <w:rsid w:val="004263BA"/>
    <w:rsid w:val="00427026"/>
    <w:rsid w:val="0042726D"/>
    <w:rsid w:val="004274A8"/>
    <w:rsid w:val="004305AB"/>
    <w:rsid w:val="004305B3"/>
    <w:rsid w:val="0043064D"/>
    <w:rsid w:val="004311B9"/>
    <w:rsid w:val="00431549"/>
    <w:rsid w:val="00431DBA"/>
    <w:rsid w:val="004322EF"/>
    <w:rsid w:val="004324AA"/>
    <w:rsid w:val="004329D9"/>
    <w:rsid w:val="0043392C"/>
    <w:rsid w:val="004341B0"/>
    <w:rsid w:val="00434422"/>
    <w:rsid w:val="00434C47"/>
    <w:rsid w:val="00434F89"/>
    <w:rsid w:val="004429B8"/>
    <w:rsid w:val="0044379B"/>
    <w:rsid w:val="00444834"/>
    <w:rsid w:val="00444DED"/>
    <w:rsid w:val="00445175"/>
    <w:rsid w:val="00445BA5"/>
    <w:rsid w:val="00445BF1"/>
    <w:rsid w:val="00446193"/>
    <w:rsid w:val="00446298"/>
    <w:rsid w:val="00446B82"/>
    <w:rsid w:val="00450B1C"/>
    <w:rsid w:val="00452884"/>
    <w:rsid w:val="00452965"/>
    <w:rsid w:val="00452E69"/>
    <w:rsid w:val="0045300A"/>
    <w:rsid w:val="0045340F"/>
    <w:rsid w:val="0045389F"/>
    <w:rsid w:val="00454F74"/>
    <w:rsid w:val="00455D64"/>
    <w:rsid w:val="0045779D"/>
    <w:rsid w:val="004601DD"/>
    <w:rsid w:val="00460407"/>
    <w:rsid w:val="004610B1"/>
    <w:rsid w:val="00462884"/>
    <w:rsid w:val="004643AD"/>
    <w:rsid w:val="00464718"/>
    <w:rsid w:val="00464BE0"/>
    <w:rsid w:val="004651F9"/>
    <w:rsid w:val="00465ACD"/>
    <w:rsid w:val="00466A29"/>
    <w:rsid w:val="00466D47"/>
    <w:rsid w:val="004676E7"/>
    <w:rsid w:val="004677B3"/>
    <w:rsid w:val="00467C80"/>
    <w:rsid w:val="00467DC5"/>
    <w:rsid w:val="004703E3"/>
    <w:rsid w:val="00470534"/>
    <w:rsid w:val="00470BA7"/>
    <w:rsid w:val="004711E1"/>
    <w:rsid w:val="004746F0"/>
    <w:rsid w:val="004757E1"/>
    <w:rsid w:val="00475DAE"/>
    <w:rsid w:val="00476A97"/>
    <w:rsid w:val="004772CE"/>
    <w:rsid w:val="00477513"/>
    <w:rsid w:val="0047794D"/>
    <w:rsid w:val="00477FD2"/>
    <w:rsid w:val="004801D6"/>
    <w:rsid w:val="0048022E"/>
    <w:rsid w:val="0048202B"/>
    <w:rsid w:val="00482192"/>
    <w:rsid w:val="004822DE"/>
    <w:rsid w:val="004823C3"/>
    <w:rsid w:val="004828E3"/>
    <w:rsid w:val="00482D8F"/>
    <w:rsid w:val="004831D3"/>
    <w:rsid w:val="00483502"/>
    <w:rsid w:val="00484A0B"/>
    <w:rsid w:val="00485905"/>
    <w:rsid w:val="004861B3"/>
    <w:rsid w:val="004901FF"/>
    <w:rsid w:val="0049051D"/>
    <w:rsid w:val="00491366"/>
    <w:rsid w:val="00491D7D"/>
    <w:rsid w:val="004922ED"/>
    <w:rsid w:val="004925A5"/>
    <w:rsid w:val="00492CBF"/>
    <w:rsid w:val="00493A6E"/>
    <w:rsid w:val="00493D15"/>
    <w:rsid w:val="004948DF"/>
    <w:rsid w:val="00495789"/>
    <w:rsid w:val="00496F8D"/>
    <w:rsid w:val="0049757F"/>
    <w:rsid w:val="004A02EB"/>
    <w:rsid w:val="004A0754"/>
    <w:rsid w:val="004A1940"/>
    <w:rsid w:val="004A1B09"/>
    <w:rsid w:val="004A1DAE"/>
    <w:rsid w:val="004A1FC7"/>
    <w:rsid w:val="004A2D44"/>
    <w:rsid w:val="004A3287"/>
    <w:rsid w:val="004A4F71"/>
    <w:rsid w:val="004A524F"/>
    <w:rsid w:val="004A53CE"/>
    <w:rsid w:val="004A54E6"/>
    <w:rsid w:val="004A56CE"/>
    <w:rsid w:val="004A5745"/>
    <w:rsid w:val="004A5C0B"/>
    <w:rsid w:val="004A6D96"/>
    <w:rsid w:val="004A75DA"/>
    <w:rsid w:val="004B1001"/>
    <w:rsid w:val="004B11A6"/>
    <w:rsid w:val="004B1233"/>
    <w:rsid w:val="004B12E4"/>
    <w:rsid w:val="004B17D1"/>
    <w:rsid w:val="004B351F"/>
    <w:rsid w:val="004B3B23"/>
    <w:rsid w:val="004B520E"/>
    <w:rsid w:val="004B53B2"/>
    <w:rsid w:val="004B6765"/>
    <w:rsid w:val="004B74E1"/>
    <w:rsid w:val="004B7B45"/>
    <w:rsid w:val="004B7C85"/>
    <w:rsid w:val="004C10C5"/>
    <w:rsid w:val="004C17EE"/>
    <w:rsid w:val="004C251D"/>
    <w:rsid w:val="004C2599"/>
    <w:rsid w:val="004C3953"/>
    <w:rsid w:val="004C39F8"/>
    <w:rsid w:val="004C3C86"/>
    <w:rsid w:val="004C4560"/>
    <w:rsid w:val="004C56BB"/>
    <w:rsid w:val="004C5786"/>
    <w:rsid w:val="004C7C63"/>
    <w:rsid w:val="004D0297"/>
    <w:rsid w:val="004D18B1"/>
    <w:rsid w:val="004D2E64"/>
    <w:rsid w:val="004D415A"/>
    <w:rsid w:val="004D43BE"/>
    <w:rsid w:val="004D44EC"/>
    <w:rsid w:val="004D5E5D"/>
    <w:rsid w:val="004D7921"/>
    <w:rsid w:val="004D7B7B"/>
    <w:rsid w:val="004E13F3"/>
    <w:rsid w:val="004E1C97"/>
    <w:rsid w:val="004E1CC8"/>
    <w:rsid w:val="004E1FDB"/>
    <w:rsid w:val="004E2718"/>
    <w:rsid w:val="004E2D68"/>
    <w:rsid w:val="004E2E14"/>
    <w:rsid w:val="004E38AC"/>
    <w:rsid w:val="004E42DA"/>
    <w:rsid w:val="004E5259"/>
    <w:rsid w:val="004E5EA9"/>
    <w:rsid w:val="004E6731"/>
    <w:rsid w:val="004F09DF"/>
    <w:rsid w:val="004F291C"/>
    <w:rsid w:val="004F450A"/>
    <w:rsid w:val="004F476C"/>
    <w:rsid w:val="004F4C20"/>
    <w:rsid w:val="004F4C26"/>
    <w:rsid w:val="004F4DFE"/>
    <w:rsid w:val="004F5323"/>
    <w:rsid w:val="004F5D3A"/>
    <w:rsid w:val="004F648E"/>
    <w:rsid w:val="004F6EC9"/>
    <w:rsid w:val="004F7D7D"/>
    <w:rsid w:val="0050104E"/>
    <w:rsid w:val="00504044"/>
    <w:rsid w:val="005041CB"/>
    <w:rsid w:val="00505381"/>
    <w:rsid w:val="00505824"/>
    <w:rsid w:val="00505A00"/>
    <w:rsid w:val="00505CA2"/>
    <w:rsid w:val="00506B0C"/>
    <w:rsid w:val="00506EB7"/>
    <w:rsid w:val="0050765B"/>
    <w:rsid w:val="00510552"/>
    <w:rsid w:val="005117D7"/>
    <w:rsid w:val="00511E90"/>
    <w:rsid w:val="0051397F"/>
    <w:rsid w:val="00513B74"/>
    <w:rsid w:val="0051601B"/>
    <w:rsid w:val="00516B7B"/>
    <w:rsid w:val="0051709D"/>
    <w:rsid w:val="0051738A"/>
    <w:rsid w:val="00517F32"/>
    <w:rsid w:val="0052084E"/>
    <w:rsid w:val="005218CB"/>
    <w:rsid w:val="0052281A"/>
    <w:rsid w:val="00522FB4"/>
    <w:rsid w:val="00523194"/>
    <w:rsid w:val="00524144"/>
    <w:rsid w:val="005251F6"/>
    <w:rsid w:val="005252FE"/>
    <w:rsid w:val="00525DD5"/>
    <w:rsid w:val="00525EB8"/>
    <w:rsid w:val="0052735A"/>
    <w:rsid w:val="00527585"/>
    <w:rsid w:val="00527850"/>
    <w:rsid w:val="005300F2"/>
    <w:rsid w:val="00530500"/>
    <w:rsid w:val="00530A30"/>
    <w:rsid w:val="005317E3"/>
    <w:rsid w:val="0053196C"/>
    <w:rsid w:val="00532514"/>
    <w:rsid w:val="00533309"/>
    <w:rsid w:val="00533B4E"/>
    <w:rsid w:val="00534128"/>
    <w:rsid w:val="00535525"/>
    <w:rsid w:val="00535FA2"/>
    <w:rsid w:val="005366E1"/>
    <w:rsid w:val="00536D1A"/>
    <w:rsid w:val="00540BBD"/>
    <w:rsid w:val="00541C24"/>
    <w:rsid w:val="00542D4C"/>
    <w:rsid w:val="0054487E"/>
    <w:rsid w:val="00544F56"/>
    <w:rsid w:val="00545954"/>
    <w:rsid w:val="00545C0A"/>
    <w:rsid w:val="00546B9C"/>
    <w:rsid w:val="00547101"/>
    <w:rsid w:val="00547C9C"/>
    <w:rsid w:val="00550D77"/>
    <w:rsid w:val="0055220C"/>
    <w:rsid w:val="0055273D"/>
    <w:rsid w:val="00553556"/>
    <w:rsid w:val="00553B4C"/>
    <w:rsid w:val="00554B03"/>
    <w:rsid w:val="0055546E"/>
    <w:rsid w:val="0055599B"/>
    <w:rsid w:val="00555D91"/>
    <w:rsid w:val="00555E0B"/>
    <w:rsid w:val="005568A8"/>
    <w:rsid w:val="00556D50"/>
    <w:rsid w:val="00557003"/>
    <w:rsid w:val="005571AB"/>
    <w:rsid w:val="00557262"/>
    <w:rsid w:val="00557842"/>
    <w:rsid w:val="005600AF"/>
    <w:rsid w:val="00561F5A"/>
    <w:rsid w:val="0056229E"/>
    <w:rsid w:val="005629FC"/>
    <w:rsid w:val="00562B3F"/>
    <w:rsid w:val="00562C6E"/>
    <w:rsid w:val="00563286"/>
    <w:rsid w:val="0056330D"/>
    <w:rsid w:val="005633AD"/>
    <w:rsid w:val="005645BC"/>
    <w:rsid w:val="00564B21"/>
    <w:rsid w:val="0056514C"/>
    <w:rsid w:val="0056564E"/>
    <w:rsid w:val="005658CE"/>
    <w:rsid w:val="005672A9"/>
    <w:rsid w:val="0056757D"/>
    <w:rsid w:val="00567B0E"/>
    <w:rsid w:val="00567DB8"/>
    <w:rsid w:val="00570D79"/>
    <w:rsid w:val="005713BA"/>
    <w:rsid w:val="00572DA4"/>
    <w:rsid w:val="00572E4D"/>
    <w:rsid w:val="00575E9D"/>
    <w:rsid w:val="005760A6"/>
    <w:rsid w:val="005764CC"/>
    <w:rsid w:val="00576DC0"/>
    <w:rsid w:val="00576FD8"/>
    <w:rsid w:val="00577A8F"/>
    <w:rsid w:val="00577C7B"/>
    <w:rsid w:val="00577EC4"/>
    <w:rsid w:val="00580193"/>
    <w:rsid w:val="0058075C"/>
    <w:rsid w:val="005816D8"/>
    <w:rsid w:val="005819BF"/>
    <w:rsid w:val="00581A94"/>
    <w:rsid w:val="00582C5E"/>
    <w:rsid w:val="005831F5"/>
    <w:rsid w:val="00583245"/>
    <w:rsid w:val="005832A6"/>
    <w:rsid w:val="00583965"/>
    <w:rsid w:val="00583D98"/>
    <w:rsid w:val="005842DB"/>
    <w:rsid w:val="00584CB5"/>
    <w:rsid w:val="005858DE"/>
    <w:rsid w:val="0058590F"/>
    <w:rsid w:val="005859BA"/>
    <w:rsid w:val="00586577"/>
    <w:rsid w:val="005866C1"/>
    <w:rsid w:val="005868DA"/>
    <w:rsid w:val="0058767A"/>
    <w:rsid w:val="00587BCC"/>
    <w:rsid w:val="005902AA"/>
    <w:rsid w:val="00591868"/>
    <w:rsid w:val="00591AC6"/>
    <w:rsid w:val="00592FA4"/>
    <w:rsid w:val="005933EF"/>
    <w:rsid w:val="00593ED2"/>
    <w:rsid w:val="0059469C"/>
    <w:rsid w:val="0059608F"/>
    <w:rsid w:val="005963D4"/>
    <w:rsid w:val="00596D67"/>
    <w:rsid w:val="0059714F"/>
    <w:rsid w:val="00597C2B"/>
    <w:rsid w:val="00597C71"/>
    <w:rsid w:val="00597E32"/>
    <w:rsid w:val="005A08EA"/>
    <w:rsid w:val="005A0E65"/>
    <w:rsid w:val="005A167E"/>
    <w:rsid w:val="005A233B"/>
    <w:rsid w:val="005A278D"/>
    <w:rsid w:val="005A2E8C"/>
    <w:rsid w:val="005A3D29"/>
    <w:rsid w:val="005A3FB0"/>
    <w:rsid w:val="005A4325"/>
    <w:rsid w:val="005A5608"/>
    <w:rsid w:val="005A65D6"/>
    <w:rsid w:val="005A68A5"/>
    <w:rsid w:val="005A69F1"/>
    <w:rsid w:val="005A6E80"/>
    <w:rsid w:val="005A727D"/>
    <w:rsid w:val="005A745C"/>
    <w:rsid w:val="005A7D7E"/>
    <w:rsid w:val="005B155B"/>
    <w:rsid w:val="005B1B71"/>
    <w:rsid w:val="005B1E08"/>
    <w:rsid w:val="005B31A9"/>
    <w:rsid w:val="005B34FB"/>
    <w:rsid w:val="005B3F70"/>
    <w:rsid w:val="005B3FF8"/>
    <w:rsid w:val="005B4825"/>
    <w:rsid w:val="005B4982"/>
    <w:rsid w:val="005B5166"/>
    <w:rsid w:val="005B53CD"/>
    <w:rsid w:val="005B5DF7"/>
    <w:rsid w:val="005B6A0F"/>
    <w:rsid w:val="005B6A83"/>
    <w:rsid w:val="005B6EE9"/>
    <w:rsid w:val="005B7EF0"/>
    <w:rsid w:val="005C0049"/>
    <w:rsid w:val="005C3752"/>
    <w:rsid w:val="005C4722"/>
    <w:rsid w:val="005C4FB5"/>
    <w:rsid w:val="005C553F"/>
    <w:rsid w:val="005C5706"/>
    <w:rsid w:val="005C7922"/>
    <w:rsid w:val="005C7EA1"/>
    <w:rsid w:val="005D3630"/>
    <w:rsid w:val="005D50C9"/>
    <w:rsid w:val="005D5594"/>
    <w:rsid w:val="005D5A14"/>
    <w:rsid w:val="005D5B7B"/>
    <w:rsid w:val="005D6110"/>
    <w:rsid w:val="005D6428"/>
    <w:rsid w:val="005D66D1"/>
    <w:rsid w:val="005D72C5"/>
    <w:rsid w:val="005D7AA6"/>
    <w:rsid w:val="005E03A9"/>
    <w:rsid w:val="005E0962"/>
    <w:rsid w:val="005E1209"/>
    <w:rsid w:val="005E18ED"/>
    <w:rsid w:val="005E2268"/>
    <w:rsid w:val="005E22E3"/>
    <w:rsid w:val="005E2660"/>
    <w:rsid w:val="005E27FB"/>
    <w:rsid w:val="005E32D3"/>
    <w:rsid w:val="005E3796"/>
    <w:rsid w:val="005E5008"/>
    <w:rsid w:val="005E5720"/>
    <w:rsid w:val="005E6896"/>
    <w:rsid w:val="005E6897"/>
    <w:rsid w:val="005E6DCE"/>
    <w:rsid w:val="005E71F2"/>
    <w:rsid w:val="005F074F"/>
    <w:rsid w:val="005F1291"/>
    <w:rsid w:val="005F13F8"/>
    <w:rsid w:val="005F229B"/>
    <w:rsid w:val="005F2D1F"/>
    <w:rsid w:val="005F4069"/>
    <w:rsid w:val="005F4281"/>
    <w:rsid w:val="005F42D1"/>
    <w:rsid w:val="005F4404"/>
    <w:rsid w:val="005F46A7"/>
    <w:rsid w:val="005F484E"/>
    <w:rsid w:val="005F4A38"/>
    <w:rsid w:val="005F5030"/>
    <w:rsid w:val="005F5AE5"/>
    <w:rsid w:val="005F6063"/>
    <w:rsid w:val="005F6B24"/>
    <w:rsid w:val="005F7063"/>
    <w:rsid w:val="005F7137"/>
    <w:rsid w:val="005F796B"/>
    <w:rsid w:val="006002E1"/>
    <w:rsid w:val="0060052E"/>
    <w:rsid w:val="00601116"/>
    <w:rsid w:val="0060132F"/>
    <w:rsid w:val="00601EB2"/>
    <w:rsid w:val="006020F3"/>
    <w:rsid w:val="00603F8B"/>
    <w:rsid w:val="00604488"/>
    <w:rsid w:val="006049A9"/>
    <w:rsid w:val="0060560D"/>
    <w:rsid w:val="00605941"/>
    <w:rsid w:val="00606759"/>
    <w:rsid w:val="00606AB9"/>
    <w:rsid w:val="00607104"/>
    <w:rsid w:val="0060715C"/>
    <w:rsid w:val="00610639"/>
    <w:rsid w:val="006106A4"/>
    <w:rsid w:val="006108D3"/>
    <w:rsid w:val="00610D43"/>
    <w:rsid w:val="0061141E"/>
    <w:rsid w:val="00611B39"/>
    <w:rsid w:val="00612A21"/>
    <w:rsid w:val="006140DA"/>
    <w:rsid w:val="00614AC7"/>
    <w:rsid w:val="00614E15"/>
    <w:rsid w:val="006158CE"/>
    <w:rsid w:val="006159BA"/>
    <w:rsid w:val="00616236"/>
    <w:rsid w:val="0061660C"/>
    <w:rsid w:val="00616623"/>
    <w:rsid w:val="00616774"/>
    <w:rsid w:val="006210D6"/>
    <w:rsid w:val="00621BC9"/>
    <w:rsid w:val="00621F1E"/>
    <w:rsid w:val="0062203D"/>
    <w:rsid w:val="00622BE9"/>
    <w:rsid w:val="0062302B"/>
    <w:rsid w:val="00623B6A"/>
    <w:rsid w:val="00623BB6"/>
    <w:rsid w:val="00624A44"/>
    <w:rsid w:val="00624ADF"/>
    <w:rsid w:val="006266DA"/>
    <w:rsid w:val="00627EC0"/>
    <w:rsid w:val="00630556"/>
    <w:rsid w:val="00630D06"/>
    <w:rsid w:val="006311AB"/>
    <w:rsid w:val="00631284"/>
    <w:rsid w:val="00631355"/>
    <w:rsid w:val="0063174C"/>
    <w:rsid w:val="00631868"/>
    <w:rsid w:val="00632072"/>
    <w:rsid w:val="00633429"/>
    <w:rsid w:val="00633546"/>
    <w:rsid w:val="00634157"/>
    <w:rsid w:val="0063557A"/>
    <w:rsid w:val="00636F19"/>
    <w:rsid w:val="006374B3"/>
    <w:rsid w:val="00637ED7"/>
    <w:rsid w:val="006409AD"/>
    <w:rsid w:val="006419FF"/>
    <w:rsid w:val="00641BAB"/>
    <w:rsid w:val="006420D6"/>
    <w:rsid w:val="00642350"/>
    <w:rsid w:val="006426BA"/>
    <w:rsid w:val="00644FB9"/>
    <w:rsid w:val="006450F9"/>
    <w:rsid w:val="00646CA6"/>
    <w:rsid w:val="00647382"/>
    <w:rsid w:val="00650244"/>
    <w:rsid w:val="00650444"/>
    <w:rsid w:val="00650B31"/>
    <w:rsid w:val="00650D82"/>
    <w:rsid w:val="00652A29"/>
    <w:rsid w:val="00653E54"/>
    <w:rsid w:val="00653FB5"/>
    <w:rsid w:val="006565DF"/>
    <w:rsid w:val="00657C25"/>
    <w:rsid w:val="006605E3"/>
    <w:rsid w:val="0066060B"/>
    <w:rsid w:val="0066103B"/>
    <w:rsid w:val="0066196E"/>
    <w:rsid w:val="006620BF"/>
    <w:rsid w:val="00662328"/>
    <w:rsid w:val="006633E6"/>
    <w:rsid w:val="00663CF0"/>
    <w:rsid w:val="00663D29"/>
    <w:rsid w:val="00664263"/>
    <w:rsid w:val="006645D0"/>
    <w:rsid w:val="0066466F"/>
    <w:rsid w:val="00664722"/>
    <w:rsid w:val="0066512B"/>
    <w:rsid w:val="00665D7F"/>
    <w:rsid w:val="0066603E"/>
    <w:rsid w:val="00666B86"/>
    <w:rsid w:val="00666C38"/>
    <w:rsid w:val="00666D61"/>
    <w:rsid w:val="00667DB6"/>
    <w:rsid w:val="006702CE"/>
    <w:rsid w:val="00670689"/>
    <w:rsid w:val="006706BC"/>
    <w:rsid w:val="00672EC9"/>
    <w:rsid w:val="00672FCB"/>
    <w:rsid w:val="006732E3"/>
    <w:rsid w:val="00673A87"/>
    <w:rsid w:val="006748A3"/>
    <w:rsid w:val="006762EB"/>
    <w:rsid w:val="006765A0"/>
    <w:rsid w:val="00677889"/>
    <w:rsid w:val="00677DC3"/>
    <w:rsid w:val="006801D7"/>
    <w:rsid w:val="00680569"/>
    <w:rsid w:val="00680860"/>
    <w:rsid w:val="00680B31"/>
    <w:rsid w:val="0068143C"/>
    <w:rsid w:val="0068243C"/>
    <w:rsid w:val="0068302D"/>
    <w:rsid w:val="006830A3"/>
    <w:rsid w:val="00683E9B"/>
    <w:rsid w:val="006845FD"/>
    <w:rsid w:val="006851B9"/>
    <w:rsid w:val="00685547"/>
    <w:rsid w:val="00686B39"/>
    <w:rsid w:val="0068734E"/>
    <w:rsid w:val="00690FD0"/>
    <w:rsid w:val="0069221C"/>
    <w:rsid w:val="00692FE9"/>
    <w:rsid w:val="006938B4"/>
    <w:rsid w:val="0069411D"/>
    <w:rsid w:val="006945F0"/>
    <w:rsid w:val="00696A99"/>
    <w:rsid w:val="00697BF0"/>
    <w:rsid w:val="006A059A"/>
    <w:rsid w:val="006A1398"/>
    <w:rsid w:val="006A14F5"/>
    <w:rsid w:val="006A1675"/>
    <w:rsid w:val="006A283E"/>
    <w:rsid w:val="006A3B1D"/>
    <w:rsid w:val="006A3DAC"/>
    <w:rsid w:val="006A47E0"/>
    <w:rsid w:val="006A5B05"/>
    <w:rsid w:val="006A5DDE"/>
    <w:rsid w:val="006A6993"/>
    <w:rsid w:val="006B0B38"/>
    <w:rsid w:val="006B1206"/>
    <w:rsid w:val="006B1816"/>
    <w:rsid w:val="006B1CAF"/>
    <w:rsid w:val="006B1FB9"/>
    <w:rsid w:val="006B41BD"/>
    <w:rsid w:val="006B4755"/>
    <w:rsid w:val="006B4974"/>
    <w:rsid w:val="006B4DD8"/>
    <w:rsid w:val="006B67FA"/>
    <w:rsid w:val="006B6820"/>
    <w:rsid w:val="006B6C69"/>
    <w:rsid w:val="006C015E"/>
    <w:rsid w:val="006C0923"/>
    <w:rsid w:val="006C1062"/>
    <w:rsid w:val="006C1538"/>
    <w:rsid w:val="006C24AC"/>
    <w:rsid w:val="006C2F5E"/>
    <w:rsid w:val="006C4AC6"/>
    <w:rsid w:val="006C4D6E"/>
    <w:rsid w:val="006C5020"/>
    <w:rsid w:val="006C5B54"/>
    <w:rsid w:val="006C5D8B"/>
    <w:rsid w:val="006C5F94"/>
    <w:rsid w:val="006C61F4"/>
    <w:rsid w:val="006C6EC3"/>
    <w:rsid w:val="006C7407"/>
    <w:rsid w:val="006C7874"/>
    <w:rsid w:val="006C7D99"/>
    <w:rsid w:val="006C7FE6"/>
    <w:rsid w:val="006D02AC"/>
    <w:rsid w:val="006D0EAE"/>
    <w:rsid w:val="006D1221"/>
    <w:rsid w:val="006D1303"/>
    <w:rsid w:val="006D1EE6"/>
    <w:rsid w:val="006D26AC"/>
    <w:rsid w:val="006D4B86"/>
    <w:rsid w:val="006D548D"/>
    <w:rsid w:val="006D6D6A"/>
    <w:rsid w:val="006D777D"/>
    <w:rsid w:val="006E04EB"/>
    <w:rsid w:val="006E1A9B"/>
    <w:rsid w:val="006E38D1"/>
    <w:rsid w:val="006E4595"/>
    <w:rsid w:val="006E6020"/>
    <w:rsid w:val="006E78F5"/>
    <w:rsid w:val="006E7C09"/>
    <w:rsid w:val="006F061D"/>
    <w:rsid w:val="006F112B"/>
    <w:rsid w:val="006F13B7"/>
    <w:rsid w:val="006F216D"/>
    <w:rsid w:val="006F25D4"/>
    <w:rsid w:val="006F2F2B"/>
    <w:rsid w:val="006F371C"/>
    <w:rsid w:val="006F4051"/>
    <w:rsid w:val="006F4222"/>
    <w:rsid w:val="006F5551"/>
    <w:rsid w:val="006F5BB0"/>
    <w:rsid w:val="006F5C10"/>
    <w:rsid w:val="006F5DD6"/>
    <w:rsid w:val="006F5DF8"/>
    <w:rsid w:val="006F60E8"/>
    <w:rsid w:val="006F69A3"/>
    <w:rsid w:val="006F7755"/>
    <w:rsid w:val="006F7E52"/>
    <w:rsid w:val="00700707"/>
    <w:rsid w:val="007008C8"/>
    <w:rsid w:val="00700F3D"/>
    <w:rsid w:val="00701299"/>
    <w:rsid w:val="00701DCB"/>
    <w:rsid w:val="00703237"/>
    <w:rsid w:val="00703486"/>
    <w:rsid w:val="0070357F"/>
    <w:rsid w:val="00703824"/>
    <w:rsid w:val="00703955"/>
    <w:rsid w:val="00704402"/>
    <w:rsid w:val="00704538"/>
    <w:rsid w:val="00705468"/>
    <w:rsid w:val="00706B20"/>
    <w:rsid w:val="00706D1E"/>
    <w:rsid w:val="00707F24"/>
    <w:rsid w:val="00711ED9"/>
    <w:rsid w:val="007127E2"/>
    <w:rsid w:val="00712BC9"/>
    <w:rsid w:val="00713904"/>
    <w:rsid w:val="00713B67"/>
    <w:rsid w:val="007157E0"/>
    <w:rsid w:val="00715933"/>
    <w:rsid w:val="00715C9F"/>
    <w:rsid w:val="007161D7"/>
    <w:rsid w:val="007166BD"/>
    <w:rsid w:val="0071677A"/>
    <w:rsid w:val="00717A38"/>
    <w:rsid w:val="00717C8F"/>
    <w:rsid w:val="00717CEB"/>
    <w:rsid w:val="00720EE3"/>
    <w:rsid w:val="00721852"/>
    <w:rsid w:val="00721CFC"/>
    <w:rsid w:val="00721FBE"/>
    <w:rsid w:val="0072348E"/>
    <w:rsid w:val="007237E1"/>
    <w:rsid w:val="00723C35"/>
    <w:rsid w:val="00724532"/>
    <w:rsid w:val="0072529E"/>
    <w:rsid w:val="007258EC"/>
    <w:rsid w:val="00725AA1"/>
    <w:rsid w:val="007265BD"/>
    <w:rsid w:val="007266F8"/>
    <w:rsid w:val="00726BDF"/>
    <w:rsid w:val="00730773"/>
    <w:rsid w:val="00730A18"/>
    <w:rsid w:val="0073119F"/>
    <w:rsid w:val="0073128A"/>
    <w:rsid w:val="00731BBD"/>
    <w:rsid w:val="007327C5"/>
    <w:rsid w:val="00732A3F"/>
    <w:rsid w:val="007337F7"/>
    <w:rsid w:val="00733A6C"/>
    <w:rsid w:val="00733E00"/>
    <w:rsid w:val="007344B2"/>
    <w:rsid w:val="0073466E"/>
    <w:rsid w:val="00734AB8"/>
    <w:rsid w:val="00735033"/>
    <w:rsid w:val="00735600"/>
    <w:rsid w:val="00735715"/>
    <w:rsid w:val="00735A24"/>
    <w:rsid w:val="00735E1F"/>
    <w:rsid w:val="00736B5A"/>
    <w:rsid w:val="00736EDD"/>
    <w:rsid w:val="0073777B"/>
    <w:rsid w:val="00737FE5"/>
    <w:rsid w:val="00740190"/>
    <w:rsid w:val="0074052D"/>
    <w:rsid w:val="007405E9"/>
    <w:rsid w:val="0074077A"/>
    <w:rsid w:val="0074089C"/>
    <w:rsid w:val="00741718"/>
    <w:rsid w:val="007420D9"/>
    <w:rsid w:val="007433D2"/>
    <w:rsid w:val="007438F9"/>
    <w:rsid w:val="00743C21"/>
    <w:rsid w:val="00747650"/>
    <w:rsid w:val="00747B8D"/>
    <w:rsid w:val="00747F1D"/>
    <w:rsid w:val="00750541"/>
    <w:rsid w:val="00751007"/>
    <w:rsid w:val="00751698"/>
    <w:rsid w:val="007517C0"/>
    <w:rsid w:val="007519A8"/>
    <w:rsid w:val="007522FE"/>
    <w:rsid w:val="00752794"/>
    <w:rsid w:val="0075422C"/>
    <w:rsid w:val="00754553"/>
    <w:rsid w:val="0075614F"/>
    <w:rsid w:val="00756682"/>
    <w:rsid w:val="00757BBD"/>
    <w:rsid w:val="00757EFA"/>
    <w:rsid w:val="00760867"/>
    <w:rsid w:val="00760C65"/>
    <w:rsid w:val="00761484"/>
    <w:rsid w:val="0076197B"/>
    <w:rsid w:val="007625E4"/>
    <w:rsid w:val="007629AA"/>
    <w:rsid w:val="00762A0D"/>
    <w:rsid w:val="00763385"/>
    <w:rsid w:val="007633CF"/>
    <w:rsid w:val="007636AC"/>
    <w:rsid w:val="00763C1F"/>
    <w:rsid w:val="00764765"/>
    <w:rsid w:val="00764E24"/>
    <w:rsid w:val="007650A1"/>
    <w:rsid w:val="00765397"/>
    <w:rsid w:val="00765967"/>
    <w:rsid w:val="007663AD"/>
    <w:rsid w:val="007668FA"/>
    <w:rsid w:val="0076703E"/>
    <w:rsid w:val="007673AF"/>
    <w:rsid w:val="007674EE"/>
    <w:rsid w:val="007700DC"/>
    <w:rsid w:val="007713BE"/>
    <w:rsid w:val="0077331E"/>
    <w:rsid w:val="007737C6"/>
    <w:rsid w:val="00775E80"/>
    <w:rsid w:val="00776895"/>
    <w:rsid w:val="00776A4F"/>
    <w:rsid w:val="00777164"/>
    <w:rsid w:val="0078099A"/>
    <w:rsid w:val="00780F16"/>
    <w:rsid w:val="00781B5D"/>
    <w:rsid w:val="00781CD7"/>
    <w:rsid w:val="007827D0"/>
    <w:rsid w:val="0078336C"/>
    <w:rsid w:val="00783906"/>
    <w:rsid w:val="00783B23"/>
    <w:rsid w:val="00783B95"/>
    <w:rsid w:val="00784C69"/>
    <w:rsid w:val="0078513B"/>
    <w:rsid w:val="007856E2"/>
    <w:rsid w:val="00786152"/>
    <w:rsid w:val="0078622E"/>
    <w:rsid w:val="00787196"/>
    <w:rsid w:val="00787A20"/>
    <w:rsid w:val="00790700"/>
    <w:rsid w:val="0079173F"/>
    <w:rsid w:val="00791BB8"/>
    <w:rsid w:val="00791DC6"/>
    <w:rsid w:val="00791F2E"/>
    <w:rsid w:val="0079251C"/>
    <w:rsid w:val="007936D0"/>
    <w:rsid w:val="00793A5C"/>
    <w:rsid w:val="00793C51"/>
    <w:rsid w:val="00794D38"/>
    <w:rsid w:val="007958E5"/>
    <w:rsid w:val="007961F7"/>
    <w:rsid w:val="007965C4"/>
    <w:rsid w:val="00796F90"/>
    <w:rsid w:val="007A0DB2"/>
    <w:rsid w:val="007A0E6B"/>
    <w:rsid w:val="007A2382"/>
    <w:rsid w:val="007A27B0"/>
    <w:rsid w:val="007A2ED7"/>
    <w:rsid w:val="007A2FCB"/>
    <w:rsid w:val="007A30DC"/>
    <w:rsid w:val="007A31CE"/>
    <w:rsid w:val="007A3580"/>
    <w:rsid w:val="007A4A1C"/>
    <w:rsid w:val="007A5146"/>
    <w:rsid w:val="007A56CB"/>
    <w:rsid w:val="007A592B"/>
    <w:rsid w:val="007A5D11"/>
    <w:rsid w:val="007A5D3F"/>
    <w:rsid w:val="007A624D"/>
    <w:rsid w:val="007A6931"/>
    <w:rsid w:val="007B0808"/>
    <w:rsid w:val="007B0C8F"/>
    <w:rsid w:val="007B1643"/>
    <w:rsid w:val="007B1CB8"/>
    <w:rsid w:val="007B2975"/>
    <w:rsid w:val="007B2D20"/>
    <w:rsid w:val="007B3B9B"/>
    <w:rsid w:val="007B5121"/>
    <w:rsid w:val="007B549A"/>
    <w:rsid w:val="007B67A6"/>
    <w:rsid w:val="007B7B7D"/>
    <w:rsid w:val="007C1044"/>
    <w:rsid w:val="007C13E6"/>
    <w:rsid w:val="007C1BC0"/>
    <w:rsid w:val="007C5CEA"/>
    <w:rsid w:val="007C5F53"/>
    <w:rsid w:val="007C64A2"/>
    <w:rsid w:val="007C698B"/>
    <w:rsid w:val="007C72B6"/>
    <w:rsid w:val="007C7379"/>
    <w:rsid w:val="007C745E"/>
    <w:rsid w:val="007D0D9C"/>
    <w:rsid w:val="007D127A"/>
    <w:rsid w:val="007D1FA7"/>
    <w:rsid w:val="007D4701"/>
    <w:rsid w:val="007D55B4"/>
    <w:rsid w:val="007D5606"/>
    <w:rsid w:val="007D72B2"/>
    <w:rsid w:val="007D7C80"/>
    <w:rsid w:val="007E042F"/>
    <w:rsid w:val="007E0B79"/>
    <w:rsid w:val="007E1051"/>
    <w:rsid w:val="007E2231"/>
    <w:rsid w:val="007E23B9"/>
    <w:rsid w:val="007E2EF1"/>
    <w:rsid w:val="007E34A2"/>
    <w:rsid w:val="007E37F7"/>
    <w:rsid w:val="007E3A7E"/>
    <w:rsid w:val="007E3EB8"/>
    <w:rsid w:val="007E5595"/>
    <w:rsid w:val="007E62BF"/>
    <w:rsid w:val="007E684E"/>
    <w:rsid w:val="007E6D1B"/>
    <w:rsid w:val="007E76CC"/>
    <w:rsid w:val="007F104D"/>
    <w:rsid w:val="007F154F"/>
    <w:rsid w:val="007F265A"/>
    <w:rsid w:val="007F2C86"/>
    <w:rsid w:val="007F31CA"/>
    <w:rsid w:val="007F5102"/>
    <w:rsid w:val="007F5337"/>
    <w:rsid w:val="007F57CB"/>
    <w:rsid w:val="007F6A34"/>
    <w:rsid w:val="00800526"/>
    <w:rsid w:val="00800BF7"/>
    <w:rsid w:val="00800C3D"/>
    <w:rsid w:val="00800DCB"/>
    <w:rsid w:val="008021E8"/>
    <w:rsid w:val="00802386"/>
    <w:rsid w:val="00802E27"/>
    <w:rsid w:val="00803094"/>
    <w:rsid w:val="00803898"/>
    <w:rsid w:val="00803DD1"/>
    <w:rsid w:val="0080414E"/>
    <w:rsid w:val="00804565"/>
    <w:rsid w:val="008045CE"/>
    <w:rsid w:val="00804935"/>
    <w:rsid w:val="008056EC"/>
    <w:rsid w:val="00805BE2"/>
    <w:rsid w:val="00805E31"/>
    <w:rsid w:val="00805E70"/>
    <w:rsid w:val="00806338"/>
    <w:rsid w:val="008067DB"/>
    <w:rsid w:val="00810FE3"/>
    <w:rsid w:val="00811E08"/>
    <w:rsid w:val="00812DA5"/>
    <w:rsid w:val="008130A9"/>
    <w:rsid w:val="008148C2"/>
    <w:rsid w:val="00814EB8"/>
    <w:rsid w:val="00814F43"/>
    <w:rsid w:val="00814FA3"/>
    <w:rsid w:val="008151DA"/>
    <w:rsid w:val="00815397"/>
    <w:rsid w:val="00815CDB"/>
    <w:rsid w:val="008162D4"/>
    <w:rsid w:val="00816A7E"/>
    <w:rsid w:val="00816B94"/>
    <w:rsid w:val="00816D47"/>
    <w:rsid w:val="00817D4B"/>
    <w:rsid w:val="00820B86"/>
    <w:rsid w:val="00820E95"/>
    <w:rsid w:val="00821CB4"/>
    <w:rsid w:val="008224A6"/>
    <w:rsid w:val="00822559"/>
    <w:rsid w:val="00823D9F"/>
    <w:rsid w:val="0082627A"/>
    <w:rsid w:val="00826559"/>
    <w:rsid w:val="0082737C"/>
    <w:rsid w:val="008307C9"/>
    <w:rsid w:val="00831F40"/>
    <w:rsid w:val="008322EC"/>
    <w:rsid w:val="008327FF"/>
    <w:rsid w:val="00832F92"/>
    <w:rsid w:val="00834BF2"/>
    <w:rsid w:val="00834FAA"/>
    <w:rsid w:val="00835B10"/>
    <w:rsid w:val="00836346"/>
    <w:rsid w:val="00837AA0"/>
    <w:rsid w:val="00840098"/>
    <w:rsid w:val="00841B74"/>
    <w:rsid w:val="00842662"/>
    <w:rsid w:val="00843177"/>
    <w:rsid w:val="00844683"/>
    <w:rsid w:val="0084495F"/>
    <w:rsid w:val="00844B55"/>
    <w:rsid w:val="00846A59"/>
    <w:rsid w:val="00846AC3"/>
    <w:rsid w:val="00847EB6"/>
    <w:rsid w:val="00851445"/>
    <w:rsid w:val="00852026"/>
    <w:rsid w:val="00852395"/>
    <w:rsid w:val="008524B7"/>
    <w:rsid w:val="00852B85"/>
    <w:rsid w:val="0085312B"/>
    <w:rsid w:val="008533A9"/>
    <w:rsid w:val="00853794"/>
    <w:rsid w:val="00853D13"/>
    <w:rsid w:val="0085463B"/>
    <w:rsid w:val="00854A9C"/>
    <w:rsid w:val="00854B9E"/>
    <w:rsid w:val="008551F2"/>
    <w:rsid w:val="0085597F"/>
    <w:rsid w:val="00855FA8"/>
    <w:rsid w:val="00856A90"/>
    <w:rsid w:val="00856B05"/>
    <w:rsid w:val="00860402"/>
    <w:rsid w:val="0086074F"/>
    <w:rsid w:val="00861512"/>
    <w:rsid w:val="00863343"/>
    <w:rsid w:val="008636F2"/>
    <w:rsid w:val="0086396B"/>
    <w:rsid w:val="008653E3"/>
    <w:rsid w:val="008653EA"/>
    <w:rsid w:val="008668A6"/>
    <w:rsid w:val="00866F0F"/>
    <w:rsid w:val="00866F8D"/>
    <w:rsid w:val="00867B09"/>
    <w:rsid w:val="008702CE"/>
    <w:rsid w:val="00871A32"/>
    <w:rsid w:val="008720FA"/>
    <w:rsid w:val="00872AE3"/>
    <w:rsid w:val="00873498"/>
    <w:rsid w:val="00873583"/>
    <w:rsid w:val="0087404C"/>
    <w:rsid w:val="008742B3"/>
    <w:rsid w:val="00874A52"/>
    <w:rsid w:val="00874B31"/>
    <w:rsid w:val="0087586C"/>
    <w:rsid w:val="00876DE4"/>
    <w:rsid w:val="00877645"/>
    <w:rsid w:val="0087784F"/>
    <w:rsid w:val="00877CBA"/>
    <w:rsid w:val="00880CAA"/>
    <w:rsid w:val="00883200"/>
    <w:rsid w:val="00884761"/>
    <w:rsid w:val="00885B38"/>
    <w:rsid w:val="00886D67"/>
    <w:rsid w:val="008876CF"/>
    <w:rsid w:val="00887FA6"/>
    <w:rsid w:val="00890006"/>
    <w:rsid w:val="00890A56"/>
    <w:rsid w:val="00890C5E"/>
    <w:rsid w:val="00892395"/>
    <w:rsid w:val="008924EE"/>
    <w:rsid w:val="0089264C"/>
    <w:rsid w:val="00892850"/>
    <w:rsid w:val="008938CC"/>
    <w:rsid w:val="00894422"/>
    <w:rsid w:val="008947A6"/>
    <w:rsid w:val="0089605C"/>
    <w:rsid w:val="008967C7"/>
    <w:rsid w:val="00897436"/>
    <w:rsid w:val="00897586"/>
    <w:rsid w:val="00897BE1"/>
    <w:rsid w:val="008A01EB"/>
    <w:rsid w:val="008A0FE3"/>
    <w:rsid w:val="008A28C6"/>
    <w:rsid w:val="008A2C8F"/>
    <w:rsid w:val="008A3C62"/>
    <w:rsid w:val="008A3C77"/>
    <w:rsid w:val="008A423D"/>
    <w:rsid w:val="008A545E"/>
    <w:rsid w:val="008A5649"/>
    <w:rsid w:val="008A59A1"/>
    <w:rsid w:val="008A6096"/>
    <w:rsid w:val="008A6350"/>
    <w:rsid w:val="008A66E8"/>
    <w:rsid w:val="008A68C9"/>
    <w:rsid w:val="008A6F71"/>
    <w:rsid w:val="008B0921"/>
    <w:rsid w:val="008B09DF"/>
    <w:rsid w:val="008B0A69"/>
    <w:rsid w:val="008B0EE2"/>
    <w:rsid w:val="008B1302"/>
    <w:rsid w:val="008B1B35"/>
    <w:rsid w:val="008B1B39"/>
    <w:rsid w:val="008B1E7A"/>
    <w:rsid w:val="008B2AF0"/>
    <w:rsid w:val="008B482A"/>
    <w:rsid w:val="008B4DEB"/>
    <w:rsid w:val="008B5E77"/>
    <w:rsid w:val="008B7F16"/>
    <w:rsid w:val="008C12BC"/>
    <w:rsid w:val="008C1488"/>
    <w:rsid w:val="008C1514"/>
    <w:rsid w:val="008C1522"/>
    <w:rsid w:val="008C18FF"/>
    <w:rsid w:val="008C1C87"/>
    <w:rsid w:val="008C20B3"/>
    <w:rsid w:val="008C2779"/>
    <w:rsid w:val="008C38F5"/>
    <w:rsid w:val="008C39D0"/>
    <w:rsid w:val="008C3D55"/>
    <w:rsid w:val="008C442C"/>
    <w:rsid w:val="008C6A9D"/>
    <w:rsid w:val="008C7974"/>
    <w:rsid w:val="008D0D90"/>
    <w:rsid w:val="008D1C59"/>
    <w:rsid w:val="008D1EDB"/>
    <w:rsid w:val="008D2998"/>
    <w:rsid w:val="008D2C28"/>
    <w:rsid w:val="008D2D58"/>
    <w:rsid w:val="008D3260"/>
    <w:rsid w:val="008D38EB"/>
    <w:rsid w:val="008D3C06"/>
    <w:rsid w:val="008D42DB"/>
    <w:rsid w:val="008D4A54"/>
    <w:rsid w:val="008D5286"/>
    <w:rsid w:val="008D5402"/>
    <w:rsid w:val="008D5C78"/>
    <w:rsid w:val="008D6976"/>
    <w:rsid w:val="008D7060"/>
    <w:rsid w:val="008D7077"/>
    <w:rsid w:val="008D792F"/>
    <w:rsid w:val="008D7CD5"/>
    <w:rsid w:val="008D7F0A"/>
    <w:rsid w:val="008E125C"/>
    <w:rsid w:val="008E2CD3"/>
    <w:rsid w:val="008E2E50"/>
    <w:rsid w:val="008E313A"/>
    <w:rsid w:val="008E3596"/>
    <w:rsid w:val="008E39D8"/>
    <w:rsid w:val="008E48E4"/>
    <w:rsid w:val="008E4E30"/>
    <w:rsid w:val="008E4F30"/>
    <w:rsid w:val="008E5581"/>
    <w:rsid w:val="008E627E"/>
    <w:rsid w:val="008E6BE2"/>
    <w:rsid w:val="008E7243"/>
    <w:rsid w:val="008E7469"/>
    <w:rsid w:val="008F0C7A"/>
    <w:rsid w:val="008F12EF"/>
    <w:rsid w:val="008F21FC"/>
    <w:rsid w:val="008F2474"/>
    <w:rsid w:val="008F30BC"/>
    <w:rsid w:val="008F344D"/>
    <w:rsid w:val="008F4046"/>
    <w:rsid w:val="008F471C"/>
    <w:rsid w:val="008F4990"/>
    <w:rsid w:val="008F5B05"/>
    <w:rsid w:val="008F6C15"/>
    <w:rsid w:val="008F7451"/>
    <w:rsid w:val="008F7BE6"/>
    <w:rsid w:val="008F7C1A"/>
    <w:rsid w:val="0090014B"/>
    <w:rsid w:val="00900B62"/>
    <w:rsid w:val="00901627"/>
    <w:rsid w:val="00901F2F"/>
    <w:rsid w:val="00901FB1"/>
    <w:rsid w:val="009037FF"/>
    <w:rsid w:val="00904897"/>
    <w:rsid w:val="00904A4A"/>
    <w:rsid w:val="00905095"/>
    <w:rsid w:val="0090549C"/>
    <w:rsid w:val="00906165"/>
    <w:rsid w:val="00906D30"/>
    <w:rsid w:val="00910D27"/>
    <w:rsid w:val="00910D53"/>
    <w:rsid w:val="00910D7E"/>
    <w:rsid w:val="00911162"/>
    <w:rsid w:val="009123C1"/>
    <w:rsid w:val="00912A3C"/>
    <w:rsid w:val="00913286"/>
    <w:rsid w:val="00914339"/>
    <w:rsid w:val="00914755"/>
    <w:rsid w:val="00914A79"/>
    <w:rsid w:val="00914D68"/>
    <w:rsid w:val="009150B8"/>
    <w:rsid w:val="009154BC"/>
    <w:rsid w:val="009155BA"/>
    <w:rsid w:val="00916A5E"/>
    <w:rsid w:val="00916B13"/>
    <w:rsid w:val="00916ED5"/>
    <w:rsid w:val="00917495"/>
    <w:rsid w:val="009176E3"/>
    <w:rsid w:val="00920BF4"/>
    <w:rsid w:val="00922A13"/>
    <w:rsid w:val="00923909"/>
    <w:rsid w:val="00923921"/>
    <w:rsid w:val="00923A8A"/>
    <w:rsid w:val="00924AD4"/>
    <w:rsid w:val="00925234"/>
    <w:rsid w:val="00925C84"/>
    <w:rsid w:val="00926D3C"/>
    <w:rsid w:val="009275A6"/>
    <w:rsid w:val="00930B9D"/>
    <w:rsid w:val="00931467"/>
    <w:rsid w:val="00931B4A"/>
    <w:rsid w:val="00931E74"/>
    <w:rsid w:val="009325D7"/>
    <w:rsid w:val="009329F2"/>
    <w:rsid w:val="00932BAC"/>
    <w:rsid w:val="009334CD"/>
    <w:rsid w:val="009336F4"/>
    <w:rsid w:val="0093370A"/>
    <w:rsid w:val="009345C7"/>
    <w:rsid w:val="009347D3"/>
    <w:rsid w:val="00936908"/>
    <w:rsid w:val="00936DBB"/>
    <w:rsid w:val="00937351"/>
    <w:rsid w:val="00937CE9"/>
    <w:rsid w:val="009411EA"/>
    <w:rsid w:val="00941386"/>
    <w:rsid w:val="0094165A"/>
    <w:rsid w:val="00941E1B"/>
    <w:rsid w:val="00942B29"/>
    <w:rsid w:val="009434FE"/>
    <w:rsid w:val="0094351E"/>
    <w:rsid w:val="00943FA2"/>
    <w:rsid w:val="009440E1"/>
    <w:rsid w:val="009445AD"/>
    <w:rsid w:val="009445B3"/>
    <w:rsid w:val="00945831"/>
    <w:rsid w:val="00946407"/>
    <w:rsid w:val="00947230"/>
    <w:rsid w:val="00947652"/>
    <w:rsid w:val="00947974"/>
    <w:rsid w:val="00952961"/>
    <w:rsid w:val="009533A6"/>
    <w:rsid w:val="00953825"/>
    <w:rsid w:val="009541FE"/>
    <w:rsid w:val="009546FA"/>
    <w:rsid w:val="0095490E"/>
    <w:rsid w:val="00956F58"/>
    <w:rsid w:val="00960CE1"/>
    <w:rsid w:val="00960D31"/>
    <w:rsid w:val="00961C90"/>
    <w:rsid w:val="00961FCA"/>
    <w:rsid w:val="00962B85"/>
    <w:rsid w:val="00962E0B"/>
    <w:rsid w:val="00962E2E"/>
    <w:rsid w:val="009640A0"/>
    <w:rsid w:val="009642BE"/>
    <w:rsid w:val="0096502A"/>
    <w:rsid w:val="0096647B"/>
    <w:rsid w:val="00966A6E"/>
    <w:rsid w:val="00967382"/>
    <w:rsid w:val="00967AB6"/>
    <w:rsid w:val="0097015E"/>
    <w:rsid w:val="0097060F"/>
    <w:rsid w:val="0097062C"/>
    <w:rsid w:val="00970925"/>
    <w:rsid w:val="009714F2"/>
    <w:rsid w:val="009715B8"/>
    <w:rsid w:val="00972579"/>
    <w:rsid w:val="00972BD9"/>
    <w:rsid w:val="00973893"/>
    <w:rsid w:val="00973BBA"/>
    <w:rsid w:val="009747A1"/>
    <w:rsid w:val="0097618C"/>
    <w:rsid w:val="00976B7D"/>
    <w:rsid w:val="00977EF7"/>
    <w:rsid w:val="0098052E"/>
    <w:rsid w:val="009830D0"/>
    <w:rsid w:val="00983C7E"/>
    <w:rsid w:val="009843DB"/>
    <w:rsid w:val="0098580E"/>
    <w:rsid w:val="00986C55"/>
    <w:rsid w:val="00986F48"/>
    <w:rsid w:val="0098764B"/>
    <w:rsid w:val="00987E5E"/>
    <w:rsid w:val="00990155"/>
    <w:rsid w:val="00990EB0"/>
    <w:rsid w:val="009920D8"/>
    <w:rsid w:val="00992E1C"/>
    <w:rsid w:val="00994D8D"/>
    <w:rsid w:val="009953C9"/>
    <w:rsid w:val="00996A53"/>
    <w:rsid w:val="00996E55"/>
    <w:rsid w:val="00996FF8"/>
    <w:rsid w:val="00997D75"/>
    <w:rsid w:val="009A0036"/>
    <w:rsid w:val="009A019B"/>
    <w:rsid w:val="009A0D10"/>
    <w:rsid w:val="009A10A3"/>
    <w:rsid w:val="009A11AB"/>
    <w:rsid w:val="009A209C"/>
    <w:rsid w:val="009A21C3"/>
    <w:rsid w:val="009A2975"/>
    <w:rsid w:val="009A3ACA"/>
    <w:rsid w:val="009A4866"/>
    <w:rsid w:val="009A541A"/>
    <w:rsid w:val="009A5742"/>
    <w:rsid w:val="009A6E43"/>
    <w:rsid w:val="009A7B88"/>
    <w:rsid w:val="009B048C"/>
    <w:rsid w:val="009B1611"/>
    <w:rsid w:val="009B3DA0"/>
    <w:rsid w:val="009B45B7"/>
    <w:rsid w:val="009B63B9"/>
    <w:rsid w:val="009B6775"/>
    <w:rsid w:val="009B6E4D"/>
    <w:rsid w:val="009B6F70"/>
    <w:rsid w:val="009B7472"/>
    <w:rsid w:val="009B784B"/>
    <w:rsid w:val="009C0052"/>
    <w:rsid w:val="009C01D5"/>
    <w:rsid w:val="009C0200"/>
    <w:rsid w:val="009C0DFD"/>
    <w:rsid w:val="009C1AA4"/>
    <w:rsid w:val="009C1E0F"/>
    <w:rsid w:val="009C2CF2"/>
    <w:rsid w:val="009C301D"/>
    <w:rsid w:val="009C3257"/>
    <w:rsid w:val="009C3AA9"/>
    <w:rsid w:val="009C3C62"/>
    <w:rsid w:val="009C413F"/>
    <w:rsid w:val="009C42D1"/>
    <w:rsid w:val="009C7623"/>
    <w:rsid w:val="009D1D7F"/>
    <w:rsid w:val="009D38FA"/>
    <w:rsid w:val="009D3A86"/>
    <w:rsid w:val="009D3D72"/>
    <w:rsid w:val="009D4503"/>
    <w:rsid w:val="009D4D68"/>
    <w:rsid w:val="009D7186"/>
    <w:rsid w:val="009D7BE7"/>
    <w:rsid w:val="009E1317"/>
    <w:rsid w:val="009E1E79"/>
    <w:rsid w:val="009E244F"/>
    <w:rsid w:val="009E421D"/>
    <w:rsid w:val="009E4929"/>
    <w:rsid w:val="009E5178"/>
    <w:rsid w:val="009E59FB"/>
    <w:rsid w:val="009E5C9E"/>
    <w:rsid w:val="009E6BA6"/>
    <w:rsid w:val="009E7533"/>
    <w:rsid w:val="009F096D"/>
    <w:rsid w:val="009F0B4C"/>
    <w:rsid w:val="009F10E7"/>
    <w:rsid w:val="009F1396"/>
    <w:rsid w:val="009F1405"/>
    <w:rsid w:val="009F21F9"/>
    <w:rsid w:val="009F2977"/>
    <w:rsid w:val="009F2A0F"/>
    <w:rsid w:val="009F40C2"/>
    <w:rsid w:val="009F4311"/>
    <w:rsid w:val="009F4A89"/>
    <w:rsid w:val="009F556A"/>
    <w:rsid w:val="009F5E1C"/>
    <w:rsid w:val="00A0005C"/>
    <w:rsid w:val="00A00555"/>
    <w:rsid w:val="00A0097E"/>
    <w:rsid w:val="00A00E40"/>
    <w:rsid w:val="00A00F93"/>
    <w:rsid w:val="00A0128A"/>
    <w:rsid w:val="00A048B2"/>
    <w:rsid w:val="00A050B0"/>
    <w:rsid w:val="00A0528A"/>
    <w:rsid w:val="00A05B45"/>
    <w:rsid w:val="00A07425"/>
    <w:rsid w:val="00A07580"/>
    <w:rsid w:val="00A07B2E"/>
    <w:rsid w:val="00A07FA2"/>
    <w:rsid w:val="00A103ED"/>
    <w:rsid w:val="00A11095"/>
    <w:rsid w:val="00A118E0"/>
    <w:rsid w:val="00A11B03"/>
    <w:rsid w:val="00A12467"/>
    <w:rsid w:val="00A126E2"/>
    <w:rsid w:val="00A131FC"/>
    <w:rsid w:val="00A13732"/>
    <w:rsid w:val="00A1494D"/>
    <w:rsid w:val="00A15E71"/>
    <w:rsid w:val="00A175DF"/>
    <w:rsid w:val="00A179A9"/>
    <w:rsid w:val="00A17B37"/>
    <w:rsid w:val="00A17ED9"/>
    <w:rsid w:val="00A20E9B"/>
    <w:rsid w:val="00A21FF7"/>
    <w:rsid w:val="00A2396A"/>
    <w:rsid w:val="00A24323"/>
    <w:rsid w:val="00A248FC"/>
    <w:rsid w:val="00A25448"/>
    <w:rsid w:val="00A25595"/>
    <w:rsid w:val="00A266B3"/>
    <w:rsid w:val="00A269A7"/>
    <w:rsid w:val="00A3059A"/>
    <w:rsid w:val="00A31BD2"/>
    <w:rsid w:val="00A31D0C"/>
    <w:rsid w:val="00A321E5"/>
    <w:rsid w:val="00A322A6"/>
    <w:rsid w:val="00A326AE"/>
    <w:rsid w:val="00A3279E"/>
    <w:rsid w:val="00A32A91"/>
    <w:rsid w:val="00A33A3B"/>
    <w:rsid w:val="00A3409C"/>
    <w:rsid w:val="00A3510D"/>
    <w:rsid w:val="00A35288"/>
    <w:rsid w:val="00A352BC"/>
    <w:rsid w:val="00A36721"/>
    <w:rsid w:val="00A36A2B"/>
    <w:rsid w:val="00A37FAF"/>
    <w:rsid w:val="00A405EE"/>
    <w:rsid w:val="00A40FCE"/>
    <w:rsid w:val="00A414C5"/>
    <w:rsid w:val="00A41BA7"/>
    <w:rsid w:val="00A422E8"/>
    <w:rsid w:val="00A42B8A"/>
    <w:rsid w:val="00A4322B"/>
    <w:rsid w:val="00A43921"/>
    <w:rsid w:val="00A43BBC"/>
    <w:rsid w:val="00A44765"/>
    <w:rsid w:val="00A44C02"/>
    <w:rsid w:val="00A46782"/>
    <w:rsid w:val="00A468A3"/>
    <w:rsid w:val="00A47B71"/>
    <w:rsid w:val="00A5080D"/>
    <w:rsid w:val="00A51B0D"/>
    <w:rsid w:val="00A51C86"/>
    <w:rsid w:val="00A51EC8"/>
    <w:rsid w:val="00A54AD1"/>
    <w:rsid w:val="00A54F15"/>
    <w:rsid w:val="00A54F43"/>
    <w:rsid w:val="00A5517A"/>
    <w:rsid w:val="00A55646"/>
    <w:rsid w:val="00A55884"/>
    <w:rsid w:val="00A57BAE"/>
    <w:rsid w:val="00A604DA"/>
    <w:rsid w:val="00A60CD7"/>
    <w:rsid w:val="00A6153E"/>
    <w:rsid w:val="00A61A13"/>
    <w:rsid w:val="00A61E0C"/>
    <w:rsid w:val="00A61FF6"/>
    <w:rsid w:val="00A63B3E"/>
    <w:rsid w:val="00A64594"/>
    <w:rsid w:val="00A6538B"/>
    <w:rsid w:val="00A6559D"/>
    <w:rsid w:val="00A655B6"/>
    <w:rsid w:val="00A65997"/>
    <w:rsid w:val="00A65E79"/>
    <w:rsid w:val="00A675F0"/>
    <w:rsid w:val="00A70075"/>
    <w:rsid w:val="00A70B36"/>
    <w:rsid w:val="00A70C7F"/>
    <w:rsid w:val="00A70E97"/>
    <w:rsid w:val="00A710DD"/>
    <w:rsid w:val="00A7158B"/>
    <w:rsid w:val="00A71BF5"/>
    <w:rsid w:val="00A7279D"/>
    <w:rsid w:val="00A7360B"/>
    <w:rsid w:val="00A74791"/>
    <w:rsid w:val="00A75552"/>
    <w:rsid w:val="00A76608"/>
    <w:rsid w:val="00A77982"/>
    <w:rsid w:val="00A807B1"/>
    <w:rsid w:val="00A808F9"/>
    <w:rsid w:val="00A810B9"/>
    <w:rsid w:val="00A81670"/>
    <w:rsid w:val="00A820F6"/>
    <w:rsid w:val="00A8363C"/>
    <w:rsid w:val="00A8391B"/>
    <w:rsid w:val="00A847D0"/>
    <w:rsid w:val="00A847DE"/>
    <w:rsid w:val="00A84D3D"/>
    <w:rsid w:val="00A85A33"/>
    <w:rsid w:val="00A876E7"/>
    <w:rsid w:val="00A909D6"/>
    <w:rsid w:val="00A912EB"/>
    <w:rsid w:val="00A913C9"/>
    <w:rsid w:val="00A91AFA"/>
    <w:rsid w:val="00A92386"/>
    <w:rsid w:val="00A93E8C"/>
    <w:rsid w:val="00A94CC4"/>
    <w:rsid w:val="00A95C44"/>
    <w:rsid w:val="00A970BE"/>
    <w:rsid w:val="00AA02E1"/>
    <w:rsid w:val="00AA0709"/>
    <w:rsid w:val="00AA104E"/>
    <w:rsid w:val="00AA157B"/>
    <w:rsid w:val="00AA19A9"/>
    <w:rsid w:val="00AA2784"/>
    <w:rsid w:val="00AA2BB5"/>
    <w:rsid w:val="00AA3160"/>
    <w:rsid w:val="00AA3257"/>
    <w:rsid w:val="00AA4935"/>
    <w:rsid w:val="00AA4BD2"/>
    <w:rsid w:val="00AA4CC4"/>
    <w:rsid w:val="00AA5E7F"/>
    <w:rsid w:val="00AA626F"/>
    <w:rsid w:val="00AA6521"/>
    <w:rsid w:val="00AA686D"/>
    <w:rsid w:val="00AA6ECD"/>
    <w:rsid w:val="00AA7C3A"/>
    <w:rsid w:val="00AA7E07"/>
    <w:rsid w:val="00AB018C"/>
    <w:rsid w:val="00AB0EDE"/>
    <w:rsid w:val="00AB11BA"/>
    <w:rsid w:val="00AB13E9"/>
    <w:rsid w:val="00AB17E8"/>
    <w:rsid w:val="00AB2DB1"/>
    <w:rsid w:val="00AB30FE"/>
    <w:rsid w:val="00AB3461"/>
    <w:rsid w:val="00AB4543"/>
    <w:rsid w:val="00AB4743"/>
    <w:rsid w:val="00AB4950"/>
    <w:rsid w:val="00AB524A"/>
    <w:rsid w:val="00AB53B8"/>
    <w:rsid w:val="00AB56E8"/>
    <w:rsid w:val="00AB5EEA"/>
    <w:rsid w:val="00AB6063"/>
    <w:rsid w:val="00AB699E"/>
    <w:rsid w:val="00AB6F37"/>
    <w:rsid w:val="00AB7515"/>
    <w:rsid w:val="00AB78DD"/>
    <w:rsid w:val="00AC0263"/>
    <w:rsid w:val="00AC07E3"/>
    <w:rsid w:val="00AC13F2"/>
    <w:rsid w:val="00AC1486"/>
    <w:rsid w:val="00AC4269"/>
    <w:rsid w:val="00AC4EEB"/>
    <w:rsid w:val="00AC5F09"/>
    <w:rsid w:val="00AC6604"/>
    <w:rsid w:val="00AC6D61"/>
    <w:rsid w:val="00AC710E"/>
    <w:rsid w:val="00AD0398"/>
    <w:rsid w:val="00AD112A"/>
    <w:rsid w:val="00AD1A66"/>
    <w:rsid w:val="00AD3008"/>
    <w:rsid w:val="00AD30F9"/>
    <w:rsid w:val="00AD3303"/>
    <w:rsid w:val="00AD3839"/>
    <w:rsid w:val="00AD4597"/>
    <w:rsid w:val="00AD487E"/>
    <w:rsid w:val="00AD5CCA"/>
    <w:rsid w:val="00AD7590"/>
    <w:rsid w:val="00AE0715"/>
    <w:rsid w:val="00AE0C48"/>
    <w:rsid w:val="00AE176D"/>
    <w:rsid w:val="00AE1774"/>
    <w:rsid w:val="00AE2593"/>
    <w:rsid w:val="00AE3400"/>
    <w:rsid w:val="00AE3CCC"/>
    <w:rsid w:val="00AE4628"/>
    <w:rsid w:val="00AE6D0C"/>
    <w:rsid w:val="00AE7680"/>
    <w:rsid w:val="00AE7C1F"/>
    <w:rsid w:val="00AF035B"/>
    <w:rsid w:val="00AF0771"/>
    <w:rsid w:val="00AF1258"/>
    <w:rsid w:val="00AF27A3"/>
    <w:rsid w:val="00AF30D3"/>
    <w:rsid w:val="00AF3A3D"/>
    <w:rsid w:val="00AF4BCF"/>
    <w:rsid w:val="00AF66BD"/>
    <w:rsid w:val="00AF79EA"/>
    <w:rsid w:val="00B00483"/>
    <w:rsid w:val="00B0051D"/>
    <w:rsid w:val="00B0071F"/>
    <w:rsid w:val="00B00C57"/>
    <w:rsid w:val="00B00C8B"/>
    <w:rsid w:val="00B00C94"/>
    <w:rsid w:val="00B012E8"/>
    <w:rsid w:val="00B01811"/>
    <w:rsid w:val="00B01C50"/>
    <w:rsid w:val="00B02253"/>
    <w:rsid w:val="00B0261E"/>
    <w:rsid w:val="00B0277F"/>
    <w:rsid w:val="00B02A9B"/>
    <w:rsid w:val="00B03E52"/>
    <w:rsid w:val="00B04906"/>
    <w:rsid w:val="00B04A96"/>
    <w:rsid w:val="00B053B6"/>
    <w:rsid w:val="00B05890"/>
    <w:rsid w:val="00B06432"/>
    <w:rsid w:val="00B0693C"/>
    <w:rsid w:val="00B06A2C"/>
    <w:rsid w:val="00B07E6E"/>
    <w:rsid w:val="00B07EFE"/>
    <w:rsid w:val="00B10109"/>
    <w:rsid w:val="00B10354"/>
    <w:rsid w:val="00B1052F"/>
    <w:rsid w:val="00B11297"/>
    <w:rsid w:val="00B114F6"/>
    <w:rsid w:val="00B1154F"/>
    <w:rsid w:val="00B11D0D"/>
    <w:rsid w:val="00B11D7F"/>
    <w:rsid w:val="00B12626"/>
    <w:rsid w:val="00B128F4"/>
    <w:rsid w:val="00B1324A"/>
    <w:rsid w:val="00B13506"/>
    <w:rsid w:val="00B160FE"/>
    <w:rsid w:val="00B16813"/>
    <w:rsid w:val="00B16BB3"/>
    <w:rsid w:val="00B16F43"/>
    <w:rsid w:val="00B174AF"/>
    <w:rsid w:val="00B177EE"/>
    <w:rsid w:val="00B20A52"/>
    <w:rsid w:val="00B20C7B"/>
    <w:rsid w:val="00B217CC"/>
    <w:rsid w:val="00B21816"/>
    <w:rsid w:val="00B222F2"/>
    <w:rsid w:val="00B228F8"/>
    <w:rsid w:val="00B23A1D"/>
    <w:rsid w:val="00B242BE"/>
    <w:rsid w:val="00B24404"/>
    <w:rsid w:val="00B24C22"/>
    <w:rsid w:val="00B25546"/>
    <w:rsid w:val="00B2638A"/>
    <w:rsid w:val="00B27050"/>
    <w:rsid w:val="00B30804"/>
    <w:rsid w:val="00B30A7F"/>
    <w:rsid w:val="00B3105D"/>
    <w:rsid w:val="00B32959"/>
    <w:rsid w:val="00B342F1"/>
    <w:rsid w:val="00B35159"/>
    <w:rsid w:val="00B35428"/>
    <w:rsid w:val="00B37E06"/>
    <w:rsid w:val="00B401BB"/>
    <w:rsid w:val="00B40316"/>
    <w:rsid w:val="00B40962"/>
    <w:rsid w:val="00B40C9E"/>
    <w:rsid w:val="00B41B57"/>
    <w:rsid w:val="00B41CFC"/>
    <w:rsid w:val="00B4283B"/>
    <w:rsid w:val="00B43640"/>
    <w:rsid w:val="00B43FC5"/>
    <w:rsid w:val="00B4599C"/>
    <w:rsid w:val="00B45BFB"/>
    <w:rsid w:val="00B45C3B"/>
    <w:rsid w:val="00B4689E"/>
    <w:rsid w:val="00B46C88"/>
    <w:rsid w:val="00B47267"/>
    <w:rsid w:val="00B47732"/>
    <w:rsid w:val="00B47A05"/>
    <w:rsid w:val="00B503D5"/>
    <w:rsid w:val="00B504C0"/>
    <w:rsid w:val="00B50A6E"/>
    <w:rsid w:val="00B5123B"/>
    <w:rsid w:val="00B51441"/>
    <w:rsid w:val="00B52E5C"/>
    <w:rsid w:val="00B53DB3"/>
    <w:rsid w:val="00B5416E"/>
    <w:rsid w:val="00B543ED"/>
    <w:rsid w:val="00B5533C"/>
    <w:rsid w:val="00B567A5"/>
    <w:rsid w:val="00B57530"/>
    <w:rsid w:val="00B61391"/>
    <w:rsid w:val="00B61402"/>
    <w:rsid w:val="00B6169D"/>
    <w:rsid w:val="00B62A99"/>
    <w:rsid w:val="00B6328F"/>
    <w:rsid w:val="00B6354A"/>
    <w:rsid w:val="00B63D4B"/>
    <w:rsid w:val="00B63DD3"/>
    <w:rsid w:val="00B64A73"/>
    <w:rsid w:val="00B653B9"/>
    <w:rsid w:val="00B65862"/>
    <w:rsid w:val="00B65C65"/>
    <w:rsid w:val="00B661F0"/>
    <w:rsid w:val="00B67BFF"/>
    <w:rsid w:val="00B70A16"/>
    <w:rsid w:val="00B70D50"/>
    <w:rsid w:val="00B711CB"/>
    <w:rsid w:val="00B73842"/>
    <w:rsid w:val="00B73A76"/>
    <w:rsid w:val="00B7498F"/>
    <w:rsid w:val="00B7525F"/>
    <w:rsid w:val="00B7565B"/>
    <w:rsid w:val="00B7619B"/>
    <w:rsid w:val="00B766CC"/>
    <w:rsid w:val="00B76BD3"/>
    <w:rsid w:val="00B76BD9"/>
    <w:rsid w:val="00B76C48"/>
    <w:rsid w:val="00B770AF"/>
    <w:rsid w:val="00B805D8"/>
    <w:rsid w:val="00B81589"/>
    <w:rsid w:val="00B81B9E"/>
    <w:rsid w:val="00B823B2"/>
    <w:rsid w:val="00B8253A"/>
    <w:rsid w:val="00B83001"/>
    <w:rsid w:val="00B831AD"/>
    <w:rsid w:val="00B83223"/>
    <w:rsid w:val="00B84415"/>
    <w:rsid w:val="00B8471E"/>
    <w:rsid w:val="00B858BD"/>
    <w:rsid w:val="00B85A0E"/>
    <w:rsid w:val="00B86773"/>
    <w:rsid w:val="00B878EB"/>
    <w:rsid w:val="00B901F6"/>
    <w:rsid w:val="00B90328"/>
    <w:rsid w:val="00B90468"/>
    <w:rsid w:val="00B90546"/>
    <w:rsid w:val="00B91528"/>
    <w:rsid w:val="00B915DA"/>
    <w:rsid w:val="00B918C9"/>
    <w:rsid w:val="00B91F6F"/>
    <w:rsid w:val="00B926CE"/>
    <w:rsid w:val="00B93C7A"/>
    <w:rsid w:val="00B93DD1"/>
    <w:rsid w:val="00B9407E"/>
    <w:rsid w:val="00B94468"/>
    <w:rsid w:val="00B94EA4"/>
    <w:rsid w:val="00B94EF1"/>
    <w:rsid w:val="00B9563F"/>
    <w:rsid w:val="00B95D51"/>
    <w:rsid w:val="00BA017F"/>
    <w:rsid w:val="00BA0D8D"/>
    <w:rsid w:val="00BA16D7"/>
    <w:rsid w:val="00BA24FB"/>
    <w:rsid w:val="00BA29F4"/>
    <w:rsid w:val="00BA3BC7"/>
    <w:rsid w:val="00BA3EF7"/>
    <w:rsid w:val="00BA435A"/>
    <w:rsid w:val="00BA599F"/>
    <w:rsid w:val="00BA5A07"/>
    <w:rsid w:val="00BA5E18"/>
    <w:rsid w:val="00BA7503"/>
    <w:rsid w:val="00BA7522"/>
    <w:rsid w:val="00BA7EF9"/>
    <w:rsid w:val="00BB05D7"/>
    <w:rsid w:val="00BB0F34"/>
    <w:rsid w:val="00BB14A1"/>
    <w:rsid w:val="00BB3A5B"/>
    <w:rsid w:val="00BB3AC8"/>
    <w:rsid w:val="00BB4E36"/>
    <w:rsid w:val="00BB54F1"/>
    <w:rsid w:val="00BB5612"/>
    <w:rsid w:val="00BB6564"/>
    <w:rsid w:val="00BB69BA"/>
    <w:rsid w:val="00BB6F1D"/>
    <w:rsid w:val="00BB7B6C"/>
    <w:rsid w:val="00BB7BE1"/>
    <w:rsid w:val="00BB7DA9"/>
    <w:rsid w:val="00BC042D"/>
    <w:rsid w:val="00BC0A91"/>
    <w:rsid w:val="00BC0D22"/>
    <w:rsid w:val="00BC1206"/>
    <w:rsid w:val="00BC1787"/>
    <w:rsid w:val="00BC17FB"/>
    <w:rsid w:val="00BC2169"/>
    <w:rsid w:val="00BC2F82"/>
    <w:rsid w:val="00BC3162"/>
    <w:rsid w:val="00BC46F5"/>
    <w:rsid w:val="00BC48C1"/>
    <w:rsid w:val="00BC5713"/>
    <w:rsid w:val="00BC5EA8"/>
    <w:rsid w:val="00BC6A80"/>
    <w:rsid w:val="00BC7AA0"/>
    <w:rsid w:val="00BC7B0D"/>
    <w:rsid w:val="00BD05DF"/>
    <w:rsid w:val="00BD08C1"/>
    <w:rsid w:val="00BD0E3A"/>
    <w:rsid w:val="00BD0F24"/>
    <w:rsid w:val="00BD1275"/>
    <w:rsid w:val="00BD1E04"/>
    <w:rsid w:val="00BD365E"/>
    <w:rsid w:val="00BD3C3C"/>
    <w:rsid w:val="00BD492D"/>
    <w:rsid w:val="00BD5392"/>
    <w:rsid w:val="00BD591D"/>
    <w:rsid w:val="00BD5BCA"/>
    <w:rsid w:val="00BD6956"/>
    <w:rsid w:val="00BD76C5"/>
    <w:rsid w:val="00BD79E0"/>
    <w:rsid w:val="00BD7BA6"/>
    <w:rsid w:val="00BE13FE"/>
    <w:rsid w:val="00BE1464"/>
    <w:rsid w:val="00BE182A"/>
    <w:rsid w:val="00BE183D"/>
    <w:rsid w:val="00BE18BE"/>
    <w:rsid w:val="00BE360E"/>
    <w:rsid w:val="00BE3D02"/>
    <w:rsid w:val="00BE3D29"/>
    <w:rsid w:val="00BE433F"/>
    <w:rsid w:val="00BE4820"/>
    <w:rsid w:val="00BE4FA7"/>
    <w:rsid w:val="00BE50DD"/>
    <w:rsid w:val="00BE55D4"/>
    <w:rsid w:val="00BE5BEA"/>
    <w:rsid w:val="00BE5FDE"/>
    <w:rsid w:val="00BE7098"/>
    <w:rsid w:val="00BE775F"/>
    <w:rsid w:val="00BF01EB"/>
    <w:rsid w:val="00BF0218"/>
    <w:rsid w:val="00BF044E"/>
    <w:rsid w:val="00BF0BDE"/>
    <w:rsid w:val="00BF1618"/>
    <w:rsid w:val="00BF2040"/>
    <w:rsid w:val="00BF2F4D"/>
    <w:rsid w:val="00BF3DDD"/>
    <w:rsid w:val="00BF50C5"/>
    <w:rsid w:val="00BF5316"/>
    <w:rsid w:val="00BF615B"/>
    <w:rsid w:val="00BF7A06"/>
    <w:rsid w:val="00BF7F8D"/>
    <w:rsid w:val="00C00487"/>
    <w:rsid w:val="00C01A68"/>
    <w:rsid w:val="00C01AC6"/>
    <w:rsid w:val="00C020A2"/>
    <w:rsid w:val="00C03E7E"/>
    <w:rsid w:val="00C04BD4"/>
    <w:rsid w:val="00C05B01"/>
    <w:rsid w:val="00C06C9A"/>
    <w:rsid w:val="00C104BE"/>
    <w:rsid w:val="00C109FF"/>
    <w:rsid w:val="00C10F66"/>
    <w:rsid w:val="00C1172D"/>
    <w:rsid w:val="00C119A6"/>
    <w:rsid w:val="00C11A6B"/>
    <w:rsid w:val="00C12894"/>
    <w:rsid w:val="00C12961"/>
    <w:rsid w:val="00C12ACE"/>
    <w:rsid w:val="00C13291"/>
    <w:rsid w:val="00C139D3"/>
    <w:rsid w:val="00C15A14"/>
    <w:rsid w:val="00C16707"/>
    <w:rsid w:val="00C171FD"/>
    <w:rsid w:val="00C20A67"/>
    <w:rsid w:val="00C21F02"/>
    <w:rsid w:val="00C22747"/>
    <w:rsid w:val="00C238A0"/>
    <w:rsid w:val="00C23928"/>
    <w:rsid w:val="00C250A6"/>
    <w:rsid w:val="00C26598"/>
    <w:rsid w:val="00C2671D"/>
    <w:rsid w:val="00C26F32"/>
    <w:rsid w:val="00C277BB"/>
    <w:rsid w:val="00C30B90"/>
    <w:rsid w:val="00C30FEC"/>
    <w:rsid w:val="00C31C8F"/>
    <w:rsid w:val="00C337E2"/>
    <w:rsid w:val="00C3428E"/>
    <w:rsid w:val="00C342A5"/>
    <w:rsid w:val="00C345A2"/>
    <w:rsid w:val="00C34AD1"/>
    <w:rsid w:val="00C34C9C"/>
    <w:rsid w:val="00C35C7B"/>
    <w:rsid w:val="00C35D42"/>
    <w:rsid w:val="00C36306"/>
    <w:rsid w:val="00C367DC"/>
    <w:rsid w:val="00C36A62"/>
    <w:rsid w:val="00C37223"/>
    <w:rsid w:val="00C37344"/>
    <w:rsid w:val="00C40FAC"/>
    <w:rsid w:val="00C41707"/>
    <w:rsid w:val="00C41B25"/>
    <w:rsid w:val="00C42020"/>
    <w:rsid w:val="00C4232F"/>
    <w:rsid w:val="00C42F2B"/>
    <w:rsid w:val="00C43744"/>
    <w:rsid w:val="00C438FE"/>
    <w:rsid w:val="00C43C2F"/>
    <w:rsid w:val="00C44164"/>
    <w:rsid w:val="00C444E4"/>
    <w:rsid w:val="00C452F5"/>
    <w:rsid w:val="00C45EDF"/>
    <w:rsid w:val="00C47D29"/>
    <w:rsid w:val="00C502BE"/>
    <w:rsid w:val="00C51CC6"/>
    <w:rsid w:val="00C51D0A"/>
    <w:rsid w:val="00C53A12"/>
    <w:rsid w:val="00C53F70"/>
    <w:rsid w:val="00C558E1"/>
    <w:rsid w:val="00C55FCD"/>
    <w:rsid w:val="00C56507"/>
    <w:rsid w:val="00C56B3D"/>
    <w:rsid w:val="00C56E8F"/>
    <w:rsid w:val="00C574D2"/>
    <w:rsid w:val="00C601AE"/>
    <w:rsid w:val="00C61C51"/>
    <w:rsid w:val="00C62135"/>
    <w:rsid w:val="00C62232"/>
    <w:rsid w:val="00C627CE"/>
    <w:rsid w:val="00C631E1"/>
    <w:rsid w:val="00C632C7"/>
    <w:rsid w:val="00C634AE"/>
    <w:rsid w:val="00C63EFE"/>
    <w:rsid w:val="00C63FA7"/>
    <w:rsid w:val="00C642DD"/>
    <w:rsid w:val="00C64DFF"/>
    <w:rsid w:val="00C64F9C"/>
    <w:rsid w:val="00C652B7"/>
    <w:rsid w:val="00C652E2"/>
    <w:rsid w:val="00C66646"/>
    <w:rsid w:val="00C67AF8"/>
    <w:rsid w:val="00C70134"/>
    <w:rsid w:val="00C7021E"/>
    <w:rsid w:val="00C7103C"/>
    <w:rsid w:val="00C72037"/>
    <w:rsid w:val="00C726AB"/>
    <w:rsid w:val="00C732AF"/>
    <w:rsid w:val="00C7442D"/>
    <w:rsid w:val="00C747E0"/>
    <w:rsid w:val="00C74F97"/>
    <w:rsid w:val="00C75BD1"/>
    <w:rsid w:val="00C75E3E"/>
    <w:rsid w:val="00C7667C"/>
    <w:rsid w:val="00C76702"/>
    <w:rsid w:val="00C76711"/>
    <w:rsid w:val="00C76ABB"/>
    <w:rsid w:val="00C775E2"/>
    <w:rsid w:val="00C80B18"/>
    <w:rsid w:val="00C80B23"/>
    <w:rsid w:val="00C816FC"/>
    <w:rsid w:val="00C81BCF"/>
    <w:rsid w:val="00C81BF4"/>
    <w:rsid w:val="00C81E87"/>
    <w:rsid w:val="00C82E24"/>
    <w:rsid w:val="00C83AE3"/>
    <w:rsid w:val="00C83E16"/>
    <w:rsid w:val="00C84255"/>
    <w:rsid w:val="00C842C6"/>
    <w:rsid w:val="00C84AA7"/>
    <w:rsid w:val="00C8562D"/>
    <w:rsid w:val="00C85C24"/>
    <w:rsid w:val="00C86515"/>
    <w:rsid w:val="00C8705A"/>
    <w:rsid w:val="00C87733"/>
    <w:rsid w:val="00C87891"/>
    <w:rsid w:val="00C87EDF"/>
    <w:rsid w:val="00C905D0"/>
    <w:rsid w:val="00C907E0"/>
    <w:rsid w:val="00C9157A"/>
    <w:rsid w:val="00C9258F"/>
    <w:rsid w:val="00C92802"/>
    <w:rsid w:val="00C9294B"/>
    <w:rsid w:val="00C93658"/>
    <w:rsid w:val="00C93CC0"/>
    <w:rsid w:val="00C93E59"/>
    <w:rsid w:val="00C955B2"/>
    <w:rsid w:val="00C95F71"/>
    <w:rsid w:val="00C9619C"/>
    <w:rsid w:val="00C96751"/>
    <w:rsid w:val="00C97DEB"/>
    <w:rsid w:val="00CA06EF"/>
    <w:rsid w:val="00CA1047"/>
    <w:rsid w:val="00CA1247"/>
    <w:rsid w:val="00CA3056"/>
    <w:rsid w:val="00CA3D81"/>
    <w:rsid w:val="00CA4A1F"/>
    <w:rsid w:val="00CA5043"/>
    <w:rsid w:val="00CA5697"/>
    <w:rsid w:val="00CA56C1"/>
    <w:rsid w:val="00CA5BE3"/>
    <w:rsid w:val="00CA68FD"/>
    <w:rsid w:val="00CA7ECD"/>
    <w:rsid w:val="00CB01DA"/>
    <w:rsid w:val="00CB0690"/>
    <w:rsid w:val="00CB06F4"/>
    <w:rsid w:val="00CB1281"/>
    <w:rsid w:val="00CB13B4"/>
    <w:rsid w:val="00CB16A3"/>
    <w:rsid w:val="00CB2277"/>
    <w:rsid w:val="00CB22B3"/>
    <w:rsid w:val="00CB2832"/>
    <w:rsid w:val="00CB2891"/>
    <w:rsid w:val="00CB2A4F"/>
    <w:rsid w:val="00CB36EB"/>
    <w:rsid w:val="00CB38E7"/>
    <w:rsid w:val="00CB3CA2"/>
    <w:rsid w:val="00CB41FB"/>
    <w:rsid w:val="00CB4363"/>
    <w:rsid w:val="00CB462C"/>
    <w:rsid w:val="00CB4E51"/>
    <w:rsid w:val="00CB627F"/>
    <w:rsid w:val="00CB66A2"/>
    <w:rsid w:val="00CB6FBB"/>
    <w:rsid w:val="00CB7119"/>
    <w:rsid w:val="00CB7166"/>
    <w:rsid w:val="00CB7CD9"/>
    <w:rsid w:val="00CC01D6"/>
    <w:rsid w:val="00CC0B97"/>
    <w:rsid w:val="00CC175E"/>
    <w:rsid w:val="00CC1C95"/>
    <w:rsid w:val="00CC265C"/>
    <w:rsid w:val="00CC528E"/>
    <w:rsid w:val="00CC66C4"/>
    <w:rsid w:val="00CC6D6E"/>
    <w:rsid w:val="00CC7A1D"/>
    <w:rsid w:val="00CD0BDB"/>
    <w:rsid w:val="00CD12C6"/>
    <w:rsid w:val="00CD13AA"/>
    <w:rsid w:val="00CD156A"/>
    <w:rsid w:val="00CD2537"/>
    <w:rsid w:val="00CD3332"/>
    <w:rsid w:val="00CD33A2"/>
    <w:rsid w:val="00CD33FE"/>
    <w:rsid w:val="00CD3754"/>
    <w:rsid w:val="00CD3B01"/>
    <w:rsid w:val="00CD3B10"/>
    <w:rsid w:val="00CD4098"/>
    <w:rsid w:val="00CD4157"/>
    <w:rsid w:val="00CD4302"/>
    <w:rsid w:val="00CD4438"/>
    <w:rsid w:val="00CD57D1"/>
    <w:rsid w:val="00CD5875"/>
    <w:rsid w:val="00CD5F40"/>
    <w:rsid w:val="00CD654D"/>
    <w:rsid w:val="00CD708E"/>
    <w:rsid w:val="00CD73A2"/>
    <w:rsid w:val="00CD73EB"/>
    <w:rsid w:val="00CD769C"/>
    <w:rsid w:val="00CD793D"/>
    <w:rsid w:val="00CE07AE"/>
    <w:rsid w:val="00CE116E"/>
    <w:rsid w:val="00CE15F4"/>
    <w:rsid w:val="00CE16B1"/>
    <w:rsid w:val="00CE20DD"/>
    <w:rsid w:val="00CE2569"/>
    <w:rsid w:val="00CE2C10"/>
    <w:rsid w:val="00CE3401"/>
    <w:rsid w:val="00CE3566"/>
    <w:rsid w:val="00CE391C"/>
    <w:rsid w:val="00CE427F"/>
    <w:rsid w:val="00CE4DA4"/>
    <w:rsid w:val="00CE5293"/>
    <w:rsid w:val="00CE5303"/>
    <w:rsid w:val="00CE6C76"/>
    <w:rsid w:val="00CE716F"/>
    <w:rsid w:val="00CE7B6A"/>
    <w:rsid w:val="00CF029E"/>
    <w:rsid w:val="00CF093F"/>
    <w:rsid w:val="00CF0D54"/>
    <w:rsid w:val="00CF0F12"/>
    <w:rsid w:val="00CF3345"/>
    <w:rsid w:val="00CF3518"/>
    <w:rsid w:val="00CF353E"/>
    <w:rsid w:val="00CF39CB"/>
    <w:rsid w:val="00CF40C9"/>
    <w:rsid w:val="00CF4728"/>
    <w:rsid w:val="00CF4A5D"/>
    <w:rsid w:val="00CF540F"/>
    <w:rsid w:val="00CF61D4"/>
    <w:rsid w:val="00CF715A"/>
    <w:rsid w:val="00D00565"/>
    <w:rsid w:val="00D01235"/>
    <w:rsid w:val="00D01412"/>
    <w:rsid w:val="00D018AF"/>
    <w:rsid w:val="00D019DE"/>
    <w:rsid w:val="00D03B5C"/>
    <w:rsid w:val="00D04153"/>
    <w:rsid w:val="00D04691"/>
    <w:rsid w:val="00D04F4B"/>
    <w:rsid w:val="00D050E4"/>
    <w:rsid w:val="00D071ED"/>
    <w:rsid w:val="00D07CC9"/>
    <w:rsid w:val="00D07D7A"/>
    <w:rsid w:val="00D1258C"/>
    <w:rsid w:val="00D12A1A"/>
    <w:rsid w:val="00D1303F"/>
    <w:rsid w:val="00D130A0"/>
    <w:rsid w:val="00D13DFD"/>
    <w:rsid w:val="00D144C7"/>
    <w:rsid w:val="00D145EA"/>
    <w:rsid w:val="00D150A4"/>
    <w:rsid w:val="00D1547E"/>
    <w:rsid w:val="00D15514"/>
    <w:rsid w:val="00D15F21"/>
    <w:rsid w:val="00D162B6"/>
    <w:rsid w:val="00D164C1"/>
    <w:rsid w:val="00D16585"/>
    <w:rsid w:val="00D16856"/>
    <w:rsid w:val="00D16DF7"/>
    <w:rsid w:val="00D172F6"/>
    <w:rsid w:val="00D20CD0"/>
    <w:rsid w:val="00D22FD4"/>
    <w:rsid w:val="00D23609"/>
    <w:rsid w:val="00D24622"/>
    <w:rsid w:val="00D3011B"/>
    <w:rsid w:val="00D30206"/>
    <w:rsid w:val="00D3047E"/>
    <w:rsid w:val="00D30D61"/>
    <w:rsid w:val="00D30D8D"/>
    <w:rsid w:val="00D32347"/>
    <w:rsid w:val="00D32629"/>
    <w:rsid w:val="00D32D7C"/>
    <w:rsid w:val="00D352CB"/>
    <w:rsid w:val="00D35BD6"/>
    <w:rsid w:val="00D363D6"/>
    <w:rsid w:val="00D40C25"/>
    <w:rsid w:val="00D41D12"/>
    <w:rsid w:val="00D43F77"/>
    <w:rsid w:val="00D4412A"/>
    <w:rsid w:val="00D45240"/>
    <w:rsid w:val="00D459DF"/>
    <w:rsid w:val="00D466D7"/>
    <w:rsid w:val="00D47106"/>
    <w:rsid w:val="00D4783F"/>
    <w:rsid w:val="00D502D8"/>
    <w:rsid w:val="00D529EE"/>
    <w:rsid w:val="00D53696"/>
    <w:rsid w:val="00D53C0D"/>
    <w:rsid w:val="00D54877"/>
    <w:rsid w:val="00D55E04"/>
    <w:rsid w:val="00D57356"/>
    <w:rsid w:val="00D57D4E"/>
    <w:rsid w:val="00D60806"/>
    <w:rsid w:val="00D610A0"/>
    <w:rsid w:val="00D610CC"/>
    <w:rsid w:val="00D6141D"/>
    <w:rsid w:val="00D61606"/>
    <w:rsid w:val="00D618DA"/>
    <w:rsid w:val="00D61F64"/>
    <w:rsid w:val="00D62F27"/>
    <w:rsid w:val="00D637A7"/>
    <w:rsid w:val="00D63D49"/>
    <w:rsid w:val="00D63F4E"/>
    <w:rsid w:val="00D66551"/>
    <w:rsid w:val="00D669DE"/>
    <w:rsid w:val="00D67518"/>
    <w:rsid w:val="00D676B7"/>
    <w:rsid w:val="00D731B0"/>
    <w:rsid w:val="00D7329C"/>
    <w:rsid w:val="00D73A1F"/>
    <w:rsid w:val="00D743FD"/>
    <w:rsid w:val="00D74509"/>
    <w:rsid w:val="00D74CF1"/>
    <w:rsid w:val="00D75136"/>
    <w:rsid w:val="00D75E87"/>
    <w:rsid w:val="00D760FE"/>
    <w:rsid w:val="00D761F6"/>
    <w:rsid w:val="00D76695"/>
    <w:rsid w:val="00D76AFB"/>
    <w:rsid w:val="00D77F35"/>
    <w:rsid w:val="00D81640"/>
    <w:rsid w:val="00D830B3"/>
    <w:rsid w:val="00D83EFF"/>
    <w:rsid w:val="00D85831"/>
    <w:rsid w:val="00D85975"/>
    <w:rsid w:val="00D864A3"/>
    <w:rsid w:val="00D86CC3"/>
    <w:rsid w:val="00D86D4B"/>
    <w:rsid w:val="00D86F98"/>
    <w:rsid w:val="00D87022"/>
    <w:rsid w:val="00D8747D"/>
    <w:rsid w:val="00D87646"/>
    <w:rsid w:val="00D87833"/>
    <w:rsid w:val="00D90192"/>
    <w:rsid w:val="00D90418"/>
    <w:rsid w:val="00D90491"/>
    <w:rsid w:val="00D91591"/>
    <w:rsid w:val="00D91C44"/>
    <w:rsid w:val="00D92364"/>
    <w:rsid w:val="00D92F40"/>
    <w:rsid w:val="00D932CC"/>
    <w:rsid w:val="00D94951"/>
    <w:rsid w:val="00D9506D"/>
    <w:rsid w:val="00D95B31"/>
    <w:rsid w:val="00D96513"/>
    <w:rsid w:val="00D96764"/>
    <w:rsid w:val="00D97B03"/>
    <w:rsid w:val="00DA069D"/>
    <w:rsid w:val="00DA2AD9"/>
    <w:rsid w:val="00DA2C48"/>
    <w:rsid w:val="00DA2DE8"/>
    <w:rsid w:val="00DA2F2A"/>
    <w:rsid w:val="00DA3474"/>
    <w:rsid w:val="00DA4918"/>
    <w:rsid w:val="00DA54CE"/>
    <w:rsid w:val="00DA5868"/>
    <w:rsid w:val="00DA5D2A"/>
    <w:rsid w:val="00DA6D71"/>
    <w:rsid w:val="00DA6FC1"/>
    <w:rsid w:val="00DA772C"/>
    <w:rsid w:val="00DA7DE9"/>
    <w:rsid w:val="00DB013B"/>
    <w:rsid w:val="00DB023C"/>
    <w:rsid w:val="00DB1552"/>
    <w:rsid w:val="00DB1FF0"/>
    <w:rsid w:val="00DB274D"/>
    <w:rsid w:val="00DB3597"/>
    <w:rsid w:val="00DB3C67"/>
    <w:rsid w:val="00DB5108"/>
    <w:rsid w:val="00DB5F49"/>
    <w:rsid w:val="00DB677B"/>
    <w:rsid w:val="00DC0C12"/>
    <w:rsid w:val="00DC1F17"/>
    <w:rsid w:val="00DC448D"/>
    <w:rsid w:val="00DC5084"/>
    <w:rsid w:val="00DC5465"/>
    <w:rsid w:val="00DC614C"/>
    <w:rsid w:val="00DC6D92"/>
    <w:rsid w:val="00DC71A5"/>
    <w:rsid w:val="00DD0800"/>
    <w:rsid w:val="00DD0EE3"/>
    <w:rsid w:val="00DD1542"/>
    <w:rsid w:val="00DD1C69"/>
    <w:rsid w:val="00DD2ABA"/>
    <w:rsid w:val="00DD3209"/>
    <w:rsid w:val="00DD3526"/>
    <w:rsid w:val="00DD4AED"/>
    <w:rsid w:val="00DD5740"/>
    <w:rsid w:val="00DD68C9"/>
    <w:rsid w:val="00DD6D8B"/>
    <w:rsid w:val="00DD7388"/>
    <w:rsid w:val="00DD7CB9"/>
    <w:rsid w:val="00DE03FE"/>
    <w:rsid w:val="00DE0ED7"/>
    <w:rsid w:val="00DE1FAA"/>
    <w:rsid w:val="00DE2072"/>
    <w:rsid w:val="00DE3436"/>
    <w:rsid w:val="00DE48B0"/>
    <w:rsid w:val="00DE4C53"/>
    <w:rsid w:val="00DE4DF4"/>
    <w:rsid w:val="00DE4E26"/>
    <w:rsid w:val="00DE6C48"/>
    <w:rsid w:val="00DE794A"/>
    <w:rsid w:val="00DF097B"/>
    <w:rsid w:val="00DF1DCB"/>
    <w:rsid w:val="00DF1E0E"/>
    <w:rsid w:val="00DF27C5"/>
    <w:rsid w:val="00DF32BE"/>
    <w:rsid w:val="00DF4E44"/>
    <w:rsid w:val="00DF64AB"/>
    <w:rsid w:val="00E01D44"/>
    <w:rsid w:val="00E041F8"/>
    <w:rsid w:val="00E04AA0"/>
    <w:rsid w:val="00E055A6"/>
    <w:rsid w:val="00E05B81"/>
    <w:rsid w:val="00E0657D"/>
    <w:rsid w:val="00E06DC1"/>
    <w:rsid w:val="00E06FD5"/>
    <w:rsid w:val="00E079B1"/>
    <w:rsid w:val="00E07E20"/>
    <w:rsid w:val="00E07E97"/>
    <w:rsid w:val="00E1140A"/>
    <w:rsid w:val="00E114D7"/>
    <w:rsid w:val="00E11FF1"/>
    <w:rsid w:val="00E12CDB"/>
    <w:rsid w:val="00E138E1"/>
    <w:rsid w:val="00E13D80"/>
    <w:rsid w:val="00E1420A"/>
    <w:rsid w:val="00E15345"/>
    <w:rsid w:val="00E159C6"/>
    <w:rsid w:val="00E15A67"/>
    <w:rsid w:val="00E169AA"/>
    <w:rsid w:val="00E172C3"/>
    <w:rsid w:val="00E17AA4"/>
    <w:rsid w:val="00E17BB8"/>
    <w:rsid w:val="00E22BED"/>
    <w:rsid w:val="00E22D40"/>
    <w:rsid w:val="00E23C6F"/>
    <w:rsid w:val="00E24766"/>
    <w:rsid w:val="00E24E4A"/>
    <w:rsid w:val="00E25327"/>
    <w:rsid w:val="00E25917"/>
    <w:rsid w:val="00E26596"/>
    <w:rsid w:val="00E266A5"/>
    <w:rsid w:val="00E279C0"/>
    <w:rsid w:val="00E27FD3"/>
    <w:rsid w:val="00E31715"/>
    <w:rsid w:val="00E3340D"/>
    <w:rsid w:val="00E33999"/>
    <w:rsid w:val="00E33B39"/>
    <w:rsid w:val="00E340DB"/>
    <w:rsid w:val="00E343A6"/>
    <w:rsid w:val="00E35514"/>
    <w:rsid w:val="00E359F1"/>
    <w:rsid w:val="00E35CD0"/>
    <w:rsid w:val="00E3658D"/>
    <w:rsid w:val="00E3664C"/>
    <w:rsid w:val="00E3695F"/>
    <w:rsid w:val="00E407D1"/>
    <w:rsid w:val="00E409C9"/>
    <w:rsid w:val="00E40CC7"/>
    <w:rsid w:val="00E42F0A"/>
    <w:rsid w:val="00E43507"/>
    <w:rsid w:val="00E4414E"/>
    <w:rsid w:val="00E44B11"/>
    <w:rsid w:val="00E44B81"/>
    <w:rsid w:val="00E458B4"/>
    <w:rsid w:val="00E46FFA"/>
    <w:rsid w:val="00E47F0F"/>
    <w:rsid w:val="00E5024A"/>
    <w:rsid w:val="00E50AC0"/>
    <w:rsid w:val="00E51846"/>
    <w:rsid w:val="00E51F5A"/>
    <w:rsid w:val="00E52609"/>
    <w:rsid w:val="00E53427"/>
    <w:rsid w:val="00E53F26"/>
    <w:rsid w:val="00E54AB8"/>
    <w:rsid w:val="00E55B0A"/>
    <w:rsid w:val="00E55CA5"/>
    <w:rsid w:val="00E56D04"/>
    <w:rsid w:val="00E5709D"/>
    <w:rsid w:val="00E5789A"/>
    <w:rsid w:val="00E6016F"/>
    <w:rsid w:val="00E6022E"/>
    <w:rsid w:val="00E6043A"/>
    <w:rsid w:val="00E62021"/>
    <w:rsid w:val="00E628AA"/>
    <w:rsid w:val="00E629D4"/>
    <w:rsid w:val="00E62B2C"/>
    <w:rsid w:val="00E63909"/>
    <w:rsid w:val="00E63A2C"/>
    <w:rsid w:val="00E64B03"/>
    <w:rsid w:val="00E64BAE"/>
    <w:rsid w:val="00E65375"/>
    <w:rsid w:val="00E6602B"/>
    <w:rsid w:val="00E660DE"/>
    <w:rsid w:val="00E66404"/>
    <w:rsid w:val="00E669F1"/>
    <w:rsid w:val="00E66D49"/>
    <w:rsid w:val="00E675E7"/>
    <w:rsid w:val="00E67AB2"/>
    <w:rsid w:val="00E67C43"/>
    <w:rsid w:val="00E700DA"/>
    <w:rsid w:val="00E700F4"/>
    <w:rsid w:val="00E7158A"/>
    <w:rsid w:val="00E72ABF"/>
    <w:rsid w:val="00E7357D"/>
    <w:rsid w:val="00E736C5"/>
    <w:rsid w:val="00E74E9B"/>
    <w:rsid w:val="00E756AB"/>
    <w:rsid w:val="00E756ED"/>
    <w:rsid w:val="00E760D9"/>
    <w:rsid w:val="00E76A06"/>
    <w:rsid w:val="00E76F09"/>
    <w:rsid w:val="00E77332"/>
    <w:rsid w:val="00E81373"/>
    <w:rsid w:val="00E81525"/>
    <w:rsid w:val="00E81FCF"/>
    <w:rsid w:val="00E82338"/>
    <w:rsid w:val="00E828E2"/>
    <w:rsid w:val="00E83016"/>
    <w:rsid w:val="00E830FA"/>
    <w:rsid w:val="00E837AC"/>
    <w:rsid w:val="00E83D2A"/>
    <w:rsid w:val="00E847A5"/>
    <w:rsid w:val="00E849CB"/>
    <w:rsid w:val="00E84CA6"/>
    <w:rsid w:val="00E85AAF"/>
    <w:rsid w:val="00E86212"/>
    <w:rsid w:val="00E8632B"/>
    <w:rsid w:val="00E91DFA"/>
    <w:rsid w:val="00E91FB0"/>
    <w:rsid w:val="00E92CDF"/>
    <w:rsid w:val="00E930F6"/>
    <w:rsid w:val="00E94524"/>
    <w:rsid w:val="00E94AB8"/>
    <w:rsid w:val="00E94D09"/>
    <w:rsid w:val="00E94F25"/>
    <w:rsid w:val="00E95425"/>
    <w:rsid w:val="00E9672F"/>
    <w:rsid w:val="00E96FCB"/>
    <w:rsid w:val="00E9739A"/>
    <w:rsid w:val="00E973AB"/>
    <w:rsid w:val="00E97D50"/>
    <w:rsid w:val="00E97EA8"/>
    <w:rsid w:val="00EA2DA9"/>
    <w:rsid w:val="00EA2DFC"/>
    <w:rsid w:val="00EA2E14"/>
    <w:rsid w:val="00EA2F5D"/>
    <w:rsid w:val="00EA2FF0"/>
    <w:rsid w:val="00EA3919"/>
    <w:rsid w:val="00EA3F14"/>
    <w:rsid w:val="00EA3FEA"/>
    <w:rsid w:val="00EA4373"/>
    <w:rsid w:val="00EA4A6C"/>
    <w:rsid w:val="00EA56DA"/>
    <w:rsid w:val="00EA5A8E"/>
    <w:rsid w:val="00EA680C"/>
    <w:rsid w:val="00EA727E"/>
    <w:rsid w:val="00EA78DC"/>
    <w:rsid w:val="00EB0C96"/>
    <w:rsid w:val="00EB197F"/>
    <w:rsid w:val="00EB21C5"/>
    <w:rsid w:val="00EB2725"/>
    <w:rsid w:val="00EB2927"/>
    <w:rsid w:val="00EB2B8B"/>
    <w:rsid w:val="00EB2E3B"/>
    <w:rsid w:val="00EB2F6C"/>
    <w:rsid w:val="00EB3890"/>
    <w:rsid w:val="00EB4965"/>
    <w:rsid w:val="00EB5545"/>
    <w:rsid w:val="00EB5A76"/>
    <w:rsid w:val="00EB5C8A"/>
    <w:rsid w:val="00EB646E"/>
    <w:rsid w:val="00EB6A7F"/>
    <w:rsid w:val="00EB6C23"/>
    <w:rsid w:val="00EB6CF6"/>
    <w:rsid w:val="00EB6E46"/>
    <w:rsid w:val="00EC09C1"/>
    <w:rsid w:val="00EC1E23"/>
    <w:rsid w:val="00EC222F"/>
    <w:rsid w:val="00EC2A39"/>
    <w:rsid w:val="00EC2C92"/>
    <w:rsid w:val="00EC3F0D"/>
    <w:rsid w:val="00EC435F"/>
    <w:rsid w:val="00EC4DE1"/>
    <w:rsid w:val="00EC59DD"/>
    <w:rsid w:val="00EC6136"/>
    <w:rsid w:val="00EC6698"/>
    <w:rsid w:val="00EC66E5"/>
    <w:rsid w:val="00EC687E"/>
    <w:rsid w:val="00EC6A98"/>
    <w:rsid w:val="00EC6AE3"/>
    <w:rsid w:val="00EC7EEF"/>
    <w:rsid w:val="00ED0ABC"/>
    <w:rsid w:val="00ED1733"/>
    <w:rsid w:val="00ED24D4"/>
    <w:rsid w:val="00ED2DA7"/>
    <w:rsid w:val="00ED2F83"/>
    <w:rsid w:val="00ED3AE4"/>
    <w:rsid w:val="00ED4052"/>
    <w:rsid w:val="00ED4087"/>
    <w:rsid w:val="00ED508F"/>
    <w:rsid w:val="00ED63D5"/>
    <w:rsid w:val="00ED6885"/>
    <w:rsid w:val="00ED70A4"/>
    <w:rsid w:val="00ED70DE"/>
    <w:rsid w:val="00ED7C4B"/>
    <w:rsid w:val="00EE02B4"/>
    <w:rsid w:val="00EE042F"/>
    <w:rsid w:val="00EE0453"/>
    <w:rsid w:val="00EE0E13"/>
    <w:rsid w:val="00EE1014"/>
    <w:rsid w:val="00EE10A1"/>
    <w:rsid w:val="00EE139D"/>
    <w:rsid w:val="00EE1F59"/>
    <w:rsid w:val="00EE2716"/>
    <w:rsid w:val="00EE359B"/>
    <w:rsid w:val="00EE3694"/>
    <w:rsid w:val="00EE38C0"/>
    <w:rsid w:val="00EE3CBF"/>
    <w:rsid w:val="00EE414C"/>
    <w:rsid w:val="00EE4965"/>
    <w:rsid w:val="00EE4A65"/>
    <w:rsid w:val="00EE4D80"/>
    <w:rsid w:val="00EE5625"/>
    <w:rsid w:val="00EE5D73"/>
    <w:rsid w:val="00EE6D0B"/>
    <w:rsid w:val="00EE6F35"/>
    <w:rsid w:val="00EE72A4"/>
    <w:rsid w:val="00EE7422"/>
    <w:rsid w:val="00EE75BD"/>
    <w:rsid w:val="00EE77B8"/>
    <w:rsid w:val="00EE7948"/>
    <w:rsid w:val="00EE7B69"/>
    <w:rsid w:val="00EE7E46"/>
    <w:rsid w:val="00EF0A56"/>
    <w:rsid w:val="00EF0A6A"/>
    <w:rsid w:val="00EF0ECD"/>
    <w:rsid w:val="00EF1F14"/>
    <w:rsid w:val="00EF2FD7"/>
    <w:rsid w:val="00EF33E5"/>
    <w:rsid w:val="00EF37E8"/>
    <w:rsid w:val="00EF3837"/>
    <w:rsid w:val="00EF5090"/>
    <w:rsid w:val="00EF5B9D"/>
    <w:rsid w:val="00EF5D46"/>
    <w:rsid w:val="00EF62FD"/>
    <w:rsid w:val="00EF6430"/>
    <w:rsid w:val="00EF68E6"/>
    <w:rsid w:val="00EF7045"/>
    <w:rsid w:val="00EF7086"/>
    <w:rsid w:val="00EF798F"/>
    <w:rsid w:val="00F00FD5"/>
    <w:rsid w:val="00F023F5"/>
    <w:rsid w:val="00F026DA"/>
    <w:rsid w:val="00F02C4A"/>
    <w:rsid w:val="00F04DDE"/>
    <w:rsid w:val="00F04F2D"/>
    <w:rsid w:val="00F0526E"/>
    <w:rsid w:val="00F064E6"/>
    <w:rsid w:val="00F077E4"/>
    <w:rsid w:val="00F07D54"/>
    <w:rsid w:val="00F1130B"/>
    <w:rsid w:val="00F130AC"/>
    <w:rsid w:val="00F1350C"/>
    <w:rsid w:val="00F13663"/>
    <w:rsid w:val="00F13CCE"/>
    <w:rsid w:val="00F13EE6"/>
    <w:rsid w:val="00F14453"/>
    <w:rsid w:val="00F14914"/>
    <w:rsid w:val="00F14E26"/>
    <w:rsid w:val="00F14E68"/>
    <w:rsid w:val="00F15809"/>
    <w:rsid w:val="00F15AA5"/>
    <w:rsid w:val="00F16044"/>
    <w:rsid w:val="00F16E51"/>
    <w:rsid w:val="00F201E2"/>
    <w:rsid w:val="00F202EF"/>
    <w:rsid w:val="00F20323"/>
    <w:rsid w:val="00F217A9"/>
    <w:rsid w:val="00F224A2"/>
    <w:rsid w:val="00F23B10"/>
    <w:rsid w:val="00F23BE5"/>
    <w:rsid w:val="00F23C71"/>
    <w:rsid w:val="00F23D8E"/>
    <w:rsid w:val="00F2402A"/>
    <w:rsid w:val="00F24AFE"/>
    <w:rsid w:val="00F24D4D"/>
    <w:rsid w:val="00F25986"/>
    <w:rsid w:val="00F2691E"/>
    <w:rsid w:val="00F26BDE"/>
    <w:rsid w:val="00F277DC"/>
    <w:rsid w:val="00F27BE1"/>
    <w:rsid w:val="00F301A2"/>
    <w:rsid w:val="00F31527"/>
    <w:rsid w:val="00F31D54"/>
    <w:rsid w:val="00F31EED"/>
    <w:rsid w:val="00F32688"/>
    <w:rsid w:val="00F32E01"/>
    <w:rsid w:val="00F33091"/>
    <w:rsid w:val="00F352C9"/>
    <w:rsid w:val="00F35EB0"/>
    <w:rsid w:val="00F35F75"/>
    <w:rsid w:val="00F36585"/>
    <w:rsid w:val="00F366D2"/>
    <w:rsid w:val="00F367AE"/>
    <w:rsid w:val="00F36B87"/>
    <w:rsid w:val="00F404E8"/>
    <w:rsid w:val="00F4052B"/>
    <w:rsid w:val="00F4069E"/>
    <w:rsid w:val="00F40A53"/>
    <w:rsid w:val="00F41762"/>
    <w:rsid w:val="00F418F3"/>
    <w:rsid w:val="00F4192B"/>
    <w:rsid w:val="00F41AF4"/>
    <w:rsid w:val="00F42B3F"/>
    <w:rsid w:val="00F42E1D"/>
    <w:rsid w:val="00F4303F"/>
    <w:rsid w:val="00F44EB3"/>
    <w:rsid w:val="00F44FDC"/>
    <w:rsid w:val="00F45EC1"/>
    <w:rsid w:val="00F460B0"/>
    <w:rsid w:val="00F460D6"/>
    <w:rsid w:val="00F46182"/>
    <w:rsid w:val="00F500CE"/>
    <w:rsid w:val="00F50CE5"/>
    <w:rsid w:val="00F50F4E"/>
    <w:rsid w:val="00F52029"/>
    <w:rsid w:val="00F52E48"/>
    <w:rsid w:val="00F53691"/>
    <w:rsid w:val="00F536E0"/>
    <w:rsid w:val="00F545DA"/>
    <w:rsid w:val="00F54A7D"/>
    <w:rsid w:val="00F54E6B"/>
    <w:rsid w:val="00F54ECF"/>
    <w:rsid w:val="00F5624C"/>
    <w:rsid w:val="00F568FA"/>
    <w:rsid w:val="00F57F61"/>
    <w:rsid w:val="00F60653"/>
    <w:rsid w:val="00F60A7E"/>
    <w:rsid w:val="00F60DB8"/>
    <w:rsid w:val="00F61751"/>
    <w:rsid w:val="00F62AC1"/>
    <w:rsid w:val="00F63930"/>
    <w:rsid w:val="00F63C38"/>
    <w:rsid w:val="00F63F43"/>
    <w:rsid w:val="00F64BEC"/>
    <w:rsid w:val="00F64E02"/>
    <w:rsid w:val="00F65206"/>
    <w:rsid w:val="00F65F33"/>
    <w:rsid w:val="00F662BA"/>
    <w:rsid w:val="00F6645C"/>
    <w:rsid w:val="00F67195"/>
    <w:rsid w:val="00F70012"/>
    <w:rsid w:val="00F70155"/>
    <w:rsid w:val="00F711AD"/>
    <w:rsid w:val="00F71740"/>
    <w:rsid w:val="00F735E2"/>
    <w:rsid w:val="00F74563"/>
    <w:rsid w:val="00F7484D"/>
    <w:rsid w:val="00F75427"/>
    <w:rsid w:val="00F757DB"/>
    <w:rsid w:val="00F75D5D"/>
    <w:rsid w:val="00F75F79"/>
    <w:rsid w:val="00F76ADC"/>
    <w:rsid w:val="00F77021"/>
    <w:rsid w:val="00F77212"/>
    <w:rsid w:val="00F77AB8"/>
    <w:rsid w:val="00F8045F"/>
    <w:rsid w:val="00F804D4"/>
    <w:rsid w:val="00F809A4"/>
    <w:rsid w:val="00F80EB0"/>
    <w:rsid w:val="00F814A5"/>
    <w:rsid w:val="00F82645"/>
    <w:rsid w:val="00F82853"/>
    <w:rsid w:val="00F8289C"/>
    <w:rsid w:val="00F82E00"/>
    <w:rsid w:val="00F836DC"/>
    <w:rsid w:val="00F843D8"/>
    <w:rsid w:val="00F845EC"/>
    <w:rsid w:val="00F858B2"/>
    <w:rsid w:val="00F871A5"/>
    <w:rsid w:val="00F875CB"/>
    <w:rsid w:val="00F876A3"/>
    <w:rsid w:val="00F877DC"/>
    <w:rsid w:val="00F905BB"/>
    <w:rsid w:val="00F9171A"/>
    <w:rsid w:val="00F91A1E"/>
    <w:rsid w:val="00F91B64"/>
    <w:rsid w:val="00F92690"/>
    <w:rsid w:val="00F927C0"/>
    <w:rsid w:val="00F93EDB"/>
    <w:rsid w:val="00F94DC0"/>
    <w:rsid w:val="00F96063"/>
    <w:rsid w:val="00F9737D"/>
    <w:rsid w:val="00F97A08"/>
    <w:rsid w:val="00F97F89"/>
    <w:rsid w:val="00FA01B1"/>
    <w:rsid w:val="00FA2F5A"/>
    <w:rsid w:val="00FA2F9B"/>
    <w:rsid w:val="00FA3000"/>
    <w:rsid w:val="00FA3692"/>
    <w:rsid w:val="00FA4435"/>
    <w:rsid w:val="00FA63CD"/>
    <w:rsid w:val="00FA66BF"/>
    <w:rsid w:val="00FA6A23"/>
    <w:rsid w:val="00FA6F45"/>
    <w:rsid w:val="00FA72FC"/>
    <w:rsid w:val="00FB074B"/>
    <w:rsid w:val="00FB0FB0"/>
    <w:rsid w:val="00FB1B66"/>
    <w:rsid w:val="00FB1EE2"/>
    <w:rsid w:val="00FB24EA"/>
    <w:rsid w:val="00FB3F53"/>
    <w:rsid w:val="00FB4144"/>
    <w:rsid w:val="00FB432D"/>
    <w:rsid w:val="00FB4423"/>
    <w:rsid w:val="00FB4447"/>
    <w:rsid w:val="00FB57BE"/>
    <w:rsid w:val="00FB705D"/>
    <w:rsid w:val="00FB76FF"/>
    <w:rsid w:val="00FB7FF2"/>
    <w:rsid w:val="00FC0FE3"/>
    <w:rsid w:val="00FC1466"/>
    <w:rsid w:val="00FC265B"/>
    <w:rsid w:val="00FC2CDC"/>
    <w:rsid w:val="00FC2DED"/>
    <w:rsid w:val="00FC3028"/>
    <w:rsid w:val="00FC318B"/>
    <w:rsid w:val="00FC321D"/>
    <w:rsid w:val="00FC3826"/>
    <w:rsid w:val="00FC3A4D"/>
    <w:rsid w:val="00FC4752"/>
    <w:rsid w:val="00FC48C7"/>
    <w:rsid w:val="00FC5A2B"/>
    <w:rsid w:val="00FC5A51"/>
    <w:rsid w:val="00FC5D67"/>
    <w:rsid w:val="00FC6086"/>
    <w:rsid w:val="00FC6469"/>
    <w:rsid w:val="00FC7467"/>
    <w:rsid w:val="00FC76E5"/>
    <w:rsid w:val="00FC7E86"/>
    <w:rsid w:val="00FD1F26"/>
    <w:rsid w:val="00FD1FBB"/>
    <w:rsid w:val="00FD2117"/>
    <w:rsid w:val="00FD25BA"/>
    <w:rsid w:val="00FD2F19"/>
    <w:rsid w:val="00FD3042"/>
    <w:rsid w:val="00FD315C"/>
    <w:rsid w:val="00FD44D6"/>
    <w:rsid w:val="00FD45A7"/>
    <w:rsid w:val="00FD4C85"/>
    <w:rsid w:val="00FD5931"/>
    <w:rsid w:val="00FD5D0B"/>
    <w:rsid w:val="00FD5E6A"/>
    <w:rsid w:val="00FD5FB3"/>
    <w:rsid w:val="00FD6B05"/>
    <w:rsid w:val="00FD7A63"/>
    <w:rsid w:val="00FE0310"/>
    <w:rsid w:val="00FE0313"/>
    <w:rsid w:val="00FE0480"/>
    <w:rsid w:val="00FE099E"/>
    <w:rsid w:val="00FE2545"/>
    <w:rsid w:val="00FE255C"/>
    <w:rsid w:val="00FE2628"/>
    <w:rsid w:val="00FE2873"/>
    <w:rsid w:val="00FE2AE6"/>
    <w:rsid w:val="00FE2CC5"/>
    <w:rsid w:val="00FE367E"/>
    <w:rsid w:val="00FE3E05"/>
    <w:rsid w:val="00FE442F"/>
    <w:rsid w:val="00FE4669"/>
    <w:rsid w:val="00FE48AD"/>
    <w:rsid w:val="00FE48B5"/>
    <w:rsid w:val="00FE4945"/>
    <w:rsid w:val="00FE4B59"/>
    <w:rsid w:val="00FE4CCD"/>
    <w:rsid w:val="00FE5548"/>
    <w:rsid w:val="00FE5967"/>
    <w:rsid w:val="00FF18D8"/>
    <w:rsid w:val="00FF18FC"/>
    <w:rsid w:val="00FF251A"/>
    <w:rsid w:val="00FF277B"/>
    <w:rsid w:val="00FF306B"/>
    <w:rsid w:val="00FF345F"/>
    <w:rsid w:val="00FF366F"/>
    <w:rsid w:val="00FF5FA1"/>
    <w:rsid w:val="00FF602C"/>
    <w:rsid w:val="00FF604A"/>
    <w:rsid w:val="00FF6DA3"/>
    <w:rsid w:val="00FF73FD"/>
    <w:rsid w:val="00FF7515"/>
    <w:rsid w:val="00FF7585"/>
    <w:rsid w:val="00FF7C58"/>
    <w:rsid w:val="00FF7F46"/>
    <w:rsid w:val="016E19A8"/>
    <w:rsid w:val="01E44CD0"/>
    <w:rsid w:val="01FB1A95"/>
    <w:rsid w:val="0203682D"/>
    <w:rsid w:val="022B42BD"/>
    <w:rsid w:val="0262604C"/>
    <w:rsid w:val="0292348F"/>
    <w:rsid w:val="03020C32"/>
    <w:rsid w:val="03C43E9F"/>
    <w:rsid w:val="046B75E4"/>
    <w:rsid w:val="047544D8"/>
    <w:rsid w:val="05D15877"/>
    <w:rsid w:val="05FA1A48"/>
    <w:rsid w:val="062B136D"/>
    <w:rsid w:val="06764670"/>
    <w:rsid w:val="06AF3D09"/>
    <w:rsid w:val="07262610"/>
    <w:rsid w:val="07422A11"/>
    <w:rsid w:val="0759798C"/>
    <w:rsid w:val="076E0E72"/>
    <w:rsid w:val="07806B5B"/>
    <w:rsid w:val="08386C69"/>
    <w:rsid w:val="08703B1D"/>
    <w:rsid w:val="08BA67FF"/>
    <w:rsid w:val="08DD16AC"/>
    <w:rsid w:val="09166F09"/>
    <w:rsid w:val="09FE7278"/>
    <w:rsid w:val="0A83424A"/>
    <w:rsid w:val="0AB47D7D"/>
    <w:rsid w:val="0AE00993"/>
    <w:rsid w:val="0B6F5436"/>
    <w:rsid w:val="0BB84DE3"/>
    <w:rsid w:val="0BC62ED7"/>
    <w:rsid w:val="0C824385"/>
    <w:rsid w:val="0DB47CC8"/>
    <w:rsid w:val="0DEA30FF"/>
    <w:rsid w:val="0E2828CA"/>
    <w:rsid w:val="0E3E7A2A"/>
    <w:rsid w:val="0E574197"/>
    <w:rsid w:val="0ECF630A"/>
    <w:rsid w:val="0EFA766A"/>
    <w:rsid w:val="0F3A3FF7"/>
    <w:rsid w:val="0FD81E68"/>
    <w:rsid w:val="0FDD6E00"/>
    <w:rsid w:val="100445B5"/>
    <w:rsid w:val="10171C53"/>
    <w:rsid w:val="101D6766"/>
    <w:rsid w:val="101E3FE2"/>
    <w:rsid w:val="106F0166"/>
    <w:rsid w:val="107F0602"/>
    <w:rsid w:val="10C87BA0"/>
    <w:rsid w:val="10F96D79"/>
    <w:rsid w:val="113625E8"/>
    <w:rsid w:val="117A1FBD"/>
    <w:rsid w:val="11912563"/>
    <w:rsid w:val="119C6B21"/>
    <w:rsid w:val="11E507AE"/>
    <w:rsid w:val="12A85D69"/>
    <w:rsid w:val="12C12B83"/>
    <w:rsid w:val="12D73EB3"/>
    <w:rsid w:val="13743D2E"/>
    <w:rsid w:val="138309AD"/>
    <w:rsid w:val="13BF75AD"/>
    <w:rsid w:val="142D5D30"/>
    <w:rsid w:val="14370A85"/>
    <w:rsid w:val="143B4620"/>
    <w:rsid w:val="14930823"/>
    <w:rsid w:val="14E94EF3"/>
    <w:rsid w:val="14F47B3E"/>
    <w:rsid w:val="151605A2"/>
    <w:rsid w:val="15257C70"/>
    <w:rsid w:val="15364AC0"/>
    <w:rsid w:val="15400301"/>
    <w:rsid w:val="15B34F99"/>
    <w:rsid w:val="15FA56EA"/>
    <w:rsid w:val="16870F53"/>
    <w:rsid w:val="168B4BDD"/>
    <w:rsid w:val="16AE6412"/>
    <w:rsid w:val="16C66DAA"/>
    <w:rsid w:val="17130215"/>
    <w:rsid w:val="17C61180"/>
    <w:rsid w:val="17CA0EC3"/>
    <w:rsid w:val="19622F5E"/>
    <w:rsid w:val="1A516B2E"/>
    <w:rsid w:val="1ADC512F"/>
    <w:rsid w:val="1AFF547D"/>
    <w:rsid w:val="1B917B2A"/>
    <w:rsid w:val="1C284B16"/>
    <w:rsid w:val="1CEB7570"/>
    <w:rsid w:val="1DDE3C11"/>
    <w:rsid w:val="1DF81251"/>
    <w:rsid w:val="1DFB50CA"/>
    <w:rsid w:val="1E032835"/>
    <w:rsid w:val="1E4E592A"/>
    <w:rsid w:val="1E5135CA"/>
    <w:rsid w:val="1E5261C1"/>
    <w:rsid w:val="1E733517"/>
    <w:rsid w:val="1E81189E"/>
    <w:rsid w:val="1F0F237B"/>
    <w:rsid w:val="1F31616E"/>
    <w:rsid w:val="1F34517D"/>
    <w:rsid w:val="1F6015F5"/>
    <w:rsid w:val="1F606C16"/>
    <w:rsid w:val="20224BDD"/>
    <w:rsid w:val="20471BF3"/>
    <w:rsid w:val="20623843"/>
    <w:rsid w:val="2072234B"/>
    <w:rsid w:val="20F841A8"/>
    <w:rsid w:val="21723CD1"/>
    <w:rsid w:val="21947636"/>
    <w:rsid w:val="21954CAB"/>
    <w:rsid w:val="2229302F"/>
    <w:rsid w:val="223B366A"/>
    <w:rsid w:val="22A16830"/>
    <w:rsid w:val="22B97C40"/>
    <w:rsid w:val="22BA621C"/>
    <w:rsid w:val="22CA4FDA"/>
    <w:rsid w:val="22EB5E9B"/>
    <w:rsid w:val="22F852A5"/>
    <w:rsid w:val="236773C3"/>
    <w:rsid w:val="23781159"/>
    <w:rsid w:val="237C2438"/>
    <w:rsid w:val="24260578"/>
    <w:rsid w:val="24555AEC"/>
    <w:rsid w:val="24584930"/>
    <w:rsid w:val="249914D8"/>
    <w:rsid w:val="24B83C43"/>
    <w:rsid w:val="25FE400E"/>
    <w:rsid w:val="26464661"/>
    <w:rsid w:val="266F3F4B"/>
    <w:rsid w:val="26AA0CA4"/>
    <w:rsid w:val="26E2490D"/>
    <w:rsid w:val="27064377"/>
    <w:rsid w:val="27450D73"/>
    <w:rsid w:val="27745647"/>
    <w:rsid w:val="27CD5619"/>
    <w:rsid w:val="2818512F"/>
    <w:rsid w:val="28F1037E"/>
    <w:rsid w:val="28F46272"/>
    <w:rsid w:val="298B44EB"/>
    <w:rsid w:val="29AC5E59"/>
    <w:rsid w:val="29D92194"/>
    <w:rsid w:val="29FF2103"/>
    <w:rsid w:val="2A60790E"/>
    <w:rsid w:val="2A823BD5"/>
    <w:rsid w:val="2A8C5B4B"/>
    <w:rsid w:val="2AD46197"/>
    <w:rsid w:val="2ADA5A84"/>
    <w:rsid w:val="2ADF6989"/>
    <w:rsid w:val="2AF56183"/>
    <w:rsid w:val="2B2C257D"/>
    <w:rsid w:val="2B750CC4"/>
    <w:rsid w:val="2BA9515B"/>
    <w:rsid w:val="2C0252FF"/>
    <w:rsid w:val="2C111364"/>
    <w:rsid w:val="2C822503"/>
    <w:rsid w:val="2D390C58"/>
    <w:rsid w:val="2D647313"/>
    <w:rsid w:val="2D724C29"/>
    <w:rsid w:val="2DE43DEE"/>
    <w:rsid w:val="2E416D43"/>
    <w:rsid w:val="2EAD2B99"/>
    <w:rsid w:val="2EEE5640"/>
    <w:rsid w:val="2F124861"/>
    <w:rsid w:val="2F262304"/>
    <w:rsid w:val="2FC056C3"/>
    <w:rsid w:val="301A579D"/>
    <w:rsid w:val="30227AED"/>
    <w:rsid w:val="3042533E"/>
    <w:rsid w:val="304277F9"/>
    <w:rsid w:val="30661219"/>
    <w:rsid w:val="30AE1969"/>
    <w:rsid w:val="30D83F84"/>
    <w:rsid w:val="31076AE0"/>
    <w:rsid w:val="314C2FDB"/>
    <w:rsid w:val="31647E94"/>
    <w:rsid w:val="31945786"/>
    <w:rsid w:val="31BC6543"/>
    <w:rsid w:val="31E74CDE"/>
    <w:rsid w:val="32193F7E"/>
    <w:rsid w:val="326A4E14"/>
    <w:rsid w:val="329D070B"/>
    <w:rsid w:val="32CA2987"/>
    <w:rsid w:val="32E36F4F"/>
    <w:rsid w:val="331949A4"/>
    <w:rsid w:val="334D0F51"/>
    <w:rsid w:val="33DD2692"/>
    <w:rsid w:val="342E54E5"/>
    <w:rsid w:val="342F1CEC"/>
    <w:rsid w:val="34B72E3F"/>
    <w:rsid w:val="35662515"/>
    <w:rsid w:val="35B12E07"/>
    <w:rsid w:val="366320A1"/>
    <w:rsid w:val="36D85DBD"/>
    <w:rsid w:val="36F47A6F"/>
    <w:rsid w:val="370641C2"/>
    <w:rsid w:val="370A20E7"/>
    <w:rsid w:val="37160A8C"/>
    <w:rsid w:val="3726133E"/>
    <w:rsid w:val="375C6DE7"/>
    <w:rsid w:val="37B37AC7"/>
    <w:rsid w:val="38367638"/>
    <w:rsid w:val="383B6C22"/>
    <w:rsid w:val="387D5266"/>
    <w:rsid w:val="38B06E04"/>
    <w:rsid w:val="38BE4A83"/>
    <w:rsid w:val="38D64C86"/>
    <w:rsid w:val="39561614"/>
    <w:rsid w:val="398305B1"/>
    <w:rsid w:val="39AD0507"/>
    <w:rsid w:val="39DD781D"/>
    <w:rsid w:val="3A4E1148"/>
    <w:rsid w:val="3A7F1A7E"/>
    <w:rsid w:val="3A7F2F02"/>
    <w:rsid w:val="3AB00402"/>
    <w:rsid w:val="3B16522C"/>
    <w:rsid w:val="3B5A63CE"/>
    <w:rsid w:val="3BB3392B"/>
    <w:rsid w:val="3BE610FE"/>
    <w:rsid w:val="3C025096"/>
    <w:rsid w:val="3C331353"/>
    <w:rsid w:val="3C4E4BE5"/>
    <w:rsid w:val="3CB21639"/>
    <w:rsid w:val="3CF60C61"/>
    <w:rsid w:val="3D0870C9"/>
    <w:rsid w:val="3D0C7570"/>
    <w:rsid w:val="3D104E34"/>
    <w:rsid w:val="3DBC4448"/>
    <w:rsid w:val="3DCB0822"/>
    <w:rsid w:val="3DD455A6"/>
    <w:rsid w:val="3DDF4D26"/>
    <w:rsid w:val="3E4D02E1"/>
    <w:rsid w:val="3E7910A1"/>
    <w:rsid w:val="3E854D02"/>
    <w:rsid w:val="3F0E00F3"/>
    <w:rsid w:val="3F615B53"/>
    <w:rsid w:val="3F8F0BD1"/>
    <w:rsid w:val="40930F46"/>
    <w:rsid w:val="4140013E"/>
    <w:rsid w:val="41490D9B"/>
    <w:rsid w:val="4192105F"/>
    <w:rsid w:val="41E94C48"/>
    <w:rsid w:val="42091D7F"/>
    <w:rsid w:val="421D1DFF"/>
    <w:rsid w:val="4243599A"/>
    <w:rsid w:val="42D113A5"/>
    <w:rsid w:val="4309668F"/>
    <w:rsid w:val="44626696"/>
    <w:rsid w:val="45091B37"/>
    <w:rsid w:val="450E0CAE"/>
    <w:rsid w:val="451E1594"/>
    <w:rsid w:val="457C0654"/>
    <w:rsid w:val="45DA57E0"/>
    <w:rsid w:val="45F424BE"/>
    <w:rsid w:val="46150282"/>
    <w:rsid w:val="461A5919"/>
    <w:rsid w:val="4645387A"/>
    <w:rsid w:val="464B1239"/>
    <w:rsid w:val="46554886"/>
    <w:rsid w:val="467A448B"/>
    <w:rsid w:val="46D12463"/>
    <w:rsid w:val="46EB00CE"/>
    <w:rsid w:val="47112FF9"/>
    <w:rsid w:val="478E6810"/>
    <w:rsid w:val="47EE4B0E"/>
    <w:rsid w:val="484713ED"/>
    <w:rsid w:val="48831CF9"/>
    <w:rsid w:val="48C52283"/>
    <w:rsid w:val="48FE63B7"/>
    <w:rsid w:val="491465B8"/>
    <w:rsid w:val="491E7598"/>
    <w:rsid w:val="49634005"/>
    <w:rsid w:val="49A10603"/>
    <w:rsid w:val="4A395A4C"/>
    <w:rsid w:val="4A613833"/>
    <w:rsid w:val="4AD351BA"/>
    <w:rsid w:val="4ADF554C"/>
    <w:rsid w:val="4B6B6A70"/>
    <w:rsid w:val="4B700765"/>
    <w:rsid w:val="4B7778F3"/>
    <w:rsid w:val="4C0270DE"/>
    <w:rsid w:val="4C07648F"/>
    <w:rsid w:val="4C1323A1"/>
    <w:rsid w:val="4DAD6DE5"/>
    <w:rsid w:val="4DC10006"/>
    <w:rsid w:val="4E3B5550"/>
    <w:rsid w:val="4EA75048"/>
    <w:rsid w:val="4EAC01FC"/>
    <w:rsid w:val="4EE3108F"/>
    <w:rsid w:val="4EFA3D89"/>
    <w:rsid w:val="4F150CA9"/>
    <w:rsid w:val="4F3B2459"/>
    <w:rsid w:val="4F6726AA"/>
    <w:rsid w:val="4FC255B8"/>
    <w:rsid w:val="4FE418E2"/>
    <w:rsid w:val="5076449B"/>
    <w:rsid w:val="50B85899"/>
    <w:rsid w:val="50BA79CF"/>
    <w:rsid w:val="513A6BFE"/>
    <w:rsid w:val="51965C5A"/>
    <w:rsid w:val="51E50A8C"/>
    <w:rsid w:val="520175A0"/>
    <w:rsid w:val="52540BCE"/>
    <w:rsid w:val="52C04276"/>
    <w:rsid w:val="52D65DBB"/>
    <w:rsid w:val="52D70926"/>
    <w:rsid w:val="53804432"/>
    <w:rsid w:val="53BA75F7"/>
    <w:rsid w:val="54993992"/>
    <w:rsid w:val="54AF0560"/>
    <w:rsid w:val="56110933"/>
    <w:rsid w:val="562156F5"/>
    <w:rsid w:val="56980C4E"/>
    <w:rsid w:val="572C5218"/>
    <w:rsid w:val="57492DEB"/>
    <w:rsid w:val="578014AE"/>
    <w:rsid w:val="57881CA5"/>
    <w:rsid w:val="57B40FFE"/>
    <w:rsid w:val="57E26A3C"/>
    <w:rsid w:val="58120B24"/>
    <w:rsid w:val="5820055E"/>
    <w:rsid w:val="5834580C"/>
    <w:rsid w:val="585846FF"/>
    <w:rsid w:val="5942582B"/>
    <w:rsid w:val="59441031"/>
    <w:rsid w:val="59EF71EF"/>
    <w:rsid w:val="59F93409"/>
    <w:rsid w:val="5A95451B"/>
    <w:rsid w:val="5ACF7B3C"/>
    <w:rsid w:val="5AF50101"/>
    <w:rsid w:val="5AF743CC"/>
    <w:rsid w:val="5B661732"/>
    <w:rsid w:val="5B960CA7"/>
    <w:rsid w:val="5BA46CE2"/>
    <w:rsid w:val="5BAE541D"/>
    <w:rsid w:val="5BF27097"/>
    <w:rsid w:val="5C9664F6"/>
    <w:rsid w:val="5CB473D1"/>
    <w:rsid w:val="5D2B715A"/>
    <w:rsid w:val="5D651B36"/>
    <w:rsid w:val="5D7842FF"/>
    <w:rsid w:val="5DA8305B"/>
    <w:rsid w:val="5E272947"/>
    <w:rsid w:val="5E317731"/>
    <w:rsid w:val="5E766130"/>
    <w:rsid w:val="5EC6739C"/>
    <w:rsid w:val="5FE053FD"/>
    <w:rsid w:val="606751B5"/>
    <w:rsid w:val="608C5C6B"/>
    <w:rsid w:val="612B336B"/>
    <w:rsid w:val="61EF28C6"/>
    <w:rsid w:val="621D2979"/>
    <w:rsid w:val="62AC4480"/>
    <w:rsid w:val="62CE3110"/>
    <w:rsid w:val="62F56C87"/>
    <w:rsid w:val="63180450"/>
    <w:rsid w:val="63422A85"/>
    <w:rsid w:val="64511B95"/>
    <w:rsid w:val="64E43618"/>
    <w:rsid w:val="650A0AD0"/>
    <w:rsid w:val="65416E6F"/>
    <w:rsid w:val="6594219A"/>
    <w:rsid w:val="65D73B62"/>
    <w:rsid w:val="660104B2"/>
    <w:rsid w:val="6604676D"/>
    <w:rsid w:val="663C41E9"/>
    <w:rsid w:val="66482160"/>
    <w:rsid w:val="6686712D"/>
    <w:rsid w:val="67E61C31"/>
    <w:rsid w:val="67F9777D"/>
    <w:rsid w:val="67FF7197"/>
    <w:rsid w:val="68D218D6"/>
    <w:rsid w:val="69085BD7"/>
    <w:rsid w:val="69144615"/>
    <w:rsid w:val="694B775E"/>
    <w:rsid w:val="698A138C"/>
    <w:rsid w:val="69CD0EEA"/>
    <w:rsid w:val="69FB3F76"/>
    <w:rsid w:val="6A342138"/>
    <w:rsid w:val="6A380706"/>
    <w:rsid w:val="6A4D1AC6"/>
    <w:rsid w:val="6A982EB2"/>
    <w:rsid w:val="6AF22EDD"/>
    <w:rsid w:val="6AF428B7"/>
    <w:rsid w:val="6B4A697B"/>
    <w:rsid w:val="6B642897"/>
    <w:rsid w:val="6BA9363B"/>
    <w:rsid w:val="6BAE1754"/>
    <w:rsid w:val="6BDA10A7"/>
    <w:rsid w:val="6BE02E3B"/>
    <w:rsid w:val="6BE40007"/>
    <w:rsid w:val="6C353107"/>
    <w:rsid w:val="6C9F2CF6"/>
    <w:rsid w:val="6CBA743A"/>
    <w:rsid w:val="6CE67CA5"/>
    <w:rsid w:val="6D382E4B"/>
    <w:rsid w:val="6D7F4455"/>
    <w:rsid w:val="6DEE7A91"/>
    <w:rsid w:val="6E480793"/>
    <w:rsid w:val="6EA40D70"/>
    <w:rsid w:val="6F0E788F"/>
    <w:rsid w:val="6F94795E"/>
    <w:rsid w:val="6F9D38DB"/>
    <w:rsid w:val="6FEB2108"/>
    <w:rsid w:val="6FF25D4B"/>
    <w:rsid w:val="703A3886"/>
    <w:rsid w:val="70A97ADA"/>
    <w:rsid w:val="70DF7B65"/>
    <w:rsid w:val="70EF46AA"/>
    <w:rsid w:val="7111064A"/>
    <w:rsid w:val="71E14F9D"/>
    <w:rsid w:val="71FA3D1F"/>
    <w:rsid w:val="725220B9"/>
    <w:rsid w:val="728B1D53"/>
    <w:rsid w:val="72B30AB4"/>
    <w:rsid w:val="72BD4B98"/>
    <w:rsid w:val="72C834C6"/>
    <w:rsid w:val="73235F63"/>
    <w:rsid w:val="736C5D42"/>
    <w:rsid w:val="73816CB2"/>
    <w:rsid w:val="73CB3660"/>
    <w:rsid w:val="73DB7688"/>
    <w:rsid w:val="740A0FC4"/>
    <w:rsid w:val="741E1120"/>
    <w:rsid w:val="7453787F"/>
    <w:rsid w:val="74763967"/>
    <w:rsid w:val="74AF0F5C"/>
    <w:rsid w:val="74FC78C0"/>
    <w:rsid w:val="755C3532"/>
    <w:rsid w:val="75616B91"/>
    <w:rsid w:val="763E2968"/>
    <w:rsid w:val="76AF20F4"/>
    <w:rsid w:val="76C70055"/>
    <w:rsid w:val="76E86108"/>
    <w:rsid w:val="76EA11A0"/>
    <w:rsid w:val="76EF78DA"/>
    <w:rsid w:val="76F53C3E"/>
    <w:rsid w:val="7708668C"/>
    <w:rsid w:val="7759485A"/>
    <w:rsid w:val="77DA57A4"/>
    <w:rsid w:val="781B17CE"/>
    <w:rsid w:val="781C344D"/>
    <w:rsid w:val="78E90A4E"/>
    <w:rsid w:val="7919128C"/>
    <w:rsid w:val="79B17D96"/>
    <w:rsid w:val="79FE3DAF"/>
    <w:rsid w:val="7A1F78EE"/>
    <w:rsid w:val="7A27323D"/>
    <w:rsid w:val="7A2B3E1B"/>
    <w:rsid w:val="7A5F62EE"/>
    <w:rsid w:val="7AE412F1"/>
    <w:rsid w:val="7AEA2850"/>
    <w:rsid w:val="7B967BC4"/>
    <w:rsid w:val="7BE64A23"/>
    <w:rsid w:val="7C5473E8"/>
    <w:rsid w:val="7CD5207C"/>
    <w:rsid w:val="7D4A267A"/>
    <w:rsid w:val="7D526B00"/>
    <w:rsid w:val="7D621902"/>
    <w:rsid w:val="7D8732EE"/>
    <w:rsid w:val="7DA4646E"/>
    <w:rsid w:val="7DC13D49"/>
    <w:rsid w:val="7DCE4254"/>
    <w:rsid w:val="7E4E287E"/>
    <w:rsid w:val="7E7E441B"/>
    <w:rsid w:val="7EB264E4"/>
    <w:rsid w:val="7EDE26DA"/>
    <w:rsid w:val="7EF04B10"/>
    <w:rsid w:val="7F0231B1"/>
    <w:rsid w:val="7F5565A1"/>
    <w:rsid w:val="7FA11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qFormat="1" w:unhideWhenUsed="0" w:uiPriority="99" w:semiHidden="0" w:name="Body Text Indent 3"/>
    <w:lsdException w:qFormat="1" w:uiPriority="99" w:semiHidden="0"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sz w:val="24"/>
      <w:lang w:val="en-US" w:eastAsia="zh-CN" w:bidi="ar-SA"/>
    </w:rPr>
  </w:style>
  <w:style w:type="paragraph" w:styleId="2">
    <w:name w:val="heading 1"/>
    <w:basedOn w:val="1"/>
    <w:next w:val="1"/>
    <w:link w:val="52"/>
    <w:qFormat/>
    <w:uiPriority w:val="0"/>
    <w:pPr>
      <w:keepNext/>
      <w:keepLines/>
      <w:spacing w:before="120" w:after="120"/>
      <w:ind w:firstLine="0" w:firstLineChars="0"/>
      <w:jc w:val="left"/>
      <w:outlineLvl w:val="0"/>
    </w:pPr>
    <w:rPr>
      <w:b/>
      <w:bCs/>
      <w:kern w:val="44"/>
      <w:sz w:val="32"/>
      <w:szCs w:val="44"/>
    </w:rPr>
  </w:style>
  <w:style w:type="paragraph" w:styleId="3">
    <w:name w:val="heading 2"/>
    <w:basedOn w:val="1"/>
    <w:next w:val="1"/>
    <w:link w:val="53"/>
    <w:unhideWhenUsed/>
    <w:qFormat/>
    <w:uiPriority w:val="0"/>
    <w:pPr>
      <w:keepNext/>
      <w:keepLines/>
      <w:spacing w:before="120" w:after="120"/>
      <w:ind w:firstLine="0" w:firstLineChars="0"/>
      <w:jc w:val="left"/>
      <w:outlineLvl w:val="1"/>
    </w:pPr>
    <w:rPr>
      <w:rFonts w:cstheme="majorBidi"/>
      <w:b/>
      <w:bCs/>
      <w:sz w:val="30"/>
      <w:szCs w:val="32"/>
    </w:rPr>
  </w:style>
  <w:style w:type="paragraph" w:styleId="4">
    <w:name w:val="heading 3"/>
    <w:basedOn w:val="1"/>
    <w:next w:val="1"/>
    <w:link w:val="54"/>
    <w:unhideWhenUsed/>
    <w:qFormat/>
    <w:uiPriority w:val="0"/>
    <w:pPr>
      <w:keepNext/>
      <w:keepLines/>
      <w:spacing w:before="120" w:after="120"/>
      <w:ind w:firstLine="0" w:firstLineChars="0"/>
      <w:outlineLvl w:val="2"/>
    </w:pPr>
    <w:rPr>
      <w:b/>
      <w:bCs/>
      <w:sz w:val="28"/>
      <w:szCs w:val="32"/>
    </w:rPr>
  </w:style>
  <w:style w:type="paragraph" w:styleId="5">
    <w:name w:val="heading 4"/>
    <w:basedOn w:val="1"/>
    <w:next w:val="1"/>
    <w:link w:val="57"/>
    <w:unhideWhenUsed/>
    <w:qFormat/>
    <w:uiPriority w:val="0"/>
    <w:pPr>
      <w:keepNext/>
      <w:keepLines/>
      <w:spacing w:before="120" w:after="120"/>
      <w:outlineLvl w:val="3"/>
    </w:pPr>
    <w:rPr>
      <w:rFonts w:cstheme="majorBidi"/>
      <w:b/>
      <w:bCs/>
      <w:szCs w:val="28"/>
    </w:rPr>
  </w:style>
  <w:style w:type="paragraph" w:styleId="6">
    <w:name w:val="heading 5"/>
    <w:basedOn w:val="1"/>
    <w:next w:val="1"/>
    <w:link w:val="58"/>
    <w:unhideWhenUsed/>
    <w:qFormat/>
    <w:uiPriority w:val="9"/>
    <w:pPr>
      <w:keepNext/>
      <w:keepLines/>
      <w:spacing w:before="280" w:after="290" w:line="376" w:lineRule="auto"/>
      <w:outlineLvl w:val="4"/>
    </w:pPr>
    <w:rPr>
      <w:b/>
      <w:bCs/>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spacing w:line="240" w:lineRule="auto"/>
      <w:ind w:left="2520" w:leftChars="1200" w:firstLine="0" w:firstLineChars="0"/>
    </w:pPr>
    <w:rPr>
      <w:rFonts w:asciiTheme="minorHAnsi" w:hAnsiTheme="minorHAnsi" w:eastAsiaTheme="minorEastAsia" w:cstheme="minorBidi"/>
      <w:kern w:val="2"/>
      <w:sz w:val="21"/>
      <w:szCs w:val="22"/>
    </w:rPr>
  </w:style>
  <w:style w:type="paragraph" w:styleId="8">
    <w:name w:val="Normal Indent"/>
    <w:basedOn w:val="1"/>
    <w:next w:val="9"/>
    <w:qFormat/>
    <w:uiPriority w:val="0"/>
    <w:pPr>
      <w:adjustRightInd w:val="0"/>
      <w:snapToGrid w:val="0"/>
      <w:spacing w:line="300" w:lineRule="auto"/>
      <w:ind w:firstLine="420" w:firstLineChars="0"/>
    </w:pPr>
    <w:rPr>
      <w:rFonts w:ascii="宋体" w:hAnsi="PMingLiU"/>
      <w:kern w:val="2"/>
      <w:sz w:val="21"/>
      <w:szCs w:val="24"/>
    </w:rPr>
  </w:style>
  <w:style w:type="paragraph" w:customStyle="1" w:styleId="9">
    <w:name w:val="Char Char Char Char Char Char Char Char Char1 Char"/>
    <w:basedOn w:val="1"/>
    <w:autoRedefine/>
    <w:qFormat/>
    <w:uiPriority w:val="0"/>
    <w:pPr>
      <w:spacing w:line="360" w:lineRule="auto"/>
      <w:ind w:firstLine="200" w:firstLineChars="200"/>
    </w:pPr>
    <w:rPr>
      <w:rFonts w:hAnsi="宋体" w:cs="宋体"/>
      <w:spacing w:val="0"/>
      <w:sz w:val="24"/>
      <w:szCs w:val="24"/>
    </w:rPr>
  </w:style>
  <w:style w:type="paragraph" w:styleId="10">
    <w:name w:val="caption"/>
    <w:basedOn w:val="1"/>
    <w:next w:val="1"/>
    <w:link w:val="164"/>
    <w:qFormat/>
    <w:uiPriority w:val="35"/>
    <w:pPr>
      <w:spacing w:before="120" w:after="120"/>
      <w:ind w:firstLine="0" w:firstLineChars="0"/>
      <w:jc w:val="center"/>
    </w:pPr>
    <w:rPr>
      <w:rFonts w:cstheme="majorBidi"/>
      <w:b/>
      <w:sz w:val="21"/>
    </w:rPr>
  </w:style>
  <w:style w:type="paragraph" w:styleId="11">
    <w:name w:val="annotation text"/>
    <w:basedOn w:val="1"/>
    <w:link w:val="94"/>
    <w:qFormat/>
    <w:uiPriority w:val="0"/>
    <w:pPr>
      <w:spacing w:line="320" w:lineRule="exact"/>
      <w:ind w:firstLine="0" w:firstLineChars="0"/>
      <w:jc w:val="left"/>
    </w:pPr>
    <w:rPr>
      <w:kern w:val="2"/>
      <w:sz w:val="21"/>
      <w:szCs w:val="22"/>
    </w:rPr>
  </w:style>
  <w:style w:type="paragraph" w:styleId="12">
    <w:name w:val="Body Text"/>
    <w:basedOn w:val="1"/>
    <w:next w:val="1"/>
    <w:link w:val="92"/>
    <w:qFormat/>
    <w:uiPriority w:val="0"/>
    <w:pPr>
      <w:widowControl/>
      <w:spacing w:after="200" w:line="240" w:lineRule="auto"/>
      <w:ind w:firstLine="0" w:firstLineChars="0"/>
      <w:jc w:val="center"/>
    </w:pPr>
    <w:rPr>
      <w:sz w:val="21"/>
      <w:szCs w:val="22"/>
      <w:lang w:eastAsia="en-US" w:bidi="en-US"/>
    </w:rPr>
  </w:style>
  <w:style w:type="paragraph" w:styleId="13">
    <w:name w:val="Body Text Indent"/>
    <w:basedOn w:val="1"/>
    <w:next w:val="14"/>
    <w:link w:val="95"/>
    <w:qFormat/>
    <w:uiPriority w:val="0"/>
    <w:pPr>
      <w:spacing w:line="480" w:lineRule="auto"/>
      <w:ind w:firstLine="480"/>
    </w:pPr>
    <w:rPr>
      <w:rFonts w:ascii="宋体"/>
      <w:kern w:val="2"/>
      <w:szCs w:val="22"/>
    </w:rPr>
  </w:style>
  <w:style w:type="paragraph" w:customStyle="1" w:styleId="14">
    <w:name w:val="样式 正文文本缩进 + 行距: 1.5 倍行距"/>
    <w:basedOn w:val="15"/>
    <w:next w:val="16"/>
    <w:qFormat/>
    <w:uiPriority w:val="0"/>
    <w:pPr>
      <w:spacing w:after="120"/>
      <w:ind w:left="90" w:leftChars="32" w:firstLine="560"/>
    </w:pPr>
    <w:rPr>
      <w:rFonts w:cs="宋体"/>
    </w:rPr>
  </w:style>
  <w:style w:type="paragraph" w:customStyle="1" w:styleId="15">
    <w:name w:val="正文文本缩进1"/>
    <w:basedOn w:val="1"/>
    <w:next w:val="14"/>
    <w:unhideWhenUsed/>
    <w:qFormat/>
    <w:uiPriority w:val="0"/>
    <w:pPr>
      <w:ind w:left="420" w:leftChars="200"/>
    </w:pPr>
    <w:rPr>
      <w:rFonts w:hint="eastAsia" w:eastAsia="Times New Roman"/>
    </w:rPr>
  </w:style>
  <w:style w:type="paragraph" w:styleId="16">
    <w:name w:val="header"/>
    <w:basedOn w:val="1"/>
    <w:next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Block Text"/>
    <w:basedOn w:val="1"/>
    <w:next w:val="1"/>
    <w:unhideWhenUsed/>
    <w:qFormat/>
    <w:uiPriority w:val="99"/>
    <w:pPr>
      <w:snapToGrid w:val="0"/>
      <w:spacing w:line="408" w:lineRule="auto"/>
      <w:ind w:left="-113" w:right="-510" w:firstLine="510"/>
    </w:pPr>
    <w:rPr>
      <w:szCs w:val="20"/>
    </w:rPr>
  </w:style>
  <w:style w:type="paragraph" w:styleId="18">
    <w:name w:val="toc 5"/>
    <w:basedOn w:val="1"/>
    <w:next w:val="1"/>
    <w:unhideWhenUsed/>
    <w:qFormat/>
    <w:uiPriority w:val="39"/>
    <w:pPr>
      <w:spacing w:line="240" w:lineRule="auto"/>
      <w:ind w:left="1680" w:leftChars="800" w:firstLine="0" w:firstLineChars="0"/>
    </w:pPr>
    <w:rPr>
      <w:rFonts w:asciiTheme="minorHAnsi" w:hAnsiTheme="minorHAnsi" w:eastAsiaTheme="minorEastAsia" w:cstheme="minorBidi"/>
      <w:kern w:val="2"/>
      <w:sz w:val="21"/>
      <w:szCs w:val="22"/>
    </w:rPr>
  </w:style>
  <w:style w:type="paragraph" w:styleId="19">
    <w:name w:val="toc 3"/>
    <w:basedOn w:val="1"/>
    <w:next w:val="1"/>
    <w:unhideWhenUsed/>
    <w:qFormat/>
    <w:uiPriority w:val="39"/>
    <w:pPr>
      <w:ind w:left="840" w:leftChars="400"/>
    </w:pPr>
  </w:style>
  <w:style w:type="paragraph" w:styleId="20">
    <w:name w:val="Plain Text"/>
    <w:basedOn w:val="1"/>
    <w:next w:val="21"/>
    <w:link w:val="96"/>
    <w:qFormat/>
    <w:uiPriority w:val="0"/>
    <w:pPr>
      <w:widowControl/>
      <w:spacing w:after="200" w:line="240" w:lineRule="auto"/>
      <w:ind w:firstLine="0" w:firstLineChars="0"/>
      <w:jc w:val="left"/>
    </w:pPr>
    <w:rPr>
      <w:rFonts w:ascii="宋体" w:hAnsi="Courier New"/>
      <w:sz w:val="28"/>
      <w:lang w:eastAsia="en-US" w:bidi="en-US"/>
    </w:rPr>
  </w:style>
  <w:style w:type="paragraph" w:customStyle="1" w:styleId="21">
    <w:name w:val="表内文字"/>
    <w:basedOn w:val="1"/>
    <w:qFormat/>
    <w:uiPriority w:val="0"/>
    <w:pPr>
      <w:spacing w:line="360" w:lineRule="atLeast"/>
      <w:ind w:firstLine="0" w:firstLineChars="0"/>
      <w:jc w:val="center"/>
    </w:pPr>
    <w:rPr>
      <w:kern w:val="2"/>
      <w:sz w:val="21"/>
      <w:szCs w:val="22"/>
    </w:rPr>
  </w:style>
  <w:style w:type="paragraph" w:styleId="22">
    <w:name w:val="toc 8"/>
    <w:basedOn w:val="1"/>
    <w:next w:val="1"/>
    <w:unhideWhenUsed/>
    <w:qFormat/>
    <w:uiPriority w:val="39"/>
    <w:pPr>
      <w:spacing w:line="240" w:lineRule="auto"/>
      <w:ind w:left="2940" w:leftChars="1400" w:firstLine="0" w:firstLineChars="0"/>
    </w:pPr>
    <w:rPr>
      <w:rFonts w:asciiTheme="minorHAnsi" w:hAnsiTheme="minorHAnsi" w:eastAsiaTheme="minorEastAsia" w:cstheme="minorBidi"/>
      <w:kern w:val="2"/>
      <w:sz w:val="21"/>
      <w:szCs w:val="22"/>
    </w:rPr>
  </w:style>
  <w:style w:type="paragraph" w:styleId="23">
    <w:name w:val="Body Text Indent 2"/>
    <w:basedOn w:val="1"/>
    <w:link w:val="97"/>
    <w:qFormat/>
    <w:uiPriority w:val="0"/>
    <w:pPr>
      <w:spacing w:line="540" w:lineRule="exact"/>
      <w:ind w:firstLine="480"/>
    </w:pPr>
    <w:rPr>
      <w:kern w:val="2"/>
      <w:sz w:val="21"/>
      <w:szCs w:val="22"/>
    </w:rPr>
  </w:style>
  <w:style w:type="paragraph" w:styleId="24">
    <w:name w:val="endnote text"/>
    <w:basedOn w:val="1"/>
    <w:qFormat/>
    <w:uiPriority w:val="0"/>
    <w:pPr>
      <w:autoSpaceDE w:val="0"/>
      <w:autoSpaceDN w:val="0"/>
      <w:snapToGrid w:val="0"/>
      <w:jc w:val="left"/>
    </w:pPr>
    <w:rPr>
      <w:rFonts w:ascii="Noto Sans CJK JP Regular" w:hAnsi="Noto Sans CJK JP Regular" w:eastAsia="Noto Sans CJK JP Regular" w:cs="Noto Sans CJK JP Regular"/>
      <w:kern w:val="0"/>
      <w:sz w:val="22"/>
      <w:lang w:eastAsia="en-US"/>
    </w:rPr>
  </w:style>
  <w:style w:type="paragraph" w:styleId="25">
    <w:name w:val="Balloon Text"/>
    <w:basedOn w:val="1"/>
    <w:link w:val="56"/>
    <w:semiHidden/>
    <w:unhideWhenUsed/>
    <w:qFormat/>
    <w:uiPriority w:val="0"/>
    <w:pPr>
      <w:spacing w:line="240" w:lineRule="auto"/>
    </w:pPr>
    <w:rPr>
      <w:sz w:val="18"/>
      <w:szCs w:val="18"/>
    </w:rPr>
  </w:style>
  <w:style w:type="paragraph" w:styleId="26">
    <w:name w:val="footer"/>
    <w:basedOn w:val="1"/>
    <w:link w:val="51"/>
    <w:unhideWhenUsed/>
    <w:qFormat/>
    <w:uiPriority w:val="99"/>
    <w:pPr>
      <w:tabs>
        <w:tab w:val="center" w:pos="4153"/>
        <w:tab w:val="right" w:pos="8306"/>
      </w:tabs>
      <w:snapToGrid w:val="0"/>
      <w:jc w:val="left"/>
    </w:pPr>
    <w:rPr>
      <w:sz w:val="18"/>
      <w:szCs w:val="18"/>
    </w:rPr>
  </w:style>
  <w:style w:type="paragraph" w:styleId="27">
    <w:name w:val="toc 1"/>
    <w:basedOn w:val="2"/>
    <w:next w:val="1"/>
    <w:unhideWhenUsed/>
    <w:qFormat/>
    <w:uiPriority w:val="39"/>
    <w:pPr>
      <w:tabs>
        <w:tab w:val="right" w:leader="dot" w:pos="8296"/>
      </w:tabs>
      <w:adjustRightInd w:val="0"/>
      <w:spacing w:before="0" w:after="0"/>
      <w:ind w:firstLine="480"/>
      <w:jc w:val="center"/>
    </w:pPr>
    <w:rPr>
      <w:b w:val="0"/>
      <w:sz w:val="28"/>
    </w:rPr>
  </w:style>
  <w:style w:type="paragraph" w:styleId="28">
    <w:name w:val="toc 4"/>
    <w:basedOn w:val="1"/>
    <w:next w:val="1"/>
    <w:unhideWhenUsed/>
    <w:qFormat/>
    <w:uiPriority w:val="39"/>
    <w:pPr>
      <w:spacing w:line="240" w:lineRule="auto"/>
      <w:ind w:left="1260" w:leftChars="600" w:firstLine="0" w:firstLineChars="0"/>
    </w:pPr>
    <w:rPr>
      <w:rFonts w:asciiTheme="minorHAnsi" w:hAnsiTheme="minorHAnsi" w:eastAsiaTheme="minorEastAsia" w:cstheme="minorBidi"/>
      <w:kern w:val="2"/>
      <w:sz w:val="21"/>
      <w:szCs w:val="22"/>
    </w:rPr>
  </w:style>
  <w:style w:type="paragraph" w:styleId="29">
    <w:name w:val="List"/>
    <w:basedOn w:val="1"/>
    <w:qFormat/>
    <w:uiPriority w:val="0"/>
    <w:pPr>
      <w:spacing w:line="320" w:lineRule="exact"/>
      <w:ind w:left="200" w:hanging="200" w:hangingChars="200"/>
    </w:pPr>
    <w:rPr>
      <w:kern w:val="2"/>
      <w:sz w:val="21"/>
      <w:szCs w:val="24"/>
    </w:rPr>
  </w:style>
  <w:style w:type="paragraph" w:styleId="30">
    <w:name w:val="toc 6"/>
    <w:basedOn w:val="1"/>
    <w:next w:val="1"/>
    <w:unhideWhenUsed/>
    <w:qFormat/>
    <w:uiPriority w:val="39"/>
    <w:pPr>
      <w:spacing w:line="240" w:lineRule="auto"/>
      <w:ind w:left="2100" w:leftChars="1000" w:firstLine="0" w:firstLineChars="0"/>
    </w:pPr>
    <w:rPr>
      <w:rFonts w:asciiTheme="minorHAnsi" w:hAnsiTheme="minorHAnsi" w:eastAsiaTheme="minorEastAsia" w:cstheme="minorBidi"/>
      <w:kern w:val="2"/>
      <w:sz w:val="21"/>
      <w:szCs w:val="22"/>
    </w:rPr>
  </w:style>
  <w:style w:type="paragraph" w:styleId="31">
    <w:name w:val="Body Text Indent 3"/>
    <w:basedOn w:val="1"/>
    <w:link w:val="98"/>
    <w:qFormat/>
    <w:uiPriority w:val="99"/>
    <w:pPr>
      <w:widowControl/>
      <w:spacing w:after="120" w:line="240" w:lineRule="auto"/>
      <w:ind w:left="420" w:leftChars="200" w:firstLine="0" w:firstLineChars="0"/>
      <w:jc w:val="left"/>
    </w:pPr>
    <w:rPr>
      <w:sz w:val="16"/>
      <w:szCs w:val="16"/>
      <w:lang w:eastAsia="en-US" w:bidi="en-US"/>
    </w:rPr>
  </w:style>
  <w:style w:type="paragraph" w:styleId="32">
    <w:name w:val="toc 2"/>
    <w:basedOn w:val="3"/>
    <w:next w:val="1"/>
    <w:unhideWhenUsed/>
    <w:qFormat/>
    <w:uiPriority w:val="39"/>
    <w:pPr>
      <w:spacing w:before="0" w:after="0"/>
      <w:ind w:firstLine="200" w:firstLineChars="200"/>
      <w:jc w:val="both"/>
    </w:pPr>
    <w:rPr>
      <w:b w:val="0"/>
      <w:sz w:val="24"/>
    </w:rPr>
  </w:style>
  <w:style w:type="paragraph" w:styleId="33">
    <w:name w:val="toc 9"/>
    <w:basedOn w:val="1"/>
    <w:next w:val="1"/>
    <w:unhideWhenUsed/>
    <w:qFormat/>
    <w:uiPriority w:val="39"/>
    <w:pPr>
      <w:spacing w:line="240" w:lineRule="auto"/>
      <w:ind w:left="3360" w:leftChars="1600" w:firstLine="0" w:firstLineChars="0"/>
    </w:pPr>
    <w:rPr>
      <w:rFonts w:asciiTheme="minorHAnsi" w:hAnsiTheme="minorHAnsi" w:eastAsiaTheme="minorEastAsia" w:cstheme="minorBidi"/>
      <w:kern w:val="2"/>
      <w:sz w:val="21"/>
      <w:szCs w:val="22"/>
    </w:rPr>
  </w:style>
  <w:style w:type="paragraph" w:styleId="34">
    <w:name w:val="Body Text 2"/>
    <w:basedOn w:val="1"/>
    <w:link w:val="93"/>
    <w:unhideWhenUsed/>
    <w:qFormat/>
    <w:uiPriority w:val="99"/>
    <w:pPr>
      <w:spacing w:after="120" w:line="480" w:lineRule="auto"/>
      <w:ind w:firstLine="0" w:firstLineChars="0"/>
    </w:pPr>
    <w:rPr>
      <w:kern w:val="2"/>
      <w:sz w:val="21"/>
      <w:szCs w:val="22"/>
    </w:rPr>
  </w:style>
  <w:style w:type="paragraph" w:styleId="35">
    <w:name w:val="HTML Preformatted"/>
    <w:basedOn w:val="1"/>
    <w:link w:val="16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Arial" w:hAnsi="Arial" w:cs="Arial"/>
      <w:szCs w:val="24"/>
    </w:rPr>
  </w:style>
  <w:style w:type="paragraph" w:styleId="36">
    <w:name w:val="Normal (Web)"/>
    <w:basedOn w:val="1"/>
    <w:qFormat/>
    <w:uiPriority w:val="0"/>
    <w:pPr>
      <w:widowControl/>
      <w:spacing w:before="100" w:beforeAutospacing="1" w:after="100" w:afterAutospacing="1" w:line="240" w:lineRule="auto"/>
      <w:ind w:firstLine="480" w:firstLineChars="0"/>
      <w:jc w:val="left"/>
    </w:pPr>
    <w:rPr>
      <w:rFonts w:ascii="宋体" w:hAnsi="宋体" w:cs="宋体"/>
      <w:sz w:val="22"/>
      <w:szCs w:val="22"/>
      <w:lang w:eastAsia="en-US" w:bidi="en-US"/>
    </w:rPr>
  </w:style>
  <w:style w:type="paragraph" w:styleId="37">
    <w:name w:val="Body Text First Indent"/>
    <w:basedOn w:val="12"/>
    <w:link w:val="99"/>
    <w:qFormat/>
    <w:uiPriority w:val="0"/>
    <w:pPr>
      <w:widowControl w:val="0"/>
      <w:spacing w:after="120"/>
      <w:ind w:firstLine="420" w:firstLineChars="100"/>
      <w:jc w:val="both"/>
    </w:pPr>
    <w:rPr>
      <w:kern w:val="2"/>
      <w:szCs w:val="24"/>
      <w:lang w:eastAsia="zh-CN" w:bidi="ar-SA"/>
    </w:rPr>
  </w:style>
  <w:style w:type="paragraph" w:styleId="38">
    <w:name w:val="Body Text First Indent 2"/>
    <w:basedOn w:val="13"/>
    <w:next w:val="1"/>
    <w:link w:val="100"/>
    <w:qFormat/>
    <w:uiPriority w:val="0"/>
    <w:pPr>
      <w:spacing w:after="120" w:line="240" w:lineRule="auto"/>
      <w:ind w:left="420" w:leftChars="200" w:firstLine="420" w:firstLineChars="0"/>
    </w:pPr>
    <w:rPr>
      <w:kern w:val="2"/>
      <w:sz w:val="21"/>
      <w:szCs w:val="24"/>
    </w:rPr>
  </w:style>
  <w:style w:type="table" w:styleId="40">
    <w:name w:val="Table Grid"/>
    <w:basedOn w:val="3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page number"/>
    <w:qFormat/>
    <w:uiPriority w:val="0"/>
  </w:style>
  <w:style w:type="character" w:styleId="43">
    <w:name w:val="Hyperlink"/>
    <w:basedOn w:val="41"/>
    <w:unhideWhenUsed/>
    <w:qFormat/>
    <w:uiPriority w:val="99"/>
    <w:rPr>
      <w:color w:val="0000FF" w:themeColor="hyperlink"/>
      <w:u w:val="single"/>
      <w14:textFill>
        <w14:solidFill>
          <w14:schemeClr w14:val="hlink"/>
        </w14:solidFill>
      </w14:textFill>
    </w:rPr>
  </w:style>
  <w:style w:type="character" w:styleId="44">
    <w:name w:val="annotation reference"/>
    <w:qFormat/>
    <w:uiPriority w:val="0"/>
    <w:rPr>
      <w:sz w:val="21"/>
      <w:szCs w:val="21"/>
    </w:rPr>
  </w:style>
  <w:style w:type="paragraph" w:customStyle="1" w:styleId="45">
    <w:name w:val="Default"/>
    <w:basedOn w:val="46"/>
    <w:next w:val="1"/>
    <w:qFormat/>
    <w:uiPriority w:val="0"/>
    <w:pPr>
      <w:autoSpaceDE w:val="0"/>
      <w:autoSpaceDN w:val="0"/>
    </w:pPr>
    <w:rPr>
      <w:rFonts w:ascii="黑体" w:eastAsia="黑体" w:cs="黑体"/>
      <w:sz w:val="24"/>
      <w:szCs w:val="24"/>
    </w:rPr>
  </w:style>
  <w:style w:type="paragraph" w:customStyle="1" w:styleId="46">
    <w:name w:val="纯文本1"/>
    <w:basedOn w:val="1"/>
    <w:qFormat/>
    <w:uiPriority w:val="0"/>
    <w:pPr>
      <w:spacing w:line="520" w:lineRule="atLeast"/>
    </w:pPr>
    <w:rPr>
      <w:rFonts w:ascii="宋体" w:hAnsi="Courier New"/>
      <w:sz w:val="28"/>
      <w:szCs w:val="20"/>
    </w:rPr>
  </w:style>
  <w:style w:type="paragraph" w:customStyle="1" w:styleId="47">
    <w:name w:val="样式5"/>
    <w:basedOn w:val="48"/>
    <w:next w:val="24"/>
    <w:qFormat/>
    <w:uiPriority w:val="0"/>
    <w:pPr>
      <w:widowControl/>
      <w:tabs>
        <w:tab w:val="left" w:pos="567"/>
        <w:tab w:val="center" w:pos="4153"/>
        <w:tab w:val="right" w:pos="8306"/>
      </w:tabs>
      <w:spacing w:line="355" w:lineRule="auto"/>
      <w:ind w:firstLine="360"/>
    </w:pPr>
    <w:rPr>
      <w:rFonts w:ascii="楷体_GB2312" w:eastAsia="楷体_GB2312"/>
    </w:rPr>
  </w:style>
  <w:style w:type="paragraph" w:customStyle="1" w:styleId="48">
    <w:name w:val="正文1"/>
    <w:basedOn w:val="49"/>
    <w:next w:val="1"/>
    <w:qFormat/>
    <w:uiPriority w:val="0"/>
    <w:pPr>
      <w:widowControl w:val="0"/>
      <w:tabs>
        <w:tab w:val="left" w:pos="567"/>
      </w:tabs>
      <w:adjustRightInd w:val="0"/>
      <w:spacing w:line="360" w:lineRule="atLeast"/>
    </w:pPr>
    <w:rPr>
      <w:rFonts w:ascii="宋体" w:hAnsi="Times New Roman" w:eastAsia="宋体" w:cs="Times New Roman"/>
      <w:sz w:val="24"/>
      <w:lang w:val="en-US" w:eastAsia="zh-CN" w:bidi="ar-SA"/>
    </w:rPr>
  </w:style>
  <w:style w:type="paragraph" w:customStyle="1" w:styleId="49">
    <w:name w:val="正文11"/>
    <w:link w:val="167"/>
    <w:qFormat/>
    <w:uiPriority w:val="0"/>
    <w:pPr>
      <w:widowControl w:val="0"/>
      <w:tabs>
        <w:tab w:val="left" w:pos="567"/>
      </w:tabs>
      <w:adjustRightInd w:val="0"/>
      <w:spacing w:line="360" w:lineRule="atLeast"/>
      <w:ind w:left="567" w:hanging="567"/>
      <w:textAlignment w:val="baseline"/>
    </w:pPr>
    <w:rPr>
      <w:rFonts w:ascii="宋体" w:hAnsi="Times New Roman" w:eastAsia="Times New Roman" w:cs="Times New Roman"/>
      <w:sz w:val="24"/>
      <w:lang w:val="en-US" w:eastAsia="zh-CN" w:bidi="ar-SA"/>
    </w:rPr>
  </w:style>
  <w:style w:type="character" w:customStyle="1" w:styleId="50">
    <w:name w:val="页眉 字符"/>
    <w:basedOn w:val="41"/>
    <w:link w:val="16"/>
    <w:qFormat/>
    <w:uiPriority w:val="99"/>
    <w:rPr>
      <w:kern w:val="0"/>
      <w:sz w:val="18"/>
      <w:szCs w:val="18"/>
    </w:rPr>
  </w:style>
  <w:style w:type="character" w:customStyle="1" w:styleId="51">
    <w:name w:val="页脚 字符"/>
    <w:basedOn w:val="41"/>
    <w:link w:val="26"/>
    <w:qFormat/>
    <w:uiPriority w:val="99"/>
    <w:rPr>
      <w:kern w:val="0"/>
      <w:sz w:val="18"/>
      <w:szCs w:val="18"/>
    </w:rPr>
  </w:style>
  <w:style w:type="character" w:customStyle="1" w:styleId="52">
    <w:name w:val="标题 1 字符"/>
    <w:basedOn w:val="41"/>
    <w:link w:val="2"/>
    <w:qFormat/>
    <w:uiPriority w:val="9"/>
    <w:rPr>
      <w:b/>
      <w:bCs/>
      <w:kern w:val="44"/>
      <w:sz w:val="32"/>
      <w:szCs w:val="44"/>
    </w:rPr>
  </w:style>
  <w:style w:type="character" w:customStyle="1" w:styleId="53">
    <w:name w:val="标题 2 字符"/>
    <w:basedOn w:val="41"/>
    <w:link w:val="3"/>
    <w:qFormat/>
    <w:uiPriority w:val="9"/>
    <w:rPr>
      <w:rFonts w:cstheme="majorBidi"/>
      <w:b/>
      <w:bCs/>
      <w:kern w:val="0"/>
      <w:sz w:val="30"/>
      <w:szCs w:val="32"/>
    </w:rPr>
  </w:style>
  <w:style w:type="character" w:customStyle="1" w:styleId="54">
    <w:name w:val="标题 3 字符"/>
    <w:basedOn w:val="41"/>
    <w:link w:val="4"/>
    <w:qFormat/>
    <w:uiPriority w:val="9"/>
    <w:rPr>
      <w:b/>
      <w:bCs/>
      <w:kern w:val="0"/>
      <w:sz w:val="28"/>
      <w:szCs w:val="32"/>
    </w:rPr>
  </w:style>
  <w:style w:type="paragraph" w:customStyle="1" w:styleId="55">
    <w:name w:val="TOC 标题1"/>
    <w:basedOn w:val="2"/>
    <w:next w:val="1"/>
    <w:semiHidden/>
    <w:unhideWhenUsed/>
    <w:qFormat/>
    <w:uiPriority w:val="39"/>
    <w:pPr>
      <w:widowControl/>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56">
    <w:name w:val="批注框文本 字符"/>
    <w:basedOn w:val="41"/>
    <w:link w:val="25"/>
    <w:semiHidden/>
    <w:qFormat/>
    <w:uiPriority w:val="99"/>
    <w:rPr>
      <w:kern w:val="0"/>
      <w:sz w:val="18"/>
      <w:szCs w:val="18"/>
    </w:rPr>
  </w:style>
  <w:style w:type="character" w:customStyle="1" w:styleId="57">
    <w:name w:val="标题 4 字符"/>
    <w:basedOn w:val="41"/>
    <w:link w:val="5"/>
    <w:qFormat/>
    <w:uiPriority w:val="9"/>
    <w:rPr>
      <w:rFonts w:cstheme="majorBidi"/>
      <w:b/>
      <w:bCs/>
      <w:kern w:val="0"/>
      <w:sz w:val="24"/>
      <w:szCs w:val="28"/>
    </w:rPr>
  </w:style>
  <w:style w:type="character" w:customStyle="1" w:styleId="58">
    <w:name w:val="标题 5 字符"/>
    <w:basedOn w:val="41"/>
    <w:link w:val="6"/>
    <w:qFormat/>
    <w:uiPriority w:val="9"/>
    <w:rPr>
      <w:b/>
      <w:bCs/>
      <w:kern w:val="0"/>
      <w:sz w:val="28"/>
      <w:szCs w:val="28"/>
    </w:rPr>
  </w:style>
  <w:style w:type="paragraph" w:customStyle="1" w:styleId="59">
    <w:name w:val="正文A"/>
    <w:basedOn w:val="1"/>
    <w:link w:val="179"/>
    <w:qFormat/>
    <w:uiPriority w:val="0"/>
    <w:pPr>
      <w:spacing w:line="500" w:lineRule="exact"/>
      <w:ind w:firstLine="480"/>
    </w:pPr>
    <w:rPr>
      <w:rFonts w:ascii="华文仿宋" w:hAnsi="华文仿宋" w:eastAsia="华文仿宋" w:cs="华文仿宋"/>
      <w:kern w:val="2"/>
      <w:szCs w:val="24"/>
    </w:rPr>
  </w:style>
  <w:style w:type="table" w:customStyle="1" w:styleId="60">
    <w:name w:val="三线1"/>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1">
    <w:name w:val="Char"/>
    <w:basedOn w:val="1"/>
    <w:qFormat/>
    <w:uiPriority w:val="0"/>
    <w:pPr>
      <w:spacing w:line="320" w:lineRule="exact"/>
      <w:ind w:firstLine="0" w:firstLineChars="0"/>
    </w:pPr>
    <w:rPr>
      <w:kern w:val="2"/>
      <w:sz w:val="21"/>
      <w:szCs w:val="22"/>
    </w:rPr>
  </w:style>
  <w:style w:type="table" w:customStyle="1" w:styleId="62">
    <w:name w:val="网格型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3">
    <w:name w:val="网格型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4">
    <w:name w:val="网格型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5">
    <w:name w:val="网格型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
    <w:name w:val="网格型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
    <w:name w:val="网格型6"/>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8">
    <w:name w:val="网格型7"/>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9">
    <w:name w:val="网格型8"/>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0">
    <w:name w:val="网格型9"/>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10"/>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
    <w:name w:val="网格型1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3">
    <w:name w:val="网格型1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4">
    <w:name w:val="网格型1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5">
    <w:name w:val="网格型1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6">
    <w:name w:val="网格型1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7">
    <w:name w:val="网格型16"/>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8">
    <w:name w:val="网格型17"/>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9">
    <w:name w:val="网格型18"/>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0">
    <w:name w:val="网格型19"/>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1">
    <w:name w:val="网格型20"/>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2">
    <w:name w:val="Char1"/>
    <w:basedOn w:val="1"/>
    <w:qFormat/>
    <w:uiPriority w:val="0"/>
    <w:pPr>
      <w:spacing w:line="320" w:lineRule="exact"/>
      <w:ind w:firstLine="0" w:firstLineChars="0"/>
    </w:pPr>
    <w:rPr>
      <w:kern w:val="2"/>
      <w:sz w:val="21"/>
      <w:szCs w:val="22"/>
    </w:rPr>
  </w:style>
  <w:style w:type="table" w:customStyle="1" w:styleId="83">
    <w:name w:val="网格型2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4">
    <w:name w:val="网格型2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5">
    <w:name w:val="网格型2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6">
    <w:name w:val="网格型2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7">
    <w:name w:val="网格型2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8">
    <w:name w:val="网格型26"/>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
    <w:name w:val="三线2"/>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
    <w:name w:val="Char2"/>
    <w:basedOn w:val="1"/>
    <w:qFormat/>
    <w:uiPriority w:val="0"/>
    <w:pPr>
      <w:spacing w:line="320" w:lineRule="exact"/>
      <w:ind w:firstLine="0" w:firstLineChars="0"/>
    </w:pPr>
    <w:rPr>
      <w:kern w:val="2"/>
      <w:sz w:val="21"/>
      <w:szCs w:val="22"/>
    </w:rPr>
  </w:style>
  <w:style w:type="paragraph" w:customStyle="1" w:styleId="91">
    <w:name w:val="Char3"/>
    <w:basedOn w:val="1"/>
    <w:qFormat/>
    <w:uiPriority w:val="0"/>
    <w:pPr>
      <w:spacing w:line="320" w:lineRule="exact"/>
      <w:ind w:firstLine="0" w:firstLineChars="0"/>
    </w:pPr>
    <w:rPr>
      <w:kern w:val="2"/>
      <w:sz w:val="21"/>
      <w:szCs w:val="22"/>
    </w:rPr>
  </w:style>
  <w:style w:type="character" w:customStyle="1" w:styleId="92">
    <w:name w:val="正文文本 字符"/>
    <w:basedOn w:val="41"/>
    <w:link w:val="12"/>
    <w:qFormat/>
    <w:uiPriority w:val="0"/>
    <w:rPr>
      <w:kern w:val="0"/>
      <w:szCs w:val="22"/>
      <w:lang w:eastAsia="en-US" w:bidi="en-US"/>
    </w:rPr>
  </w:style>
  <w:style w:type="character" w:customStyle="1" w:styleId="93">
    <w:name w:val="正文文本 2 字符"/>
    <w:basedOn w:val="41"/>
    <w:link w:val="34"/>
    <w:qFormat/>
    <w:uiPriority w:val="99"/>
    <w:rPr>
      <w:szCs w:val="22"/>
    </w:rPr>
  </w:style>
  <w:style w:type="character" w:customStyle="1" w:styleId="94">
    <w:name w:val="批注文字 字符"/>
    <w:basedOn w:val="41"/>
    <w:link w:val="11"/>
    <w:qFormat/>
    <w:uiPriority w:val="0"/>
    <w:rPr>
      <w:szCs w:val="22"/>
    </w:rPr>
  </w:style>
  <w:style w:type="character" w:customStyle="1" w:styleId="95">
    <w:name w:val="正文文本缩进 字符"/>
    <w:basedOn w:val="41"/>
    <w:link w:val="13"/>
    <w:qFormat/>
    <w:uiPriority w:val="0"/>
    <w:rPr>
      <w:rFonts w:ascii="宋体"/>
      <w:sz w:val="24"/>
      <w:szCs w:val="22"/>
    </w:rPr>
  </w:style>
  <w:style w:type="character" w:customStyle="1" w:styleId="96">
    <w:name w:val="纯文本 字符"/>
    <w:basedOn w:val="41"/>
    <w:link w:val="20"/>
    <w:qFormat/>
    <w:uiPriority w:val="0"/>
    <w:rPr>
      <w:rFonts w:ascii="宋体" w:hAnsi="Courier New"/>
      <w:kern w:val="0"/>
      <w:sz w:val="28"/>
      <w:szCs w:val="20"/>
      <w:lang w:eastAsia="en-US" w:bidi="en-US"/>
    </w:rPr>
  </w:style>
  <w:style w:type="character" w:customStyle="1" w:styleId="97">
    <w:name w:val="正文文本缩进 2 字符"/>
    <w:basedOn w:val="41"/>
    <w:link w:val="23"/>
    <w:qFormat/>
    <w:uiPriority w:val="0"/>
    <w:rPr>
      <w:szCs w:val="22"/>
    </w:rPr>
  </w:style>
  <w:style w:type="character" w:customStyle="1" w:styleId="98">
    <w:name w:val="正文文本缩进 3 字符"/>
    <w:basedOn w:val="41"/>
    <w:link w:val="31"/>
    <w:qFormat/>
    <w:uiPriority w:val="99"/>
    <w:rPr>
      <w:kern w:val="0"/>
      <w:sz w:val="16"/>
      <w:szCs w:val="16"/>
      <w:lang w:eastAsia="en-US" w:bidi="en-US"/>
    </w:rPr>
  </w:style>
  <w:style w:type="character" w:customStyle="1" w:styleId="99">
    <w:name w:val="正文文本首行缩进 字符"/>
    <w:basedOn w:val="92"/>
    <w:link w:val="37"/>
    <w:qFormat/>
    <w:uiPriority w:val="0"/>
    <w:rPr>
      <w:kern w:val="0"/>
      <w:szCs w:val="24"/>
      <w:lang w:eastAsia="en-US" w:bidi="en-US"/>
    </w:rPr>
  </w:style>
  <w:style w:type="character" w:customStyle="1" w:styleId="100">
    <w:name w:val="正文文本首行缩进 2 字符"/>
    <w:basedOn w:val="95"/>
    <w:link w:val="38"/>
    <w:qFormat/>
    <w:uiPriority w:val="0"/>
    <w:rPr>
      <w:rFonts w:ascii="宋体"/>
      <w:sz w:val="24"/>
      <w:szCs w:val="24"/>
    </w:rPr>
  </w:style>
  <w:style w:type="paragraph" w:customStyle="1" w:styleId="101">
    <w:name w:val="1 表头"/>
    <w:basedOn w:val="1"/>
    <w:qFormat/>
    <w:uiPriority w:val="0"/>
    <w:pPr>
      <w:adjustRightInd w:val="0"/>
      <w:snapToGrid w:val="0"/>
      <w:spacing w:line="240" w:lineRule="auto"/>
      <w:ind w:firstLine="0" w:firstLineChars="0"/>
      <w:jc w:val="center"/>
    </w:pPr>
    <w:rPr>
      <w:b/>
      <w:color w:val="000000"/>
      <w:kern w:val="2"/>
      <w:sz w:val="21"/>
      <w:szCs w:val="21"/>
    </w:rPr>
  </w:style>
  <w:style w:type="paragraph" w:customStyle="1" w:styleId="102">
    <w:name w:val="表格内"/>
    <w:basedOn w:val="1"/>
    <w:qFormat/>
    <w:uiPriority w:val="0"/>
    <w:pPr>
      <w:adjustRightInd w:val="0"/>
      <w:spacing w:line="240" w:lineRule="atLeast"/>
      <w:ind w:firstLine="0" w:firstLineChars="0"/>
      <w:jc w:val="center"/>
      <w:textAlignment w:val="baseline"/>
    </w:pPr>
    <w:rPr>
      <w:rFonts w:ascii="宋体"/>
      <w:sz w:val="28"/>
    </w:rPr>
  </w:style>
  <w:style w:type="character" w:customStyle="1" w:styleId="103">
    <w:name w:val="Body text + Spacing 0 pt"/>
    <w:qFormat/>
    <w:uiPriority w:val="0"/>
    <w:rPr>
      <w:rFonts w:ascii="MingLiU" w:hAnsi="MingLiU" w:eastAsia="MingLiU" w:cs="MingLiU"/>
      <w:color w:val="000000"/>
      <w:spacing w:val="-10"/>
      <w:w w:val="100"/>
      <w:position w:val="0"/>
      <w:sz w:val="22"/>
      <w:szCs w:val="22"/>
      <w:u w:val="none"/>
      <w:lang w:val="en-US"/>
    </w:rPr>
  </w:style>
  <w:style w:type="paragraph" w:customStyle="1" w:styleId="104">
    <w:name w:val="正文格式"/>
    <w:basedOn w:val="37"/>
    <w:qFormat/>
    <w:uiPriority w:val="0"/>
    <w:pPr>
      <w:spacing w:after="0" w:line="360" w:lineRule="auto"/>
      <w:ind w:firstLine="200" w:firstLineChars="200"/>
    </w:pPr>
    <w:rPr>
      <w:rFonts w:ascii="宋体"/>
      <w:sz w:val="24"/>
    </w:rPr>
  </w:style>
  <w:style w:type="paragraph" w:customStyle="1" w:styleId="105">
    <w:name w:val="报告正文"/>
    <w:basedOn w:val="106"/>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106">
    <w:name w:val="p17"/>
    <w:basedOn w:val="1"/>
    <w:qFormat/>
    <w:uiPriority w:val="0"/>
    <w:pPr>
      <w:widowControl/>
      <w:spacing w:line="320" w:lineRule="exact"/>
      <w:ind w:firstLine="0" w:firstLineChars="0"/>
    </w:pPr>
    <w:rPr>
      <w:rFonts w:ascii="宋体" w:hAnsi="宋体" w:cs="宋体"/>
      <w:sz w:val="21"/>
      <w:szCs w:val="21"/>
    </w:rPr>
  </w:style>
  <w:style w:type="paragraph" w:customStyle="1" w:styleId="107">
    <w:name w:val="标题三A"/>
    <w:basedOn w:val="4"/>
    <w:qFormat/>
    <w:uiPriority w:val="0"/>
    <w:pPr>
      <w:keepNext w:val="0"/>
      <w:keepLines w:val="0"/>
      <w:spacing w:before="0" w:after="0" w:line="500" w:lineRule="exact"/>
    </w:pPr>
    <w:rPr>
      <w:kern w:val="2"/>
      <w:szCs w:val="28"/>
    </w:rPr>
  </w:style>
  <w:style w:type="paragraph" w:customStyle="1" w:styleId="108">
    <w:name w:val="正文!!!!!!!!!!!"/>
    <w:basedOn w:val="109"/>
    <w:qFormat/>
    <w:uiPriority w:val="0"/>
    <w:pPr>
      <w:ind w:firstLine="480"/>
    </w:pPr>
    <w:rPr>
      <w:rFonts w:ascii="华文仿宋" w:hAnsi="华文仿宋" w:eastAsia="华文仿宋" w:cs="华文仿宋"/>
    </w:rPr>
  </w:style>
  <w:style w:type="paragraph" w:customStyle="1" w:styleId="109">
    <w:name w:val="正文 楷体"/>
    <w:basedOn w:val="1"/>
    <w:qFormat/>
    <w:uiPriority w:val="0"/>
    <w:pPr>
      <w:spacing w:line="500" w:lineRule="exact"/>
    </w:pPr>
    <w:rPr>
      <w:rFonts w:ascii="楷体_GB2312" w:hAnsi="楷体_GB2312" w:eastAsia="楷体_GB2312" w:cs="宋体"/>
      <w:kern w:val="2"/>
      <w:szCs w:val="24"/>
    </w:rPr>
  </w:style>
  <w:style w:type="paragraph" w:customStyle="1" w:styleId="110">
    <w:name w:val="表中文字"/>
    <w:qFormat/>
    <w:uiPriority w:val="0"/>
    <w:pPr>
      <w:widowControl w:val="0"/>
      <w:adjustRightInd w:val="0"/>
      <w:spacing w:line="280" w:lineRule="exact"/>
      <w:jc w:val="center"/>
      <w:textAlignment w:val="center"/>
    </w:pPr>
    <w:rPr>
      <w:rFonts w:ascii="Times New Roman" w:hAnsi="Times New Roman" w:eastAsia="宋体" w:cs="Times New Roman"/>
      <w:sz w:val="21"/>
      <w:szCs w:val="15"/>
      <w:lang w:val="de-DE" w:eastAsia="zh-CN" w:bidi="ar-SA"/>
    </w:rPr>
  </w:style>
  <w:style w:type="paragraph" w:customStyle="1" w:styleId="111">
    <w:name w:val="三级标题"/>
    <w:basedOn w:val="20"/>
    <w:next w:val="105"/>
    <w:qFormat/>
    <w:uiPriority w:val="0"/>
    <w:pPr>
      <w:spacing w:line="360" w:lineRule="auto"/>
      <w:outlineLvl w:val="2"/>
    </w:pPr>
    <w:rPr>
      <w:b/>
      <w:snapToGrid w:val="0"/>
      <w:sz w:val="24"/>
      <w:szCs w:val="28"/>
    </w:rPr>
  </w:style>
  <w:style w:type="paragraph" w:customStyle="1" w:styleId="112">
    <w:name w:val="Body text|1"/>
    <w:basedOn w:val="1"/>
    <w:qFormat/>
    <w:uiPriority w:val="0"/>
    <w:pPr>
      <w:spacing w:line="408" w:lineRule="auto"/>
      <w:ind w:firstLine="400" w:firstLineChars="0"/>
    </w:pPr>
    <w:rPr>
      <w:rFonts w:ascii="MingLiU" w:hAnsi="MingLiU" w:eastAsia="MingLiU" w:cs="MingLiU"/>
      <w:kern w:val="2"/>
      <w:sz w:val="19"/>
      <w:szCs w:val="19"/>
      <w:lang w:val="zh-TW" w:eastAsia="zh-TW" w:bidi="zh-TW"/>
    </w:rPr>
  </w:style>
  <w:style w:type="paragraph" w:customStyle="1" w:styleId="113">
    <w:name w:val="Table Paragraph"/>
    <w:basedOn w:val="1"/>
    <w:qFormat/>
    <w:uiPriority w:val="1"/>
    <w:pPr>
      <w:autoSpaceDE w:val="0"/>
      <w:autoSpaceDN w:val="0"/>
      <w:spacing w:line="240" w:lineRule="auto"/>
      <w:ind w:firstLine="0" w:firstLineChars="0"/>
      <w:jc w:val="center"/>
    </w:pPr>
    <w:rPr>
      <w:rFonts w:ascii="宋体" w:hAnsi="宋体" w:cs="宋体"/>
      <w:sz w:val="22"/>
      <w:szCs w:val="22"/>
      <w:lang w:val="zh-CN" w:bidi="zh-CN"/>
    </w:rPr>
  </w:style>
  <w:style w:type="paragraph" w:customStyle="1" w:styleId="114">
    <w:name w:val="表格表题"/>
    <w:basedOn w:val="1"/>
    <w:qFormat/>
    <w:uiPriority w:val="0"/>
    <w:pPr>
      <w:autoSpaceDE w:val="0"/>
      <w:autoSpaceDN w:val="0"/>
      <w:adjustRightInd w:val="0"/>
      <w:spacing w:line="480" w:lineRule="atLeast"/>
      <w:ind w:firstLine="0" w:firstLineChars="0"/>
      <w:jc w:val="center"/>
      <w:textAlignment w:val="baseline"/>
    </w:pPr>
    <w:rPr>
      <w:rFonts w:ascii="黑体" w:eastAsia="黑体"/>
      <w:kern w:val="16"/>
      <w:sz w:val="21"/>
      <w:szCs w:val="22"/>
    </w:rPr>
  </w:style>
  <w:style w:type="paragraph" w:customStyle="1" w:styleId="115">
    <w:name w:val="标题四A"/>
    <w:basedOn w:val="1"/>
    <w:qFormat/>
    <w:uiPriority w:val="0"/>
    <w:pPr>
      <w:spacing w:line="500" w:lineRule="exact"/>
      <w:ind w:firstLine="0" w:firstLineChars="0"/>
      <w:outlineLvl w:val="3"/>
    </w:pPr>
    <w:rPr>
      <w:b/>
      <w:szCs w:val="24"/>
    </w:rPr>
  </w:style>
  <w:style w:type="paragraph" w:customStyle="1" w:styleId="116">
    <w:name w:val="标题二A"/>
    <w:basedOn w:val="1"/>
    <w:qFormat/>
    <w:uiPriority w:val="0"/>
    <w:pPr>
      <w:spacing w:before="120" w:after="120" w:line="500" w:lineRule="exact"/>
      <w:ind w:firstLine="0" w:firstLineChars="0"/>
      <w:outlineLvl w:val="1"/>
    </w:pPr>
    <w:rPr>
      <w:rFonts w:cs="楷体_GB2312"/>
      <w:b/>
      <w:bCs/>
      <w:kern w:val="2"/>
      <w:sz w:val="30"/>
      <w:szCs w:val="30"/>
    </w:rPr>
  </w:style>
  <w:style w:type="paragraph" w:customStyle="1" w:styleId="117">
    <w:name w:val="表格"/>
    <w:basedOn w:val="29"/>
    <w:next w:val="1"/>
    <w:link w:val="178"/>
    <w:qFormat/>
    <w:uiPriority w:val="0"/>
    <w:pPr>
      <w:spacing w:beforeLines="50" w:afterLines="50" w:line="360" w:lineRule="auto"/>
      <w:ind w:firstLine="480" w:firstLineChars="200"/>
      <w:jc w:val="center"/>
    </w:pPr>
    <w:rPr>
      <w:rFonts w:ascii="Arial" w:hAnsi="Arial" w:cs="Arial"/>
      <w:szCs w:val="21"/>
    </w:rPr>
  </w:style>
  <w:style w:type="paragraph" w:customStyle="1" w:styleId="118">
    <w:name w:val="表格标题"/>
    <w:basedOn w:val="1"/>
    <w:next w:val="12"/>
    <w:link w:val="180"/>
    <w:qFormat/>
    <w:uiPriority w:val="0"/>
    <w:pPr>
      <w:autoSpaceDE w:val="0"/>
      <w:autoSpaceDN w:val="0"/>
      <w:adjustRightInd w:val="0"/>
      <w:snapToGrid w:val="0"/>
      <w:spacing w:line="320" w:lineRule="exact"/>
      <w:ind w:firstLine="0" w:firstLineChars="0"/>
      <w:jc w:val="center"/>
      <w:textAlignment w:val="baseline"/>
    </w:pPr>
    <w:rPr>
      <w:sz w:val="21"/>
      <w:szCs w:val="22"/>
    </w:rPr>
  </w:style>
  <w:style w:type="paragraph" w:customStyle="1" w:styleId="119">
    <w:name w:val="表后空格"/>
    <w:basedOn w:val="109"/>
    <w:qFormat/>
    <w:uiPriority w:val="0"/>
    <w:pPr>
      <w:spacing w:line="240" w:lineRule="exact"/>
      <w:ind w:firstLine="480"/>
    </w:pPr>
  </w:style>
  <w:style w:type="paragraph" w:customStyle="1" w:styleId="120">
    <w:name w:val="！正文"/>
    <w:basedOn w:val="1"/>
    <w:qFormat/>
    <w:uiPriority w:val="0"/>
    <w:pPr>
      <w:spacing w:line="500" w:lineRule="exact"/>
      <w:ind w:firstLine="0" w:firstLineChars="0"/>
    </w:pPr>
    <w:rPr>
      <w:rFonts w:eastAsia="Times New Roman"/>
      <w:kern w:val="2"/>
      <w:sz w:val="21"/>
      <w:szCs w:val="24"/>
    </w:rPr>
  </w:style>
  <w:style w:type="paragraph" w:customStyle="1" w:styleId="121">
    <w:name w:val="表头"/>
    <w:basedOn w:val="8"/>
    <w:next w:val="1"/>
    <w:qFormat/>
    <w:uiPriority w:val="0"/>
    <w:pPr>
      <w:spacing w:line="500" w:lineRule="exact"/>
      <w:jc w:val="center"/>
    </w:pPr>
    <w:rPr>
      <w:rFonts w:ascii="楷体_GB2312" w:hAnsi="楷体_GB2312" w:eastAsia="楷体_GB2312" w:cs="楷体_GB2312"/>
      <w:b/>
      <w:sz w:val="24"/>
    </w:rPr>
  </w:style>
  <w:style w:type="paragraph" w:customStyle="1" w:styleId="122">
    <w:name w:val="兴化美联正文样式"/>
    <w:basedOn w:val="1"/>
    <w:qFormat/>
    <w:uiPriority w:val="0"/>
    <w:pPr>
      <w:widowControl/>
      <w:spacing w:line="560" w:lineRule="exact"/>
      <w:ind w:firstLine="480"/>
      <w:jc w:val="left"/>
    </w:pPr>
    <w:rPr>
      <w:rFonts w:ascii="宋体" w:hAnsi="宋体" w:cs="宋体"/>
      <w:color w:val="000000"/>
      <w:szCs w:val="24"/>
    </w:rPr>
  </w:style>
  <w:style w:type="paragraph" w:customStyle="1" w:styleId="123">
    <w:name w:val="表格文字样式14"/>
    <w:basedOn w:val="118"/>
    <w:qFormat/>
    <w:uiPriority w:val="0"/>
    <w:pPr>
      <w:overflowPunct w:val="0"/>
      <w:autoSpaceDE/>
      <w:autoSpaceDN/>
      <w:spacing w:line="240" w:lineRule="auto"/>
      <w:textAlignment w:val="auto"/>
    </w:pPr>
    <w:rPr>
      <w:rFonts w:ascii="宋体" w:hAnsi="宋体"/>
      <w:bCs/>
      <w:snapToGrid w:val="0"/>
      <w:szCs w:val="21"/>
    </w:rPr>
  </w:style>
  <w:style w:type="paragraph" w:customStyle="1" w:styleId="124">
    <w:name w:val="正文-ls"/>
    <w:basedOn w:val="1"/>
    <w:qFormat/>
    <w:uiPriority w:val="0"/>
    <w:rPr>
      <w:rFonts w:hAnsi="宋体" w:cs="宋体"/>
      <w:kern w:val="2"/>
    </w:rPr>
  </w:style>
  <w:style w:type="paragraph" w:customStyle="1" w:styleId="125">
    <w:name w:val="缩进"/>
    <w:basedOn w:val="1"/>
    <w:qFormat/>
    <w:uiPriority w:val="0"/>
    <w:rPr>
      <w:kern w:val="2"/>
      <w:szCs w:val="24"/>
    </w:rPr>
  </w:style>
  <w:style w:type="paragraph" w:customStyle="1" w:styleId="126">
    <w:name w:val="表内字"/>
    <w:basedOn w:val="1"/>
    <w:qFormat/>
    <w:uiPriority w:val="0"/>
    <w:pPr>
      <w:spacing w:line="320" w:lineRule="exact"/>
      <w:ind w:firstLine="0" w:firstLineChars="0"/>
      <w:jc w:val="center"/>
    </w:pPr>
    <w:rPr>
      <w:sz w:val="21"/>
      <w:szCs w:val="24"/>
    </w:rPr>
  </w:style>
  <w:style w:type="paragraph" w:customStyle="1" w:styleId="127">
    <w:name w:val="Body text|2"/>
    <w:basedOn w:val="1"/>
    <w:qFormat/>
    <w:uiPriority w:val="0"/>
    <w:pPr>
      <w:spacing w:after="80" w:line="394" w:lineRule="exact"/>
      <w:ind w:firstLine="480" w:firstLineChars="0"/>
    </w:pPr>
    <w:rPr>
      <w:rFonts w:eastAsia="Times New Roman"/>
      <w:b/>
      <w:bCs/>
      <w:color w:val="000000"/>
      <w:kern w:val="2"/>
      <w:sz w:val="19"/>
      <w:szCs w:val="19"/>
    </w:rPr>
  </w:style>
  <w:style w:type="paragraph" w:customStyle="1" w:styleId="128">
    <w:name w:val="标题四"/>
    <w:next w:val="120"/>
    <w:qFormat/>
    <w:uiPriority w:val="0"/>
    <w:pPr>
      <w:numPr>
        <w:ilvl w:val="3"/>
        <w:numId w:val="1"/>
      </w:numPr>
      <w:spacing w:line="360" w:lineRule="auto"/>
      <w:jc w:val="both"/>
      <w:outlineLvl w:val="3"/>
    </w:pPr>
    <w:rPr>
      <w:rFonts w:ascii="宋体" w:hAnsi="Calibri" w:eastAsia="宋体" w:cs="宋体"/>
      <w:b/>
      <w:kern w:val="2"/>
      <w:sz w:val="24"/>
      <w:szCs w:val="24"/>
      <w:lang w:val="en-US" w:eastAsia="zh-CN" w:bidi="ar-SA"/>
    </w:rPr>
  </w:style>
  <w:style w:type="paragraph" w:customStyle="1" w:styleId="129">
    <w:name w:val="样式 正文首行缩进 + 首行缩进:  2 字符1"/>
    <w:basedOn w:val="37"/>
    <w:qFormat/>
    <w:uiPriority w:val="0"/>
    <w:pPr>
      <w:spacing w:after="0" w:line="360" w:lineRule="auto"/>
      <w:ind w:firstLine="480" w:firstLineChars="200"/>
    </w:pPr>
    <w:rPr>
      <w:sz w:val="24"/>
    </w:rPr>
  </w:style>
  <w:style w:type="paragraph" w:customStyle="1" w:styleId="130">
    <w:name w:val="农贸市场表格表头"/>
    <w:basedOn w:val="1"/>
    <w:qFormat/>
    <w:uiPriority w:val="0"/>
    <w:pPr>
      <w:spacing w:line="240" w:lineRule="auto"/>
      <w:ind w:firstLine="0" w:firstLineChars="0"/>
      <w:jc w:val="center"/>
    </w:pPr>
    <w:rPr>
      <w:rFonts w:ascii="宋体" w:hAnsi="宋体" w:cs="仿宋_GB2312"/>
      <w:b/>
      <w:sz w:val="21"/>
      <w:szCs w:val="21"/>
    </w:rPr>
  </w:style>
  <w:style w:type="paragraph" w:customStyle="1" w:styleId="131">
    <w:name w:val="表格文字"/>
    <w:basedOn w:val="12"/>
    <w:next w:val="1"/>
    <w:qFormat/>
    <w:uiPriority w:val="0"/>
    <w:pPr>
      <w:widowControl w:val="0"/>
      <w:tabs>
        <w:tab w:val="left" w:pos="1119"/>
      </w:tabs>
      <w:spacing w:after="0"/>
      <w:ind w:left="-90" w:leftChars="-43"/>
    </w:pPr>
    <w:rPr>
      <w:snapToGrid w:val="0"/>
      <w:color w:val="000000"/>
      <w:sz w:val="18"/>
      <w:szCs w:val="18"/>
      <w:lang w:eastAsia="zh-CN" w:bidi="ar-SA"/>
    </w:rPr>
  </w:style>
  <w:style w:type="paragraph" w:customStyle="1" w:styleId="132">
    <w:name w:val="表头标题格式"/>
    <w:basedOn w:val="1"/>
    <w:qFormat/>
    <w:uiPriority w:val="0"/>
    <w:pPr>
      <w:tabs>
        <w:tab w:val="left" w:pos="360"/>
        <w:tab w:val="left" w:pos="1620"/>
      </w:tabs>
      <w:ind w:firstLine="0" w:firstLineChars="0"/>
      <w:jc w:val="center"/>
    </w:pPr>
    <w:rPr>
      <w:rFonts w:ascii="黑体" w:hAnsi="宋体" w:eastAsia="黑体" w:cs="宋体"/>
      <w:b/>
      <w:bCs/>
      <w:kern w:val="2"/>
    </w:rPr>
  </w:style>
  <w:style w:type="paragraph" w:customStyle="1" w:styleId="133">
    <w:name w:val="样式 表格标题 + 段前: 0.5 行2"/>
    <w:basedOn w:val="1"/>
    <w:qFormat/>
    <w:uiPriority w:val="0"/>
    <w:pPr>
      <w:autoSpaceDE w:val="0"/>
      <w:autoSpaceDN w:val="0"/>
      <w:adjustRightInd w:val="0"/>
      <w:spacing w:beforeLines="50" w:line="400" w:lineRule="exact"/>
      <w:ind w:firstLine="0" w:firstLineChars="0"/>
      <w:jc w:val="center"/>
    </w:pPr>
    <w:rPr>
      <w:rFonts w:ascii="宋体" w:eastAsia="黑体" w:cs="宋体"/>
      <w:kern w:val="2"/>
      <w:lang w:val="zh-CN"/>
    </w:rPr>
  </w:style>
  <w:style w:type="paragraph" w:customStyle="1" w:styleId="134">
    <w:name w:val="样式 正文缩进正文缩进2正文缩进 Char Char正文缩进 Char Char Char Char正文缩进 Char ..."/>
    <w:basedOn w:val="8"/>
    <w:qFormat/>
    <w:uiPriority w:val="0"/>
    <w:pPr>
      <w:spacing w:line="360" w:lineRule="auto"/>
      <w:ind w:firstLine="200"/>
    </w:pPr>
    <w:rPr>
      <w:rFonts w:cs="宋体"/>
      <w:sz w:val="24"/>
    </w:rPr>
  </w:style>
  <w:style w:type="paragraph" w:styleId="135">
    <w:name w:val="List Paragraph"/>
    <w:basedOn w:val="1"/>
    <w:next w:val="20"/>
    <w:qFormat/>
    <w:uiPriority w:val="99"/>
    <w:pPr>
      <w:spacing w:line="320" w:lineRule="exact"/>
      <w:ind w:firstLine="0" w:firstLineChars="0"/>
    </w:pPr>
    <w:rPr>
      <w:kern w:val="2"/>
      <w:sz w:val="21"/>
    </w:rPr>
  </w:style>
  <w:style w:type="paragraph" w:customStyle="1" w:styleId="136">
    <w:name w:val="表文字"/>
    <w:basedOn w:val="1"/>
    <w:qFormat/>
    <w:uiPriority w:val="0"/>
    <w:pPr>
      <w:overflowPunct w:val="0"/>
      <w:autoSpaceDE w:val="0"/>
      <w:autoSpaceDN w:val="0"/>
      <w:adjustRightInd w:val="0"/>
      <w:spacing w:line="240" w:lineRule="atLeast"/>
      <w:ind w:firstLine="0" w:firstLineChars="0"/>
      <w:jc w:val="center"/>
      <w:textAlignment w:val="baseline"/>
    </w:pPr>
    <w:rPr>
      <w:szCs w:val="22"/>
    </w:rPr>
  </w:style>
  <w:style w:type="paragraph" w:customStyle="1" w:styleId="137">
    <w:name w:val="正文部分"/>
    <w:semiHidden/>
    <w:qFormat/>
    <w:uiPriority w:val="0"/>
    <w:pPr>
      <w:widowControl w:val="0"/>
      <w:ind w:firstLine="200" w:firstLineChars="200"/>
      <w:jc w:val="both"/>
    </w:pPr>
    <w:rPr>
      <w:rFonts w:ascii="宋体" w:hAnsi="宋体" w:eastAsia="宋体" w:cs="Times New Roman"/>
      <w:sz w:val="24"/>
      <w:szCs w:val="24"/>
      <w:lang w:val="en-US" w:eastAsia="zh-CN" w:bidi="ar-SA"/>
    </w:rPr>
  </w:style>
  <w:style w:type="paragraph" w:customStyle="1" w:styleId="138">
    <w:name w:val="标题一A"/>
    <w:basedOn w:val="1"/>
    <w:qFormat/>
    <w:uiPriority w:val="0"/>
    <w:pPr>
      <w:widowControl/>
      <w:spacing w:line="480" w:lineRule="auto"/>
      <w:ind w:firstLine="0" w:firstLineChars="0"/>
      <w:jc w:val="center"/>
      <w:outlineLvl w:val="0"/>
    </w:pPr>
    <w:rPr>
      <w:b/>
      <w:kern w:val="2"/>
      <w:sz w:val="32"/>
      <w:szCs w:val="32"/>
    </w:rPr>
  </w:style>
  <w:style w:type="paragraph" w:customStyle="1" w:styleId="139">
    <w:name w:val="表头A"/>
    <w:basedOn w:val="121"/>
    <w:qFormat/>
    <w:uiPriority w:val="0"/>
    <w:pPr>
      <w:spacing w:line="400" w:lineRule="exact"/>
    </w:pPr>
    <w:rPr>
      <w:rFonts w:ascii="Times New Roman" w:hAnsi="Times New Roman" w:eastAsia="宋体" w:cs="Times New Roman"/>
    </w:rPr>
  </w:style>
  <w:style w:type="paragraph" w:customStyle="1" w:styleId="140">
    <w:name w:val="二级标题"/>
    <w:basedOn w:val="20"/>
    <w:qFormat/>
    <w:uiPriority w:val="0"/>
    <w:pPr>
      <w:spacing w:before="100" w:beforeAutospacing="1" w:after="100" w:afterAutospacing="1"/>
      <w:outlineLvl w:val="1"/>
    </w:pPr>
    <w:rPr>
      <w:b/>
      <w:snapToGrid w:val="0"/>
      <w:szCs w:val="28"/>
    </w:rPr>
  </w:style>
  <w:style w:type="paragraph" w:customStyle="1" w:styleId="141">
    <w:name w:val="6-表中文字"/>
    <w:basedOn w:val="1"/>
    <w:qFormat/>
    <w:uiPriority w:val="0"/>
    <w:pPr>
      <w:adjustRightInd w:val="0"/>
      <w:snapToGrid w:val="0"/>
      <w:spacing w:line="240" w:lineRule="auto"/>
      <w:ind w:firstLine="0" w:firstLineChars="0"/>
      <w:jc w:val="center"/>
      <w:textAlignment w:val="center"/>
    </w:pPr>
    <w:rPr>
      <w:rFonts w:eastAsia="华文中宋"/>
      <w:sz w:val="21"/>
      <w:szCs w:val="21"/>
    </w:rPr>
  </w:style>
  <w:style w:type="paragraph" w:customStyle="1" w:styleId="142">
    <w:name w:val="表格标题 五号"/>
    <w:basedOn w:val="133"/>
    <w:qFormat/>
    <w:uiPriority w:val="0"/>
    <w:pPr>
      <w:spacing w:beforeLines="0" w:after="120"/>
    </w:pPr>
    <w:rPr>
      <w:rFonts w:eastAsia="宋体"/>
      <w:b/>
      <w:snapToGrid w:val="0"/>
      <w:sz w:val="21"/>
    </w:rPr>
  </w:style>
  <w:style w:type="paragraph" w:customStyle="1" w:styleId="143">
    <w:name w:val="Body text|221"/>
    <w:basedOn w:val="1"/>
    <w:qFormat/>
    <w:uiPriority w:val="0"/>
    <w:pPr>
      <w:shd w:val="clear" w:color="auto" w:fill="FFFFFF"/>
      <w:spacing w:before="240" w:line="451" w:lineRule="exact"/>
      <w:ind w:hanging="620" w:firstLineChars="0"/>
      <w:jc w:val="distribute"/>
    </w:pPr>
    <w:rPr>
      <w:rFonts w:ascii="PMingLiU" w:hAnsi="PMingLiU" w:eastAsia="PMingLiU" w:cs="PMingLiU"/>
      <w:spacing w:val="10"/>
      <w:kern w:val="2"/>
      <w:sz w:val="22"/>
      <w:szCs w:val="22"/>
    </w:rPr>
  </w:style>
  <w:style w:type="paragraph" w:customStyle="1" w:styleId="144">
    <w:name w:val="正文邓"/>
    <w:basedOn w:val="145"/>
    <w:qFormat/>
    <w:uiPriority w:val="0"/>
    <w:pPr>
      <w:adjustRightInd w:val="0"/>
      <w:ind w:firstLine="600" w:firstLineChars="250"/>
    </w:pPr>
    <w:rPr>
      <w:rFonts w:ascii="仿宋" w:hAnsi="仿宋" w:eastAsia="仿宋"/>
      <w:bCs/>
      <w:kern w:val="0"/>
    </w:rPr>
  </w:style>
  <w:style w:type="paragraph" w:customStyle="1" w:styleId="145">
    <w:name w:val="邓正文"/>
    <w:basedOn w:val="1"/>
    <w:qFormat/>
    <w:uiPriority w:val="0"/>
    <w:pPr>
      <w:snapToGrid w:val="0"/>
      <w:ind w:firstLine="360" w:firstLineChars="150"/>
      <w:jc w:val="left"/>
    </w:pPr>
    <w:rPr>
      <w:rFonts w:ascii="宋体" w:hAnsi="宋体" w:eastAsia="仿宋_GB2312"/>
      <w:color w:val="000000"/>
      <w:kern w:val="2"/>
      <w:szCs w:val="24"/>
    </w:rPr>
  </w:style>
  <w:style w:type="paragraph" w:customStyle="1" w:styleId="146">
    <w:name w:val="邓表格文字"/>
    <w:basedOn w:val="147"/>
    <w:qFormat/>
    <w:uiPriority w:val="0"/>
    <w:pPr>
      <w:spacing w:line="220" w:lineRule="exact"/>
    </w:pPr>
    <w:rPr>
      <w:rFonts w:eastAsia="宋体"/>
      <w:kern w:val="0"/>
      <w:sz w:val="15"/>
      <w:szCs w:val="15"/>
    </w:rPr>
  </w:style>
  <w:style w:type="paragraph" w:customStyle="1" w:styleId="147">
    <w:name w:val="表格文字邓"/>
    <w:basedOn w:val="1"/>
    <w:qFormat/>
    <w:uiPriority w:val="0"/>
    <w:pPr>
      <w:widowControl/>
      <w:snapToGrid w:val="0"/>
      <w:spacing w:line="200" w:lineRule="exact"/>
      <w:ind w:firstLine="0" w:firstLineChars="0"/>
      <w:jc w:val="center"/>
    </w:pPr>
    <w:rPr>
      <w:rFonts w:ascii="宋体" w:hAnsi="宋体" w:eastAsia="华文中宋"/>
      <w:color w:val="000000"/>
      <w:kern w:val="2"/>
      <w:sz w:val="18"/>
      <w:szCs w:val="18"/>
    </w:rPr>
  </w:style>
  <w:style w:type="paragraph" w:customStyle="1" w:styleId="148">
    <w:name w:val="付正文"/>
    <w:basedOn w:val="1"/>
    <w:semiHidden/>
    <w:qFormat/>
    <w:uiPriority w:val="0"/>
    <w:rPr>
      <w:rFonts w:ascii="宋体"/>
      <w:color w:val="000000"/>
      <w:kern w:val="2"/>
      <w:szCs w:val="21"/>
    </w:rPr>
  </w:style>
  <w:style w:type="paragraph" w:customStyle="1" w:styleId="149">
    <w:name w:val="我"/>
    <w:basedOn w:val="1"/>
    <w:qFormat/>
    <w:uiPriority w:val="0"/>
    <w:pPr>
      <w:spacing w:line="320" w:lineRule="exact"/>
      <w:ind w:firstLine="640" w:firstLineChars="0"/>
    </w:pPr>
    <w:rPr>
      <w:sz w:val="21"/>
    </w:rPr>
  </w:style>
  <w:style w:type="paragraph" w:customStyle="1" w:styleId="150">
    <w:name w:val="正文小四首缩1.3行距"/>
    <w:basedOn w:val="1"/>
    <w:qFormat/>
    <w:uiPriority w:val="0"/>
    <w:rPr>
      <w:rFonts w:ascii="宋体" w:hAnsi="宋体" w:cs="宋体"/>
      <w:kern w:val="2"/>
      <w:szCs w:val="22"/>
    </w:rPr>
  </w:style>
  <w:style w:type="paragraph" w:customStyle="1" w:styleId="151">
    <w:name w:val="表格内容"/>
    <w:basedOn w:val="8"/>
    <w:qFormat/>
    <w:uiPriority w:val="0"/>
    <w:pPr>
      <w:ind w:firstLine="0"/>
      <w:jc w:val="center"/>
    </w:pPr>
    <w:rPr>
      <w:sz w:val="18"/>
      <w:szCs w:val="20"/>
    </w:rPr>
  </w:style>
  <w:style w:type="paragraph" w:customStyle="1" w:styleId="152">
    <w:name w:val="样式 样式 报告正文 + 宋体 五号 黑色 + 五号"/>
    <w:basedOn w:val="1"/>
    <w:link w:val="157"/>
    <w:qFormat/>
    <w:uiPriority w:val="0"/>
    <w:pPr>
      <w:adjustRightInd w:val="0"/>
      <w:snapToGrid w:val="0"/>
      <w:spacing w:line="500" w:lineRule="exact"/>
    </w:pPr>
    <w:rPr>
      <w:b/>
      <w:bCs/>
      <w:color w:val="000000"/>
      <w:kern w:val="2"/>
      <w:sz w:val="21"/>
      <w:szCs w:val="22"/>
    </w:rPr>
  </w:style>
  <w:style w:type="paragraph" w:customStyle="1" w:styleId="153">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lang w:val="en-US" w:eastAsia="zh-CN" w:bidi="ar-SA"/>
    </w:rPr>
  </w:style>
  <w:style w:type="character" w:customStyle="1" w:styleId="154">
    <w:name w:val="纯文本 字符1"/>
    <w:qFormat/>
    <w:uiPriority w:val="0"/>
    <w:rPr>
      <w:rFonts w:hint="eastAsia" w:ascii="宋体" w:hAnsi="Courier New" w:eastAsia="宋体" w:cs="宋体"/>
      <w:sz w:val="28"/>
    </w:rPr>
  </w:style>
  <w:style w:type="paragraph" w:customStyle="1" w:styleId="155">
    <w:name w:val="样式 标题 1标题 1 Char标1 + 段前: 0.5 行 段后: 0.5 行1"/>
    <w:basedOn w:val="2"/>
    <w:semiHidden/>
    <w:qFormat/>
    <w:uiPriority w:val="0"/>
    <w:pPr>
      <w:keepLines w:val="0"/>
      <w:autoSpaceDE w:val="0"/>
      <w:autoSpaceDN w:val="0"/>
      <w:adjustRightInd w:val="0"/>
      <w:spacing w:beforeLines="50" w:afterLines="50" w:line="240" w:lineRule="auto"/>
      <w:ind w:left="153" w:leftChars="153" w:firstLine="50" w:firstLineChars="50"/>
      <w:textAlignment w:val="bottom"/>
    </w:pPr>
    <w:rPr>
      <w:rFonts w:ascii="黑体" w:hAnsi="Arial" w:eastAsia="黑体" w:cs="宋体"/>
      <w:b w:val="0"/>
      <w:bCs w:val="0"/>
      <w:kern w:val="0"/>
      <w:sz w:val="28"/>
      <w:szCs w:val="20"/>
      <w:lang w:val="zh-CN"/>
    </w:rPr>
  </w:style>
  <w:style w:type="paragraph" w:customStyle="1" w:styleId="156">
    <w:name w:val="xl63"/>
    <w:basedOn w:val="1"/>
    <w:qFormat/>
    <w:uiPriority w:val="0"/>
    <w:pPr>
      <w:widowControl/>
      <w:pBdr>
        <w:top w:val="single" w:color="auto" w:sz="8" w:space="0"/>
      </w:pBdr>
      <w:spacing w:before="100" w:after="100" w:line="240" w:lineRule="auto"/>
      <w:ind w:firstLine="0" w:firstLineChars="0"/>
      <w:jc w:val="center"/>
      <w:textAlignment w:val="top"/>
    </w:pPr>
    <w:rPr>
      <w:rFonts w:ascii="宋体"/>
    </w:rPr>
  </w:style>
  <w:style w:type="character" w:customStyle="1" w:styleId="157">
    <w:name w:val="样式 样式 报告正文 + 宋体 五号 黑色 + 五号 Char"/>
    <w:link w:val="152"/>
    <w:qFormat/>
    <w:uiPriority w:val="0"/>
    <w:rPr>
      <w:b/>
      <w:bCs/>
      <w:color w:val="000000"/>
      <w:szCs w:val="22"/>
    </w:rPr>
  </w:style>
  <w:style w:type="paragraph" w:customStyle="1" w:styleId="158">
    <w:name w:val="样式 (西文) Times New Roman (中文) 黑体 居中 行距: 1.5 倍行距"/>
    <w:basedOn w:val="1"/>
    <w:qFormat/>
    <w:uiPriority w:val="0"/>
    <w:pPr>
      <w:ind w:firstLine="0" w:firstLineChars="0"/>
      <w:jc w:val="center"/>
    </w:pPr>
    <w:rPr>
      <w:rFonts w:eastAsia="黑体" w:cs="宋体"/>
    </w:rPr>
  </w:style>
  <w:style w:type="paragraph" w:customStyle="1" w:styleId="159">
    <w:name w:val="样式 标题 3 + 黑体 小四 行距: 多倍行距 3 字行"/>
    <w:basedOn w:val="4"/>
    <w:qFormat/>
    <w:uiPriority w:val="0"/>
    <w:pPr>
      <w:keepLines w:val="0"/>
      <w:tabs>
        <w:tab w:val="left" w:pos="3600"/>
      </w:tabs>
      <w:spacing w:before="0" w:after="0" w:line="720" w:lineRule="auto"/>
      <w:textAlignment w:val="center"/>
    </w:pPr>
    <w:rPr>
      <w:rFonts w:ascii="黑体" w:hAnsi="宋体" w:eastAsia="黑体" w:cs="宋体"/>
      <w:b w:val="0"/>
      <w:bCs w:val="0"/>
      <w:sz w:val="24"/>
      <w:szCs w:val="20"/>
    </w:rPr>
  </w:style>
  <w:style w:type="paragraph" w:customStyle="1" w:styleId="160">
    <w:name w:val="样式 标题 4 + (西文) Times New Roman 行距: 固定值 25 磅"/>
    <w:basedOn w:val="5"/>
    <w:qFormat/>
    <w:uiPriority w:val="0"/>
    <w:pPr>
      <w:keepNext w:val="0"/>
      <w:tabs>
        <w:tab w:val="left" w:pos="851"/>
      </w:tabs>
      <w:spacing w:before="0" w:after="0"/>
      <w:ind w:left="851" w:hanging="851" w:firstLineChars="0"/>
    </w:pPr>
    <w:rPr>
      <w:rFonts w:eastAsia="黑体" w:cs="宋体"/>
      <w:b w:val="0"/>
      <w:bCs w:val="0"/>
      <w:snapToGrid w:val="0"/>
      <w:szCs w:val="24"/>
    </w:rPr>
  </w:style>
  <w:style w:type="paragraph" w:customStyle="1" w:styleId="161">
    <w:name w:val="列出段落1"/>
    <w:basedOn w:val="1"/>
    <w:qFormat/>
    <w:uiPriority w:val="99"/>
    <w:pPr>
      <w:spacing w:line="240" w:lineRule="auto"/>
      <w:ind w:firstLine="420"/>
    </w:pPr>
    <w:rPr>
      <w:rFonts w:ascii="Calibri" w:hAnsi="Calibri"/>
      <w:sz w:val="28"/>
      <w:szCs w:val="22"/>
    </w:rPr>
  </w:style>
  <w:style w:type="character" w:customStyle="1" w:styleId="162">
    <w:name w:val="0-正文 Char"/>
    <w:link w:val="163"/>
    <w:qFormat/>
    <w:uiPriority w:val="0"/>
    <w:rPr>
      <w:sz w:val="24"/>
    </w:rPr>
  </w:style>
  <w:style w:type="paragraph" w:customStyle="1" w:styleId="163">
    <w:name w:val="0-正文"/>
    <w:link w:val="162"/>
    <w:qFormat/>
    <w:uiPriority w:val="0"/>
    <w:pPr>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character" w:customStyle="1" w:styleId="164">
    <w:name w:val="题注 字符"/>
    <w:link w:val="10"/>
    <w:qFormat/>
    <w:uiPriority w:val="35"/>
    <w:rPr>
      <w:rFonts w:cstheme="majorBidi"/>
      <w:b/>
      <w:sz w:val="21"/>
    </w:rPr>
  </w:style>
  <w:style w:type="character" w:customStyle="1" w:styleId="165">
    <w:name w:val="HTML 预设格式 字符1"/>
    <w:link w:val="35"/>
    <w:qFormat/>
    <w:uiPriority w:val="0"/>
    <w:rPr>
      <w:rFonts w:ascii="Arial" w:hAnsi="Arial" w:cs="Arial"/>
      <w:sz w:val="24"/>
      <w:szCs w:val="24"/>
    </w:rPr>
  </w:style>
  <w:style w:type="character" w:customStyle="1" w:styleId="166">
    <w:name w:val="HTML 预设格式 字符"/>
    <w:basedOn w:val="41"/>
    <w:semiHidden/>
    <w:qFormat/>
    <w:uiPriority w:val="99"/>
    <w:rPr>
      <w:rFonts w:ascii="Courier New" w:hAnsi="Courier New" w:cs="Courier New"/>
    </w:rPr>
  </w:style>
  <w:style w:type="character" w:customStyle="1" w:styleId="167">
    <w:name w:val="正文1 Char1"/>
    <w:link w:val="49"/>
    <w:qFormat/>
    <w:uiPriority w:val="0"/>
    <w:rPr>
      <w:rFonts w:ascii="宋体" w:eastAsia="Times New Roman"/>
      <w:sz w:val="24"/>
    </w:rPr>
  </w:style>
  <w:style w:type="character" w:customStyle="1" w:styleId="168">
    <w:name w:val="⑤-图表标题 Char"/>
    <w:link w:val="169"/>
    <w:qFormat/>
    <w:uiPriority w:val="0"/>
    <w:rPr>
      <w:rFonts w:cs="Chicago"/>
      <w:b/>
      <w:sz w:val="24"/>
      <w:szCs w:val="21"/>
      <w:lang w:val="zh-CN"/>
    </w:rPr>
  </w:style>
  <w:style w:type="paragraph" w:customStyle="1" w:styleId="169">
    <w:name w:val="⑤-图表标题"/>
    <w:basedOn w:val="1"/>
    <w:link w:val="168"/>
    <w:qFormat/>
    <w:uiPriority w:val="0"/>
    <w:pPr>
      <w:widowControl/>
      <w:tabs>
        <w:tab w:val="left" w:pos="903"/>
      </w:tabs>
      <w:ind w:firstLine="0" w:firstLineChars="0"/>
      <w:jc w:val="center"/>
      <w:outlineLvl w:val="1"/>
    </w:pPr>
    <w:rPr>
      <w:rFonts w:cs="Chicago"/>
      <w:b/>
      <w:szCs w:val="21"/>
      <w:lang w:val="zh-CN"/>
    </w:rPr>
  </w:style>
  <w:style w:type="paragraph" w:customStyle="1" w:styleId="170">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376092" w:themeColor="accent1" w:themeShade="BF"/>
      <w:kern w:val="0"/>
      <w:szCs w:val="32"/>
    </w:rPr>
  </w:style>
  <w:style w:type="character" w:customStyle="1" w:styleId="171">
    <w:name w:val="Unresolved Mention"/>
    <w:basedOn w:val="41"/>
    <w:semiHidden/>
    <w:unhideWhenUsed/>
    <w:qFormat/>
    <w:uiPriority w:val="99"/>
    <w:rPr>
      <w:color w:val="605E5C"/>
      <w:shd w:val="clear" w:color="auto" w:fill="E1DFDD"/>
    </w:rPr>
  </w:style>
  <w:style w:type="paragraph" w:customStyle="1" w:styleId="172">
    <w:name w:val="⑥-表文"/>
    <w:basedOn w:val="1"/>
    <w:link w:val="173"/>
    <w:qFormat/>
    <w:uiPriority w:val="0"/>
    <w:pPr>
      <w:spacing w:line="240" w:lineRule="auto"/>
      <w:ind w:firstLine="0" w:firstLineChars="0"/>
      <w:jc w:val="center"/>
    </w:pPr>
    <w:rPr>
      <w:kern w:val="2"/>
      <w:sz w:val="21"/>
      <w:lang w:val="zh-CN"/>
    </w:rPr>
  </w:style>
  <w:style w:type="character" w:customStyle="1" w:styleId="173">
    <w:name w:val="⑥-表文 Char"/>
    <w:link w:val="172"/>
    <w:qFormat/>
    <w:uiPriority w:val="0"/>
    <w:rPr>
      <w:kern w:val="2"/>
      <w:sz w:val="21"/>
      <w:lang w:val="zh-CN"/>
    </w:rPr>
  </w:style>
  <w:style w:type="character" w:customStyle="1" w:styleId="174">
    <w:name w:val="正文文本_"/>
    <w:basedOn w:val="41"/>
    <w:link w:val="175"/>
    <w:qFormat/>
    <w:uiPriority w:val="0"/>
    <w:rPr>
      <w:rFonts w:ascii="宋体" w:hAnsi="宋体" w:cs="宋体"/>
      <w:sz w:val="22"/>
      <w:szCs w:val="22"/>
    </w:rPr>
  </w:style>
  <w:style w:type="paragraph" w:customStyle="1" w:styleId="175">
    <w:name w:val="正文文本1"/>
    <w:basedOn w:val="1"/>
    <w:link w:val="174"/>
    <w:qFormat/>
    <w:uiPriority w:val="0"/>
    <w:pPr>
      <w:spacing w:line="427" w:lineRule="auto"/>
      <w:ind w:firstLine="400" w:firstLineChars="0"/>
      <w:jc w:val="left"/>
    </w:pPr>
    <w:rPr>
      <w:rFonts w:ascii="宋体" w:hAnsi="宋体" w:cs="宋体"/>
      <w:sz w:val="22"/>
      <w:szCs w:val="22"/>
    </w:rPr>
  </w:style>
  <w:style w:type="character" w:customStyle="1" w:styleId="176">
    <w:name w:val="页眉或页脚_"/>
    <w:basedOn w:val="41"/>
    <w:link w:val="177"/>
    <w:qFormat/>
    <w:uiPriority w:val="0"/>
    <w:rPr>
      <w:rFonts w:ascii="宋体" w:hAnsi="宋体" w:cs="宋体"/>
      <w:sz w:val="18"/>
      <w:szCs w:val="18"/>
    </w:rPr>
  </w:style>
  <w:style w:type="paragraph" w:customStyle="1" w:styleId="177">
    <w:name w:val="页眉或页脚"/>
    <w:basedOn w:val="1"/>
    <w:link w:val="176"/>
    <w:qFormat/>
    <w:uiPriority w:val="0"/>
    <w:pPr>
      <w:spacing w:line="240" w:lineRule="auto"/>
      <w:ind w:firstLine="0" w:firstLineChars="0"/>
      <w:jc w:val="left"/>
    </w:pPr>
    <w:rPr>
      <w:rFonts w:ascii="宋体" w:hAnsi="宋体" w:cs="宋体"/>
      <w:sz w:val="18"/>
      <w:szCs w:val="18"/>
    </w:rPr>
  </w:style>
  <w:style w:type="character" w:customStyle="1" w:styleId="178">
    <w:name w:val="表格 Char"/>
    <w:link w:val="117"/>
    <w:qFormat/>
    <w:uiPriority w:val="0"/>
    <w:rPr>
      <w:rFonts w:ascii="Arial" w:hAnsi="Arial" w:cs="Arial"/>
      <w:kern w:val="2"/>
      <w:sz w:val="21"/>
      <w:szCs w:val="21"/>
    </w:rPr>
  </w:style>
  <w:style w:type="character" w:customStyle="1" w:styleId="179">
    <w:name w:val="正文A Char"/>
    <w:link w:val="59"/>
    <w:qFormat/>
    <w:uiPriority w:val="0"/>
    <w:rPr>
      <w:rFonts w:ascii="华文仿宋" w:hAnsi="华文仿宋" w:eastAsia="华文仿宋" w:cs="华文仿宋"/>
      <w:kern w:val="2"/>
      <w:sz w:val="24"/>
      <w:szCs w:val="24"/>
    </w:rPr>
  </w:style>
  <w:style w:type="character" w:customStyle="1" w:styleId="180">
    <w:name w:val="表格标题_"/>
    <w:basedOn w:val="41"/>
    <w:link w:val="118"/>
    <w:qFormat/>
    <w:uiPriority w:val="0"/>
    <w:rPr>
      <w:sz w:val="21"/>
      <w:szCs w:val="22"/>
    </w:rPr>
  </w:style>
  <w:style w:type="character" w:customStyle="1" w:styleId="181">
    <w:name w:val="其他_"/>
    <w:basedOn w:val="41"/>
    <w:link w:val="182"/>
    <w:qFormat/>
    <w:uiPriority w:val="0"/>
    <w:rPr>
      <w:rFonts w:ascii="宋体" w:hAnsi="宋体" w:cs="宋体"/>
    </w:rPr>
  </w:style>
  <w:style w:type="paragraph" w:customStyle="1" w:styleId="182">
    <w:name w:val="其他"/>
    <w:basedOn w:val="1"/>
    <w:link w:val="181"/>
    <w:qFormat/>
    <w:uiPriority w:val="0"/>
    <w:pPr>
      <w:spacing w:line="269" w:lineRule="exact"/>
      <w:ind w:firstLine="0" w:firstLineChars="0"/>
      <w:jc w:val="left"/>
    </w:pPr>
    <w:rPr>
      <w:rFonts w:ascii="宋体" w:hAnsi="宋体" w:cs="宋体"/>
      <w:sz w:val="20"/>
    </w:rPr>
  </w:style>
  <w:style w:type="table" w:customStyle="1" w:styleId="183">
    <w:name w:val="Table Normal"/>
    <w:semiHidden/>
    <w:unhideWhenUsed/>
    <w:qFormat/>
    <w:uiPriority w:val="0"/>
    <w:tblPr>
      <w:tblCellMar>
        <w:top w:w="0" w:type="dxa"/>
        <w:left w:w="0" w:type="dxa"/>
        <w:bottom w:w="0" w:type="dxa"/>
        <w:right w:w="0" w:type="dxa"/>
      </w:tblCellMar>
    </w:tblPr>
  </w:style>
  <w:style w:type="paragraph" w:customStyle="1" w:styleId="184">
    <w:name w:val="表格1"/>
    <w:basedOn w:val="1"/>
    <w:autoRedefine/>
    <w:qFormat/>
    <w:uiPriority w:val="0"/>
    <w:pPr>
      <w:adjustRightInd w:val="0"/>
      <w:snapToGrid w:val="0"/>
      <w:jc w:val="center"/>
    </w:pPr>
    <w:rPr>
      <w:rFonts w:ascii="Times New Roman" w:hAnsi="Times New Roman" w:eastAsia="方正仿宋_GBK"/>
      <w:color w:val="000000"/>
      <w:kern w:val="0"/>
      <w:szCs w:val="24"/>
    </w:rPr>
  </w:style>
  <w:style w:type="paragraph" w:customStyle="1" w:styleId="185">
    <w:name w:val="表中字体"/>
    <w:basedOn w:val="8"/>
    <w:autoRedefine/>
    <w:qFormat/>
    <w:uiPriority w:val="0"/>
    <w:pPr>
      <w:tabs>
        <w:tab w:val="left" w:pos="8176"/>
      </w:tabs>
      <w:spacing w:line="280" w:lineRule="exact"/>
      <w:ind w:firstLine="0" w:firstLineChars="0"/>
      <w:jc w:val="center"/>
    </w:pPr>
    <w:rPr>
      <w:rFonts w:ascii="宋体" w:hAnsi="宋体"/>
      <w:kern w:val="0"/>
      <w:sz w:val="20"/>
    </w:rPr>
  </w:style>
  <w:style w:type="paragraph" w:customStyle="1" w:styleId="186">
    <w:name w:val="Table Text"/>
    <w:basedOn w:val="1"/>
    <w:semiHidden/>
    <w:qFormat/>
    <w:uiPriority w:val="0"/>
    <w:rPr>
      <w:rFonts w:ascii="宋体" w:hAnsi="宋体" w:eastAsia="宋体" w:cs="宋体"/>
      <w:sz w:val="24"/>
      <w:szCs w:val="24"/>
      <w:lang w:val="en-US" w:eastAsia="en-US" w:bidi="ar-SA"/>
    </w:rPr>
  </w:style>
  <w:style w:type="character" w:customStyle="1" w:styleId="187">
    <w:name w:val="font61"/>
    <w:qFormat/>
    <w:uiPriority w:val="0"/>
    <w:rPr>
      <w:rFonts w:hint="eastAsia" w:ascii="宋体" w:hAnsi="宋体" w:eastAsia="宋体" w:cs="宋体"/>
      <w:color w:val="000000"/>
      <w:sz w:val="22"/>
      <w:szCs w:val="22"/>
      <w:u w:val="none"/>
    </w:rPr>
  </w:style>
  <w:style w:type="character" w:customStyle="1" w:styleId="188">
    <w:name w:val="font41"/>
    <w:qFormat/>
    <w:uiPriority w:val="0"/>
    <w:rPr>
      <w:rFonts w:hint="eastAsia" w:ascii="宋体" w:hAnsi="宋体" w:eastAsia="宋体" w:cs="宋体"/>
      <w:color w:val="000000"/>
      <w:sz w:val="22"/>
      <w:szCs w:val="22"/>
      <w:u w:val="none"/>
      <w:vertAlign w:val="superscript"/>
    </w:rPr>
  </w:style>
  <w:style w:type="character" w:customStyle="1" w:styleId="189">
    <w:name w:val="font31"/>
    <w:qFormat/>
    <w:uiPriority w:val="0"/>
    <w:rPr>
      <w:rFonts w:hint="eastAsia" w:ascii="宋体" w:hAnsi="宋体" w:eastAsia="宋体" w:cs="宋体"/>
      <w:color w:val="000000"/>
      <w:sz w:val="22"/>
      <w:szCs w:val="22"/>
      <w:u w:val="none"/>
    </w:rPr>
  </w:style>
  <w:style w:type="character" w:customStyle="1" w:styleId="190">
    <w:name w:val="font21"/>
    <w:basedOn w:val="41"/>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5" Type="http://schemas.openxmlformats.org/officeDocument/2006/relationships/fontTable" Target="fontTable.xml"/><Relationship Id="rId84" Type="http://schemas.openxmlformats.org/officeDocument/2006/relationships/customXml" Target="../customXml/item3.xml"/><Relationship Id="rId83" Type="http://schemas.openxmlformats.org/officeDocument/2006/relationships/customXml" Target="../customXml/item2.xml"/><Relationship Id="rId82" Type="http://schemas.openxmlformats.org/officeDocument/2006/relationships/numbering" Target="numbering.xml"/><Relationship Id="rId81" Type="http://schemas.openxmlformats.org/officeDocument/2006/relationships/customXml" Target="../customXml/item1.xml"/><Relationship Id="rId80" Type="http://schemas.openxmlformats.org/officeDocument/2006/relationships/image" Target="media/image40.png"/><Relationship Id="rId8" Type="http://schemas.openxmlformats.org/officeDocument/2006/relationships/footer" Target="footer1.xml"/><Relationship Id="rId79" Type="http://schemas.openxmlformats.org/officeDocument/2006/relationships/image" Target="media/image39.png"/><Relationship Id="rId78" Type="http://schemas.openxmlformats.org/officeDocument/2006/relationships/image" Target="media/image38.png"/><Relationship Id="rId77" Type="http://schemas.openxmlformats.org/officeDocument/2006/relationships/image" Target="media/image37.wmf"/><Relationship Id="rId76" Type="http://schemas.openxmlformats.org/officeDocument/2006/relationships/oleObject" Target="embeddings/oleObject14.bin"/><Relationship Id="rId75" Type="http://schemas.openxmlformats.org/officeDocument/2006/relationships/image" Target="media/image36.png"/><Relationship Id="rId74" Type="http://schemas.openxmlformats.org/officeDocument/2006/relationships/image" Target="media/image35.png"/><Relationship Id="rId73" Type="http://schemas.openxmlformats.org/officeDocument/2006/relationships/image" Target="media/image34.wmf"/><Relationship Id="rId72" Type="http://schemas.openxmlformats.org/officeDocument/2006/relationships/image" Target="media/image33.wmf"/><Relationship Id="rId71" Type="http://schemas.openxmlformats.org/officeDocument/2006/relationships/oleObject" Target="embeddings/oleObject13.bin"/><Relationship Id="rId70" Type="http://schemas.openxmlformats.org/officeDocument/2006/relationships/image" Target="media/image32.wmf"/><Relationship Id="rId7" Type="http://schemas.openxmlformats.org/officeDocument/2006/relationships/header" Target="header3.xml"/><Relationship Id="rId69" Type="http://schemas.openxmlformats.org/officeDocument/2006/relationships/image" Target="media/image31.wmf"/><Relationship Id="rId68" Type="http://schemas.openxmlformats.org/officeDocument/2006/relationships/image" Target="media/image30.wmf"/><Relationship Id="rId67" Type="http://schemas.openxmlformats.org/officeDocument/2006/relationships/image" Target="media/image29.wmf"/><Relationship Id="rId66" Type="http://schemas.openxmlformats.org/officeDocument/2006/relationships/image" Target="media/image28.wmf"/><Relationship Id="rId65" Type="http://schemas.openxmlformats.org/officeDocument/2006/relationships/image" Target="media/image27.wmf"/><Relationship Id="rId64" Type="http://schemas.openxmlformats.org/officeDocument/2006/relationships/image" Target="media/image26.wmf"/><Relationship Id="rId63" Type="http://schemas.openxmlformats.org/officeDocument/2006/relationships/image" Target="media/image25.wmf"/><Relationship Id="rId62" Type="http://schemas.openxmlformats.org/officeDocument/2006/relationships/image" Target="media/image24.wmf"/><Relationship Id="rId61" Type="http://schemas.openxmlformats.org/officeDocument/2006/relationships/image" Target="media/image23.wmf"/><Relationship Id="rId60" Type="http://schemas.openxmlformats.org/officeDocument/2006/relationships/image" Target="media/image22.wmf"/><Relationship Id="rId6" Type="http://schemas.openxmlformats.org/officeDocument/2006/relationships/header" Target="header2.xml"/><Relationship Id="rId59" Type="http://schemas.openxmlformats.org/officeDocument/2006/relationships/image" Target="media/image21.wmf"/><Relationship Id="rId58" Type="http://schemas.openxmlformats.org/officeDocument/2006/relationships/oleObject" Target="embeddings/oleObject12.bin"/><Relationship Id="rId57" Type="http://schemas.openxmlformats.org/officeDocument/2006/relationships/image" Target="media/image20.wmf"/><Relationship Id="rId56" Type="http://schemas.openxmlformats.org/officeDocument/2006/relationships/oleObject" Target="embeddings/oleObject11.bin"/><Relationship Id="rId55" Type="http://schemas.openxmlformats.org/officeDocument/2006/relationships/image" Target="media/image19.wmf"/><Relationship Id="rId54" Type="http://schemas.openxmlformats.org/officeDocument/2006/relationships/oleObject" Target="embeddings/oleObject10.bin"/><Relationship Id="rId53" Type="http://schemas.openxmlformats.org/officeDocument/2006/relationships/image" Target="media/image18.wmf"/><Relationship Id="rId52" Type="http://schemas.openxmlformats.org/officeDocument/2006/relationships/oleObject" Target="embeddings/oleObject9.bin"/><Relationship Id="rId51" Type="http://schemas.openxmlformats.org/officeDocument/2006/relationships/image" Target="media/image17.wmf"/><Relationship Id="rId50" Type="http://schemas.openxmlformats.org/officeDocument/2006/relationships/oleObject" Target="embeddings/oleObject8.bin"/><Relationship Id="rId5" Type="http://schemas.openxmlformats.org/officeDocument/2006/relationships/header" Target="header1.xml"/><Relationship Id="rId49" Type="http://schemas.openxmlformats.org/officeDocument/2006/relationships/image" Target="media/image16.wmf"/><Relationship Id="rId48" Type="http://schemas.openxmlformats.org/officeDocument/2006/relationships/image" Target="media/image15.png"/><Relationship Id="rId47" Type="http://schemas.openxmlformats.org/officeDocument/2006/relationships/image" Target="media/image14.png"/><Relationship Id="rId46" Type="http://schemas.openxmlformats.org/officeDocument/2006/relationships/image" Target="media/image13.png"/><Relationship Id="rId45" Type="http://schemas.openxmlformats.org/officeDocument/2006/relationships/image" Target="media/image12.png"/><Relationship Id="rId44" Type="http://schemas.openxmlformats.org/officeDocument/2006/relationships/image" Target="media/image11.wmf"/><Relationship Id="rId43" Type="http://schemas.openxmlformats.org/officeDocument/2006/relationships/oleObject" Target="embeddings/oleObject7.bin"/><Relationship Id="rId42" Type="http://schemas.openxmlformats.org/officeDocument/2006/relationships/image" Target="media/image10.wmf"/><Relationship Id="rId41" Type="http://schemas.openxmlformats.org/officeDocument/2006/relationships/oleObject" Target="embeddings/oleObject6.bin"/><Relationship Id="rId40" Type="http://schemas.openxmlformats.org/officeDocument/2006/relationships/image" Target="media/image9.wmf"/><Relationship Id="rId4" Type="http://schemas.openxmlformats.org/officeDocument/2006/relationships/endnotes" Target="endnotes.xml"/><Relationship Id="rId39" Type="http://schemas.openxmlformats.org/officeDocument/2006/relationships/oleObject" Target="embeddings/oleObject5.bin"/><Relationship Id="rId38" Type="http://schemas.openxmlformats.org/officeDocument/2006/relationships/image" Target="media/image8.wmf"/><Relationship Id="rId37" Type="http://schemas.openxmlformats.org/officeDocument/2006/relationships/oleObject" Target="embeddings/oleObject4.bin"/><Relationship Id="rId36" Type="http://schemas.openxmlformats.org/officeDocument/2006/relationships/image" Target="media/image7.png"/><Relationship Id="rId35" Type="http://schemas.openxmlformats.org/officeDocument/2006/relationships/image" Target="media/image6.wmf"/><Relationship Id="rId34" Type="http://schemas.openxmlformats.org/officeDocument/2006/relationships/oleObject" Target="embeddings/oleObject3.bin"/><Relationship Id="rId33" Type="http://schemas.openxmlformats.org/officeDocument/2006/relationships/oleObject" Target="embeddings/oleObject2.bin"/><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footnotes" Target="footnotes.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2079"/>
    <customShpInfo spid="_x0000_s2081"/>
    <customShpInfo spid="_x0000_s2080"/>
    <customShpInfo spid="_x0000_s2074"/>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1EQWxNa01sTWpKemFHOTNSM0pwWkNVeU1pVXpRWFJ5ZFdVbE1rTWxNakp5YVdOb1ZHVjRkQ1V5TWlVelFYUnlkV1VsTWtNbE1qSm9aV2xuYUhRbE1qSWxNMEV4TURBd0pUZEVKVEpESlRJeVpXeGxiV1Z1ZEhNbE1qSWxNMEVsTjBJbE1qSkxiWGRpU2s1TFJIcEhNREUyTkRRekpUSXlKVE5CSlRkQ0pUSXlhV1FsTWpJbE0wRWxNakpMYlhkaVNrNUxSSHBITURFMk5EUXp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cDNWbGQ0VmtOSWFuTXdNVE0xTWpVbE1qSWxOMFFsTWtNbE4wSWxNakp1WVcxbEpUSXlKVE5CSlRJeUpVVTFKVGt3SlRoRUpVVTNKVUUzSlVJd0pUSXlKVEpESlRJeWRIbHdaU1V5TWlVelFTVXlNbk4wY21sdVp5VXlNaVV5UXlVeU1uWmhiSFZsSlRJeUpUTkJKVEl5SlRJeUpUSkRKVEl5WTJGMFpXZHZjbmtsTWpJbE0wRWxNakprWldaaGRXeDBKVEl5SlRKREpUSXlhV1FsTWpJbE0wRWxNakoyVEc1QmRrZEtWWGRsT0RreU16RXh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WWxRalFsUWtJbFJUY2xPVFFsUVRnbFJUWWxRakFsUWpReE5EW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ptVnRkVzlGVm1wYVp6Z3pPVFF3TXlVeU1pVXpRU1UzUWlVeU1tbGtKVEl5SlROQkpUSXlabVZ0ZFc5RlZtcGFaemd6T1RRd0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bmJuUnFiWHB6Y0hSSE9ESTNNak0ySlRJeUpUZEVKVEpESlRkQ0pUSXlibUZ0WlNVeU1pVXpRU1V5TWlWRk5TVTVNQ1U0UkNWRk55VkJOeVZDTUNVeU1pVXlReVV5TW5SNWNHVWxNaklsTTBFbE1qSnpkSEpwYm1jbE1qSWxNa01sTWpKMllXeDFaU1V5TWlVelFTVXlNaVV5TWlVeVF5VXlNbU5oZEdWbmIzSjVKVEl5SlROQkpUSXlaR1ZtWVhWc2RDVXlNaVV5UXlVeU1tbGtKVEl5SlROQkpUSXlaRlJNU21sSmFWUlpRVGM1TmpjME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kJRU1U0TmlWRk9TVkJPU1ZDUXlWRk9TVkJOU1ZCUlNWRk55VTVOQ1ZCT0NWRk5pVkNNQ1ZDTkRJNU5qTXVP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VlZZbTlYU0dSbFdra3lPRE0yTlRZbE1qSWxNMEVsTjBJbE1qSnBaQ1V5TWlVelFTVXlNbVZWWW05WFNHUmxXa2t5T0RNMk5UW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drMWtXWGRCZDAxNGJ6YzFNVEEyTlNVeU1pVTNSQ1V5UXlVM1FpVXlNbTVoYldVbE1qSWxNMEVsTWpJbFJUVWxPVEFsT0VRbFJUY2xRVGNsUWpBbE1qSWxNa01sTWpKMGVYQmxKVEl5SlROQkpUSXljM1J5YVc1bkpUSXlKVEpESlRJeWRtRnNkV1VsTWpJbE0wRWxNaklsTWpJbE1rTWxNakpqWVhSbFoyOXllU1V5TWlVelFTVXlNbVJsWm1GMWJIUWxNaklsTWtNbE1qSnBaQ1V5TWlVelFTVXlNbUpKUzNCeFIxcDRRWFEzTmpNeE56V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WWxRallsT0RnbFJUWWxRVVlsT1RJbFJUY2xPVFFsUVRnbFJUWWxRakFsUWpReE9DNHl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bDRWMGx4YVhOeFQwTXdPVEl4TVRFbE1qSWxNMEVsTjBJbE1qSnBaQ1V5TWlVelFTVXlNbWw0VjBseGFYTnhUME13T1RJeE1UR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RrMUxkRWxuVDJsNmNEZzVORFUzT1NVeU1pVTNSQ1V5UXlVM1FpVXlNbTVoYldVbE1qSWxNMEVsTWpJbFJUVWxPVEFsT0VRbFJUY2xRVGNsUWpBbE1qSWxNa01sTWpKMGVYQmxKVEl5SlROQkpUSXljM1J5YVc1bkpUSXlKVEpESlRJeWRtRnNkV1VsTWpJbE0wRWxNaklsTWpJbE1rTWxNakpqWVhSbFoyOXllU1V5TWlVelFTVXlNbVJsWm1GMWJIUWxNaklsTWtNbE1qSnBaQ1V5TWlVelFTVXlNbHA2YjJWelozcHZXVlF6TnpFd05UR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WWxPRU1sUVRRbFJUVWxRVFVsUWpZbFJUVWxPRVVsT0RVbFJVWWxRa01sT0RnbFJUVWxRa1VsT0RVbFJUWWxPRU1sUVRRbFJUVWxPRU1sUWtFbFJVWWxRa01sT0RrbFJUWWxRamdsT0RVbFJUWWxRalFsT1RjbFJUY2xPVFFsUVRnbFJUWWxRakFsUWpReE5UTX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NrMTNUM3BVZG0xRlVEWTBNekV3TnlVeU1pVXpRU1UzUWlVeU1tbGtKVEl5SlROQkpUSXljazEzVDNwVWRtMUZVRFkwTXpFd05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bFFWTkhRbFJKVG0xb01qWXhORGM1SlRJeUpUZEVKVEpESlRkQ0pUSXlibUZ0WlNVeU1pVXpRU1V5TWlWRk5TVTVNQ1U0UkNWRk55VkJOeVZDTUNVeU1pVXlReVV5TW5SNWNHVWxNaklsTTBFbE1qSnpkSEpwYm1jbE1qSWxNa01sTWpKMllXeDFaU1V5TWlVelFTVXlNaVV5TWlVeVF5VXlNbU5oZEdWbmIzSjVKVEl5SlROQkpUSXlaR1ZtWVhWc2RDVXlNaVV5UXlVeU1tbGtKVEl5SlROQkpUSXlhbGRKVGtsUmQyTlpjemt5TURFME1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pVTRReVZCTkNWRk5TVkJOU1ZDTmlWRk9DVkJSU1ZDUlNWRk5TVkJOQ1U0TnlWRk5pVkNPQ1U0TlNWRk5pVkNOQ1U1TnlWRk55VTVOQ1ZCT0NWRk5pVkNNQ1ZDTkRFME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SmJGRjRaWFI0VVdnNU5qTTRNREFsTWpJbE0wRWxOMElsTWpKcFpDVXlNaVV6UVNVeU1uTkpiRkY0WlhSNFVXZzVOak00TU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jJGM1VYcExhRkZNVVRnMU1UQXpNeVV5TWlVM1JDVXlReVUzUWlVeU1tNWhiV1VsTWpJbE0wRWxNaklsUlRVbE9UQWxPRVFsUlRjbFFUY2xRakFsTWpJbE1rTWxNakowZVhCbEpUSXlKVE5CSlRJeWMzUnlhVzVuSlRJeUpUSkRKVEl5ZG1Gc2RXVWxNaklsTTBFbE1qSWxNaklsTWtNbE1qSmpZWFJsWjI5eWVTVXlNaVV6UVNVeU1tUmxabUYxYkhRbE1qSWxNa01sTWpKcFpDVXlNaVV6UVNVeU1rWnVTRkY1YmxkTFpub3hORGd5TX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VNU5pVkNNQ1ZGT1NWQ01pVTVReVZGTmlWQ01DVkNORFl4TWpFd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1bWExRndWMjlCYVU4d05UTTBNRGNsTWpJbE0wRWxOMElsTWpKcFpDVXlNaVV6UVNVeU1tNW1hMUZ3VjI5QmFVOHdOVE0wTUR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1VKQmMzRm9iMkZQVmpVek56UTBOU1V5TWlVM1JDVXlReVUzUWlVeU1tNWhiV1VsTWpJbE0wRWxNaklsUlRVbE9UQWxPRVFsUlRjbFFUY2xRakFsTWpJbE1rTWxNakowZVhCbEpUSXlKVE5CSlRJeWMzUnlhVzVuSlRJeUpUSkRKVEl5ZG1Gc2RXVWxNaklsTTBFbE1qSWxNaklsTWtNbE1qSmpZWFJsWjI5eWVTVXlNaVV6UVNVeU1tUmxabUYxYkhRbE1qSWxNa01sTWpKcFpDVXlNaVV6UVNVeU1rdHZSRVpDY1cxRlJrZzRPVGs1T0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nlVNU5DVTVSaVZGTmlWQ05DVkNRaVZGTmlWQ01TVkJNU1ZGTmlWQ01DVkNOREV4Tm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sWVdsQ2JYVkVUbE4zTnpJeE1UTTRKVEl5SlROQkpUZENKVEl5YVdRbE1qSWxNMEVsTWpKbFlXbENiWFZFVGxOM056SXhNVE00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EpuVG1OelpYVjRUbVV4TXprMk56SWxNaklsTjBRbE1rTWxOMElsTWpKdVlXMWxKVEl5SlROQkpUSXlKVVUxSlRrd0pUaEVKVVUzSlVFM0pVSXdKVEl5SlRKREpUSXlkSGx3WlNVeU1pVXpRU1V5TW5OMGNtbHVaeVV5TWlVeVF5VXlNblpoYkhWbEpUSXlKVE5CSlRJeUpUSXlKVEpESlRJeVkyRjBaV2R2Y25rbE1qSWxNMEVsTWpKa1pXWmhkV3gwSlRJeUpUSkRKVEl5YVdRbE1qSWxNMEVsTWpKdVEwUlpZV1pIYWt4bk1UQXhNalUz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1SlVGQkpUZzJKVVU1SlVFNUpVSkRKVVUxSlVJd0pVSkdOelF3TGprM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0dwVFJIUm1URk5WU2pBd01USTVNeVV5TWlVelFTVTNRaVV5TW1sa0pUSXlKVE5CSlRJeVNHcFRSSFJtVEZOVlNqQXdNVEk1TX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qVjJ4b1NtSkRjR1JaTWprME1qUTBKVEl5SlRkRUpUSkRKVGRDSlRJeWJtRnRaU1V5TWlVelFTVXlNaVZGTlNVNU1DVTRSQ1ZGTnlWQk55VkNNQ1V5TWlVeVF5VXlNblI1Y0dVbE1qSWxNMEVsTWpKemRISnBibWNsTWpJbE1rTWxNakoyWVd4MVpTVXlNaVV6UVNVeU1pVXlNaVV5UXlVeU1tTmhkR1ZuYjNKNUpUSXlKVE5CSlRJeVpHVm1ZWFZzZENVeU1pVXlReVV5TW1sa0pUSXlKVE5CSlRJeWRYTnpaV1ZwVmxWS1JEZzBOVFE1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VNFF5VkJOQ1ZGTlNWQk5TVkNOaVZGTlNVNFJTVTROU1ZGUmlWQ1F5VTRPQ1ZGTlNWQ1JTVTROU1ZGTmlVNFF5VkJOQ1ZGTlNVNFF5VkNRU1ZGUmlWQ1F5VTRPU1ZGTmlWQ09DVTROU1ZGTmlWQ05DVTVOeVZGTlNWQ1FTVTVSaVZGTmlWQ01DVkNOREV5TWpZdU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aallWcFhRVWx0YVZBek56TTBNemdsTWpJbE0wRWxOMElsTWpKcFpDVXlNaVV6UVNVeU1sWmpZVnBYUVVsdGFWQXpOek0wTXp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Wt0M1kxVjRTMkZDVWpBek9EUXpNQ1V5TWlVM1JDVXlReVUzUWlVeU1tNWhiV1VsTWpJbE0wRWxNaklsUlRVbE9UQWxPRVFsUlRjbFFUY2xRakFsTWpJbE1rTWxNakowZVhCbEpUSXlKVE5CSlRJeWMzUnlhVzVuSlRJeUpUSkRKVEl5ZG1Gc2RXVWxNaklsTTBFbE1qSWxNaklsTWtNbE1qSmpZWFJsWjI5eWVTVXlNaVV6UVNVeU1tUmxabUYxYkhRbE1qSWxNa01sTWpKcFpDVXlNaVV6UVNVeU1rSnlXVzVZZVZoTmVWQXhNREUyTkR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FTWxRVFFsUlRVbFFUVWxRallsUlRnbFFVVWxRa1VsUlRVbFFUUWxPRGNsUlRZbFFqZ2xPRFVsUlRZbFFqUWxPVGNsUlRVbFFrRWxPVVlsUlRZbFFqQWxRalF4TVRZdU9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waVIwOWhhV1JCYW1ZeU16ZzJNeklsTWpJbE0wRWxOMElsTWpKcFpDVXlNaVV6UVNVeU1scGlSMDloYVdSQmFtWXlNemcyTXp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zJkcFpYcFJjMFpsVXpBMk16ZzNNeVV5TWlVM1JDVXlReVUzUWlVeU1tNWhiV1VsTWpJbE0wRWxNaklsUlRVbE9UQWxPRVFsUlRjbFFUY2xRakFsTWpJbE1rTWxNakowZVhCbEpUSXlKVE5CSlRJeWMzUnlhVzVuSlRJeUpUSkRKVEl5ZG1Gc2RXVWxNaklsTTBFbE1qSWxNaklsTWtNbE1qSmpZWFJsWjI5eWVTVXlNaVV6UVNVeU1tUmxabUYxYkhRbE1qSWxNa01sTWpKcFpDVXlNaVV6UVNVeU1tRm9RVVJZWjBKV1MwTTRNRFF3TXpR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a2xRa0lsT1RFbFJUZ2xPRFlsT1VNbFJUWWxRakVsUVRBbFJUVWxPRVlsT1RFbFJUa2xPRFVsUWpVeU5URXhM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EJPV0c1S2FWaDVVVkUwTnpFd056QWxNaklsTjBRbE1rTWxOMElsTWpKdVlXMWxKVEl5SlROQkpUSXlKVVUxSlRrd0pUaEVKVVUzSlVFM0pVSXdKVEl5SlRKREpUSXlkSGx3WlNVeU1pVXpRU1V5TW5OMGNtbHVaeVV5TWlVeVF5VXlNblpoYkhWbEpUSXlKVE5CSlRJeUpUSXlKVEpESlRJeVkyRjBaV2R2Y25rbE1qSWxNMEVsTWpKa1pXWmhkV3gwSlRJeUpUSkRKVEl5YVdRbE1qSWxNMEVsTWpKV1EwcHphR2RYZGtoTU16QTNPRGt5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d0pUSkRKVEl5ZVNVeU1pVXpRVEFsTWtNbE1qSjNKVEl5SlROQkpUSXlkeVV5TWlVeVF5VXlNbWdsTWpJbE0wRWxNakpvSlRJeUpUZEVKVEpESlRJeWRHVjRkQ1V5TWlVelFTVXlNaVZGTnlWQ1FpVkNSaVZGTlNVNFF5VTVO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UzUkNVeVF5VXlNbU52YlcxbGJuUnpKVEl5SlROQkpUVkNKVFZFSlRKREpUSXljR3gxWjJsdWN5VXlNaVV6UVNVM1FpVTNSQ1V5UXlVeU1tRnBRMjl1ZEdGcGJtVnljeVV5TWlVelFTVTNRaVUzUkNVeVF5VXlNbWx1YzJWeWRGQmhaMlZQY0hSekpUSXlKVE5CSlRkQ0pUZEVKVEpESlRJeWNHOXpkRkJoZVcxbGJuUWxNaklsTTBFbE4wSWxOMFFsTWtNbE1qSjBhR1Z0WlNVeU1pVXpRU1UzUWlVeU1uQmhaMlVsTWpJbE0wRWxOMElsTWpKaVlXTnJaM0p2ZFc1a1EyOXNiM0lsTWpJbE0wRWxNakowY21GdWMzQmhjbVZ1ZENVeU1pVTNSQ1UzUkNVM1JBPT0iLAoJIkZpbGVJZCIgOiAiZDBlZjE0ZjQtNGUxYS00NWI1LWE2YzAtZmRiMTliNDVkMTJiIgp9Cg=="/>
    </extobj>
  </extobjs>
</s:customData>
</file>

<file path=customXml/item2.xml><?xml version="1.0" encoding="utf-8"?>
<contractReview xmlns="http://schemas.wps.cn/vas-ai-hub/contract-review">
  <reviewItems>
    <reviewItem>
      <errorID>1bc513ac-cc08-4349-928f-1b4e3c4cefc3</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5C56C708</paraID>
      <start>8</start>
      <end>11</end>
      <status>unmodified</status>
      <modifiedWord/>
      <trackRevisions>false</trackRevisions>
    </reviewItem>
    <reviewItem>
      <errorID>dff4d7e5-6b1d-40c7-8941-e1908e4bb954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5C56C708</paraID>
      <start>42</start>
      <end>45</end>
      <status>unmodified</status>
      <modifiedWord/>
      <trackRevisions>false</trackRevisions>
    </reviewItem>
    <reviewItem>
      <errorID>a7b7c85c-9cf8-4f58-9cd7-46ed11962ca3</errorID>
      <errorWord>促使</errorWord>
      <group>L1_Word</group>
      <groupName>字词问题</groupName>
      <ability>L2_Typo</ability>
      <abilityName>字词错误</abilityName>
      <candidateList>
        <item>将</item>
      </candidateList>
      <explain/>
      <paraID>5C56C708</paraID>
      <start>84</start>
      <end>86</end>
      <status>unmodified</status>
      <modifiedWord/>
      <trackRevisions>false</trackRevisions>
    </reviewItem>
    <reviewItem>
      <errorID>a9f580de-1de9-49e8-a083-4727a7082418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19B4A6EC</paraID>
      <start>6</start>
      <end>9</end>
      <status>unmodified</status>
      <modifiedWord/>
      <trackRevisions>false</trackRevisions>
    </reviewItem>
    <reviewItem>
      <errorID>8e35487b-b3e0-449a-9075-53cc9c0b007b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2AC9AA2</paraID>
      <start>15</start>
      <end>18</end>
      <status>unmodified</status>
      <modifiedWord/>
      <trackRevisions>false</trackRevisions>
    </reviewItem>
    <reviewItem>
      <errorID>983a19c4-3041-4367-940d-801b768e69a6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2AC9AA2</paraID>
      <start>30</start>
      <end>33</end>
      <status>unmodified</status>
      <modifiedWord/>
      <trackRevisions>false</trackRevisions>
    </reviewItem>
    <reviewItem>
      <errorID>75b11a94-d09c-4e3c-9942-ceddc0814f05</errorID>
      <errorWord>、</errorWord>
      <group>L1_Word</group>
      <groupName>字词问题</groupName>
      <ability>L2_Typo</ability>
      <abilityName>字词错误</abilityName>
      <candidateList>
        <item>以及</item>
      </candidateList>
      <explain/>
      <paraID> 2AC9AA2</paraID>
      <start>48</start>
      <end>49</end>
      <status>unmodified</status>
      <modifiedWord/>
      <trackRevisions>false</trackRevisions>
    </reviewItem>
    <reviewItem>
      <errorID>98f13fda-149e-494f-bd6e-03d53adcfb43</errorID>
      <errorWord>&lt;设项目</errorWord>
      <group>L1_Word</group>
      <groupName>字词问题</groupName>
      <ability>L2_Typo</ability>
      <abilityName>字词错误</abilityName>
      <candidateList>
        <item>〈建设项目</item>
      </candidateList>
      <explain/>
      <paraID> 2AC9AA2</paraID>
      <start>57</start>
      <end>61</end>
      <status>unmodified</status>
      <modifiedWord/>
      <trackRevisions>false</trackRevisions>
    </reviewItem>
    <reviewItem>
      <errorID>c2bb2ff1-43fc-4d10-a56b-1f80f6971b9c</errorID>
      <errorWord>&gt;</errorWord>
      <group>L1_Punc</group>
      <groupName>标点问题</groupName>
      <ability>L2_Punc_CN</ability>
      <abilityName>标点符号问题</abilityName>
      <candidateList>
        <item>〉</item>
      </candidateList>
      <explain/>
      <paraID> 2AC9AA2</paraID>
      <start>69</start>
      <end>70</end>
      <status>unmodified</status>
      <modifiedWord/>
      <trackRevisions>false</trackRevisions>
    </reviewItem>
    <reviewItem>
      <errorID>aaae7eea-a058-4c02-a998-b186d81587cc</errorID>
      <errorWord>有关</errorWord>
      <group>L1_Word</group>
      <groupName>字词问题</groupName>
      <ability>L2_Typo</ability>
      <abilityName>字词错误</abilityName>
      <candidateList>
        <item>的有关</item>
      </candidateList>
      <explain/>
      <paraID> 2AC9AA2</paraID>
      <start>86</start>
      <end>88</end>
      <status>unmodified</status>
      <modifiedWord/>
      <trackRevisions>false</trackRevisions>
    </reviewItem>
    <reviewItem>
      <errorID>cfa3c343-6b8f-4c32-ae8e-96dee5c33515</errorID>
      <errorWord>草地学报</errorWord>
      <group>L1_Punc</group>
      <groupName>标点问题</groupName>
      <ability>L2_Punc_CN</ability>
      <abilityName>标点符号问题</abilityName>
      <candidateList>
        <item>《草地学报》</item>
      </candidateList>
      <explain/>
      <paraID>6B7B6DED</paraID>
      <start>33</start>
      <end>37</end>
      <status>unmodified</status>
      <modifiedWord/>
      <trackRevisions>false</trackRevisions>
    </reviewItem>
    <reviewItem>
      <errorID>d0112b95-09e6-4cf5-a40e-c3088183495c</errorID>
      <errorWord>程序</errorWord>
      <group>L1_Punc</group>
      <groupName>标点问题</groupName>
      <ability>L2_Punc_CN</ability>
      <abilityName>标点符号问题</abilityName>
      <candidateList>
        <item>程序。</item>
      </candidateList>
      <explain/>
      <paraID>231E59A3</paraID>
      <start>69</start>
      <end>71</end>
      <status>unmodified</status>
      <modifiedWord/>
      <trackRevisions>false</trackRevisions>
    </reviewItem>
    <reviewItem>
      <errorID>0cc1f0b3-cc17-4f19-9f3b-a46ced1263d1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54D26AC8</paraID>
      <start>4</start>
      <end>7</end>
      <status>unmodified</status>
      <modifiedWord/>
      <trackRevisions>false</trackRevisions>
    </reviewItem>
    <reviewItem>
      <errorID>e8b470b4-620b-4f18-87ba-7d1504f9f907</errorID>
      <errorWord>法律、法规</errorWord>
      <group>L1_Word</group>
      <groupName>字词问题</groupName>
      <ability>L2_Typo</ability>
      <abilityName>字词错误</abilityName>
      <candidateList>
        <item>法律法规</item>
      </candidateList>
      <explain/>
      <paraID>66197E95</paraID>
      <start>147</start>
      <end>152</end>
      <status>unmodified</status>
      <modifiedWord/>
      <trackRevisions>false</trackRevisions>
    </reviewItem>
    <reviewItem>
      <errorID>81c72254-9bb1-4845-8d9a-70ee1858eca3</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78B8B58F</paraID>
      <start>50</start>
      <end>52</end>
      <status>unmodified</status>
      <modifiedWord/>
      <trackRevisions>false</trackRevisions>
    </reviewItem>
    <reviewItem>
      <errorID>d2c76120-86fe-4357-a3af-d2d28e996aef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62D6D89E</paraID>
      <start>34</start>
      <end>35</end>
      <status>unmodified</status>
      <modifiedWord/>
      <trackRevisions>false</trackRevisions>
    </reviewItem>
    <reviewItem>
      <errorID>d4d51165-a3dd-40eb-b182-75b08d7cebf9</errorID>
      <errorWord>》的通知</errorWord>
      <group>L1_Grammar</group>
      <groupName>语法问题</groupName>
      <ability>L2_Grammar</ability>
      <abilityName>语法错误</abilityName>
      <candidateList>
        <item>》</item>
      </candidateList>
      <explain/>
      <paraID>31404862</paraID>
      <start>34</start>
      <end>38</end>
      <status>unmodified</status>
      <modifiedWord/>
      <trackRevisions>false</trackRevisions>
    </reviewItem>
    <reviewItem>
      <errorID>70ceaa08-1226-4cdf-8a8f-7aa1761cdd45</errorID>
      <errorWord>生态红线保护</errorWord>
      <group>L1_Word</group>
      <groupName>字词问题</groupName>
      <ability>L2_Typo</ability>
      <abilityName>字词错误</abilityName>
      <candidateList>
        <item>生态保护红线</item>
      </candidateList>
      <explain/>
      <paraID> 8AE755C</paraID>
      <start>102</start>
      <end>108</end>
      <status>unmodified</status>
      <modifiedWord/>
      <trackRevisions>false</trackRevisions>
    </reviewItem>
    <reviewItem>
      <errorID>1da68387-51c3-4439-ab71-4d0bd992016e</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29E8E9C3</paraID>
      <start>111</start>
      <end>114</end>
      <status>unmodified</status>
      <modifiedWord/>
      <trackRevisions>false</trackRevisions>
    </reviewItem>
    <reviewItem>
      <errorID>2a33ba42-6ca8-4a9d-8c5a-a59edbefdf15</errorID>
      <errorWord>上线</errorWord>
      <group>L1_Word</group>
      <groupName>字词问题</groupName>
      <ability>L2_Typo</ability>
      <abilityName>字词错误</abilityName>
      <candidateList>
        <item>上限</item>
      </candidateList>
      <explain/>
      <paraID>29E8E9C3</paraID>
      <start>144</start>
      <end>146</end>
      <status>unmodified</status>
      <modifiedWord/>
      <trackRevisions>false</trackRevisions>
    </reviewItem>
    <reviewItem>
      <errorID>c3d32bdb-4858-43a2-b765-fe585762cbaf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1C5541BD</paraID>
      <start>5</start>
      <end>8</end>
      <status>unmodified</status>
      <modifiedWord/>
      <trackRevisions>false</trackRevisions>
    </reviewItem>
    <reviewItem>
      <errorID>b26c53fb-fb66-41b3-8c2b-7c4c772d2078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8CC25E0</paraID>
      <start>5</start>
      <end>8</end>
      <status>unmodified</status>
      <modifiedWord/>
      <trackRevisions>false</trackRevisions>
    </reviewItem>
    <reviewItem>
      <errorID>d2e655e6-f3f5-4431-8a95-01a22877c3d8</errorID>
      <errorWord>木垒哈萨 克自治县 </errorWord>
      <group>L1_Grammar</group>
      <groupName>语法问题</groupName>
      <ability>L2_Grammar</ability>
      <abilityName>语法错误</abilityName>
      <candidateList>
        <item>木垒哈萨克自治县</item>
      </candidateList>
      <explain/>
      <paraID>2BF039E1</paraID>
      <start>0</start>
      <end>10</end>
      <status>unmodified</status>
      <modifiedWord/>
      <trackRevisions>false</trackRevisions>
    </reviewItem>
    <reviewItem>
      <errorID>cdfe0faf-4dff-438d-bab0-235c37dc34b4</errorID>
      <errorWord> </errorWord>
      <group>L1_Punc</group>
      <groupName>标点问题</groupName>
      <ability>L2_Punc_CN</ability>
      <abilityName>标点符号问题</abilityName>
      <candidateList>
        <item/>
      </candidateList>
      <explain>此处空格冗余，建议删除。</explain>
      <paraID>2BF039E1</paraID>
      <start>14</start>
      <end>15</end>
      <status>unmodified</status>
      <modifiedWord/>
      <trackRevisions>false</trackRevisions>
    </reviewItem>
    <reviewItem>
      <errorID>f3913532-44e5-475b-a475-d528d844d8c6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1F5FDC0F</paraID>
      <start>0</start>
      <end>2</end>
      <status>unmodified</status>
      <modifiedWord/>
      <trackRevisions>false</trackRevisions>
    </reviewItem>
    <reviewItem>
      <errorID>8c7b9510-d0c2-4f7f-af45-fb1509247b40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784B603A</paraID>
      <start>0</start>
      <end>2</end>
      <status>unmodified</status>
      <modifiedWord/>
      <trackRevisions>false</trackRevisions>
    </reviewItem>
    <reviewItem>
      <errorID>c09e1027-5b92-44ec-9137-0412cc4a874a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FD178B1</paraID>
      <start>0</start>
      <end>2</end>
      <status>unmodified</status>
      <modifiedWord/>
      <trackRevisions>false</trackRevisions>
    </reviewItem>
    <reviewItem>
      <errorID>3df17754-8f40-4a44-a074-4a1c7bfb6f85</errorID>
      <errorWord>施工</errorWord>
      <group>L1_Word</group>
      <groupName>字词问题</groupName>
      <ability>L2_Typo</ability>
      <abilityName>字词错误</abilityName>
      <candidateList>
        <item>即施工</item>
      </candidateList>
      <explain/>
      <paraID>29B815E3</paraID>
      <start>82</start>
      <end>84</end>
      <status>unmodified</status>
      <modifiedWord/>
      <trackRevisions>false</trackRevisions>
    </reviewItem>
    <reviewItem>
      <errorID>35eda89c-335c-471f-92db-706432df0a3f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A7ABD08</paraID>
      <start>0</start>
      <end>2</end>
      <status>unmodified</status>
      <modifiedWord/>
      <trackRevisions>false</trackRevisions>
    </reviewItem>
    <reviewItem>
      <errorID>1cb2e414-cd15-490b-ab96-55c8b0765e23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3C7615F7</paraID>
      <start>0</start>
      <end>2</end>
      <status>unmodified</status>
      <modifiedWord/>
      <trackRevisions>false</trackRevisions>
    </reviewItem>
    <reviewItem>
      <errorID>1fe41930-1c87-47f8-9937-675dafa8e686</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7D3C9B50</paraID>
      <start>5</start>
      <end>8</end>
      <status>unmodified</status>
      <modifiedWord/>
      <trackRevisions>false</trackRevisions>
    </reviewItem>
    <reviewItem>
      <errorID>31c38f0c-f6d9-479e-8ec1-7446017aa164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4E38024C</paraID>
      <start>0</start>
      <end>2</end>
      <status>unmodified</status>
      <modifiedWord/>
      <trackRevisions>false</trackRevisions>
    </reviewItem>
    <reviewItem>
      <errorID>52d05dc4-213c-4d7a-ad12-2eaa2b215983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7CE4377C</paraID>
      <start>0</start>
      <end>2</end>
      <status>unmodified</status>
      <modifiedWord/>
      <trackRevisions>false</trackRevisions>
    </reviewItem>
    <reviewItem>
      <errorID>178b0257-f9fb-4804-8527-d3b020c77640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BA5080C</paraID>
      <start>0</start>
      <end>2</end>
      <status>unmodified</status>
      <modifiedWord/>
      <trackRevisions>false</trackRevisions>
    </reviewItem>
    <reviewItem>
      <errorID>e0c5a8c3-9af0-466d-af13-b48750c66f4a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4876D7AD</paraID>
      <start>0</start>
      <end>2</end>
      <status>unmodified</status>
      <modifiedWord/>
      <trackRevisions>false</trackRevisions>
    </reviewItem>
    <reviewItem>
      <errorID>d0a8f514-5cc2-4af2-9cd3-1ec808a4524a</errorID>
      <errorWord>&lt;</errorWord>
      <group>L1_Format</group>
      <groupName>格式问题</groupName>
      <ability>L2_HalfPunc_CN</ability>
      <abilityName>全半角问题</abilityName>
      <candidateList>
        <item>〈</item>
      </candidateList>
      <explain>文本全半角错误。</explain>
      <paraID>40E7958F</paraID>
      <start>16</start>
      <end>17</end>
      <status>unmodified</status>
      <modifiedWord/>
      <trackRevisions>false</trackRevisions>
    </reviewItem>
    <reviewItem>
      <errorID>3f8bb706-0bf6-4a31-a3f9-7f92d7c2f95c</errorID>
      <errorWord>&gt;的通知》</errorWord>
      <group>L1_Punc</group>
      <groupName>标点问题</groupName>
      <ability>L2_Punc_CN</ability>
      <abilityName>标点符号问题</abilityName>
      <candidateList>
        <item>〉的通知》</item>
      </candidateList>
      <explain/>
      <paraID>40E7958F</paraID>
      <start>39</start>
      <end>44</end>
      <status>unmodified</status>
      <modifiedWord/>
      <trackRevisions>false</trackRevisions>
    </reviewItem>
    <reviewItem>
      <errorID>30806d10-902b-43cb-955a-a4f39c471181</errorID>
      <errorWord>》</errorWord>
      <group>L1_Word</group>
      <groupName>字词问题</groupName>
      <ability>L2_Typo</ability>
      <abilityName>字词错误</abilityName>
      <candidateList>
        <item>》等</item>
      </candidateList>
      <explain/>
      <paraID>40E7958F</paraID>
      <start>122</start>
      <end>123</end>
      <status>unmodified</status>
      <modifiedWord/>
      <trackRevisions>false</trackRevisions>
    </reviewItem>
    <reviewItem>
      <errorID>7159c03e-6749-4b6a-acb8-f4005366b510</errorID>
      <errorWord>法律、法规</errorWord>
      <group>L1_Word</group>
      <groupName>字词问题</groupName>
      <ability>L2_Typo</ability>
      <abilityName>字词错误</abilityName>
      <candidateList>
        <item>法律法规</item>
      </candidateList>
      <explain/>
      <paraID> 28F4E61</paraID>
      <start>1</start>
      <end>6</end>
      <status>unmodified</status>
      <modifiedWord/>
      <trackRevisions>false</trackRevisions>
    </reviewItem>
    <reviewItem>
      <errorID>2b1f721e-af61-4e0b-87cd-945b7a8c1f86</errorID>
      <errorWord>法律、法规</errorWord>
      <group>L1_Word</group>
      <groupName>字词问题</groupName>
      <ability>L2_Typo</ability>
      <abilityName>字词错误</abilityName>
      <candidateList>
        <item>法律法规</item>
      </candidateList>
      <explain/>
      <paraID> 3870871</paraID>
      <start>116</start>
      <end>121</end>
      <status>unmodified</status>
      <modifiedWord/>
      <trackRevisions>false</trackRevisions>
    </reviewItem>
    <reviewItem>
      <errorID>4de305c1-e69e-4fd4-81f7-13ae1c0c845d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E730A6C</paraID>
      <start>6</start>
      <end>9</end>
      <status>unmodified</status>
      <modifiedWord/>
      <trackRevisions>false</trackRevisions>
    </reviewItem>
    <reviewItem>
      <errorID>a70caeaf-e37f-459f-99c6-802262fcceac</errorID>
      <errorWord>运营</errorWord>
      <group>L1_Grammar</group>
      <groupName>语法问题</groupName>
      <ability>L2_Grammar</ability>
      <abilityName>语法错误</abilityName>
      <candidateList>
        <item>以及运营</item>
      </candidateList>
      <explain/>
      <paraID>7990DD9B</paraID>
      <start>92</start>
      <end>94</end>
      <status>unmodified</status>
      <modifiedWord/>
      <trackRevisions>false</trackRevisions>
    </reviewItem>
    <reviewItem>
      <errorID>90421866-683e-422d-9e05-a15d137842a9</errorID>
      <errorWord>（4）</errorWord>
      <group>L1_Format</group>
      <groupName>格式问题</groupName>
      <ability>L2_Ordinal</ability>
      <abilityName>序号格式</abilityName>
      <candidateList>
        <item>（3）</item>
      </candidateList>
      <explain>标题顺序错误，请检查标题顺序是否合理。</explain>
      <paraID>3D20FA47</paraID>
      <start>0</start>
      <end>3</end>
      <status>modified</status>
      <modifiedWord>（3）</modifiedWord>
      <trackRevisions>false</trackRevisions>
    </reviewItem>
    <reviewItem>
      <errorID>3acc4884-f8d6-4847-adfc-21445f6cb8f7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677BC801</paraID>
      <start>105</start>
      <end>108</end>
      <status>unmodified</status>
      <modifiedWord/>
      <trackRevisions>false</trackRevisions>
    </reviewItem>
    <reviewItem>
      <errorID>69186fa6-ca08-47d6-bb27-a453389d3494</errorID>
      <errorWord>”三农”问题</errorWord>
      <group>L1_Political</group>
      <groupName>政治性问题</groupName>
      <ability>L2_Keyword</ability>
      <abilityName>固定表述</abilityName>
      <candidateList>
        <item>“三农”问题</item>
      </candidateList>
      <explain>此处内容疑似含有固定表述相关错误，建议核查。</explain>
      <paraID>677BC801</paraID>
      <start>139</start>
      <end>145</end>
      <status>unmodified</status>
      <modifiedWord/>
      <trackRevisions>false</trackRevisions>
    </reviewItem>
    <reviewItem>
      <errorID>322d1334-29fe-4bca-9897-47487a1807df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41523284</paraID>
      <start>0</start>
      <end>2</end>
      <status>unmodified</status>
      <modifiedWord/>
      <trackRevisions>false</trackRevisions>
    </reviewItem>
    <reviewItem>
      <errorID>20b69442-e3ba-4e7e-b1dd-770777c2c645</errorID>
      <errorWord>法律、法规</errorWord>
      <group>L1_Word</group>
      <groupName>字词问题</groupName>
      <ability>L2_Typo</ability>
      <abilityName>字词错误</abilityName>
      <candidateList>
        <item>法律法规</item>
      </candidateList>
      <explain/>
      <paraID>54B68098</paraID>
      <start>7</start>
      <end>12</end>
      <status>unmodified</status>
      <modifiedWord/>
      <trackRevisions>false</trackRevisions>
    </reviewItem>
    <reviewItem>
      <errorID>0548f947-e8f2-4773-a57e-1ef0dc5f756f</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 D5530C2</paraID>
      <start>4</start>
      <end>20</end>
      <status>unmodified</status>
      <modifiedWord/>
      <trackRevisions>false</trackRevisions>
    </reviewItem>
    <reviewItem>
      <errorID>52dd18b7-1063-40e6-8278-719375448392</errorID>
      <errorWord>农办</errorWord>
      <group>L1_Punc</group>
      <groupName>标点问题</groupName>
      <ability>L2_Punc_CN</ability>
      <abilityName>标点符号问题</abilityName>
      <candidateList>
        <item>（农办</item>
      </candidateList>
      <explain/>
      <paraID> 54CCA29</paraID>
      <start>33</start>
      <end>35</end>
      <status>unmodified</status>
      <modifiedWord/>
      <trackRevisions>false</trackRevisions>
    </reviewItem>
    <reviewItem>
      <errorID>404665ed-6080-4649-afc2-45755c112f56</errorID>
      <errorWord>农业农村部</errorWord>
      <group>L1_Political</group>
      <groupName>政治性问题</groupName>
      <ability>L2_Keyword</ability>
      <abilityName>固定表述</abilityName>
      <candidateList>
        <item>，农业农村部</item>
      </candidateList>
      <explain>此处内容疑似含有固定表述相关错误，建议核查。</explain>
      <paraID> 54CCA29</paraID>
      <start>45</start>
      <end>50</end>
      <status>unmodified</status>
      <modifiedWord/>
      <trackRevisions>false</trackRevisions>
    </reviewItem>
    <reviewItem>
      <errorID>2d71c2e1-d793-45e0-a1d9-41ced2310628</errorID>
      <errorWord>生态环境部</errorWord>
      <group>L1_Political</group>
      <groupName>政治性问题</groupName>
      <ability>L2_Keyword</ability>
      <abilityName>固定表述</abilityName>
      <candidateList>
        <item>、生态环境部</item>
      </candidateList>
      <explain>此处内容疑似含有固定表述相关错误，建议核查。</explain>
      <paraID> 54CCA29</paraID>
      <start>53</start>
      <end>58</end>
      <status>unmodified</status>
      <modifiedWord/>
      <trackRevisions>false</trackRevisions>
    </reviewItem>
    <reviewItem>
      <errorID>6e248a7d-6d77-4a23-99fc-b50dc982f66f</errorID>
      <errorWord>&lt;</errorWord>
      <group>L1_Punc</group>
      <groupName>标点问题</groupName>
      <ability>L2_Punc_CN</ability>
      <abilityName>标点符号问题</abilityName>
      <candidateList>
        <item>〈</item>
      </candidateList>
      <explain/>
      <paraID>243AF817</paraID>
      <start>9</start>
      <end>10</end>
      <status>unmodified</status>
      <modifiedWord/>
      <trackRevisions>false</trackRevisions>
    </reviewItem>
    <reviewItem>
      <errorID>9860afdb-67ca-4615-9322-119457337c59</errorID>
      <errorWord>&gt;的通知》</errorWord>
      <group>L1_Punc</group>
      <groupName>标点问题</groupName>
      <ability>L2_Punc_CN</ability>
      <abilityName>标点符号问题</abilityName>
      <candidateList>
        <item>〉的通知》</item>
      </candidateList>
      <explain/>
      <paraID>243AF817</paraID>
      <start>30</start>
      <end>35</end>
      <status>unmodified</status>
      <modifiedWord/>
      <trackRevisions>false</trackRevisions>
    </reviewItem>
    <reviewItem>
      <errorID>e6791331-549a-4f8e-83d3-a36ffc537068</errorID>
      <errorWord>地方法规</errorWord>
      <group>L1_Political</group>
      <groupName>政治性问题</groupName>
      <ability>L2_Unpolitical</ability>
      <abilityName>政治敏感错误</abilityName>
      <candidateList>
        <item>地方性法规</item>
      </candidateList>
      <explain/>
      <paraID>3265911C</paraID>
      <start>5</start>
      <end>9</end>
      <status>unmodified</status>
      <modifiedWord/>
      <trackRevisions>false</trackRevisions>
    </reviewItem>
    <reviewItem>
      <errorID>4a9c102e-07ce-469c-8cfd-d571a5f3250e</errorID>
      <errorWord>第11届</errorWord>
      <group>L1_Grammar</group>
      <groupName>语法问题</groupName>
      <ability>L2_Grammar</ability>
      <abilityName>语法错误</abilityName>
      <candidateList>
        <item>自治区十一届</item>
      </candidateList>
      <explain/>
      <paraID>52A70DC2</paraID>
      <start>26</start>
      <end>30</end>
      <status>unmodified</status>
      <modifiedWord/>
      <trackRevisions>false</trackRevisions>
    </reviewItem>
    <reviewItem>
      <errorID>d69cb425-d6a0-4eb4-aaf5-b9abc37d0209</errorID>
      <errorWord>第9次</errorWord>
      <group>L1_Word</group>
      <groupName>字词问题</groupName>
      <ability>L2_Typo</ability>
      <abilityName>字词错误</abilityName>
      <candidateList>
        <item>第九次</item>
      </candidateList>
      <explain/>
      <paraID>52A70DC2</paraID>
      <start>32</start>
      <end>35</end>
      <status>unmodified</status>
      <modifiedWord/>
      <trackRevisions>false</trackRevisions>
    </reviewItem>
    <reviewItem>
      <errorID>11bf5d35-1f20-4783-9f20-083eb00139c4</errorID>
      <errorWord>）</errorWord>
      <group>L1_Word</group>
      <groupName>字词问题</groupName>
      <ability>L2_Typo</ability>
      <abilityName>字词错误</abilityName>
      <candidateList>
        <item>日）</item>
      </candidateList>
      <explain/>
      <paraID>25B7838B</paraID>
      <start>60</start>
      <end>61</end>
      <status>unmodified</status>
      <modifiedWord/>
      <trackRevisions>false</trackRevisions>
    </reviewItem>
    <reviewItem>
      <errorID>fde23d15-8326-46e4-8103-584f549c2643</errorID>
      <errorWord>环保</errorWord>
      <group>L1_Grammar</group>
      <groupName>语法问题</groupName>
      <ability>L2_Grammar</ability>
      <abilityName>语法错误</abilityName>
      <candidateList>
        <item>环境保护</item>
      </candidateList>
      <explain/>
      <paraID>711A09C9</paraID>
      <start>31</start>
      <end>33</end>
      <status>unmodified</status>
      <modifiedWord/>
      <trackRevisions>false</trackRevisions>
    </reviewItem>
    <reviewItem>
      <errorID>ef35b1a0-1369-4578-bb02-66074b5212d2</errorID>
      <errorWord>&lt;</errorWord>
      <group>L1_Format</group>
      <groupName>格式问题</groupName>
      <ability>L2_HalfPunc_CN</ability>
      <abilityName>全半角问题</abilityName>
      <candidateList>
        <item>〈</item>
      </candidateList>
      <explain>文本全半角错误。</explain>
      <paraID>47375098</paraID>
      <start>12</start>
      <end>13</end>
      <status>unmodified</status>
      <modifiedWord/>
      <trackRevisions>false</trackRevisions>
    </reviewItem>
    <reviewItem>
      <errorID>bb798212-1aad-47cf-a987-7157a8ae0a79</errorID>
      <errorWord>&gt;的通知》</errorWord>
      <group>L1_Punc</group>
      <groupName>标点问题</groupName>
      <ability>L2_Punc_CN</ability>
      <abilityName>标点符号问题</abilityName>
      <candidateList>
        <item>〉的通知》</item>
      </candidateList>
      <explain/>
      <paraID>47375098</paraID>
      <start>34</start>
      <end>39</end>
      <status>unmodified</status>
      <modifiedWord/>
      <trackRevisions>false</trackRevisions>
    </reviewItem>
    <reviewItem>
      <errorID>52081fd2-3167-4fe2-9fbd-805abae273b2</errorID>
      <errorWord>环保</errorWord>
      <group>L1_Grammar</group>
      <groupName>语法问题</groupName>
      <ability>L2_Grammar</ability>
      <abilityName>语法错误</abilityName>
      <candidateList>
        <item>环境保护</item>
      </candidateList>
      <explain/>
      <paraID>47375098</paraID>
      <start>42</start>
      <end>44</end>
      <status>unmodified</status>
      <modifiedWord/>
      <trackRevisions>false</trackRevisions>
    </reviewItem>
    <reviewItem>
      <errorID>46732d3e-65cf-4fcb-8571-29fe8a79c88b</errorID>
      <errorWord>”</errorWord>
      <group>L1_Punc</group>
      <groupName>标点问题</groupName>
      <ability>L2_Punc_CN</ability>
      <abilityName>标点符号问题</abilityName>
      <candidateList>
        <item>“</item>
      </candidateList>
      <explain>注意检查双引号的方向是否正确。</explain>
      <paraID>2D2D5A9A</paraID>
      <start>16</start>
      <end>17</end>
      <status>unmodified</status>
      <modifiedWord/>
      <trackRevisions>false</trackRevisions>
    </reviewItem>
    <reviewItem>
      <errorID>09da1bc4-453c-4dad-a12d-ee7b1505fa57</errorID>
      <errorWord>十四五”规划</errorWord>
      <group>L1_Political</group>
      <groupName>政治性问题</groupName>
      <ability>L2_Keyword</ability>
      <abilityName>固定表述</abilityName>
      <candidateList>
        <item>“十四五”规划</item>
      </candidateList>
      <explain>注意检查当前固定表述标点是否使用规范。</explain>
      <paraID>2D2D5A9A</paraID>
      <start>17</start>
      <end>23</end>
      <status>unmodified</status>
      <modifiedWord/>
      <trackRevisions>false</trackRevisions>
    </reviewItem>
    <reviewItem>
      <errorID>f0aab99d-c174-4257-aa6b-690f9182d318</errorID>
      <errorWord>生态部</errorWord>
      <group>L1_Political</group>
      <groupName>政治性问题</groupName>
      <ability>L2_Keyword</ability>
      <abilityName>固定表述</abilityName>
      <candidateList>
        <item>生态环境部</item>
      </candidateList>
      <explain>此处内容疑似含有固定表述相关错误，建议核查。</explain>
      <paraID>333AAE39</paraID>
      <start>17</start>
      <end>20</end>
      <status>unmodified</status>
      <modifiedWord/>
      <trackRevisions>false</trackRevisions>
    </reviewItem>
    <reviewItem>
      <errorID>b800a842-232d-46ba-b167-a4e613ce942c</errorID>
      <errorWord>）</errorWord>
      <group>L1_Punc</group>
      <groupName>标点问题</groupName>
      <ability>L2_Punc_CN</ability>
      <abilityName>标点符号问题</abilityName>
      <candidateList>
        <item>）；</item>
      </candidateList>
      <explain/>
      <paraID> F92A913</paraID>
      <start>30</start>
      <end>31</end>
      <status>unmodified</status>
      <modifiedWord/>
      <trackRevisions>false</trackRevisions>
    </reviewItem>
    <reviewItem>
      <errorID>5305bded-a134-404b-86ed-ca1f19ce0c6e</errorID>
      <errorWord>[2017]86号</errorWord>
      <group>L1_Knowledge</group>
      <groupName>知识性问题</groupName>
      <ability>L2_Knowledge</ability>
      <abilityName>其他知识</abilityName>
      <candidateList>
        <item>〔2017〕86号</item>
      </candidateList>
      <explain>发文字号格式错误。</explain>
      <paraID>44559193</paraID>
      <start>27</start>
      <end>36</end>
      <status>modified</status>
      <modifiedWord>〔2017〕86号</modifiedWord>
      <trackRevisions>false</trackRevisions>
    </reviewItem>
    <reviewItem>
      <errorID>bc282437-e89b-4769-b933-a87942c891e8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76D77CCF</paraID>
      <start>3</start>
      <end>6</end>
      <status>unmodified</status>
      <modifiedWord/>
      <trackRevisions>false</trackRevisions>
    </reviewItem>
    <reviewItem>
      <errorID>06f50112-1aaf-4838-9885-b0f65411ee5b</errorID>
      <errorWord>评述</errorWord>
      <group>L1_Word</group>
      <groupName>字词问题</groupName>
      <ability>L2_Typo</ability>
      <abilityName>字词错误</abilityName>
      <candidateList>
        <item>评估</item>
      </candidateList>
      <explain/>
      <paraID>2489C4D6</paraID>
      <start>57</start>
      <end>59</end>
      <status>unmodified</status>
      <modifiedWord/>
      <trackRevisions>false</trackRevisions>
    </reviewItem>
    <reviewItem>
      <errorID>872b86fa-fee6-453e-b54f-1ae9d82b86cb</errorID>
      <errorWord>生产</errorWord>
      <group>L1_Word</group>
      <groupName>字词问题</groupName>
      <ability>L2_Typo</ability>
      <abilityName>字词错误</abilityName>
      <candidateList>
        <item>产生</item>
      </candidateList>
      <explain/>
      <paraID>7433B415</paraID>
      <start>0</start>
      <end>2</end>
      <status>unmodified</status>
      <modifiedWord/>
      <trackRevisions>false</trackRevisions>
    </reviewItem>
    <reviewItem>
      <errorID>518a1232-eb26-4bea-b5cb-4a04eb86b2ec</errorID>
      <errorWord>：</errorWord>
      <group>L1_Punc</group>
      <groupName>标点问题</groupName>
      <ability>L2_Punc_CN</ability>
      <abilityName>标点符号问题</abilityName>
      <candidateList/>
      <explain/>
      <paraID>4DA8DBCB</paraID>
      <start>4</start>
      <end>5</end>
      <status>unmodified</status>
      <modifiedWord/>
      <trackRevisions>false</trackRevisions>
    </reviewItem>
    <reviewItem>
      <errorID>40305985-3857-4cb9-b082-23171cf38ec5</errorID>
      <errorWord>短期</errorWord>
      <group>L1_Punc</group>
      <groupName>标点问题</groupName>
      <ability>L2_Punc_CN</ability>
      <abilityName>标点符号问题</abilityName>
      <candidateList>
        <item>：短期</item>
      </candidateList>
      <explain/>
      <paraID>4DA8DBCB</paraID>
      <start>30</start>
      <end>32</end>
      <status>unmodified</status>
      <modifiedWord/>
      <trackRevisions>false</trackRevisions>
    </reviewItem>
    <reviewItem>
      <errorID>bd39939a-47b7-4838-be88-8d927b14f212</errorID>
      <errorWord>长期</errorWord>
      <group>L1_Punc</group>
      <groupName>标点问题</groupName>
      <ability>L2_Punc_CN</ability>
      <abilityName>标点符号问题</abilityName>
      <candidateList>
        <item>：长期</item>
      </candidateList>
      <explain/>
      <paraID>4DA8DBCB</paraID>
      <start>36</start>
      <end>38</end>
      <status>unmodified</status>
      <modifiedWord/>
      <trackRevisions>false</trackRevisions>
    </reviewItem>
    <reviewItem>
      <errorID>e175f22a-577a-4aaf-a072-95570e2c7c4f</errorID>
      <errorWord>确定的</errorWord>
      <group>L1_Word</group>
      <groupName>字词问题</groupName>
      <ability>L2_Typo</ability>
      <abilityName>字词错误</abilityName>
      <candidateList>
        <item>确定</item>
      </candidateList>
      <explain/>
      <paraID>543A35CC</paraID>
      <start>17</start>
      <end>20</end>
      <status>unmodified</status>
      <modifiedWord/>
      <trackRevisions>false</trackRevisions>
    </reviewItem>
    <reviewItem>
      <errorID>195dd793-1c54-456a-adc0-6083545b5d19</errorID>
      <errorWord>表</errorWord>
      <group>L1_Word</group>
      <groupName>字词问题</groupName>
      <ability>L2_Typo</ability>
      <abilityName>字词错误</abilityName>
      <candidateList>
        <item>见表</item>
      </candidateList>
      <explain/>
      <paraID>543A35CC</paraID>
      <start>34</start>
      <end>35</end>
      <status>unmodified</status>
      <modifiedWord/>
      <trackRevisions>false</trackRevisions>
    </reviewItem>
    <reviewItem>
      <errorID>2fdaffed-7895-4706-a61f-92c806d3fdfb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662B3B82</paraID>
      <start>5</start>
      <end>8</end>
      <status>unmodified</status>
      <modifiedWord/>
      <trackRevisions>false</trackRevisions>
    </reviewItem>
    <reviewItem>
      <errorID>a5506711-d03d-4768-8930-bb00f491a077</errorID>
      <errorWord>”</errorWord>
      <group>L1_Punc</group>
      <groupName>标点问题</groupName>
      <ability>L2_Punc_CN</ability>
      <abilityName>标点符号问题</abilityName>
      <candidateList>
        <item>“</item>
      </candidateList>
      <explain>注意检查双引号的方向是否正确。</explain>
      <paraID>58330B7E</paraID>
      <start>35</start>
      <end>36</end>
      <status>modified</status>
      <modifiedWord>“</modifiedWord>
      <trackRevisions>false</trackRevisions>
    </reviewItem>
    <reviewItem>
      <errorID>ec2028da-99be-4b2b-8204-c7a4aaa72d4c</errorID>
      <errorWord>工</errorWord>
      <group>L1_Word</group>
      <groupName>字词问题</groupName>
      <ability>L2_Typo</ability>
      <abilityName>字词错误</abilityName>
      <candidateList>
        <item>工业</item>
      </candidateList>
      <explain/>
      <paraID>58330B7E</paraID>
      <start>68</start>
      <end>69</end>
      <status>unmodified</status>
      <modifiedWord/>
      <trackRevisions>false</trackRevisions>
    </reviewItem>
    <reviewItem>
      <errorID>24b120d3-3677-474d-a3f2-efe811684849</errorID>
      <errorWord>II</errorWord>
      <group>L1_Knowledge</group>
      <groupName>知识性问题</groupName>
      <ability>L2_Knowledge</ability>
      <abilityName>其他知识</abilityName>
      <candidateList>
        <item>Ⅱ</item>
      </candidateList>
      <explain>中文环境下罗马数字格式错误。</explain>
      <paraID>2E2F7540</paraID>
      <start>23</start>
      <end>25</end>
      <status>unmodified</status>
      <modifiedWord/>
      <trackRevisions>false</trackRevisions>
    </reviewItem>
    <reviewItem>
      <errorID>913cbb97-9593-4f99-89d3-8b3f034331d0</errorID>
      <errorWord>-</errorWord>
      <group>L1_Format</group>
      <groupName>格式问题</groupName>
      <ability>L2_HalfPunc_CN</ability>
      <abilityName>全半角问题</abilityName>
      <candidateList>
        <item>－</item>
      </candidateList>
      <explain>文本全半角错误。</explain>
      <paraID>5922143D</paraID>
      <start>5</start>
      <end>6</end>
      <status>unmodified</status>
      <modifiedWord/>
      <trackRevisions>false</trackRevisions>
    </reviewItem>
    <reviewItem>
      <errorID>d8c02d80-665f-4ede-820e-4171a4e44986</errorID>
      <errorWord>环境</errorWord>
      <group>L1_Punc</group>
      <groupName>标点问题</groupName>
      <ability>L2_Punc_CN</ability>
      <abilityName>标点符号问题</abilityName>
      <candidateList>
        <item>《环境</item>
      </candidateList>
      <explain/>
      <paraID>6410EAB5</paraID>
      <start>0</start>
      <end>2</end>
      <status>unmodified</status>
      <modifiedWord/>
      <trackRevisions>false</trackRevisions>
    </reviewItem>
    <reviewItem>
      <errorID>ed272521-252b-4fca-9af3-8a8bc75bb1bb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6410EAB5</paraID>
      <start>8</start>
      <end>9</end>
      <status>unmodified</status>
      <modifiedWord/>
      <trackRevisions>false</trackRevisions>
    </reviewItem>
    <reviewItem>
      <errorID>f16455ba-435b-426d-a0c6-b31a2164b07a</errorID>
      <errorWord>标准标准</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399EC4E4</paraID>
      <start>53</start>
      <end>57</end>
      <status>unmodified</status>
      <modifiedWord/>
      <trackRevisions>false</trackRevisions>
    </reviewItem>
    <reviewItem>
      <errorID>a26e5d53-2359-42d3-b978-629e91aafa42</errorID>
      <errorWord>；</errorWord>
      <group>L1_Punc</group>
      <groupName>标点问题</groupName>
      <ability>L2_Punc_CN</ability>
      <abilityName>标点符号问题</abilityName>
      <candidateList>
        <item>，</item>
      </candidateList>
      <explain/>
      <paraID>387791FE</paraID>
      <start>48</start>
      <end>49</end>
      <status>unmodified</status>
      <modifiedWord/>
      <trackRevisions>false</trackRevisions>
    </reviewItem>
    <reviewItem>
      <errorID>48d55ff9-cb4a-42d0-b969-2b07f74c24f9</errorID>
      <errorWord>厂</errorWord>
      <group>L1_Word</group>
      <groupName>字词问题</groupName>
      <ability>L2_Typo</ability>
      <abilityName>字词错误</abilityName>
      <candidateList>
        <item>场</item>
      </candidateList>
      <explain/>
      <paraID>387791FE</paraID>
      <start>65</start>
      <end>66</end>
      <status>unmodified</status>
      <modifiedWord/>
      <trackRevisions>false</trackRevisions>
    </reviewItem>
    <reviewItem>
      <errorID>dd8260f5-a4a1-46d0-8985-f4e7479bd72d</errorID>
      <errorWord>﹤</errorWord>
      <group>L1_Grammar</group>
      <groupName>语法问题</groupName>
      <ability>L2_Grammar</ability>
      <abilityName>语法错误</abilityName>
      <candidateList>
        <item> &lt; </item>
      </candidateList>
      <explain/>
      <paraID>17D84885</paraID>
      <start>4</start>
      <end>5</end>
      <status>unmodified</status>
      <modifiedWord/>
      <trackRevisions>false</trackRevisions>
    </reviewItem>
    <reviewItem>
      <errorID>cb9e4f5c-d112-4f41-a01f-e8049509dec4</errorID>
      <errorWord>根据估算结果表明</errorWord>
      <group>L1_Grammar</group>
      <groupName>语法问题</groupName>
      <ability>L2_Grammar</ability>
      <abilityName>语法错误</abilityName>
      <candidateList>
        <item>根据估算</item>
      </candidateList>
      <explain>该表达中的“根据估算结果表明”存在语义重复。</explain>
      <paraID>2642ECC9</paraID>
      <start>0</start>
      <end>8</end>
      <status>unmodified</status>
      <modifiedWord/>
      <trackRevisions>false</trackRevisions>
    </reviewItem>
    <reviewItem>
      <errorID>ce29d389-1da6-450f-9110-57c7a8ce215d</errorID>
      <errorWord>因此根据</errorWord>
      <group>L1_Grammar</group>
      <groupName>语法问题</groupName>
      <ability>L2_Grammar</ability>
      <abilityName>语法错误</abilityName>
      <candidateList>
        <item>因此</item>
      </candidateList>
      <explain/>
      <paraID>246339C6</paraID>
      <start>100</start>
      <end>104</end>
      <status>unmodified</status>
      <modifiedWord/>
      <trackRevisions>false</trackRevisions>
    </reviewItem>
    <reviewItem>
      <errorID>2b6d3cfe-e789-4a99-b81d-835fe69f46c9</errorID>
      <errorWord>环境影响技术</errorWord>
      <group>L1_Grammar</group>
      <groupName>语法问题</groupName>
      <ability>L2_Grammar</ability>
      <abilityName>语法错误</abilityName>
      <candidateList>
        <item>环境影响</item>
      </candidateList>
      <explain/>
      <paraID> 10C2D1C</paraID>
      <start>3</start>
      <end>9</end>
      <status>unmodified</status>
      <modifiedWord/>
      <trackRevisions>false</trackRevisions>
    </reviewItem>
    <reviewItem>
      <errorID>72e586c0-0cd1-43d8-b8b7-6a96c55cd4a7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10C2D1C</paraID>
      <start>57</start>
      <end>58</end>
      <status>unmodified</status>
      <modifiedWord/>
      <trackRevisions>false</trackRevisions>
    </reviewItem>
    <reviewItem>
      <errorID>9db9c5f5-6cd1-40d4-be94-002c54321b9f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10C2D1C</paraID>
      <start>85</start>
      <end>86</end>
      <status>unmodified</status>
      <modifiedWord/>
      <trackRevisions>false</trackRevisions>
    </reviewItem>
    <reviewItem>
      <errorID>0364018d-8960-485b-ada3-6d898261a67a</errorID>
      <errorWord>环境影响技术</errorWord>
      <group>L1_Grammar</group>
      <groupName>语法问题</groupName>
      <ability>L2_Grammar</ability>
      <abilityName>语法错误</abilityName>
      <candidateList>
        <item>环境影响</item>
      </candidateList>
      <explain/>
      <paraID>1B533395</paraID>
      <start>3</start>
      <end>9</end>
      <status>unmodified</status>
      <modifiedWord/>
      <trackRevisions>false</trackRevisions>
    </reviewItem>
    <reviewItem>
      <errorID>b06e2374-b207-4889-a025-29a45a7498b9</errorID>
      <errorWord>集中水式</errorWord>
      <group>L1_Word</group>
      <groupName>字词问题</groupName>
      <ability>L2_Typo</ability>
      <abilityName>字词错误</abilityName>
      <candidateList>
        <item>集中式</item>
      </candidateList>
      <explain/>
      <paraID>3D341806</paraID>
      <start>59</start>
      <end>63</end>
      <status>unmodified</status>
      <modifiedWord/>
      <trackRevisions>false</trackRevisions>
    </reviewItem>
    <reviewItem>
      <errorID>27023e39-3287-43f4-9f6e-9bacc0f7aec3</errorID>
      <errorWord>”</errorWord>
      <group>L1_Punc</group>
      <groupName>标点问题</groupName>
      <ability>L2_Punc_CN</ability>
      <abilityName>标点符号问题</abilityName>
      <candidateList>
        <item>. “</item>
      </candidateList>
      <explain/>
      <paraID>2F0B7D69</paraID>
      <start>3</start>
      <end>6</end>
      <status>modified</status>
      <modifiedWord>. “</modifiedWord>
      <trackRevisions>false</trackRevisions>
    </reviewItem>
    <reviewItem>
      <errorID>4beac75d-c589-4919-b842-64c223d2f89c</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2BB18571</paraID>
      <start>76</start>
      <end>81</end>
      <status>unmodified</status>
      <modifiedWord/>
      <trackRevisions>false</trackRevisions>
    </reviewItem>
    <reviewItem>
      <errorID>a4bd00d2-45ae-4e1c-a9d3-6991e0acac35</errorID>
      <errorWord>集中水式</errorWord>
      <group>L1_Word</group>
      <groupName>字词问题</groupName>
      <ability>L2_Typo</ability>
      <abilityName>字词错误</abilityName>
      <candidateList>
        <item>集中式</item>
      </candidateList>
      <explain/>
      <paraID>2BB18571</paraID>
      <start>117</start>
      <end>121</end>
      <status>unmodified</status>
      <modifiedWord/>
      <trackRevisions>false</trackRevisions>
    </reviewItem>
    <reviewItem>
      <errorID>ba24445c-4af0-4d81-9a6d-e58bab1cb602</errorID>
      <errorWord>环境影响技术</errorWord>
      <group>L1_Grammar</group>
      <groupName>语法问题</groupName>
      <ability>L2_Grammar</ability>
      <abilityName>语法错误</abilityName>
      <candidateList>
        <item>环境影响</item>
      </candidateList>
      <explain/>
      <paraID>2BB18571</paraID>
      <start>211</start>
      <end>217</end>
      <status>unmodified</status>
      <modifiedWord/>
      <trackRevisions>false</trackRevisions>
    </reviewItem>
    <reviewItem>
      <errorID>d2ddff3f-7003-43b5-a317-be21213c1d8f</errorID>
      <errorWord>（</errorWord>
      <group>L1_Punc</group>
      <groupName>标点问题</groupName>
      <ability>L2_Punc_CN</ability>
      <abilityName>标点符号问题</abilityName>
      <candidateList/>
      <explain>同一形式括号套用。</explain>
      <paraID> 94DA1C8</paraID>
      <start>163</start>
      <end>164</end>
      <status>unmodified</status>
      <modifiedWord/>
      <trackRevisions>false</trackRevisions>
    </reviewItem>
    <reviewItem>
      <errorID>a1332259-26ec-4c2f-bd60-10b97a45b2b1</errorID>
      <errorWord>）</errorWord>
      <group>L1_Punc</group>
      <groupName>标点问题</groupName>
      <ability>L2_Punc_CN</ability>
      <abilityName>标点符号问题</abilityName>
      <candidateList/>
      <explain>同一形式括号套用。</explain>
      <paraID> 94DA1C8</paraID>
      <start>165</start>
      <end>166</end>
      <status>unmodified</status>
      <modifiedWord/>
      <trackRevisions>false</trackRevisions>
    </reviewItem>
    <reviewItem>
      <errorID>b694a717-00b4-41b1-8e97-61db4a016132</errorID>
      <errorWord>（</errorWord>
      <group>L1_Punc</group>
      <groupName>标点问题</groupName>
      <ability>L2_Punc_CN</ability>
      <abilityName>标点符号问题</abilityName>
      <candidateList/>
      <explain>同一形式括号套用。</explain>
      <paraID>77D9F9F1</paraID>
      <start>72</start>
      <end>73</end>
      <status>unmodified</status>
      <modifiedWord/>
      <trackRevisions>false</trackRevisions>
    </reviewItem>
    <reviewItem>
      <errorID>d411aeab-20fd-4890-992d-e9106d8910ad</errorID>
      <errorWord>）</errorWord>
      <group>L1_Punc</group>
      <groupName>标点问题</groupName>
      <ability>L2_Punc_CN</ability>
      <abilityName>标点符号问题</abilityName>
      <candidateList/>
      <explain>同一形式括号套用。</explain>
      <paraID>77D9F9F1</paraID>
      <start>74</start>
      <end>75</end>
      <status>unmodified</status>
      <modifiedWord/>
      <trackRevisions>false</trackRevisions>
    </reviewItem>
    <reviewItem>
      <errorID>6114b64c-c942-4498-ba5b-402b341b254d</errorID>
      <errorWord>”</errorWord>
      <group>L1_Punc</group>
      <groupName>标点问题</groupName>
      <ability>L2_Punc_CN</ability>
      <abilityName>标点符号问题</abilityName>
      <candidateList>
        <item>“</item>
      </candidateList>
      <explain/>
      <paraID>63F78AFC</paraID>
      <start>99</start>
      <end>100</end>
      <status>modified</status>
      <modifiedWord>“</modifiedWord>
      <trackRevisions>false</trackRevisions>
    </reviewItem>
    <reviewItem>
      <errorID>fa167eaf-e26f-493d-b3d3-edf5c737a643</errorID>
      <errorWord>8所示</errorWord>
      <group>L1_Grammar</group>
      <groupName>语法问题</groupName>
      <ability>L2_Grammar</ability>
      <abilityName>语法错误</abilityName>
      <candidateList>
        <item>8</item>
      </candidateList>
      <explain/>
      <paraID>650ECEF4</paraID>
      <start>41</start>
      <end>44</end>
      <status>unmodified</status>
      <modifiedWord/>
      <trackRevisions>false</trackRevisions>
    </reviewItem>
    <reviewItem>
      <errorID>3096b95d-6a02-405b-a3a2-e117913a683e</errorID>
      <errorWord>II</errorWord>
      <group>L1_Knowledge</group>
      <groupName>知识性问题</groupName>
      <ability>L2_Knowledge</ability>
      <abilityName>其他知识</abilityName>
      <candidateList>
        <item>Ⅱ</item>
      </candidateList>
      <explain>中文环境下罗马数字格式错误。</explain>
      <paraID>4047ED26</paraID>
      <start>0</start>
      <end>2</end>
      <status>unmodified</status>
      <modifiedWord/>
      <trackRevisions>false</trackRevisions>
    </reviewItem>
    <reviewItem>
      <errorID>dd0cd688-4430-4678-bed6-560ef9eba85d</errorID>
      <errorWord>III</errorWord>
      <group>L1_Knowledge</group>
      <groupName>知识性问题</groupName>
      <ability>L2_Knowledge</ability>
      <abilityName>其他知识</abilityName>
      <candidateList>
        <item>Ⅲ</item>
      </candidateList>
      <explain>中文环境下罗马数字格式错误。</explain>
      <paraID>4145C274</paraID>
      <start>0</start>
      <end>3</end>
      <status>unmodified</status>
      <modifiedWord/>
      <trackRevisions>false</trackRevisions>
    </reviewItem>
    <reviewItem>
      <errorID>76d96e39-f3c7-40f9-8e8c-0b67d31f6b12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FDC738</paraID>
      <start>2</start>
      <end>3</end>
      <status>unmodified</status>
      <modifiedWord/>
      <trackRevisions>false</trackRevisions>
    </reviewItem>
    <reviewItem>
      <errorID>baa6e824-3615-4c33-b0b7-a1787d2afd77</errorID>
      <errorWord>-</errorWord>
      <group>L1_Format</group>
      <groupName>格式问题</groupName>
      <ability>L2_HalfPunc_CN</ability>
      <abilityName>全半角问题</abilityName>
      <candidateList>
        <item>－</item>
      </candidateList>
      <explain>文本全半角错误。</explain>
      <paraID>  FDC738</paraID>
      <start>3</start>
      <end>4</end>
      <status>unmodified</status>
      <modifiedWord/>
      <trackRevisions>false</trackRevisions>
    </reviewItem>
    <reviewItem>
      <errorID>0fb06f44-63d8-4125-af92-1413aff99a22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FDC738</paraID>
      <start>4</start>
      <end>5</end>
      <status>unmodified</status>
      <modifiedWord/>
      <trackRevisions>false</trackRevisions>
    </reviewItem>
    <reviewItem>
      <errorID>0793b87b-8be3-4c80-af99-86c995ec1913</errorID>
      <errorWord>。</errorWord>
      <group>L1_Punc</group>
      <groupName>标点问题</groupName>
      <ability>L2_Punc_CN</ability>
      <abilityName>标点符号问题</abilityName>
      <candidateList>
        <item>，</item>
      </candidateList>
      <explain/>
      <paraID>2A7F7053</paraID>
      <start>60</start>
      <end>61</end>
      <status>modified</status>
      <modifiedWord>，</modifiedWord>
      <trackRevisions>false</trackRevisions>
    </reviewItem>
    <reviewItem>
      <errorID>2cb2ab57-ad0d-4995-9f41-e4922d4c78c7</errorID>
      <errorWord>如下</errorWord>
      <group>L1_Word</group>
      <groupName>字词问题</groupName>
      <ability>L2_Typo</ability>
      <abilityName>字词错误</abilityName>
      <candidateList>
        <item>按如下</item>
      </candidateList>
      <explain/>
      <paraID>2A7F7053</paraID>
      <start>73</start>
      <end>75</end>
      <status>unmodified</status>
      <modifiedWord/>
      <trackRevisions>false</trackRevisions>
    </reviewItem>
    <reviewItem>
      <errorID>648d5819-5164-4ff4-9389-e79360ee2f74</errorID>
      <errorWord>环境</errorWord>
      <group>L1_Punc</group>
      <groupName>标点问题</groupName>
      <ability>L2_Punc_CN</ability>
      <abilityName>标点符号问题</abilityName>
      <candidateList>
        <item>，环境</item>
      </candidateList>
      <explain/>
      <paraID>5857ED14</paraID>
      <start>30</start>
      <end>33</end>
      <status>modified</status>
      <modifiedWord>，环境</modifiedWord>
      <trackRevisions>false</trackRevisions>
    </reviewItem>
    <reviewItem>
      <errorID>70f11573-6f41-4c63-aa62-a226211c9eb3</errorID>
      <errorWord>环境影响评级</errorWord>
      <group>L1_Knowledge</group>
      <groupName>知识性问题</groupName>
      <ability>L2_Term</ability>
      <abilityName>专业术语</abilityName>
      <candidateList>
        <item>环境影响评价</item>
      </candidateList>
      <explain/>
      <paraID>64EC4C22</paraID>
      <start>3</start>
      <end>9</end>
      <status>unmodified</status>
      <modifiedWord/>
      <trackRevisions>false</trackRevisions>
    </reviewItem>
    <reviewItem>
      <errorID>ddf7674e-3374-4c93-8c37-62e10b6b5452</errorID>
      <errorWord>大气环境</errorWord>
      <group>L1_Word</group>
      <groupName>字词问题</groupName>
      <ability>L2_Typo</ability>
      <abilityName>字词错误</abilityName>
      <candidateList>
        <item> 大气环境</item>
      </candidateList>
      <explain/>
      <paraID>62507CC8</paraID>
      <start>13</start>
      <end>17</end>
      <status>unmodified</status>
      <modifiedWord/>
      <trackRevisions>false</trackRevisions>
    </reviewItem>
    <reviewItem>
      <errorID>217e123f-9fd4-40b2-914c-3334cbb3ee88</errorID>
      <errorWord>HJ2</errorWord>
      <group>L1_Word</group>
      <groupName>字词问题</groupName>
      <ability>L2_Typo</ability>
      <abilityName>字词错误</abilityName>
      <candidateList>
        <item>HJ 2</item>
      </candidateList>
      <explain/>
      <paraID>62507CC8</paraID>
      <start>19</start>
      <end>22</end>
      <status>unmodified</status>
      <modifiedWord/>
      <trackRevisions>false</trackRevisions>
    </reviewItem>
    <reviewItem>
      <errorID>c1645acb-44d1-47de-af61-b61232eca77d</errorID>
      <errorWord>围以</errorWord>
      <group>L1_Word</group>
      <groupName>字词问题</groupName>
      <ability>L2_Typo</ability>
      <abilityName>字词错误</abilityName>
      <candidateList>
        <item>以</item>
      </candidateList>
      <explain/>
      <paraID>478ECCDC</paraID>
      <start>0</start>
      <end>2</end>
      <status>unmodified</status>
      <modifiedWord/>
      <trackRevisions>false</trackRevisions>
    </reviewItem>
    <reviewItem>
      <errorID>2aead029-51f3-4298-bd5c-597d87345419</errorID>
      <errorWord>减小</errorWord>
      <group>L1_Word</group>
      <groupName>字词问题</groupName>
      <ability>L2_Typo</ability>
      <abilityName>字词错误</abilityName>
      <candidateList>
        <item>减少</item>
      </candidateList>
      <explain>存在字形相近字词的误用。</explain>
      <paraID>4A516B3A</paraID>
      <start>37</start>
      <end>39</end>
      <status>unmodified</status>
      <modifiedWord/>
      <trackRevisions>false</trackRevisions>
    </reviewItem>
    <reviewItem>
      <errorID>49b7081e-bde6-405f-9fde-30aea96953f7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39C52FCE</paraID>
      <start>7</start>
      <end>10</end>
      <status>unmodified</status>
      <modifiedWord/>
      <trackRevisions>false</trackRevisions>
    </reviewItem>
    <reviewItem>
      <errorID>bcf47581-4742-45fc-8478-f55e90251870</errorID>
      <errorWord>农业部</errorWord>
      <group>L1_Knowledge</group>
      <groupName>知识性问题</groupName>
      <ability>L2_Knowledge</ability>
      <abilityName>其他知识</abilityName>
      <candidateList>
        <item>农业农村部</item>
      </candidateList>
      <explain/>
      <paraID>39C52FCE</paraID>
      <start>108</start>
      <end>111</end>
      <status>unmodified</status>
      <modifiedWord/>
      <trackRevisions>false</trackRevisions>
    </reviewItem>
    <reviewItem>
      <errorID>1e43671a-891c-4065-a589-e17a03ae1529</errorID>
      <errorWord>范</errorWord>
      <group>L1_Word</group>
      <groupName>字词问题</groupName>
      <ability>L2_Typo</ability>
      <abilityName>字词错误</abilityName>
      <candidateList>
        <item>范性</item>
      </candidateList>
      <explain/>
      <paraID>39C52FCE</paraID>
      <start>193</start>
      <end>194</end>
      <status>unmodified</status>
      <modifiedWord/>
      <trackRevisions>false</trackRevisions>
    </reviewItem>
    <reviewItem>
      <errorID>b9d62c3c-8189-4bbc-9890-f42cfa2b8735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5ECD077B</paraID>
      <start>0</start>
      <end>3</end>
      <status>unmodified</status>
      <modifiedWord/>
      <trackRevisions>false</trackRevisions>
    </reviewItem>
    <reviewItem>
      <errorID>fc30a009-0b04-4388-a1a9-1abf0488b44b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5ECD077B</paraID>
      <start>29</start>
      <end>32</end>
      <status>unmodified</status>
      <modifiedWord/>
      <trackRevisions>false</trackRevisions>
    </reviewItem>
    <reviewItem>
      <errorID>c15dd3cd-0af0-4144-9ca9-db007c6817d1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2316B8C7</paraID>
      <start>8</start>
      <end>11</end>
      <status>unmodified</status>
      <modifiedWord/>
      <trackRevisions>false</trackRevisions>
    </reviewItem>
    <reviewItem>
      <errorID>71d0e60a-926e-40f2-b353-54a644f88c35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34D78874</paraID>
      <start>0</start>
      <end>2</end>
      <status>unmodified</status>
      <modifiedWord/>
      <trackRevisions>false</trackRevisions>
    </reviewItem>
    <reviewItem>
      <errorID>612e6a8f-4768-4533-b6cd-1cd3b9b2b2bf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4D983F0B</paraID>
      <start>8</start>
      <end>11</end>
      <status>unmodified</status>
      <modifiedWord/>
      <trackRevisions>false</trackRevisions>
    </reviewItem>
    <reviewItem>
      <errorID>a3f58777-0dc8-4fa9-8dfe-3b0bc130c0b8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5B1D744A</paraID>
      <start>8</start>
      <end>11</end>
      <status>unmodified</status>
      <modifiedWord/>
      <trackRevisions>false</trackRevisions>
    </reviewItem>
    <reviewItem>
      <errorID>d869c911-294e-4e0c-a069-2d807000a708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785A6379</paraID>
      <start>10</start>
      <end>13</end>
      <status>unmodified</status>
      <modifiedWord/>
      <trackRevisions>false</trackRevisions>
    </reviewItem>
    <reviewItem>
      <errorID>39e6b1dc-ebb7-4028-bd4b-0d4d8a0b5411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298572C9</paraID>
      <start>95</start>
      <end>96</end>
      <status>unmodified</status>
      <modifiedWord/>
      <trackRevisions>false</trackRevisions>
    </reviewItem>
    <reviewItem>
      <errorID>f9ff102d-211d-4b66-80ac-1b78a950fb07</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298572C9</paraID>
      <start>122</start>
      <end>126</end>
      <status>unmodified</status>
      <modifiedWord/>
      <trackRevisions>false</trackRevisions>
    </reviewItem>
    <reviewItem>
      <errorID>aaf40592-e95a-4402-81ea-003ceb58b114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298572C9</paraID>
      <start>136</start>
      <end>137</end>
      <status>unmodified</status>
      <modifiedWord/>
      <trackRevisions>false</trackRevisions>
    </reviewItem>
    <reviewItem>
      <errorID>6e48b907-eb6e-45a9-9f96-e9eaf8c115ec</errorID>
      <errorWord>-</errorWord>
      <group>L1_Format</group>
      <groupName>格式问题</groupName>
      <ability>L2_HalfPunc_CN</ability>
      <abilityName>全半角问题</abilityName>
      <candidateList>
        <item>－</item>
      </candidateList>
      <explain>文本全半角错误。</explain>
      <paraID>666D371B</paraID>
      <start>4</start>
      <end>5</end>
      <status>unmodified</status>
      <modifiedWord/>
      <trackRevisions>false</trackRevisions>
    </reviewItem>
    <reviewItem>
      <errorID>c96874fa-ed00-4813-9754-12cdd339138a</errorID>
      <errorWord>场区</errorWord>
      <group>L1_Word</group>
      <groupName>字词问题</groupName>
      <ability>L2_Typo</ability>
      <abilityName>字词错误</abilityName>
      <candidateList>
        <item>厂区</item>
      </candidateList>
      <explain>存在发音相同字词的误用。</explain>
      <paraID> 10B626A</paraID>
      <start>3</start>
      <end>5</end>
      <status>unmodified</status>
      <modifiedWord/>
      <trackRevisions>false</trackRevisions>
    </reviewItem>
    <reviewItem>
      <errorID>8411bdb8-cdf3-4609-9901-c8d36e5fe812</errorID>
      <errorWord>计</errorWord>
      <group>L1_Word</group>
      <groupName>字词问题</groupName>
      <ability>L2_Typo</ability>
      <abilityName>字词错误</abilityName>
      <candidateList>
        <item>计算</item>
      </candidateList>
      <explain/>
      <paraID>27E8547B</paraID>
      <start>133</start>
      <end>134</end>
      <status>unmodified</status>
      <modifiedWord/>
      <trackRevisions>false</trackRevisions>
    </reviewItem>
    <reviewItem>
      <errorID>bbfaaf68-9168-4bea-b4f1-44e1210b6e8c</errorID>
      <errorWord>计</errorWord>
      <group>L1_Word</group>
      <groupName>字词问题</groupName>
      <ability>L2_Typo</ability>
      <abilityName>字词错误</abilityName>
      <candidateList>
        <item>计算</item>
      </candidateList>
      <explain/>
      <paraID>12BBACBE</paraID>
      <start>60</start>
      <end>61</end>
      <status>unmodified</status>
      <modifiedWord/>
      <trackRevisions>false</trackRevisions>
    </reviewItem>
    <reviewItem>
      <errorID>6d382842-3da9-4912-91d5-046db0b5c518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21C9B79A</paraID>
      <start>0</start>
      <end>2</end>
      <status>unmodified</status>
      <modifiedWord/>
      <trackRevisions>false</trackRevisions>
    </reviewItem>
    <reviewItem>
      <errorID>81895b13-7b19-4895-925f-5850ba0e949a</errorID>
      <errorWord>巨增</errorWord>
      <group>L1_Word</group>
      <groupName>字词问题</groupName>
      <ability>L2_Typo</ability>
      <abilityName>字词错误</abilityName>
      <candidateList>
        <item>剧增</item>
      </candidateList>
      <explain/>
      <paraID>58412669</paraID>
      <start>21</start>
      <end>23</end>
      <status>unmodified</status>
      <modifiedWord/>
      <trackRevisions>false</trackRevisions>
    </reviewItem>
    <reviewItem>
      <errorID>3a44ef37-b330-459d-9875-cbc715fe8bf6</errorID>
      <errorWord>五、六个</errorWord>
      <group>L1_Punc</group>
      <groupName>标点问题</groupName>
      <ability>L2_Punc_CN</ability>
      <abilityName>标点符号问题</abilityName>
      <candidateList>
        <item>五六个</item>
      </candidateList>
      <explain/>
      <paraID>3C348F1C</paraID>
      <start>19</start>
      <end>23</end>
      <status>unmodified</status>
      <modifiedWord/>
      <trackRevisions>false</trackRevisions>
    </reviewItem>
    <reviewItem>
      <errorID>bcc94db4-d154-42c6-a88d-ecb20a2160b9</errorID>
      <errorWord>作好</errorWord>
      <group>L1_Word</group>
      <groupName>字词问题</groupName>
      <ability>L2_Typo</ability>
      <abilityName>字词错误</abilityName>
      <candidateList>
        <item>做好</item>
      </candidateList>
      <explain/>
      <paraID>3C348F1C</paraID>
      <start>57</start>
      <end>59</end>
      <status>unmodified</status>
      <modifiedWord/>
      <trackRevisions>false</trackRevisions>
    </reviewItem>
    <reviewItem>
      <errorID>e3d41c1e-f529-47cb-879c-3b8a4df87055</errorID>
      <errorWord>异外</errorWord>
      <group>L1_Word</group>
      <groupName>字词问题</groupName>
      <ability>L2_Typo</ability>
      <abilityName>字词错误</abilityName>
      <candidateList>
        <item>意外</item>
      </candidateList>
      <explain>存在发音相同字词的误用。</explain>
      <paraID>24A1061D</paraID>
      <start>53</start>
      <end>55</end>
      <status>unmodified</status>
      <modifiedWord/>
      <trackRevisions>false</trackRevisions>
    </reviewItem>
    <reviewItem>
      <errorID>046b0b85-2b75-4bc2-8a4a-b740d2a3ea71</errorID>
      <errorWord>作好</errorWord>
      <group>L1_Grammar</group>
      <groupName>语法问题</groupName>
      <ability>L2_Grammar</ability>
      <abilityName>语法错误</abilityName>
      <candidateList>
        <item>做好</item>
      </candidateList>
      <explain>“作好～工作”搭配不当，建议修改为“做好～工作”。</explain>
      <paraID>24A1061D</paraID>
      <start>125</start>
      <end>127</end>
      <status>unmodified</status>
      <modifiedWord/>
      <trackRevisions>false</trackRevisions>
    </reviewItem>
    <reviewItem>
      <errorID>9158b6b2-09de-4e45-a5f3-551d31e44f6f</errorID>
      <errorWord>作好</errorWord>
      <group>L1_Grammar</group>
      <groupName>语法问题</groupName>
      <ability>L2_Grammar</ability>
      <abilityName>语法错误</abilityName>
      <candidateList>
        <item>做好</item>
      </candidateList>
      <explain>“作好～工作”搭配不当，建议修改为“做好～工作”。</explain>
      <paraID>24A1061D</paraID>
      <start>134</start>
      <end>136</end>
      <status>unmodified</status>
      <modifiedWord/>
      <trackRevisions>false</trackRevisions>
    </reviewItem>
    <reviewItem>
      <errorID>807480fd-eaa1-4a52-b00a-0d1ac7330b60</errorID>
      <errorWord>天时则</errorWord>
      <group>L1_Word</group>
      <groupName>字词问题</groupName>
      <ability>L2_Typo</ability>
      <abilityName>字词错误</abilityName>
      <candidateList>
        <item>天时</item>
      </candidateList>
      <explain/>
      <paraID>63D7D22F</paraID>
      <start>22</start>
      <end>25</end>
      <status>unmodified</status>
      <modifiedWord/>
      <trackRevisions>false</trackRevisions>
    </reviewItem>
    <reviewItem>
      <errorID>0dfdc0d3-a2b1-4bba-8ec1-2af0440b83eb</errorID>
      <errorWord>连续二周</errorWord>
      <group>L1_Word</group>
      <groupName>字词问题</groupName>
      <ability>L2_Typo</ability>
      <abilityName>字词错误</abilityName>
      <candidateList>
        <item>连续两周</item>
      </candidateList>
      <explain/>
      <paraID>63D7D22F</paraID>
      <start>41</start>
      <end>45</end>
      <status>unmodified</status>
      <modifiedWord/>
      <trackRevisions>false</trackRevisions>
    </reviewItem>
    <reviewItem>
      <errorID>e231c47e-dbef-43ee-a04e-ba126a74830a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24</start>
      <end>25</end>
      <status>unmodified</status>
      <modifiedWord/>
      <trackRevisions>false</trackRevisions>
    </reviewItem>
    <reviewItem>
      <errorID>bc885b04-0fa2-4552-a686-b2bee70a6148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34</start>
      <end>35</end>
      <status>unmodified</status>
      <modifiedWord/>
      <trackRevisions>false</trackRevisions>
    </reviewItem>
    <reviewItem>
      <errorID>2441cde1-91a5-4a62-a832-275c3aa40053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80</start>
      <end>81</end>
      <status>unmodified</status>
      <modifiedWord/>
      <trackRevisions>false</trackRevisions>
    </reviewItem>
    <reviewItem>
      <errorID>7a1cf41d-2ac5-4500-b910-3123a13ec1de</errorID>
      <errorWord>贮备</errorWord>
      <group>L1_Word</group>
      <groupName>字词问题</groupName>
      <ability>L2_Typo</ability>
      <abilityName>字词错误</abilityName>
      <candidateList>
        <item>储备</item>
      </candidateList>
      <explain/>
      <paraID> 5CDF6F3</paraID>
      <start>49</start>
      <end>51</end>
      <status>unmodified</status>
      <modifiedWord/>
      <trackRevisions>false</trackRevisions>
    </reviewItem>
    <reviewItem>
      <errorID>9d1ff142-4710-4e69-b3b6-428f1180a137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5CDF6F3</paraID>
      <start>70</start>
      <end>71</end>
      <status>unmodified</status>
      <modifiedWord/>
      <trackRevisions>false</trackRevisions>
    </reviewItem>
    <reviewItem>
      <errorID>729805bd-8ed1-454c-ba6d-b29dabf7647d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5CDF6F3</paraID>
      <start>80</start>
      <end>81</end>
      <status>unmodified</status>
      <modifiedWord/>
      <trackRevisions>false</trackRevisions>
    </reviewItem>
    <reviewItem>
      <errorID>4e5499d0-767f-4fd1-a45f-91e9d3bf9a66</errorID>
      <errorWord>作好</errorWord>
      <group>L1_Word</group>
      <groupName>字词问题</groupName>
      <ability>L2_Typo</ability>
      <abilityName>字词错误</abilityName>
      <candidateList>
        <item>做好</item>
      </candidateList>
      <explain/>
      <paraID>52E2F366</paraID>
      <start>25</start>
      <end>27</end>
      <status>unmodified</status>
      <modifiedWord/>
      <trackRevisions>false</trackRevisions>
    </reviewItem>
    <reviewItem>
      <errorID>20d7b26f-b366-4e3f-989d-04e9b05ba013</errorID>
      <errorWord>乏弱</errorWord>
      <group>L1_Word</group>
      <groupName>字词问题</groupName>
      <ability>L2_Typo</ability>
      <abilityName>字词错误</abilityName>
      <candidateList>
        <item>羸弱</item>
      </candidateList>
      <explain/>
      <paraID> 140D586</paraID>
      <start>25</start>
      <end>27</end>
      <status>unmodified</status>
      <modifiedWord/>
      <trackRevisions>false</trackRevisions>
    </reviewItem>
    <reviewItem>
      <errorID>8e150780-1f88-4bf1-b081-4427b02501ab</errorID>
      <errorWord>不予饮水</errorWord>
      <group>L1_Word</group>
      <groupName>字词问题</groupName>
      <ability>L2_Typo</ability>
      <abilityName>字词错误</abilityName>
      <candidateList>
        <item>不欲饮水</item>
      </candidateList>
      <explain/>
      <paraID> 140D586</paraID>
      <start>45</start>
      <end>49</end>
      <status>unmodified</status>
      <modifiedWord/>
      <trackRevisions>false</trackRevisions>
    </reviewItem>
    <reviewItem>
      <errorID>15117551-ce61-4a6f-8091-845acdf7a9c2</errorID>
      <errorWord>较其它</errorWord>
      <group>L1_Word</group>
      <groupName>字词问题</groupName>
      <ability>L2_Alias</ability>
      <abilityName>也作/曾用词</abilityName>
      <candidateList>
        <item>较其他</item>
      </candidateList>
      <explain>词汇[较其它]为不规范表述或旧称，其规范书面表述为[较其他]。</explain>
      <paraID> 140D586</paraID>
      <start>140</start>
      <end>143</end>
      <status>unmodified</status>
      <modifiedWord/>
      <trackRevisions>false</trackRevisions>
    </reviewItem>
    <reviewItem>
      <errorID>0e6933ef-67de-4fab-ba1c-6be0c1e2256d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7CC0DCBC</paraID>
      <start>23</start>
      <end>24</end>
      <status>unmodified</status>
      <modifiedWord/>
      <trackRevisions>false</trackRevisions>
    </reviewItem>
    <reviewItem>
      <errorID>ca0806f5-8bc6-4c66-9763-19f6d51bedf3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75F6B4AD</paraID>
      <start>45</start>
      <end>46</end>
      <status>unmodified</status>
      <modifiedWord/>
      <trackRevisions>false</trackRevisions>
    </reviewItem>
    <reviewItem>
      <errorID>2bf33b0f-7035-409c-b9a8-1228b84840cb</errorID>
      <errorWord>作好</errorWord>
      <group>L1_Grammar</group>
      <groupName>语法问题</groupName>
      <ability>L2_Grammar</ability>
      <abilityName>语法错误</abilityName>
      <candidateList>
        <item>做好</item>
      </candidateList>
      <explain>“作好～工作”搭配不当，建议修改为“做好～工作”。</explain>
      <paraID>75F6B4AD</paraID>
      <start>146</start>
      <end>148</end>
      <status>unmodified</status>
      <modifiedWord/>
      <trackRevisions>false</trackRevisions>
    </reviewItem>
    <reviewItem>
      <errorID>e6317d24-e3ca-4e0c-bcb4-58d1ddbddb4f</errorID>
      <errorWord>件</errorWord>
      <group>L1_Word</group>
      <groupName>字词问题</groupName>
      <ability>L2_Typo</ability>
      <abilityName>字词错误</abilityName>
      <candidateList>
        <item>件的</item>
      </candidateList>
      <explain/>
      <paraID>69CBE90A</paraID>
      <start>114</start>
      <end>115</end>
      <status>unmodified</status>
      <modifiedWord/>
      <trackRevisions>false</trackRevisions>
    </reviewItem>
    <reviewItem>
      <errorID>1b05aef6-2e08-4347-be3c-f5b2504065a7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62</start>
      <end>63</end>
      <status>unmodified</status>
      <modifiedWord/>
      <trackRevisions>false</trackRevisions>
    </reviewItem>
    <reviewItem>
      <errorID>5c15e900-39dc-4a85-9454-496d7545cb89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72</start>
      <end>73</end>
      <status>unmodified</status>
      <modifiedWord/>
      <trackRevisions>false</trackRevisions>
    </reviewItem>
    <reviewItem>
      <errorID>ebe907d4-143b-4462-a061-63836248e2af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87</start>
      <end>88</end>
      <status>unmodified</status>
      <modifiedWord/>
      <trackRevisions>false</trackRevisions>
    </reviewItem>
    <reviewItem>
      <errorID>accf26a2-2acf-4fd2-ba57-be052473b97d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116</start>
      <end>117</end>
      <status>unmodified</status>
      <modifiedWord/>
      <trackRevisions>false</trackRevisions>
    </reviewItem>
    <reviewItem>
      <errorID>269b12b3-83eb-48d4-965f-37b9822a28ca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128</start>
      <end>129</end>
      <status>unmodified</status>
      <modifiedWord/>
      <trackRevisions>false</trackRevisions>
    </reviewItem>
    <reviewItem>
      <errorID>82c2e529-02e9-4028-a493-b16b605ed5d1</errorID>
      <errorWord>接</errorWord>
      <group>L1_Word</group>
      <groupName>字词问题</groupName>
      <ability>L2_Typo</ability>
      <abilityName>字词错误</abilityName>
      <candidateList>
        <item>按</item>
      </candidateList>
      <explain>（案）àn❶〈书〉考查；核对：有原文可～。❷（编者、作者等）加按语：编者～。</explain>
      <paraID>5C3D1ECB</paraID>
      <start>15</start>
      <end>16</end>
      <status>unmodified</status>
      <modifiedWord/>
      <trackRevisions>false</trackRevisions>
    </reviewItem>
    <reviewItem>
      <errorID>e25373df-e050-45ea-bdd4-947069c972ca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34</start>
      <end>35</end>
      <status>unmodified</status>
      <modifiedWord/>
      <trackRevisions>false</trackRevisions>
    </reviewItem>
    <reviewItem>
      <errorID>43477ec9-745e-4f2f-85a3-710686fb64d5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48</start>
      <end>49</end>
      <status>unmodified</status>
      <modifiedWord/>
      <trackRevisions>false</trackRevisions>
    </reviewItem>
    <reviewItem>
      <errorID>3f694c69-924f-4b75-be4c-1e8018af465b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62</start>
      <end>63</end>
      <status>unmodified</status>
      <modifiedWord/>
      <trackRevisions>false</trackRevisions>
    </reviewItem>
    <reviewItem>
      <errorID>e658ae1c-fed1-40d0-9d71-7c8c7a0b6be8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5D74BF43</paraID>
      <start>15</start>
      <end>16</end>
      <status>unmodified</status>
      <modifiedWord/>
      <trackRevisions>false</trackRevisions>
    </reviewItem>
    <reviewItem>
      <errorID>583b7faf-8d7b-4030-aada-b5940f4d2271</errorID>
      <errorWord>5-7%</errorWord>
      <group>L1_Knowledge</group>
      <groupName>知识性问题</groupName>
      <ability>L2_Knowledge</ability>
      <abilityName>其他知识</abilityName>
      <candidateList>
        <item>5%—7%</item>
      </candidateList>
      <explain>1. “5-7%”中的单位“%”仅出现在后一个数字上，容易引起歧义；根据《现代汉语标点符号数字用法规范手册》，数字表示范围两边需要使用统一的格式。2. 根据标点国标 4.13 中的规则，数字、时间或地域连接符应使用（视觉上更长的）“—”或“～”。</explain>
      <paraID>5D74BF43</paraID>
      <start>47</start>
      <end>51</end>
      <status>unmodified</status>
      <modifiedWord/>
      <trackRevisions>false</trackRevisions>
    </reviewItem>
    <reviewItem>
      <errorID>1cc2f3fa-606b-460d-b6ca-632ea3c1d02d</errorID>
      <errorWord>的粘液</errorWord>
      <group>L1_Word</group>
      <groupName>字词问题</groupName>
      <ability>L2_Alias</ability>
      <abilityName>也作/曾用词</abilityName>
      <candidateList>
        <item>的黏液</item>
      </candidateList>
      <explain>词汇[的粘液]为不规范表述或旧称，其规范书面表述为[的黏液]。</explain>
      <paraID>5D74BF43</paraID>
      <start>146</start>
      <end>149</end>
      <status>unmodified</status>
      <modifiedWord/>
      <trackRevisions>false</trackRevisions>
    </reviewItem>
    <reviewItem>
      <errorID>657ba7ac-75ee-42bc-a9b6-24cb25e34367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37A57D29</paraID>
      <start>11</start>
      <end>12</end>
      <status>unmodified</status>
      <modifiedWord/>
      <trackRevisions>false</trackRevisions>
    </reviewItem>
    <reviewItem>
      <errorID>77122b1b-fead-4d86-af93-ceb31587eb30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37A57D29</paraID>
      <start>66</start>
      <end>67</end>
      <status>unmodified</status>
      <modifiedWord/>
      <trackRevisions>false</trackRevisions>
    </reviewItem>
    <reviewItem>
      <errorID>9d451fbe-add8-44b4-89b1-e7ed70fe5d36</errorID>
      <errorWord>3-4小时</errorWord>
      <group>L1_Word</group>
      <groupName>字词问题</groupName>
      <ability>L2_Typo</ability>
      <abilityName>字词错误</abilityName>
      <candidateList>
        <item>3～4小时</item>
      </candidateList>
      <explain/>
      <paraID>37A57D29</paraID>
      <start>92</start>
      <end>97</end>
      <status>unmodified</status>
      <modifiedWord/>
      <trackRevisions>false</trackRevisions>
    </reviewItem>
    <reviewItem>
      <errorID>cab8bcce-6673-419d-816d-d76ae20539c9</errorID>
      <errorWord>三、四天</errorWord>
      <group>L1_Knowledge</group>
      <groupName>知识性问题</groupName>
      <ability>L2_Knowledge</ability>
      <abilityName>其他知识</abilityName>
      <candidateList>
        <item>三四天</item>
      </candidateList>
      <explain>根据国标GB/T 15834-2011《标点符号用法》中的4.5.3.4节，相邻或相近两数字连用表概数时，通常不使用顿号。如“只能看到八九公里范围内的地面”。</explain>
      <paraID>7B0BCF8B</paraID>
      <start>69</start>
      <end>73</end>
      <status>unmodified</status>
      <modifiedWord/>
      <trackRevisions>false</trackRevisions>
    </reviewItem>
    <reviewItem>
      <errorID>544e578f-4b5d-4a3f-b6bb-4217fb78a720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20052440</paraID>
      <start>0</start>
      <end>2</end>
      <status>unmodified</status>
      <modifiedWord/>
      <trackRevisions>false</trackRevisions>
    </reviewItem>
    <reviewItem>
      <errorID>8b63be7f-3a64-4dbd-8c2d-ce5b68c2b0c9</errorID>
      <errorWord>:</errorWord>
      <group>L1_Format</group>
      <groupName>格式问题</groupName>
      <ability>L2_HalfPunc_CN</ability>
      <abilityName>全半角问题</abilityName>
      <candidateList>
        <item>：</item>
      </candidateList>
      <explain>文本全半角错误。</explain>
      <paraID>365AA053</paraID>
      <start>18</start>
      <end>19</end>
      <status>unmodified</status>
      <modifiedWord/>
      <trackRevisions>false</trackRevisions>
    </reviewItem>
    <reviewItem>
      <errorID>b9694bde-0b33-49a1-8cb8-89c2b22b7844</errorID>
      <errorWord>混凝士</errorWord>
      <group>L1_Word</group>
      <groupName>字词问题</groupName>
      <ability>L2_Typo</ability>
      <abilityName>字词错误</abilityName>
      <candidateList>
        <item>混凝土</item>
      </candidateList>
      <explain>〈名〉一种建筑材料，一般用水泥、沙、石子和水按比例拌和而成，硬结后有耐压、耐水、耐火等性能。</explain>
      <paraID>2CBCE86D</paraID>
      <start>31</start>
      <end>34</end>
      <status>unmodified</status>
      <modifiedWord/>
      <trackRevisions>false</trackRevisions>
    </reviewItem>
    <reviewItem>
      <errorID>8a169e21-0a4f-4926-92d6-79eaa00c8a48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1C7467DE</paraID>
      <start>0</start>
      <end>2</end>
      <status>unmodified</status>
      <modifiedWord/>
      <trackRevisions>false</trackRevisions>
    </reviewItem>
    <reviewItem>
      <errorID>96e0cbfa-e7f6-4e50-87c7-f4f016d95e34</errorID>
      <errorWord>时排</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280EC697</paraID>
      <start>43</start>
      <end>45</end>
      <status>unmodified</status>
      <modifiedWord/>
      <trackRevisions>false</trackRevisions>
    </reviewItem>
    <reviewItem>
      <errorID>b47b9fbd-0786-4580-898d-cf8cc23e9dd2</errorID>
      <errorWord>沙石</errorWord>
      <group>L1_Word</group>
      <groupName>字词问题</groupName>
      <ability>L2_Typo</ability>
      <abilityName>字词错误</abilityName>
      <candidateList>
        <item>砂石</item>
      </candidateList>
      <explain>存在发音相同字词的误用。</explain>
      <paraID>2B169315</paraID>
      <start>44</start>
      <end>46</end>
      <status>unmodified</status>
      <modifiedWord/>
      <trackRevisions>false</trackRevisions>
    </reviewItem>
    <reviewItem>
      <errorID>c166d06a-ac47-4f91-98b2-dd590431ab14</errorID>
      <errorWord>据有关文献资料显示</errorWord>
      <group>L1_Grammar</group>
      <groupName>语法问题</groupName>
      <ability>L2_Grammar</ability>
      <abilityName>语法错误</abilityName>
      <candidateList>
        <item>据有关文献资料</item>
      </candidateList>
      <explain>该表达中的“据有关文献资料显示”存在语义重复。</explain>
      <paraID>51E32044</paraID>
      <start>37</start>
      <end>46</end>
      <status>unmodified</status>
      <modifiedWord/>
      <trackRevisions>false</trackRevisions>
    </reviewItem>
    <reviewItem>
      <errorID>9b12c1e8-7fa1-489e-bdf1-fb7c786ee5a7</errorID>
      <errorWord>作到</errorWord>
      <group>L1_Word</group>
      <groupName>字词问题</groupName>
      <ability>L2_Typo</ability>
      <abilityName>字词错误</abilityName>
      <candidateList>
        <item>做到</item>
      </candidateList>
      <explain/>
      <paraID>69373DF0</paraID>
      <start>138</start>
      <end>140</end>
      <status>unmodified</status>
      <modifiedWord/>
      <trackRevisions>false</trackRevisions>
    </reviewItem>
    <reviewItem>
      <errorID>a010130c-2929-4995-8555-67a7579009f2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3C00A58F</paraID>
      <start>84</start>
      <end>87</end>
      <status>unmodified</status>
      <modifiedWord/>
      <trackRevisions>false</trackRevisions>
    </reviewItem>
    <reviewItem>
      <errorID>595a0614-0e2e-47ad-acda-9e25f46b0b9a</errorID>
      <errorWord>败</errorWord>
      <group>L1_Word</group>
      <groupName>字词问题</groupName>
      <ability>L2_Typo</ability>
      <abilityName>字词错误</abilityName>
      <candidateList>
        <item>败的</item>
      </candidateList>
      <explain/>
      <paraID>386C0721</paraID>
      <start>216</start>
      <end>217</end>
      <status>unmodified</status>
      <modifiedWord/>
      <trackRevisions>false</trackRevisions>
    </reviewItem>
    <reviewItem>
      <errorID>91c2490d-5e00-49ec-b558-d29e92449456</errorID>
      <errorWord>阀值</errorWord>
      <group>L1_Word</group>
      <groupName>字词问题</groupName>
      <ability>L2_Alias</ability>
      <abilityName>也作/曾用词</abilityName>
      <candidateList>
        <item>阈值</item>
      </candidateList>
      <explain>词汇[阀值]为不规范表述或旧称，其规范书面表述为[阈值]。</explain>
      <paraID>32DA6C61</paraID>
      <start>1</start>
      <end>3</end>
      <status>unmodified</status>
      <modifiedWord/>
      <trackRevisions>false</trackRevisions>
    </reviewItem>
    <reviewItem>
      <errorID>ec764527-acd8-42f7-9b08-ec405c116b94</errorID>
      <errorWord>强</errorWord>
      <group>L1_Word</group>
      <groupName>字词问题</groupName>
      <ability>L2_Typo</ability>
      <abilityName>字词错误</abilityName>
      <candidateList>
        <item>强对</item>
      </candidateList>
      <explain/>
      <paraID>6E162BE2</paraID>
      <start>42</start>
      <end>43</end>
      <status>unmodified</status>
      <modifiedWord/>
      <trackRevisions>false</trackRevisions>
    </reviewItem>
    <reviewItem>
      <errorID>637b3725-7942-4b31-ba9e-ce704f409684</errorID>
      <errorWord>杂质</errorWord>
      <group>L1_Word</group>
      <groupName>字词问题</groupName>
      <ability>L2_Typo</ability>
      <abilityName>字词错误</abilityName>
      <candidateList>
        <item>杂志</item>
      </candidateList>
      <explain/>
      <paraID> 54B2218</paraID>
      <start>53</start>
      <end>55</end>
      <status>unmodified</status>
      <modifiedWord/>
      <trackRevisions>false</trackRevisions>
    </reviewItem>
    <reviewItem>
      <errorID>4b3a03c7-dffe-48d0-ae1d-a9a9a4c9c83a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54B2218</paraID>
      <start>260</start>
      <end>261</end>
      <status>unmodified</status>
      <modifiedWord/>
      <trackRevisions>false</trackRevisions>
    </reviewItem>
    <reviewItem>
      <errorID>6d859606-4244-4c97-907d-2d9d9c4e73cc</errorID>
      <errorWord>（</errorWord>
      <group>L1_Format</group>
      <groupName>格式问题</groupName>
      <ability>L2_HalfPunc_CN</ability>
      <abilityName>全半角问题</abilityName>
      <candidateList>
        <item>(</item>
      </candidateList>
      <explain>文本全半角错误。</explain>
      <paraID>326E1560</paraID>
      <start>3</start>
      <end>4</end>
      <status>unmodified</status>
      <modifiedWord/>
      <trackRevisions>false</trackRevisions>
    </reviewItem>
    <reviewItem>
      <errorID>54b1c0b4-9d64-4161-9b25-29cbf5911ebd</errorID>
      <errorWord>（</errorWord>
      <group>L1_Format</group>
      <groupName>格式问题</groupName>
      <ability>L2_HalfPunc_CN</ability>
      <abilityName>全半角问题</abilityName>
      <candidateList>
        <item>(</item>
      </candidateList>
      <explain>文本全半角错误。</explain>
      <paraID>326E1560</paraID>
      <start>6</start>
      <end>7</end>
      <status>unmodified</status>
      <modifiedWord/>
      <trackRevisions>false</trackRevisions>
    </reviewItem>
    <reviewItem>
      <errorID>62d8cb58-2187-4021-b077-a295043761ef</errorID>
      <errorWord>）</errorWord>
      <group>L1_Format</group>
      <groupName>格式问题</groupName>
      <ability>L2_HalfPunc_CN</ability>
      <abilityName>全半角问题</abilityName>
      <candidateList>
        <item>)</item>
      </candidateList>
      <explain>文本全半角错误。</explain>
      <paraID>326E1560</paraID>
      <start>12</start>
      <end>13</end>
      <status>unmodified</status>
      <modifiedWord/>
      <trackRevisions>false</trackRevisions>
    </reviewItem>
    <reviewItem>
      <errorID>92a86053-9e54-4514-9949-4ca3b2d5d317</errorID>
      <errorWord>（</errorWord>
      <group>L1_Format</group>
      <groupName>格式问题</groupName>
      <ability>L2_HalfPunc_CN</ability>
      <abilityName>全半角问题</abilityName>
      <candidateList>
        <item>(</item>
      </candidateList>
      <explain>文本全半角错误。</explain>
      <paraID>326E1560</paraID>
      <start>14</start>
      <end>15</end>
      <status>unmodified</status>
      <modifiedWord/>
      <trackRevisions>false</trackRevisions>
    </reviewItem>
    <reviewItem>
      <errorID>49f2dcab-aa25-4197-8b61-bd6a6b6a50f1</errorID>
      <errorWord>）</errorWord>
      <group>L1_Format</group>
      <groupName>格式问题</groupName>
      <ability>L2_HalfPunc_CN</ability>
      <abilityName>全半角问题</abilityName>
      <candidateList>
        <item>)</item>
      </candidateList>
      <explain>文本全半角错误。</explain>
      <paraID>326E1560</paraID>
      <start>20</start>
      <end>21</end>
      <status>unmodified</status>
      <modifiedWord/>
      <trackRevisions>false</trackRevisions>
    </reviewItem>
    <reviewItem>
      <errorID>dbed073e-1d31-4a72-9b88-baad5982879f</errorID>
      <errorWord>（</errorWord>
      <group>L1_Format</group>
      <groupName>格式问题</groupName>
      <ability>L2_HalfPunc_CN</ability>
      <abilityName>全半角问题</abilityName>
      <candidateList>
        <item>(</item>
      </candidateList>
      <explain>文本全半角错误。</explain>
      <paraID>326E1560</paraID>
      <start>22</start>
      <end>23</end>
      <status>unmodified</status>
      <modifiedWord/>
      <trackRevisions>false</trackRevisions>
    </reviewItem>
    <reviewItem>
      <errorID>69565812-c9dd-4355-9025-e4b96bc0a238</errorID>
      <errorWord>））</errorWord>
      <group>L1_Format</group>
      <groupName>格式问题</groupName>
      <ability>L2_HalfPunc_CN</ability>
      <abilityName>全半角问题</abilityName>
      <candidateList>
        <item>))</item>
      </candidateList>
      <explain>文本全半角错误。</explain>
      <paraID>326E1560</paraID>
      <start>28</start>
      <end>30</end>
      <status>unmodified</status>
      <modifiedWord/>
      <trackRevisions>false</trackRevisions>
    </reviewItem>
    <reviewItem>
      <errorID>ac579625-222b-4c26-8c95-b086c9f71495</errorID>
      <errorWord>。</errorWord>
      <group>L1_Format</group>
      <groupName>格式问题</groupName>
      <ability>L2_HalfPunc_CN</ability>
      <abilityName>全半角问题</abilityName>
      <candidateList>
        <item>.</item>
      </candidateList>
      <explain>文本全半角错误。</explain>
      <paraID>326E1560</paraID>
      <start>42</start>
      <end>43</end>
      <status>unmodified</status>
      <modifiedWord/>
      <trackRevisions>false</trackRevisions>
    </reviewItem>
    <reviewItem>
      <errorID>30aad679-60b5-4078-ab94-e3a153a12350</errorID>
      <errorWord>：</errorWord>
      <group>L1_Format</group>
      <groupName>格式问题</groupName>
      <ability>L2_HalfPunc_CN</ability>
      <abilityName>全半角问题</abilityName>
      <candidateList>
        <item>:</item>
      </candidateList>
      <explain>文本全半角错误。</explain>
      <paraID> 699ED88</paraID>
      <start>42</start>
      <end>43</end>
      <status>unmodified</status>
      <modifiedWord/>
      <trackRevisions>false</trackRevisions>
    </reviewItem>
    <reviewItem>
      <errorID>a5227771-5943-4797-847d-d3bf59596835</errorID>
      <errorWord>生</errorWord>
      <group>L1_Word</group>
      <groupName>字词问题</groupName>
      <ability>L2_Typo</ability>
      <abilityName>字词错误</abilityName>
      <candidateList>
        <item>生量</item>
      </candidateList>
      <explain/>
      <paraID>617206D0</paraID>
      <start>288</start>
      <end>289</end>
      <status>unmodified</status>
      <modifiedWord/>
      <trackRevisions>false</trackRevisions>
    </reviewItem>
    <reviewItem>
      <errorID>162049e6-a5ba-43b9-95b6-5e097c6646a2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617206D0</paraID>
      <start>332</start>
      <end>333</end>
      <status>unmodified</status>
      <modifiedWord/>
      <trackRevisions>false</trackRevisions>
    </reviewItem>
    <reviewItem>
      <errorID>c5f1537b-f0f8-4e2a-b2f2-a02aaa01183f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617206D0</paraID>
      <start>346</start>
      <end>347</end>
      <status>unmodified</status>
      <modifiedWord/>
      <trackRevisions>false</trackRevisions>
    </reviewItem>
    <reviewItem>
      <errorID>87ad007d-7fb9-46bc-affd-70e0cf38d4b3</errorID>
      <errorWord>：</errorWord>
      <group>L1_Format</group>
      <groupName>格式问题</groupName>
      <ability>L2_HalfPunc_CN</ability>
      <abilityName>全半角问题</abilityName>
      <candidateList>
        <item>:</item>
      </candidateList>
      <explain>文本全半角错误。</explain>
      <paraID>4E86D1F0</paraID>
      <start>132</start>
      <end>133</end>
      <status>unmodified</status>
      <modifiedWord/>
      <trackRevisions>false</trackRevisions>
    </reviewItem>
    <reviewItem>
      <errorID>fc3800b8-2e07-482b-a77d-252ed5c1f404</errorID>
      <errorWord>：</errorWord>
      <group>L1_Format</group>
      <groupName>格式问题</groupName>
      <ability>L2_HalfPunc_CN</ability>
      <abilityName>全半角问题</abilityName>
      <candidateList>
        <item>:</item>
      </candidateList>
      <explain>文本全半角错误。</explain>
      <paraID>4E86D1F0</paraID>
      <start>167</start>
      <end>168</end>
      <status>unmodified</status>
      <modifiedWord/>
      <trackRevisions>false</trackRevisions>
    </reviewItem>
    <reviewItem>
      <errorID>7d093de3-f47f-4d53-a90a-b443bd55275c</errorID>
      <errorWord>：</errorWord>
      <group>L1_Format</group>
      <groupName>格式问题</groupName>
      <ability>L2_HalfPunc_CN</ability>
      <abilityName>全半角问题</abilityName>
      <candidateList>
        <item>:</item>
      </candidateList>
      <explain>文本全半角错误。</explain>
      <paraID>3A716DE3</paraID>
      <start>147</start>
      <end>148</end>
      <status>unmodified</status>
      <modifiedWord/>
      <trackRevisions>false</trackRevisions>
    </reviewItem>
    <reviewItem>
      <errorID>6f3bdcf7-2ea3-4212-bfb1-3bbb59fb0bb6</errorID>
      <errorWord>（</errorWord>
      <group>L1_Format</group>
      <groupName>格式问题</groupName>
      <ability>L2_HalfPunc_CN</ability>
      <abilityName>全半角问题</abilityName>
      <candidateList>
        <item>(</item>
      </candidateList>
      <explain>文本全半角错误。</explain>
      <paraID>7A2FD3C5</paraID>
      <start>0</start>
      <end>1</end>
      <status>unmodified</status>
      <modifiedWord/>
      <trackRevisions>false</trackRevisions>
    </reviewItem>
    <reviewItem>
      <errorID>c2eda770-11ef-4eba-a661-0959be80be87</errorID>
      <errorWord>）</errorWord>
      <group>L1_Format</group>
      <groupName>格式问题</groupName>
      <ability>L2_HalfPunc_CN</ability>
      <abilityName>全半角问题</abilityName>
      <candidateList>
        <item>)</item>
      </candidateList>
      <explain>文本全半角错误。</explain>
      <paraID>7A2FD3C5</paraID>
      <start>5</start>
      <end>6</end>
      <status>unmodified</status>
      <modifiedWord/>
      <trackRevisions>false</trackRevisions>
    </reviewItem>
    <reviewItem>
      <errorID>b062701b-01a2-474e-b7a6-51e7aa8c1992</errorID>
      <errorWord>未</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17CCB33D</paraID>
      <start>46</start>
      <end>47</end>
      <status>unmodified</status>
      <modifiedWord/>
      <trackRevisions>false</trackRevisions>
    </reviewItem>
    <reviewItem>
      <errorID>7444177b-4142-4b58-885b-07823f2fece8</errorID>
      <errorWord>风险性</errorWord>
      <group>L1_Word</group>
      <groupName>字词问题</groupName>
      <ability>L2_Typo</ability>
      <abilityName>字词错误</abilityName>
      <candidateList>
        <item>风险</item>
      </candidateList>
      <explain>〈名〉可能发生的危险：担～｜冒着～去搞试验。</explain>
      <paraID>4DF9D55F</paraID>
      <start>64</start>
      <end>67</end>
      <status>unmodified</status>
      <modifiedWord/>
      <trackRevisions>false</trackRevisions>
    </reviewItem>
    <reviewItem>
      <errorID>5f4c7fe2-408c-4bf8-8fec-f340e903d45c</errorID>
      <errorWord>二个</errorWord>
      <group>L1_Word</group>
      <groupName>字词问题</groupName>
      <ability>L2_Typo</ability>
      <abilityName>字词错误</abilityName>
      <candidateList>
        <item>两个</item>
      </candidateList>
      <explain/>
      <paraID>4DF9D55F</paraID>
      <start>80</start>
      <end>82</end>
      <status>unmodified</status>
      <modifiedWord/>
      <trackRevisions>false</trackRevisions>
    </reviewItem>
    <reviewItem>
      <errorID>dfa54232-9b45-4d11-b4d3-aa2ea2f70e1f</errorID>
      <errorWord>代替</errorWord>
      <group>L1_Word</group>
      <groupName>字词问题</groupName>
      <ability>L2_Typo</ability>
      <abilityName>字词错误</abilityName>
      <candidateList>
        <item>替代</item>
      </candidateList>
      <explain/>
      <paraID>4DF9D55F</paraID>
      <start>262</start>
      <end>264</end>
      <status>unmodified</status>
      <modifiedWord/>
      <trackRevisions>false</trackRevisions>
    </reviewItem>
    <reviewItem>
      <errorID>7e044a60-4723-4dc7-bfc3-15ac48ce3d62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2E33828F</paraID>
      <start>0</start>
      <end>2</end>
      <status>unmodified</status>
      <modifiedWord/>
      <trackRevisions>false</trackRevisions>
    </reviewItem>
    <reviewItem>
      <errorID>1e4c821d-f8e7-436e-bdc6-a5d0bb130084</errorID>
      <errorWord>养殖场内</errorWord>
      <group>L1_Word</group>
      <groupName>字词问题</groupName>
      <ability>L2_Typo</ability>
      <abilityName>字词错误</abilityName>
      <candidateList>
        <item>养殖场</item>
      </candidateList>
      <explain/>
      <paraID>319B5E7F</paraID>
      <start>74</start>
      <end>78</end>
      <status>unmodified</status>
      <modifiedWord/>
      <trackRevisions>false</trackRevisions>
    </reviewItem>
    <reviewItem>
      <errorID>8187f7db-fd72-41b6-9ec1-3d7cc1febe4c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4BF66E66</paraID>
      <start>0</start>
      <end>2</end>
      <status>unmodified</status>
      <modifiedWord/>
      <trackRevisions>false</trackRevisions>
    </reviewItem>
    <reviewItem>
      <errorID>4832beda-6ddc-41ed-82db-f63c4c37b344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4E64C0BE</paraID>
      <start>0</start>
      <end>2</end>
      <status>unmodified</status>
      <modifiedWord/>
      <trackRevisions>false</trackRevisions>
    </reviewItem>
    <reviewItem>
      <errorID>c4e1ffbd-2288-460a-b50a-cde056f38136</errorID>
      <errorWord>不必要的浪费</errorWord>
      <group>L1_Grammar</group>
      <groupName>语法问题</groupName>
      <ability>L2_Grammar</ability>
      <abilityName>语法错误</abilityName>
      <candidateList>
        <item>浪费</item>
      </candidateList>
      <explain>该表达中的“不必要的浪费”存在语义重复。【词汇解析】浪费：不恰当或没有节制地使用人力、财物或时间等。包含了“不必要的”的意思</explain>
      <paraID>33CE07A8</paraID>
      <start>68</start>
      <end>74</end>
      <status>unmodified</status>
      <modifiedWord/>
      <trackRevisions>false</trackRevisions>
    </reviewItem>
    <reviewItem>
      <errorID>2d46dd8a-0dac-47b1-8e6c-0ca10749bbd6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79201A57</paraID>
      <start>0</start>
      <end>2</end>
      <status>unmodified</status>
      <modifiedWord/>
      <trackRevisions>false</trackRevisions>
    </reviewItem>
    <reviewItem>
      <errorID>28950402-68c3-475f-b33f-b64b7a1d136f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7FCD94CA</paraID>
      <start>0</start>
      <end>2</end>
      <status>unmodified</status>
      <modifiedWord/>
      <trackRevisions>false</trackRevisions>
    </reviewItem>
    <reviewItem>
      <errorID>247943de-a81f-4761-a74a-d3e2f4938ab3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30574389</paraID>
      <start>0</start>
      <end>2</end>
      <status>unmodified</status>
      <modifiedWord/>
      <trackRevisions>false</trackRevisions>
    </reviewItem>
    <reviewItem>
      <errorID>c178f2ce-2961-476e-9722-b089683ee489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1BBEA7E0</paraID>
      <start>76</start>
      <end>79</end>
      <status>unmodified</status>
      <modifiedWord/>
      <trackRevisions>false</trackRevisions>
    </reviewItem>
    <reviewItem>
      <errorID>436b18c7-4c50-4f01-a353-bbdefdcfe824</errorID>
      <errorWord>利用上</errorWord>
      <group>L1_Word</group>
      <groupName>字词问题</groupName>
      <ability>L2_Typo</ability>
      <abilityName>字词错误</abilityName>
      <candidateList>
        <item>利用</item>
      </candidateList>
      <explain/>
      <paraID>57C1A28E</paraID>
      <start>40</start>
      <end>43</end>
      <status>unmodified</status>
      <modifiedWord/>
      <trackRevisions>false</trackRevisions>
    </reviewItem>
    <reviewItem>
      <errorID>06333042-6146-400f-b29e-12e068062e79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73A5D69</paraID>
      <start>0</start>
      <end>2</end>
      <status>unmodified</status>
      <modifiedWord/>
      <trackRevisions>false</trackRevisions>
    </reviewItem>
    <reviewItem>
      <errorID>41c86a7c-ba0d-4634-9a26-9569b093c74b</errorID>
      <errorWord>巴里坤县</errorWord>
      <group>L1_Knowledge</group>
      <groupName>知识性问题</groupName>
      <ability>L2_Location</ability>
      <abilityName>地名检查</abilityName>
      <candidateList>
        <item>巴里坤哈萨克自治县</item>
      </candidateList>
      <explain>自治区州县缩写不规范。《地名管理条例》第十八条规定，标识牌、公共平台发布的信息、各类公文证件、学习类公开出版物、地图、法律法规规定等场景范围内必须使用标准地名。</explain>
      <paraID>5C987E48</paraID>
      <start>54</start>
      <end>58</end>
      <status>unmodified</status>
      <modifiedWord/>
      <trackRevisions>false</trackRevisions>
    </reviewItem>
    <reviewItem>
      <errorID>39d267d6-9646-4694-8dd7-077ddf58dbfd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4B272267</paraID>
      <start>7</start>
      <end>10</end>
      <status>unmodified</status>
      <modifiedWord/>
      <trackRevisions>false</trackRevisions>
    </reviewItem>
    <reviewItem>
      <errorID>2c87bc20-6afe-4cf1-a026-534c99cdca7f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2A390188</paraID>
      <start>33</start>
      <end>36</end>
      <status>unmodified</status>
      <modifiedWord/>
      <trackRevisions>false</trackRevisions>
    </reviewItem>
    <reviewItem>
      <errorID>862727ff-9812-4c81-9b17-3bedeb963e7d</errorID>
      <errorWord>延</errorWord>
      <group>L1_Word</group>
      <groupName>字词问题</groupName>
      <ability>L2_Typo</ability>
      <abilityName>字词错误</abilityName>
      <candidateList>
        <item>沿</item>
      </candidateList>
      <explain>存在发音相同字词的误用。</explain>
      <paraID>2A390188</paraID>
      <start>221</start>
      <end>222</end>
      <status>unmodified</status>
      <modifiedWord/>
      <trackRevisions>false</trackRevisions>
    </reviewItem>
    <reviewItem>
      <errorID>792f173e-502b-4b08-a748-d561ee1c44f5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ABD0087</paraID>
      <start>160</start>
      <end>163</end>
      <status>unmodified</status>
      <modifiedWord/>
      <trackRevisions>false</trackRevisions>
    </reviewItem>
    <reviewItem>
      <errorID>79902a35-f29e-4165-a27a-bab8dcfd20bd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401CEC22</paraID>
      <start>101</start>
      <end>104</end>
      <status>unmodified</status>
      <modifiedWord/>
      <trackRevisions>false</trackRevisions>
    </reviewItem>
    <reviewItem>
      <errorID>a56f1e3d-bcb5-42ad-a9a7-a36107056094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30813AE2</paraID>
      <start>11</start>
      <end>14</end>
      <status>unmodified</status>
      <modifiedWord/>
      <trackRevisions>false</trackRevisions>
    </reviewItem>
    <reviewItem>
      <errorID>2533b45b-8f11-4e8f-a7ac-695353c84ef2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4B9E2016</paraID>
      <start>0</start>
      <end>3</end>
      <status>unmodified</status>
      <modifiedWord/>
      <trackRevisions>false</trackRevisions>
    </reviewItem>
    <reviewItem>
      <errorID>027b6fe6-21ce-41fc-a124-391eff941bbc</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64065B37</paraID>
      <start>9</start>
      <end>12</end>
      <status>unmodified</status>
      <modifiedWord/>
      <trackRevisions>false</trackRevisions>
    </reviewItem>
    <reviewItem>
      <errorID>cb3cd76f-7b3c-4b50-a2ca-deeee89620af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5B59C8C2</paraID>
      <start>76</start>
      <end>79</end>
      <status>unmodified</status>
      <modifiedWord/>
      <trackRevisions>false</trackRevisions>
    </reviewItem>
    <reviewItem>
      <errorID>7d907c22-2c0f-4948-93f0-91b916fde1fa</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5958BD18</paraID>
      <start>0</start>
      <end>3</end>
      <status>unmodified</status>
      <modifiedWord/>
      <trackRevisions>false</trackRevisions>
    </reviewItem>
    <reviewItem>
      <errorID>9f3dcbef-4e63-4687-8ec5-169b884dcbce</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5958BD18</paraID>
      <start>85</start>
      <end>88</end>
      <status>unmodified</status>
      <modifiedWord/>
      <trackRevisions>false</trackRevisions>
    </reviewItem>
    <reviewItem>
      <errorID>1b528eb9-665d-46e3-b7f0-2d404680a8e1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5BB77498</paraID>
      <start>0</start>
      <end>3</end>
      <status>unmodified</status>
      <modifiedWord/>
      <trackRevisions>false</trackRevisions>
    </reviewItem>
    <reviewItem>
      <errorID>5ba72cd4-9040-436f-b375-e06caf710566</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7465783A</paraID>
      <start>0</start>
      <end>3</end>
      <status>unmodified</status>
      <modifiedWord/>
      <trackRevisions>false</trackRevisions>
    </reviewItem>
    <reviewItem>
      <errorID>a39eb086-6002-4c2c-b673-66deff75c31c</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177B7ABA</paraID>
      <start>0</start>
      <end>6</end>
      <status>unmodified</status>
      <modifiedWord/>
      <trackRevisions>false</trackRevisions>
    </reviewItem>
    <reviewItem>
      <errorID>beaa7b67-ed8b-47ce-9e89-93e19c673252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5C2F78B1</paraID>
      <start>0</start>
      <end>3</end>
      <status>unmodified</status>
      <modifiedWord/>
      <trackRevisions>false</trackRevisions>
    </reviewItem>
    <reviewItem>
      <errorID>51222751-0f86-4d25-bf3b-d5a52e3c7013</errorID>
      <errorWord>主要土类以栗钙土和棕钙土为主</errorWord>
      <group>L1_Grammar</group>
      <groupName>语法问题</groupName>
      <ability>L2_Grammar</ability>
      <abilityName>语法错误</abilityName>
      <candidateList>
        <item>土类以栗钙土和棕钙土为主</item>
      </candidateList>
      <explain>该表达中的“主要土类以栗钙土和棕钙土为主”存在语义重复。</explain>
      <paraID>6239585B</paraID>
      <start>17</start>
      <end>31</end>
      <status>unmodified</status>
      <modifiedWord/>
      <trackRevisions>false</trackRevisions>
    </reviewItem>
    <reviewItem>
      <errorID>58c66256-6fce-4567-8f43-c61da6d2ad7b</errorID>
      <errorWord>主要以荒漠草原为主</errorWord>
      <group>L1_Grammar</group>
      <groupName>语法问题</groupName>
      <ability>L2_Grammar</ability>
      <abilityName>语法错误</abilityName>
      <candidateList>
        <item>以荒漠草原为主</item>
      </candidateList>
      <explain>该表达中的“主要以荒漠草原为主”存在语义重复。</explain>
      <paraID>6239585B</paraID>
      <start>229</start>
      <end>238</end>
      <status>unmodified</status>
      <modifiedWord/>
      <trackRevisions>false</trackRevisions>
    </reviewItem>
    <reviewItem>
      <errorID>e9520da0-58e4-47d2-82e5-3654c4992cba</errorID>
      <errorWord>2026年05月13日</errorWord>
      <group>L1_Knowledge</group>
      <groupName>知识性问题</groupName>
      <ability>L2_Time</ability>
      <abilityName>日期时间</abilityName>
      <candidateList>
        <item>2026年5月13日</item>
      </candidateList>
      <explain>根据日常书写习惯，月份一般会省略前导零。</explain>
      <paraID>412F98AD</paraID>
      <start>52</start>
      <end>63</end>
      <status>unmodified</status>
      <modifiedWord/>
      <trackRevisions>false</trackRevisions>
    </reviewItem>
    <reviewItem>
      <errorID>eca3bdb0-28d6-47eb-8e70-9cbef5002df9</errorID>
      <errorWord>~</errorWord>
      <group>L1_Format</group>
      <groupName>格式问题</groupName>
      <ability>L2_HalfPunc_CN</ability>
      <abilityName>全半角问题</abilityName>
      <candidateList>
        <item>～</item>
      </candidateList>
      <explain>文本全半角错误。</explain>
      <paraID>412F98AD</paraID>
      <start>63</start>
      <end>64</end>
      <status>unmodified</status>
      <modifiedWord/>
      <trackRevisions>false</trackRevisions>
    </reviewItem>
    <reviewItem>
      <errorID>338e43fb-e936-4339-a87b-2634821d5748</errorID>
      <errorWord>05月20日</errorWord>
      <group>L1_Knowledge</group>
      <groupName>知识性问题</groupName>
      <ability>L2_Time</ability>
      <abilityName>日期时间</abilityName>
      <candidateList>
        <item>5月20日</item>
      </candidateList>
      <explain>根据日常书写习惯，月份一般会省略前导零。</explain>
      <paraID>412F98AD</paraID>
      <start>64</start>
      <end>70</end>
      <status>unmodified</status>
      <modifiedWord/>
      <trackRevisions>false</trackRevisions>
    </reviewItem>
    <reviewItem>
      <errorID>a24c253a-3b03-4b2a-a1f7-817e11c3cdef</errorID>
      <errorWord>～</errorWord>
      <group>L1_Format</group>
      <groupName>格式问题</groupName>
      <ability>L2_HalfPunc_CN</ability>
      <abilityName>全半角问题</abilityName>
      <candidateList>
        <item>~</item>
      </candidateList>
      <explain>文本全半角错误。</explain>
      <paraID>78C8BC81</paraID>
      <start>3</start>
      <end>4</end>
      <status>unmodified</status>
      <modifiedWord/>
      <trackRevisions>false</trackRevisions>
    </reviewItem>
    <reviewItem>
      <errorID>f4f4f5da-5f27-4b5b-8d7a-a3c2a3a4c8b8</errorID>
      <errorWord>～</errorWord>
      <group>L1_Format</group>
      <groupName>格式问题</groupName>
      <ability>L2_HalfPunc_CN</ability>
      <abilityName>全半角问题</abilityName>
      <candidateList>
        <item>~</item>
      </candidateList>
      <explain>文本全半角错误。</explain>
      <paraID>54995656</paraID>
      <start>3</start>
      <end>4</end>
      <status>unmodified</status>
      <modifiedWord/>
      <trackRevisions>false</trackRevisions>
    </reviewItem>
    <reviewItem>
      <errorID>8c31b718-525d-4c8f-baf7-891887fc683f</errorID>
      <errorWord>2026年05月19日</errorWord>
      <group>L1_Knowledge</group>
      <groupName>知识性问题</groupName>
      <ability>L2_Time</ability>
      <abilityName>日期时间</abilityName>
      <candidateList>
        <item>2026年5月19日</item>
      </candidateList>
      <explain>根据日常书写习惯，月份一般会省略前导零。</explain>
      <paraID>7981A11F</paraID>
      <start>51</start>
      <end>62</end>
      <status>unmodified</status>
      <modifiedWord/>
      <trackRevisions>false</trackRevisions>
    </reviewItem>
    <reviewItem>
      <errorID>1edfdd97-91d8-49ee-a884-07fff5a48e8d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7981A11F</paraID>
      <start>62</start>
      <end>63</end>
      <status>unmodified</status>
      <modifiedWord/>
      <trackRevisions>false</trackRevisions>
    </reviewItem>
    <reviewItem>
      <errorID>b32e87c3-8a66-4443-8aff-842938299ba5</errorID>
      <errorWord>2026年05月20日</errorWord>
      <group>L1_Knowledge</group>
      <groupName>知识性问题</groupName>
      <ability>L2_Time</ability>
      <abilityName>日期时间</abilityName>
      <candidateList>
        <item>2026年5月20日</item>
      </candidateList>
      <explain>根据日常书写习惯，月份一般会省略前导零。</explain>
      <paraID>7981A11F</paraID>
      <start>63</start>
      <end>74</end>
      <status>unmodified</status>
      <modifiedWord/>
      <trackRevisions>false</trackRevisions>
    </reviewItem>
    <reviewItem>
      <errorID>300c219c-d7a4-45a2-94e7-47783f8bbc8f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7DDC5A02</paraID>
      <start>11</start>
      <end>12</end>
      <status>unmodified</status>
      <modifiedWord/>
      <trackRevisions>false</trackRevisions>
    </reviewItem>
    <reviewItem>
      <errorID>11901f00-f483-4fac-9ea6-c82dff1bae44</errorID>
      <errorWord>2026年05月18日</errorWord>
      <group>L1_Knowledge</group>
      <groupName>知识性问题</groupName>
      <ability>L2_Time</ability>
      <abilityName>日期时间</abilityName>
      <candidateList>
        <item>2026年5月18日</item>
      </candidateList>
      <explain>根据日常书写习惯，月份一般会省略前导零。</explain>
      <paraID>677CC0B9</paraID>
      <start>46</start>
      <end>57</end>
      <status>unmodified</status>
      <modifiedWord/>
      <trackRevisions>false</trackRevisions>
    </reviewItem>
    <reviewItem>
      <errorID>4deb98ae-5c69-47d4-862c-87c433be1817</errorID>
      <errorWord>《土壤环境质量农用地土壤污染风险管控标准》（试行）</errorWord>
      <group>L1_Knowledge</group>
      <groupName>知识性问题</groupName>
      <ability>L2_Knowledge</ability>
      <abilityName>其他知识</abilityName>
      <candidateList>
        <item>《土壤环境质量农用地土壤污染风险管控标准（试行）》</item>
      </candidateList>
      <explain>疑似政策文件、法律法规名称等书写不规范，请注意检查。</explain>
      <paraID>63D7E6E4</paraID>
      <start>23</start>
      <end>48</end>
      <status>modified</status>
      <modifiedWord>《土壤环境质量农用地土壤污染风险管控标准（试行）》</modifiedWord>
      <trackRevisions>false</trackRevisions>
    </reviewItem>
    <reviewItem>
      <errorID>fec7124b-7345-4d7e-978a-56492eb9f14e</errorID>
      <errorWord>”</errorWord>
      <group>L1_Punc</group>
      <groupName>标点问题</groupName>
      <ability>L2_Punc_CN</ability>
      <abilityName>标点符号问题</abilityName>
      <candidateList>
        <item>“</item>
      </candidateList>
      <explain>注意检查双引号的方向是否正确。</explain>
      <paraID>642C57E7</paraID>
      <start>22</start>
      <end>23</end>
      <status>modified</status>
      <modifiedWord>“</modifiedWord>
      <trackRevisions>false</trackRevisions>
    </reviewItem>
    <reviewItem>
      <errorID>6aa5de29-b361-4494-a79a-685b4cd30c1b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4274D0AC</paraID>
      <start>7</start>
      <end>10</end>
      <status>unmodified</status>
      <modifiedWord/>
      <trackRevisions>false</trackRevisions>
    </reviewItem>
    <reviewItem>
      <errorID>70d53131-0828-4181-9257-5f5dc866b516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57794613</paraID>
      <start>0</start>
      <end>2</end>
      <status>unmodified</status>
      <modifiedWord/>
      <trackRevisions>false</trackRevisions>
    </reviewItem>
    <reviewItem>
      <errorID>56f185e0-0680-4474-9622-8129d5e25b23</errorID>
      <errorWord>沙石</errorWord>
      <group>L1_Word</group>
      <groupName>字词问题</groupName>
      <ability>L2_Typo</ability>
      <abilityName>字词错误</abilityName>
      <candidateList>
        <item>砂石</item>
      </candidateList>
      <explain>存在发音相同字词的误用。</explain>
      <paraID>6400D814</paraID>
      <start>55</start>
      <end>57</end>
      <status>unmodified</status>
      <modifiedWord/>
      <trackRevisions>false</trackRevisions>
    </reviewItem>
    <reviewItem>
      <errorID>39f6185a-1314-4ac4-848d-a01f51005257</errorID>
      <errorWord>据有关调查显示</errorWord>
      <group>L1_Grammar</group>
      <groupName>语法问题</groupName>
      <ability>L2_Grammar</ability>
      <abilityName>语法错误</abilityName>
      <candidateList>
        <item>据有关调查</item>
      </candidateList>
      <explain>该表达中的“据有关调查显示”存在语义重复。</explain>
      <paraID>6400D814</paraID>
      <start>158</start>
      <end>165</end>
      <status>unmodified</status>
      <modifiedWord/>
      <trackRevisions>false</trackRevisions>
    </reviewItem>
    <reviewItem>
      <errorID>2617cf4b-6781-4cb9-a239-36490905d444</errorID>
      <errorWord>（</errorWord>
      <group>L1_Format</group>
      <groupName>格式问题</groupName>
      <ability>L2_HalfPunc_CN</ability>
      <abilityName>全半角问题</abilityName>
      <candidateList>
        <item>(</item>
      </candidateList>
      <explain>文本全半角错误。</explain>
      <paraID>557248C9</paraID>
      <start>1</start>
      <end>2</end>
      <status>unmodified</status>
      <modifiedWord/>
      <trackRevisions>false</trackRevisions>
    </reviewItem>
    <reviewItem>
      <errorID>5be77ffa-d1ea-4947-86d4-43e0d2035078</errorID>
      <errorWord>）</errorWord>
      <group>L1_Format</group>
      <groupName>格式问题</groupName>
      <ability>L2_HalfPunc_CN</ability>
      <abilityName>全半角问题</abilityName>
      <candidateList>
        <item>)</item>
      </candidateList>
      <explain>文本全半角错误。</explain>
      <paraID>557248C9</paraID>
      <start>7</start>
      <end>8</end>
      <status>unmodified</status>
      <modifiedWord/>
      <trackRevisions>false</trackRevisions>
    </reviewItem>
    <reviewItem>
      <errorID>e9619364-deb6-4bb4-9e16-7164cb674fbb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42668E18</paraID>
      <start>45</start>
      <end>46</end>
      <status>unmodified</status>
      <modifiedWord/>
      <trackRevisions>false</trackRevisions>
    </reviewItem>
    <reviewItem>
      <errorID>258730cb-0cee-46ba-af62-2fa8124e2c2b</errorID>
      <errorWord>位</errorWord>
      <group>L1_Word</group>
      <groupName>字词问题</groupName>
      <ability>L2_Typo</ability>
      <abilityName>字词错误</abilityName>
      <candidateList>
        <item>位在</item>
      </candidateList>
      <explain/>
      <paraID>3158DF3D</paraID>
      <start>6</start>
      <end>7</end>
      <status>unmodified</status>
      <modifiedWord/>
      <trackRevisions>false</trackRevisions>
    </reviewItem>
    <reviewItem>
      <errorID>12bb4fc6-c81e-4224-be33-01ca09086a55</errorID>
      <errorWord>程</errorWord>
      <group>L1_Word</group>
      <groupName>字词问题</groupName>
      <ability>L2_Typo</ability>
      <abilityName>字词错误</abilityName>
      <candidateList>
        <item>程中</item>
      </candidateList>
      <explain/>
      <paraID>5F3FC966</paraID>
      <start>33</start>
      <end>34</end>
      <status>unmodified</status>
      <modifiedWord/>
      <trackRevisions>false</trackRevisions>
    </reviewItem>
    <reviewItem>
      <errorID>c34215d5-16fe-4132-8c55-f75687d6e1c4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6A3C015D</paraID>
      <start>64</start>
      <end>67</end>
      <status>unmodified</status>
      <modifiedWord/>
      <trackRevisions>false</trackRevisions>
    </reviewItem>
    <reviewItem>
      <errorID>9dfcd316-1d3c-4618-aacc-36beeccb5a8c</errorID>
      <errorWord>下则</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65D131FA</paraID>
      <start>26</start>
      <end>28</end>
      <status>unmodified</status>
      <modifiedWord/>
      <trackRevisions>false</trackRevisions>
    </reviewItem>
    <reviewItem>
      <errorID>fce90319-8f58-4174-8e99-5193f2189885</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57E4EE82</paraID>
      <start>59</start>
      <end>61</end>
      <status>unmodified</status>
      <modifiedWord/>
      <trackRevisions>false</trackRevisions>
    </reviewItem>
    <reviewItem>
      <errorID>b5d4ae6f-5b79-4de5-89e1-d6655409a8f1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16358671</paraID>
      <start>10</start>
      <end>11</end>
      <status>unmodified</status>
      <modifiedWord/>
      <trackRevisions>false</trackRevisions>
    </reviewItem>
    <reviewItem>
      <errorID>2aa6c4f0-ab7a-412e-a4fc-54b32c968264</errorID>
      <errorWord>程</errorWord>
      <group>L1_Word</group>
      <groupName>字词问题</groupName>
      <ability>L2_Typo</ability>
      <abilityName>字词错误</abilityName>
      <candidateList>
        <item>程中</item>
      </candidateList>
      <explain/>
      <paraID>76B41FA3</paraID>
      <start>28</start>
      <end>29</end>
      <status>unmodified</status>
      <modifiedWord/>
      <trackRevisions>false</trackRevisions>
    </reviewItem>
    <reviewItem>
      <errorID>cf30456a-babd-4f39-8f86-c4e0c8e08497</errorID>
      <errorWord>围档</errorWord>
      <group>L1_Word</group>
      <groupName>字词问题</groupName>
      <ability>L2_Typo</ability>
      <abilityName>字词错误</abilityName>
      <candidateList>
        <item>围挡</item>
      </candidateList>
      <explain/>
      <paraID>770956D9</paraID>
      <start>96</start>
      <end>98</end>
      <status>unmodified</status>
      <modifiedWord/>
      <trackRevisions>false</trackRevisions>
    </reviewItem>
    <reviewItem>
      <errorID>c402b10f-128c-4460-9984-b1c1d2ac0f6f</errorID>
      <errorWord>植被种</errorWord>
      <group>L1_Word</group>
      <groupName>字词问题</groupName>
      <ability>L2_Typo</ability>
      <abilityName>字词错误</abilityName>
      <candidateList>
        <item>植被</item>
      </candidateList>
      <explain/>
      <paraID>3E979739</paraID>
      <start>332</start>
      <end>335</end>
      <status>unmodified</status>
      <modifiedWord/>
      <trackRevisions>false</trackRevisions>
    </reviewItem>
    <reviewItem>
      <errorID>70143824-8574-4de6-b1af-5089e601c78b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3E979739</paraID>
      <start>383</start>
      <end>384</end>
      <status>unmodified</status>
      <modifiedWord/>
      <trackRevisions>false</trackRevisions>
    </reviewItem>
    <reviewItem>
      <errorID>7369f47e-4f0e-480e-8dd5-6a0ac0738216</errorID>
      <errorWord>期因</errorWord>
      <group>L1_Word</group>
      <groupName>字词问题</groupName>
      <ability>L2_Typo</ability>
      <abilityName>字词错误</abilityName>
      <candidateList>
        <item>期间</item>
      </candidateList>
      <explain>〈名〉某个时期里面：农忙～｜春节～｜抗战～。</explain>
      <paraID>3E979739</paraID>
      <start>393</start>
      <end>395</end>
      <status>unmodified</status>
      <modifiedWord/>
      <trackRevisions>false</trackRevisions>
    </reviewItem>
    <reviewItem>
      <errorID>0018cab6-4b42-4444-9033-37164b8b3032</errorID>
      <errorWord>；</errorWord>
      <group>L1_Word</group>
      <groupName>字词问题</groupName>
      <ability>L2_Typo</ability>
      <abilityName>字词错误</abilityName>
      <candidateList>
        <item>；要</item>
      </candidateList>
      <explain/>
      <paraID>110DB4E6</paraID>
      <start>56</start>
      <end>57</end>
      <status>unmodified</status>
      <modifiedWord/>
      <trackRevisions>false</trackRevisions>
    </reviewItem>
    <reviewItem>
      <errorID>199e843b-c66d-4b32-95be-88dcdeb2a023</errorID>
      <errorWord>调控的</errorWord>
      <group>L1_Word</group>
      <groupName>字词问题</groupName>
      <ability>L2_Typo</ability>
      <abilityName>字词错误</abilityName>
      <candidateList>
        <item>调控</item>
      </candidateList>
      <explain/>
      <paraID>169E006C</paraID>
      <start>117</start>
      <end>120</end>
      <status>unmodified</status>
      <modifiedWord/>
      <trackRevisions>false</trackRevisions>
    </reviewItem>
    <reviewItem>
      <errorID>b76bb792-9c49-4d63-94aa-408316dc7f3f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10975F32</paraID>
      <start>0</start>
      <end>2</end>
      <status>unmodified</status>
      <modifiedWord/>
      <trackRevisions>false</trackRevisions>
    </reviewItem>
    <reviewItem>
      <errorID>212f7cbc-1f1f-49e8-a4ca-6e82920fdf67</errorID>
      <errorWord>本此</errorWord>
      <group>L1_Word</group>
      <groupName>字词问题</groupName>
      <ability>L2_Typo</ability>
      <abilityName>字词错误</abilityName>
      <candidateList>
        <item>本次</item>
      </candidateList>
      <explain/>
      <paraID>54798113</paraID>
      <start>17</start>
      <end>19</end>
      <status>unmodified</status>
      <modifiedWord/>
      <trackRevisions>false</trackRevisions>
    </reviewItem>
    <reviewItem>
      <errorID>8a8a1ef2-f216-4b84-9d17-c0fa35b2ea34</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1E906CE8</paraID>
      <start>6</start>
      <end>8</end>
      <status>unmodified</status>
      <modifiedWord/>
      <trackRevisions>false</trackRevisions>
    </reviewItem>
    <reviewItem>
      <errorID>2096415b-8822-4928-802e-df88725245c2</errorID>
      <errorWord>根据估算结果表明</errorWord>
      <group>L1_Grammar</group>
      <groupName>语法问题</groupName>
      <ability>L2_Grammar</ability>
      <abilityName>语法错误</abilityName>
      <candidateList>
        <item>根据估算</item>
      </candidateList>
      <explain>该表达中的“根据估算结果表明”存在语义重复。</explain>
      <paraID>4A3A9C83</paraID>
      <start>0</start>
      <end>8</end>
      <status>unmodified</status>
      <modifiedWord/>
      <trackRevisions>false</trackRevisions>
    </reviewItem>
    <reviewItem>
      <errorID>dde12439-2368-4df9-bb08-9edb0c711a10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70002111</paraID>
      <start>0</start>
      <end>2</end>
      <status>unmodified</status>
      <modifiedWord/>
      <trackRevisions>false</trackRevisions>
    </reviewItem>
    <reviewItem>
      <errorID>a79740b0-c985-4c03-a741-403749caa78e</errorID>
      <errorWord>法律、法规</errorWord>
      <group>L1_Word</group>
      <groupName>字词问题</groupName>
      <ability>L2_Typo</ability>
      <abilityName>字词错误</abilityName>
      <candidateList>
        <item>法律法规</item>
      </candidateList>
      <explain/>
      <paraID>6365BF65</paraID>
      <start>191</start>
      <end>196</end>
      <status>unmodified</status>
      <modifiedWord/>
      <trackRevisions>false</trackRevisions>
    </reviewItem>
    <reviewItem>
      <errorID>bf7194a3-dda8-4de3-81c1-6936edf6485f</errorID>
      <errorWord>其它</errorWord>
      <group>L1_Word</group>
      <groupName>字词问题</groupName>
      <ability>L2_Alias</ability>
      <abilityName>也作/曾用词</abilityName>
      <candidateList>
        <item>其他</item>
      </candidateList>
      <explain>词汇[其它]为不规范表述或旧称，其规范书面表述为[其他]。</explain>
      <paraID>6365BF65</paraID>
      <start>204</start>
      <end>206</end>
      <status>unmodified</status>
      <modifiedWord/>
      <trackRevisions>false</trackRevisions>
    </reviewItem>
    <reviewItem>
      <errorID>2ab9f948-96b6-4e9e-bc71-b0b17a1eb280</errorID>
      <errorWord>~</errorWord>
      <group>L1_Format</group>
      <groupName>格式问题</groupName>
      <ability>L2_HalfPunc_CN</ability>
      <abilityName>全半角问题</abilityName>
      <candidateList>
        <item>～</item>
      </candidateList>
      <explain>文本全半角错误。</explain>
      <paraID>1998EC8C</paraID>
      <start>3</start>
      <end>4</end>
      <status>unmodified</status>
      <modifiedWord/>
      <trackRevisions>false</trackRevisions>
    </reviewItem>
    <reviewItem>
      <errorID>6375e52f-2db3-4c12-8792-483860eeb047</errorID>
      <errorWord>~</errorWord>
      <group>L1_Format</group>
      <groupName>格式问题</groupName>
      <ability>L2_HalfPunc_CN</ability>
      <abilityName>全半角问题</abilityName>
      <candidateList>
        <item>～</item>
      </candidateList>
      <explain>文本全半角错误。</explain>
      <paraID>1C91BF0C</paraID>
      <start>3</start>
      <end>4</end>
      <status>unmodified</status>
      <modifiedWord/>
      <trackRevisions>false</trackRevisions>
    </reviewItem>
    <reviewItem>
      <errorID>6faf3626-ebf1-466c-853e-426cb540e8bd</errorID>
      <errorWord>＜</errorWord>
      <group>L1_Format</group>
      <groupName>格式问题</groupName>
      <ability>L2_HalfPunc_CN</ability>
      <abilityName>全半角问题</abilityName>
      <candidateList>
        <item>&lt;</item>
      </candidateList>
      <explain>文本全半角错误。</explain>
      <paraID>33446417</paraID>
      <start>0</start>
      <end>1</end>
      <status>unmodified</status>
      <modifiedWord/>
      <trackRevisions>false</trackRevisions>
    </reviewItem>
    <reviewItem>
      <errorID>15422d24-b4e1-4f17-8a6e-2dd436db549b</errorID>
      <errorWord>~</errorWord>
      <group>L1_Format</group>
      <groupName>格式问题</groupName>
      <ability>L2_HalfPunc_CN</ability>
      <abilityName>全半角问题</abilityName>
      <candidateList>
        <item>～</item>
      </candidateList>
      <explain>文本全半角错误。</explain>
      <paraID>5F6BB701</paraID>
      <start>3</start>
      <end>4</end>
      <status>unmodified</status>
      <modifiedWord/>
      <trackRevisions>false</trackRevisions>
    </reviewItem>
    <reviewItem>
      <errorID>84763f3b-f7af-4dc9-af3f-cc13d08303a9</errorID>
      <errorWord>＞</errorWord>
      <group>L1_Format</group>
      <groupName>格式问题</groupName>
      <ability>L2_HalfPunc_CN</ability>
      <abilityName>全半角问题</abilityName>
      <candidateList>
        <item>&gt;</item>
      </candidateList>
      <explain>文本全半角错误。</explain>
      <paraID>78BA15F2</paraID>
      <start>1</start>
      <end>2</end>
      <status>unmodified</status>
      <modifiedWord/>
      <trackRevisions>false</trackRevisions>
    </reviewItem>
    <reviewItem>
      <errorID>cb121f06-9e99-47f5-8a36-f7f2b0568b39</errorID>
      <errorWord>（/</errorWord>
      <group>L1_Punc</group>
      <groupName>标点问题</groupName>
      <ability>L2_Punc_CN</ability>
      <abilityName>标点符号问题</abilityName>
      <candidateList>
        <item>（</item>
      </candidateList>
      <explain/>
      <paraID> 8214FB1</paraID>
      <start>4</start>
      <end>6</end>
      <status>unmodified</status>
      <modifiedWord/>
      <trackRevisions>false</trackRevisions>
    </reviewItem>
    <reviewItem>
      <errorID>1f880055-2cdf-478a-a66b-57bb5c00ac97</errorID>
      <errorWord>）</errorWord>
      <group>L1_Format</group>
      <groupName>格式问题</groupName>
      <ability>L2_HalfPunc_CN</ability>
      <abilityName>全半角问题</abilityName>
      <candidateList>
        <item>)</item>
      </candidateList>
      <explain>文本全半角错误。</explain>
      <paraID> 8214FB1</paraID>
      <start>6</start>
      <end>7</end>
      <status>unmodified</status>
      <modifiedWord/>
      <trackRevisions>false</trackRevisions>
    </reviewItem>
    <reviewItem>
      <errorID>6599df5f-41a8-4ff2-a3dd-fe7ff9562685</errorID>
      <errorWord>（/</errorWord>
      <group>L1_Punc</group>
      <groupName>标点问题</groupName>
      <ability>L2_Punc_CN</ability>
      <abilityName>标点符号问题</abilityName>
      <candidateList>
        <item>（</item>
      </candidateList>
      <explain/>
      <paraID>47C6514B</paraID>
      <start>4</start>
      <end>6</end>
      <status>unmodified</status>
      <modifiedWord/>
      <trackRevisions>false</trackRevisions>
    </reviewItem>
    <reviewItem>
      <errorID>d564bcd0-b450-40b1-b62c-63ce0b2b4979</errorID>
      <errorWord>）</errorWord>
      <group>L1_Format</group>
      <groupName>格式问题</groupName>
      <ability>L2_HalfPunc_CN</ability>
      <abilityName>全半角问题</abilityName>
      <candidateList>
        <item>)</item>
      </candidateList>
      <explain>文本全半角错误。</explain>
      <paraID>47C6514B</paraID>
      <start>6</start>
      <end>7</end>
      <status>unmodified</status>
      <modifiedWord/>
      <trackRevisions>false</trackRevisions>
    </reviewItem>
    <reviewItem>
      <errorID>0599944f-615d-4c10-b3cf-2be9d309dfcc</errorID>
      <errorWord>（/</errorWord>
      <group>L1_Punc</group>
      <groupName>标点问题</groupName>
      <ability>L2_Punc_CN</ability>
      <abilityName>标点符号问题</abilityName>
      <candidateList>
        <item>（</item>
      </candidateList>
      <explain/>
      <paraID> 969286C</paraID>
      <start>4</start>
      <end>6</end>
      <status>unmodified</status>
      <modifiedWord/>
      <trackRevisions>false</trackRevisions>
    </reviewItem>
    <reviewItem>
      <errorID>6ec433be-e492-424c-b90d-2713da3c6442</errorID>
      <errorWord>（/</errorWord>
      <group>L1_Punc</group>
      <groupName>标点问题</groupName>
      <ability>L2_Punc_CN</ability>
      <abilityName>标点符号问题</abilityName>
      <candidateList>
        <item>（</item>
      </candidateList>
      <explain/>
      <paraID>65B271B8</paraID>
      <start>5</start>
      <end>7</end>
      <status>unmodified</status>
      <modifiedWord/>
      <trackRevisions>false</trackRevisions>
    </reviewItem>
    <reviewItem>
      <errorID>88011dcc-7f99-4fa4-8ed4-7fa325acd69a</errorID>
      <errorWord>）</errorWord>
      <group>L1_Format</group>
      <groupName>格式问题</groupName>
      <ability>L2_HalfPunc_CN</ability>
      <abilityName>全半角问题</abilityName>
      <candidateList>
        <item>)</item>
      </candidateList>
      <explain>文本全半角错误。</explain>
      <paraID>65B271B8</paraID>
      <start>7</start>
      <end>8</end>
      <status>unmodified</status>
      <modifiedWord/>
      <trackRevisions>false</trackRevisions>
    </reviewItem>
    <reviewItem>
      <errorID>f72af4b3-4b2e-4747-84c0-cbb99304dadb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2</start>
      <end>3</end>
      <status>unmodified</status>
      <modifiedWord/>
      <trackRevisions>false</trackRevisions>
    </reviewItem>
    <reviewItem>
      <errorID>bb802ce6-83b1-4c7d-bccd-377683a76b8e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4</start>
      <end>5</end>
      <status>unmodified</status>
      <modifiedWord/>
      <trackRevisions>false</trackRevisions>
    </reviewItem>
    <reviewItem>
      <errorID>0575c47c-d7b8-4d24-9fb0-b4c09b3681c2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11</start>
      <end>12</end>
      <status>unmodified</status>
      <modifiedWord/>
      <trackRevisions>false</trackRevisions>
    </reviewItem>
    <reviewItem>
      <errorID>a0c49ba3-079a-4253-8bf5-173e2d385974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13</start>
      <end>14</end>
      <status>unmodified</status>
      <modifiedWord/>
      <trackRevisions>false</trackRevisions>
    </reviewItem>
    <reviewItem>
      <errorID>5f56e94c-aa22-4d30-9fe2-7b82941a64f3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15</start>
      <end>16</end>
      <status>unmodified</status>
      <modifiedWord/>
      <trackRevisions>false</trackRevisions>
    </reviewItem>
    <reviewItem>
      <errorID>f05b092a-05bc-453c-af30-24b2fa4133eb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18</start>
      <end>19</end>
      <status>unmodified</status>
      <modifiedWord/>
      <trackRevisions>false</trackRevisions>
    </reviewItem>
    <reviewItem>
      <errorID>c0f7d26d-3e3c-4249-9049-9be356d817ac</errorID>
      <errorWord>珍惜</errorWord>
      <group>L1_Word</group>
      <groupName>字词问题</groupName>
      <ability>L2_Typo</ability>
      <abilityName>字词错误</abilityName>
      <candidateList>
        <item>珍稀</item>
      </candidateList>
      <explain>〈形〉珍贵而稀有：大熊猫、金丝猴、野牦牛是我国的～动物。</explain>
      <paraID>31F30C6F</paraID>
      <start>37</start>
      <end>39</end>
      <status>unmodified</status>
      <modifiedWord/>
      <trackRevisions>false</trackRevisions>
    </reviewItem>
    <reviewItem>
      <errorID>aab8d5f0-9056-4b0a-ba51-fa0cf4b85c1c</errorID>
      <errorWord>即有</errorWord>
      <group>L1_Word</group>
      <groupName>字词问题</groupName>
      <ability>L2_Typo</ability>
      <abilityName>字词错误</abilityName>
      <candidateList>
        <item>既有</item>
      </candidateList>
      <explain>存在发音相同字词的误用。</explain>
      <paraID>1DFE02F7</paraID>
      <start>17</start>
      <end>19</end>
      <status>unmodified</status>
      <modifiedWord/>
      <trackRevisions>false</trackRevisions>
    </reviewItem>
    <reviewItem>
      <errorID>211164ed-b4f7-4536-b21d-f21fb61dff8f</errorID>
      <errorWord>夏季团</errorWord>
      <group>L1_Word</group>
      <groupName>字词问题</groupName>
      <ability>L2_Typo</ability>
      <abilityName>字词错误</abilityName>
      <candidateList>
        <item>夏季</item>
      </candidateList>
      <explain/>
      <paraID>7034A9A2</paraID>
      <start>24</start>
      <end>27</end>
      <status>unmodified</status>
      <modifiedWord/>
      <trackRevisions>false</trackRevisions>
    </reviewItem>
    <reviewItem>
      <errorID>9fd099fc-f911-4378-8736-82a174bd6406</errorID>
      <errorWord>（/</errorWord>
      <group>L1_Punc</group>
      <groupName>标点问题</groupName>
      <ability>L2_Punc_CN</ability>
      <abilityName>标点符号问题</abilityName>
      <candidateList>
        <item>（</item>
      </candidateList>
      <explain/>
      <paraID>38A641BF</paraID>
      <start>0</start>
      <end>2</end>
      <status>unmodified</status>
      <modifiedWord/>
      <trackRevisions>false</trackRevisions>
    </reviewItem>
    <reviewItem>
      <errorID>1180d11c-aa7b-4992-8b84-dbfc9ff16dcc</errorID>
      <errorWord>（/</errorWord>
      <group>L1_Punc</group>
      <groupName>标点问题</groupName>
      <ability>L2_Punc_CN</ability>
      <abilityName>标点符号问题</abilityName>
      <candidateList>
        <item>（</item>
      </candidateList>
      <explain/>
      <paraID>6FE5779B</paraID>
      <start>9</start>
      <end>11</end>
      <status>unmodified</status>
      <modifiedWord/>
      <trackRevisions>false</trackRevisions>
    </reviewItem>
    <reviewItem>
      <errorID>b05d9792-e972-48fd-958b-ad5f6232d76e</errorID>
      <errorWord>（/</errorWord>
      <group>L1_Punc</group>
      <groupName>标点问题</groupName>
      <ability>L2_Punc_CN</ability>
      <abilityName>标点符号问题</abilityName>
      <candidateList>
        <item>（</item>
      </candidateList>
      <explain/>
      <paraID>1085F95F</paraID>
      <start>5</start>
      <end>7</end>
      <status>unmodified</status>
      <modifiedWord/>
      <trackRevisions>false</trackRevisions>
    </reviewItem>
    <reviewItem>
      <errorID>0f458707-56b2-48e8-b533-16efa6675a5a</errorID>
      <errorWord>（/</errorWord>
      <group>L1_Punc</group>
      <groupName>标点问题</groupName>
      <ability>L2_Punc_CN</ability>
      <abilityName>标点符号问题</abilityName>
      <candidateList>
        <item>（</item>
      </candidateList>
      <explain/>
      <paraID>1085F95F</paraID>
      <start>24</start>
      <end>26</end>
      <status>unmodified</status>
      <modifiedWord/>
      <trackRevisions>false</trackRevisions>
    </reviewItem>
    <reviewItem>
      <errorID>a1cb7fb4-4169-499a-90a0-9094d8c7dbe3</errorID>
      <errorWord>（/</errorWord>
      <group>L1_Punc</group>
      <groupName>标点问题</groupName>
      <ability>L2_Punc_CN</ability>
      <abilityName>标点符号问题</abilityName>
      <candidateList>
        <item>（</item>
      </candidateList>
      <explain/>
      <paraID>3BC08B6C</paraID>
      <start>0</start>
      <end>2</end>
      <status>unmodified</status>
      <modifiedWord/>
      <trackRevisions>false</trackRevisions>
    </reviewItem>
    <reviewItem>
      <errorID>0cef9e64-05a6-4d51-bef5-75a3181e4031</errorID>
      <errorWord>（/</errorWord>
      <group>L1_Punc</group>
      <groupName>标点问题</groupName>
      <ability>L2_Punc_CN</ability>
      <abilityName>标点符号问题</abilityName>
      <candidateList>
        <item>（</item>
      </candidateList>
      <explain/>
      <paraID>595C8F4D</paraID>
      <start>31</start>
      <end>33</end>
      <status>unmodified</status>
      <modifiedWord/>
      <trackRevisions>false</trackRevisions>
    </reviewItem>
    <reviewItem>
      <errorID>4f2ce8f1-9960-44a4-b117-3e02961d007c</errorID>
      <errorWord>（/</errorWord>
      <group>L1_Punc</group>
      <groupName>标点问题</groupName>
      <ability>L2_Punc_CN</ability>
      <abilityName>标点符号问题</abilityName>
      <candidateList>
        <item>（</item>
      </candidateList>
      <explain/>
      <paraID>5614AF9A</paraID>
      <start>5</start>
      <end>7</end>
      <status>unmodified</status>
      <modifiedWord/>
      <trackRevisions>false</trackRevisions>
    </reviewItem>
    <reviewItem>
      <errorID>39efe5fc-04a1-4328-a52e-9b9882e13012</errorID>
      <errorWord>（/</errorWord>
      <group>L1_Punc</group>
      <groupName>标点问题</groupName>
      <ability>L2_Punc_CN</ability>
      <abilityName>标点符号问题</abilityName>
      <candidateList>
        <item>（</item>
      </candidateList>
      <explain/>
      <paraID>5614AF9A</paraID>
      <start>24</start>
      <end>26</end>
      <status>unmodified</status>
      <modifiedWord/>
      <trackRevisions>false</trackRevisions>
    </reviewItem>
    <reviewItem>
      <errorID>2e953996-549a-45b4-922b-556209a9287f</errorID>
      <errorWord>（/</errorWord>
      <group>L1_Punc</group>
      <groupName>标点问题</groupName>
      <ability>L2_Punc_CN</ability>
      <abilityName>标点符号问题</abilityName>
      <candidateList>
        <item>（</item>
      </candidateList>
      <explain/>
      <paraID>44D4FAF0</paraID>
      <start>0</start>
      <end>2</end>
      <status>unmodified</status>
      <modifiedWord/>
      <trackRevisions>false</trackRevisions>
    </reviewItem>
    <reviewItem>
      <errorID>1021c206-eb17-4274-9a06-4896483e0a33</errorID>
      <errorWord>（/</errorWord>
      <group>L1_Punc</group>
      <groupName>标点问题</groupName>
      <ability>L2_Punc_CN</ability>
      <abilityName>标点符号问题</abilityName>
      <candidateList>
        <item>（</item>
      </candidateList>
      <explain/>
      <paraID>1D517FFD</paraID>
      <start>0</start>
      <end>2</end>
      <status>unmodified</status>
      <modifiedWord/>
      <trackRevisions>false</trackRevisions>
    </reviewItem>
    <reviewItem>
      <errorID>d6e0fcf2-6c7d-4b90-af90-9c33460fb4ca</errorID>
      <errorWord>（/</errorWord>
      <group>L1_Punc</group>
      <groupName>标点问题</groupName>
      <ability>L2_Punc_CN</ability>
      <abilityName>标点符号问题</abilityName>
      <candidateList>
        <item>（</item>
      </candidateList>
      <explain/>
      <paraID>705CF408</paraID>
      <start>0</start>
      <end>2</end>
      <status>unmodified</status>
      <modifiedWord/>
      <trackRevisions>false</trackRevisions>
    </reviewItem>
    <reviewItem>
      <errorID>6080bb55-1200-4873-9633-0c543f265cb1</errorID>
      <errorWord>（/</errorWord>
      <group>L1_Punc</group>
      <groupName>标点问题</groupName>
      <ability>L2_Punc_CN</ability>
      <abilityName>标点符号问题</abilityName>
      <candidateList>
        <item>（</item>
      </candidateList>
      <explain/>
      <paraID>5475C48E</paraID>
      <start>0</start>
      <end>2</end>
      <status>unmodified</status>
      <modifiedWord/>
      <trackRevisions>false</trackRevisions>
    </reviewItem>
    <reviewItem>
      <errorID>fbcbdca8-cf4d-49eb-9a25-5072fa4baa64</errorID>
      <errorWord>（</errorWord>
      <group>L1_Format</group>
      <groupName>格式问题</groupName>
      <ability>L2_HalfPunc_CN</ability>
      <abilityName>全半角问题</abilityName>
      <candidateList>
        <item>(</item>
      </candidateList>
      <explain>文本全半角错误。</explain>
      <paraID>752E1453</paraID>
      <start>0</start>
      <end>1</end>
      <status>unmodified</status>
      <modifiedWord/>
      <trackRevisions>false</trackRevisions>
    </reviewItem>
    <reviewItem>
      <errorID>e05667b5-8419-4d2c-b164-793a870aea7d</errorID>
      <errorWord>）</errorWord>
      <group>L1_Format</group>
      <groupName>格式问题</groupName>
      <ability>L2_HalfPunc_CN</ability>
      <abilityName>全半角问题</abilityName>
      <candidateList>
        <item>)</item>
      </candidateList>
      <explain>文本全半角错误。</explain>
      <paraID>752E1453</paraID>
      <start>4</start>
      <end>5</end>
      <status>unmodified</status>
      <modifiedWord/>
      <trackRevisions>false</trackRevisions>
    </reviewItem>
    <reviewItem>
      <errorID>dbed6741-a828-453d-b6ab-dcef3f2374ad</errorID>
      <errorWord>（/</errorWord>
      <group>L1_Punc</group>
      <groupName>标点问题</groupName>
      <ability>L2_Punc_CN</ability>
      <abilityName>标点符号问题</abilityName>
      <candidateList>
        <item>（</item>
      </candidateList>
      <explain/>
      <paraID>2028C299</paraID>
      <start>9</start>
      <end>11</end>
      <status>unmodified</status>
      <modifiedWord/>
      <trackRevisions>false</trackRevisions>
    </reviewItem>
    <reviewItem>
      <errorID>2f5766bd-ab8d-498d-be8b-162710c1252d</errorID>
      <errorWord>（/</errorWord>
      <group>L1_Punc</group>
      <groupName>标点问题</groupName>
      <ability>L2_Punc_CN</ability>
      <abilityName>标点符号问题</abilityName>
      <candidateList>
        <item>（</item>
      </candidateList>
      <explain/>
      <paraID>2028C299</paraID>
      <start>22</start>
      <end>24</end>
      <status>unmodified</status>
      <modifiedWord/>
      <trackRevisions>false</trackRevisions>
    </reviewItem>
    <reviewItem>
      <errorID>988b743f-4ac4-4c32-a335-956257cc4a76</errorID>
      <errorWord>（/</errorWord>
      <group>L1_Punc</group>
      <groupName>标点问题</groupName>
      <ability>L2_Punc_CN</ability>
      <abilityName>标点符号问题</abilityName>
      <candidateList>
        <item>（</item>
      </candidateList>
      <explain/>
      <paraID>2028C299</paraID>
      <start>32</start>
      <end>34</end>
      <status>unmodified</status>
      <modifiedWord/>
      <trackRevisions>false</trackRevisions>
    </reviewItem>
    <reviewItem>
      <errorID>6a9407b6-6a60-490e-8c69-ed37e4c65527</errorID>
      <errorWord>（/</errorWord>
      <group>L1_Punc</group>
      <groupName>标点问题</groupName>
      <ability>L2_Punc_CN</ability>
      <abilityName>标点符号问题</abilityName>
      <candidateList>
        <item>（</item>
      </candidateList>
      <explain/>
      <paraID>2028C299</paraID>
      <start>48</start>
      <end>50</end>
      <status>unmodified</status>
      <modifiedWord/>
      <trackRevisions>false</trackRevisions>
    </reviewItem>
    <reviewItem>
      <errorID>28fc7180-b426-4d85-bb63-d3ff2f7b9b07</errorID>
      <errorWord>（/</errorWord>
      <group>L1_Punc</group>
      <groupName>标点问题</groupName>
      <ability>L2_Punc_CN</ability>
      <abilityName>标点符号问题</abilityName>
      <candidateList>
        <item>（</item>
      </candidateList>
      <explain/>
      <paraID>2028C299</paraID>
      <start>58</start>
      <end>60</end>
      <status>unmodified</status>
      <modifiedWord/>
      <trackRevisions>false</trackRevisions>
    </reviewItem>
    <reviewItem>
      <errorID>674e5f32-a13b-457a-b8d2-d562a9c9b6a1</errorID>
      <errorWord>（/</errorWord>
      <group>L1_Punc</group>
      <groupName>标点问题</groupName>
      <ability>L2_Punc_CN</ability>
      <abilityName>标点符号问题</abilityName>
      <candidateList>
        <item>（</item>
      </candidateList>
      <explain/>
      <paraID>2028C299</paraID>
      <start>65</start>
      <end>67</end>
      <status>unmodified</status>
      <modifiedWord/>
      <trackRevisions>false</trackRevisions>
    </reviewItem>
    <reviewItem>
      <errorID>fcbb8b58-083c-4c64-ab9a-a80fb51ce31e</errorID>
      <errorWord>设施团</errorWord>
      <group>L1_Word</group>
      <groupName>字词问题</groupName>
      <ability>L2_Typo</ability>
      <abilityName>字词错误</abilityName>
      <candidateList>
        <item>设施</item>
      </candidateList>
      <explain/>
      <paraID>1DC261B6</paraID>
      <start>4</start>
      <end>7</end>
      <status>unmodified</status>
      <modifiedWord/>
      <trackRevisions>false</trackRevisions>
    </reviewItem>
    <reviewItem>
      <errorID>c0a80795-270a-4841-bf1b-e065d6a00b62</errorID>
      <errorWord>（/</errorWord>
      <group>L1_Punc</group>
      <groupName>标点问题</groupName>
      <ability>L2_Punc_CN</ability>
      <abilityName>标点符号问题</abilityName>
      <candidateList>
        <item>（</item>
      </candidateList>
      <explain/>
      <paraID>53CD70F4</paraID>
      <start>0</start>
      <end>2</end>
      <status>unmodified</status>
      <modifiedWord/>
      <trackRevisions>false</trackRevisions>
    </reviewItem>
    <reviewItem>
      <errorID>5c32c94b-a9bb-4c76-a3c9-a06a83d5edc3</errorID>
      <errorWord>（/</errorWord>
      <group>L1_Punc</group>
      <groupName>标点问题</groupName>
      <ability>L2_Punc_CN</ability>
      <abilityName>标点符号问题</abilityName>
      <candidateList>
        <item>（</item>
      </candidateList>
      <explain/>
      <paraID>7664433D</paraID>
      <start>0</start>
      <end>2</end>
      <status>unmodified</status>
      <modifiedWord/>
      <trackRevisions>false</trackRevisions>
    </reviewItem>
    <reviewItem>
      <errorID>bdc0ceb2-7696-4b38-8e9d-65540063f96d</errorID>
      <errorWord>（/</errorWord>
      <group>L1_Punc</group>
      <groupName>标点问题</groupName>
      <ability>L2_Punc_CN</ability>
      <abilityName>标点符号问题</abilityName>
      <candidateList>
        <item>（</item>
      </candidateList>
      <explain/>
      <paraID>17C38469</paraID>
      <start>0</start>
      <end>2</end>
      <status>unmodified</status>
      <modifiedWord/>
      <trackRevisions>false</trackRevisions>
    </reviewItem>
    <reviewItem>
      <errorID>7d8d9214-3cf9-48b5-9ee8-4c57dcedbf57</errorID>
      <errorWord>（/</errorWord>
      <group>L1_Punc</group>
      <groupName>标点问题</groupName>
      <ability>L2_Punc_CN</ability>
      <abilityName>标点符号问题</abilityName>
      <candidateList>
        <item>（</item>
      </candidateList>
      <explain/>
      <paraID>452055D2</paraID>
      <start>0</start>
      <end>2</end>
      <status>unmodified</status>
      <modifiedWord/>
      <trackRevisions>false</trackRevisions>
    </reviewItem>
    <reviewItem>
      <errorID>7a100540-8c2f-4ccc-995f-3cc27f22f6f2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2</start>
      <end>3</end>
      <status>unmodified</status>
      <modifiedWord/>
      <trackRevisions>false</trackRevisions>
    </reviewItem>
    <reviewItem>
      <errorID>8f9ff89c-c373-4620-acdf-2453cbe4f8aa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4</start>
      <end>5</end>
      <status>unmodified</status>
      <modifiedWord/>
      <trackRevisions>false</trackRevisions>
    </reviewItem>
    <reviewItem>
      <errorID>61b0b8e7-3fbd-4fdb-a93a-2cbddd9aac9c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11</start>
      <end>12</end>
      <status>unmodified</status>
      <modifiedWord/>
      <trackRevisions>false</trackRevisions>
    </reviewItem>
    <reviewItem>
      <errorID>e45a0fda-f1e5-46f7-a9a6-3619f074cd96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13</start>
      <end>14</end>
      <status>unmodified</status>
      <modifiedWord/>
      <trackRevisions>false</trackRevisions>
    </reviewItem>
    <reviewItem>
      <errorID>0eab29fd-6817-4539-bf7b-9a745ca8877f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15</start>
      <end>16</end>
      <status>unmodified</status>
      <modifiedWord/>
      <trackRevisions>false</trackRevisions>
    </reviewItem>
    <reviewItem>
      <errorID>54587a00-bb55-46d6-b2cc-051b4a16cd66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18</start>
      <end>19</end>
      <status>unmodified</status>
      <modifiedWord/>
      <trackRevisions>false</trackRevisions>
    </reviewItem>
    <reviewItem>
      <errorID>ac38e352-7e31-40d7-921b-0efda8e81bfa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6FBE24CA</paraID>
      <start>0</start>
      <end>2</end>
      <status>unmodified</status>
      <modifiedWord/>
      <trackRevisions>false</trackRevisions>
    </reviewItem>
    <reviewItem>
      <errorID>43cbde7d-b7ba-468d-a730-5ca8f1023b62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4EC3790E</paraID>
      <start>0</start>
      <end>3</end>
      <status>unmodified</status>
      <modifiedWord/>
      <trackRevisions>false</trackRevisions>
    </reviewItem>
    <reviewItem>
      <errorID>792c1fea-cb79-4241-8648-32d192dce8fa</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4EC3790E</paraID>
      <start>73</start>
      <end>76</end>
      <status>unmodified</status>
      <modifiedWord/>
      <trackRevisions>false</trackRevisions>
    </reviewItem>
    <reviewItem>
      <errorID>184150b5-d0da-4102-8415-0ccfbec93210</errorID>
      <errorWord>统-</errorWord>
      <group>L1_Word</group>
      <groupName>字词问题</groupName>
      <ability>L2_Typo</ability>
      <abilityName>字词错误</abilityName>
      <candidateList>
        <item>统一</item>
      </candidateList>
      <explain>❶〈动〉部分联成整体；分歧归于一致：～体｜～祖国｜大家的意见逐渐～了。❷〈形〉一致的；整体的；单一的：～的意见｜～调配｜～领导。</explain>
      <paraID>3064472D</paraID>
      <start>15</start>
      <end>17</end>
      <status>unmodified</status>
      <modifiedWord/>
      <trackRevisions>false</trackRevisions>
    </reviewItem>
    <reviewItem>
      <errorID>d03cb03d-db22-45df-b8ac-1ce796374e67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3064472D</paraID>
      <start>212</start>
      <end>213</end>
      <status>unmodified</status>
      <modifiedWord/>
      <trackRevisions>false</trackRevisions>
    </reviewItem>
    <reviewItem>
      <errorID>f0f43113-5de2-49c3-b4c8-ef8eeec5ca29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C1A41B0</paraID>
      <start>0</start>
      <end>2</end>
      <status>unmodified</status>
      <modifiedWord/>
      <trackRevisions>false</trackRevisions>
    </reviewItem>
    <reviewItem>
      <errorID>03d216e0-a764-483a-9c83-731cfabfab55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178D90C5</paraID>
      <start>0</start>
      <end>2</end>
      <status>unmodified</status>
      <modifiedWord/>
      <trackRevisions>false</trackRevisions>
    </reviewItem>
    <reviewItem>
      <errorID>a427bdbd-c780-4ebd-ad5a-2916cd7a317b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40CFFB13</paraID>
      <start>0</start>
      <end>2</end>
      <status>unmodified</status>
      <modifiedWord/>
      <trackRevisions>false</trackRevisions>
    </reviewItem>
    <reviewItem>
      <errorID>6bb85d73-a81c-4586-b975-ac444d597c7c</errorID>
      <errorWord>引</errorWord>
      <group>L1_Word</group>
      <groupName>字词问题</groupName>
      <ability>L2_Typo</ability>
      <abilityName>字词错误</abilityName>
      <candidateList>
        <item>引起</item>
      </candidateList>
      <explain/>
      <paraID>5400F3DC</paraID>
      <start>126</start>
      <end>127</end>
      <status>unmodified</status>
      <modifiedWord/>
      <trackRevisions>false</trackRevisions>
    </reviewItem>
    <reviewItem>
      <errorID>4e05b8a9-1543-4d33-9fcf-715f4978b37b</errorID>
      <errorWord>泄露</errorWord>
      <group>L1_Word</group>
      <groupName>字词问题</groupName>
      <ability>L2_Typo</ability>
      <abilityName>字词错误</abilityName>
      <candidateList>
        <item>泄漏</item>
      </candidateList>
      <explain>存在发音相同字词的误用。</explain>
      <paraID> 504CD88</paraID>
      <start>10</start>
      <end>12</end>
      <status>unmodified</status>
      <modifiedWord/>
      <trackRevisions>false</trackRevisions>
    </reviewItem>
    <reviewItem>
      <errorID>af4895d7-0651-4160-8168-3e52cd7f7c8e</errorID>
      <errorWord>泄露</errorWord>
      <group>L1_Word</group>
      <groupName>字词问题</groupName>
      <ability>L2_Typo</ability>
      <abilityName>字词错误</abilityName>
      <candidateList>
        <item>泄漏</item>
      </candidateList>
      <explain>存在发音相同字词的误用。</explain>
      <paraID>2C7F2146</paraID>
      <start>0</start>
      <end>2</end>
      <status>unmodified</status>
      <modifiedWord/>
      <trackRevisions>false</trackRevisions>
    </reviewItem>
    <reviewItem>
      <errorID>68f05f31-fef4-437c-8189-7219613f80a8</errorID>
      <errorWord>弄</errorWord>
      <group>L1_Word</group>
      <groupName>字词问题</groupName>
      <ability>L2_Typo</ability>
      <abilityName>字词错误</abilityName>
      <candidateList>
        <item>浓</item>
      </candidateList>
      <explain/>
      <paraID>3F357F22</paraID>
      <start>5</start>
      <end>6</end>
      <status>unmodified</status>
      <modifiedWord/>
      <trackRevisions>false</trackRevisions>
    </reviewItem>
    <reviewItem>
      <errorID>5f592fc3-8d36-4b12-aaf0-0798158e6cad</errorID>
      <errorWord>场</errorWord>
      <group>L1_Word</group>
      <groupName>字词问题</groupName>
      <ability>L2_Typo</ability>
      <abilityName>字词错误</abilityName>
      <candidateList>
        <item>厂</item>
      </candidateList>
      <explain/>
      <paraID> E608ABF</paraID>
      <start>245</start>
      <end>246</end>
      <status>unmodified</status>
      <modifiedWord/>
      <trackRevisions>false</trackRevisions>
    </reviewItem>
    <reviewItem>
      <errorID>aca75385-57bd-46af-8262-47761c06a217</errorID>
      <errorWord>、</errorWord>
      <group>L1_Punc</group>
      <groupName>标点问题</groupName>
      <ability>L2_Punc_CN</ability>
      <abilityName>标点符号问题</abilityName>
      <candidateList>
        <item>.</item>
      </candidateList>
      <explain/>
      <paraID>1CA9AD88</paraID>
      <start>1</start>
      <end>2</end>
      <status>unmodified</status>
      <modifiedWord/>
      <trackRevisions>false</trackRevisions>
    </reviewItem>
    <reviewItem>
      <errorID>c0fde01c-b30a-4d05-aaf2-e0a1ac450620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55008FD2</paraID>
      <start>0</start>
      <end>2</end>
      <status>unmodified</status>
      <modifiedWord/>
      <trackRevisions>false</trackRevisions>
    </reviewItem>
    <reviewItem>
      <errorID>b4848c8f-6a06-4c20-b5d2-22cc8ab7ee5a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3FB1CBE2</paraID>
      <start>0</start>
      <end>2</end>
      <status>unmodified</status>
      <modifiedWord/>
      <trackRevisions>false</trackRevisions>
    </reviewItem>
    <reviewItem>
      <errorID>00412c4c-68d8-46ce-aee4-406885f86ae5</errorID>
      <errorWord>、</errorWord>
      <group>L1_Punc</group>
      <groupName>标点问题</groupName>
      <ability>L2_Punc_CN</ability>
      <abilityName>标点符号问题</abilityName>
      <candidateList>
        <item>.</item>
      </candidateList>
      <explain/>
      <paraID> 8C2B99E</paraID>
      <start>1</start>
      <end>2</end>
      <status>unmodified</status>
      <modifiedWord/>
      <trackRevisions>false</trackRevisions>
    </reviewItem>
    <reviewItem>
      <errorID>099e72c1-dfbc-45f2-9c91-590f2a1ff29f</errorID>
      <errorWord>”</errorWord>
      <group>L1_Punc</group>
      <groupName>标点问题</groupName>
      <ability>L2_Punc_CN</ability>
      <abilityName>标点符号问题</abilityName>
      <candidateList>
        <item>“</item>
      </candidateList>
      <explain>注意检查双引号的方向是否正确。</explain>
      <paraID>19D2E1EE</paraID>
      <start>10</start>
      <end>11</end>
      <status>modified</status>
      <modifiedWord>“</modifiedWord>
      <trackRevisions>false</trackRevisions>
    </reviewItem>
    <reviewItem>
      <errorID>b0a1f3a8-5f00-4f55-bbec-94691373596d</errorID>
      <errorWord>”</errorWord>
      <group>L1_Punc</group>
      <groupName>标点问题</groupName>
      <ability>L2_Punc_CN</ability>
      <abilityName>标点符号问题</abilityName>
      <candidateList>
        <item>“</item>
      </candidateList>
      <explain>注意检查双引号的方向是否正确。</explain>
      <paraID>19D2E1EE</paraID>
      <start>14</start>
      <end>15</end>
      <status>modified</status>
      <modifiedWord>“</modifiedWord>
      <trackRevisions>false</trackRevisions>
    </reviewItem>
    <reviewItem>
      <errorID>47e9b08f-72e3-4cdc-83aa-6ba046d9c3f0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11B1248C</paraID>
      <start>21</start>
      <end>22</end>
      <status>unmodified</status>
      <modifiedWord/>
      <trackRevisions>false</trackRevisions>
    </reviewItem>
    <reviewItem>
      <errorID>bb170f37-f7b2-4072-a94a-fd673e8c2a4c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796382DF</paraID>
      <start>21</start>
      <end>22</end>
      <status>unmodified</status>
      <modifiedWord/>
      <trackRevisions>false</trackRevisions>
    </reviewItem>
    <reviewItem>
      <errorID>461fbdfe-d45d-4c6b-9925-278e70c99a11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3B4DA3B8</paraID>
      <start>54</start>
      <end>55</end>
      <status>unmodified</status>
      <modifiedWord/>
      <trackRevisions>false</trackRevisions>
    </reviewItem>
    <reviewItem>
      <errorID>55d7863c-038a-4795-b739-a3420ab0b214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770F01C0</paraID>
      <start>24</start>
      <end>25</end>
      <status>unmodified</status>
      <modifiedWord/>
      <trackRevisions>false</trackRevisions>
    </reviewItem>
    <reviewItem>
      <errorID>dc7ba629-9c03-41c7-8ed6-ad72a0a0f60a</errorID>
      <errorWord>、</errorWord>
      <group>L1_Punc</group>
      <groupName>标点问题</groupName>
      <ability>L2_Punc_CN</ability>
      <abilityName>标点符号问题</abilityName>
      <candidateList>
        <item>.</item>
      </candidateList>
      <explain/>
      <paraID>6CEFB7F1</paraID>
      <start>1</start>
      <end>2</end>
      <status>unmodified</status>
      <modifiedWord/>
      <trackRevisions>false</trackRevisions>
    </reviewItem>
    <reviewItem>
      <errorID>d8a4eecb-7c54-4323-9563-c13c3eaf9516</errorID>
      <errorWord>进行实施</errorWord>
      <group>L1_Word</group>
      <groupName>字词问题</groupName>
      <ability>L2_Typo</ability>
      <abilityName>字词错误</abilityName>
      <candidateList>
        <item>实施</item>
      </candidateList>
      <explain>〈动〉实行（法令、政策等）：付诸～｜～细则｜～新的办法。</explain>
      <paraID> C01B5FD</paraID>
      <start>100</start>
      <end>104</end>
      <status>unmodified</status>
      <modifiedWord/>
      <trackRevisions>false</trackRevisions>
    </reviewItem>
    <reviewItem>
      <errorID>897881a5-0c62-4a8b-bdd6-a3528c51218f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C01B5FD</paraID>
      <start>127</start>
      <end>128</end>
      <status>unmodified</status>
      <modifiedWord/>
      <trackRevisions>false</trackRevisions>
    </reviewItem>
    <reviewItem>
      <errorID>b14afd08-86ca-42fb-b01f-8037d37e75fd</errorID>
      <errorWord>II</errorWord>
      <group>L1_Knowledge</group>
      <groupName>知识性问题</groupName>
      <ability>L2_Knowledge</ability>
      <abilityName>其他知识</abilityName>
      <candidateList>
        <item>Ⅱ</item>
      </candidateList>
      <explain>中文环境下罗马数字格式错误。</explain>
      <paraID>27354A13</paraID>
      <start>0</start>
      <end>2</end>
      <status>unmodified</status>
      <modifiedWord/>
      <trackRevisions>false</trackRevisions>
    </reviewItem>
    <reviewItem>
      <errorID>60833900-60b9-4428-a4c3-ac566b4f9a18</errorID>
      <errorWord>进行实施</errorWord>
      <group>L1_Word</group>
      <groupName>字词问题</groupName>
      <ability>L2_Typo</ability>
      <abilityName>字词错误</abilityName>
      <candidateList>
        <item>实施</item>
      </candidateList>
      <explain>〈动〉实行（法令、政策等）：付诸～｜～细则｜～新的办法。</explain>
      <paraID> CB29938</paraID>
      <start>74</start>
      <end>78</end>
      <status>unmodified</status>
      <modifiedWord/>
      <trackRevisions>false</trackRevisions>
    </reviewItem>
    <reviewItem>
      <errorID>75ce1fc7-129a-435d-b2ad-8e7fa11fa5c4</errorID>
      <errorWord>III</errorWord>
      <group>L1_Knowledge</group>
      <groupName>知识性问题</groupName>
      <ability>L2_Knowledge</ability>
      <abilityName>其他知识</abilityName>
      <candidateList>
        <item>Ⅲ</item>
      </candidateList>
      <explain>中文环境下罗马数字格式错误。</explain>
      <paraID>22B6C587</paraID>
      <start>0</start>
      <end>3</end>
      <status>unmodified</status>
      <modifiedWord/>
      <trackRevisions>false</trackRevisions>
    </reviewItem>
    <reviewItem>
      <errorID>8dda3559-c8b0-4bc1-8250-5097a0ac2a81</errorID>
      <errorWord>~</errorWord>
      <group>L1_Format</group>
      <groupName>格式问题</groupName>
      <ability>L2_HalfPunc_CN</ability>
      <abilityName>全半角问题</abilityName>
      <candidateList>
        <item>～</item>
      </candidateList>
      <explain>文本全半角错误。</explain>
      <paraID>2D9F0EAE</paraID>
      <start>41</start>
      <end>42</end>
      <status>unmodified</status>
      <modifiedWord/>
      <trackRevisions>false</trackRevisions>
    </reviewItem>
    <reviewItem>
      <errorID>cc7a335a-fe04-4246-a0ca-5ac447c1b530</errorID>
      <errorWord>IV</errorWord>
      <group>L1_Knowledge</group>
      <groupName>知识性问题</groupName>
      <ability>L2_Knowledge</ability>
      <abilityName>其他知识</abilityName>
      <candidateList>
        <item>Ⅳ</item>
      </candidateList>
      <explain>中文环境下罗马数字格式错误。</explain>
      <paraID>30887FB2</paraID>
      <start>0</start>
      <end>2</end>
      <status>unmodified</status>
      <modifiedWord/>
      <trackRevisions>false</trackRevisions>
    </reviewItem>
    <reviewItem>
      <errorID>635aa53b-dcba-4e2a-b521-945ab9231cc0</errorID>
      <errorWord>及与</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6C004842</paraID>
      <start>152</start>
      <end>154</end>
      <status>unmodified</status>
      <modifiedWord/>
      <trackRevisions>false</trackRevisions>
    </reviewItem>
    <reviewItem>
      <errorID>16334b74-5205-4482-b29a-08387e6fe382</errorID>
      <errorWord>、</errorWord>
      <group>L1_Punc</group>
      <groupName>标点问题</groupName>
      <ability>L2_Punc_CN</ability>
      <abilityName>标点符号问题</abilityName>
      <candidateList>
        <item>.</item>
      </candidateList>
      <explain/>
      <paraID>4C696486</paraID>
      <start>1</start>
      <end>2</end>
      <status>unmodified</status>
      <modifiedWord/>
      <trackRevisions>false</trackRevisions>
    </reviewItem>
    <reviewItem>
      <errorID>90a4480e-5f6c-4726-8dc2-3832b2bed297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1A8AB52</paraID>
      <start>0</start>
      <end>2</end>
      <status>unmodified</status>
      <modifiedWord/>
      <trackRevisions>false</trackRevisions>
    </reviewItem>
    <reviewItem>
      <errorID>d90aebb4-1195-44e4-bf1c-807895c33ed2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3A9B58C0</paraID>
      <start>0</start>
      <end>2</end>
      <status>unmodified</status>
      <modifiedWord/>
      <trackRevisions>false</trackRevisions>
    </reviewItem>
    <reviewItem>
      <errorID>61964dfd-d501-4de8-878c-ce901bfc7260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49E8433A</paraID>
      <start>0</start>
      <end>2</end>
      <status>unmodified</status>
      <modifiedWord/>
      <trackRevisions>false</trackRevisions>
    </reviewItem>
    <reviewItem>
      <errorID>41182187-cef9-40a7-bc2b-b0829acba85a</errorID>
      <errorWord>（</errorWord>
      <group>L1_Format</group>
      <groupName>格式问题</groupName>
      <ability>L2_HalfPunc_CN</ability>
      <abilityName>全半角问题</abilityName>
      <candidateList>
        <item>(</item>
      </candidateList>
      <explain>文本全半角错误。</explain>
      <paraID>761E3856</paraID>
      <start>6</start>
      <end>7</end>
      <status>unmodified</status>
      <modifiedWord/>
      <trackRevisions>false</trackRevisions>
    </reviewItem>
    <reviewItem>
      <errorID>575ebe76-2630-4b30-9b63-f92404522841</errorID>
      <errorWord>）</errorWord>
      <group>L1_Format</group>
      <groupName>格式问题</groupName>
      <ability>L2_HalfPunc_CN</ability>
      <abilityName>全半角问题</abilityName>
      <candidateList>
        <item>)</item>
      </candidateList>
      <explain>文本全半角错误。</explain>
      <paraID>761E3856</paraID>
      <start>10</start>
      <end>11</end>
      <status>unmodified</status>
      <modifiedWord/>
      <trackRevisions>false</trackRevisions>
    </reviewItem>
    <reviewItem>
      <errorID>8006f4c0-a65c-4f11-929f-f15be033ed7d</errorID>
      <errorWord>-</errorWord>
      <group>L1_Format</group>
      <groupName>格式问题</groupName>
      <ability>L2_HalfPunc_CN</ability>
      <abilityName>全半角问题</abilityName>
      <candidateList>
        <item>－</item>
      </candidateList>
      <explain>文本全半角错误。</explain>
      <paraID>323490B2</paraID>
      <start>3</start>
      <end>4</end>
      <status>unmodified</status>
      <modifiedWord/>
      <trackRevisions>false</trackRevisions>
    </reviewItem>
    <reviewItem>
      <errorID>342efcef-25ab-4bfd-9c82-8c147f77d5ef</errorID>
      <errorWord>、</errorWord>
      <group>L1_Punc</group>
      <groupName>标点问题</groupName>
      <ability>L2_Punc_CN</ability>
      <abilityName>标点符号问题</abilityName>
      <candidateList>
        <item>.</item>
      </candidateList>
      <explain/>
      <paraID>2AD19F93</paraID>
      <start>1</start>
      <end>2</end>
      <status>unmodified</status>
      <modifiedWord/>
      <trackRevisions>false</trackRevisions>
    </reviewItem>
    <reviewItem>
      <errorID>10f67da4-7606-410a-a962-0ce78341e005</errorID>
      <errorWord>（</errorWord>
      <group>L1_Punc</group>
      <groupName>标点问题</groupName>
      <ability>L2_Punc_CN</ability>
      <abilityName>标点符号问题</abilityName>
      <candidateList/>
      <explain>同一形式括号套用。</explain>
      <paraID>2AD19F93</paraID>
      <start>49</start>
      <end>50</end>
      <status>unmodified</status>
      <modifiedWord/>
      <trackRevisions>false</trackRevisions>
    </reviewItem>
    <reviewItem>
      <errorID>72dd330f-4358-4849-94cf-4245b3f4cc02</errorID>
      <errorWord>）</errorWord>
      <group>L1_Punc</group>
      <groupName>标点问题</groupName>
      <ability>L2_Punc_CN</ability>
      <abilityName>标点符号问题</abilityName>
      <candidateList/>
      <explain>同一形式括号套用。</explain>
      <paraID>2AD19F93</paraID>
      <start>51</start>
      <end>52</end>
      <status>unmodified</status>
      <modifiedWord/>
      <trackRevisions>false</trackRevisions>
    </reviewItem>
    <reviewItem>
      <errorID>85888b43-1a1c-41f7-b32a-17f463b13c8a</errorID>
      <errorWord>（</errorWord>
      <group>L1_Format</group>
      <groupName>格式问题</groupName>
      <ability>L2_HalfPunc_CN</ability>
      <abilityName>全半角问题</abilityName>
      <candidateList>
        <item>(</item>
      </candidateList>
      <explain>文本全半角错误。</explain>
      <paraID>656CB7E9</paraID>
      <start>29</start>
      <end>30</end>
      <status>unmodified</status>
      <modifiedWord/>
      <trackRevisions>false</trackRevisions>
    </reviewItem>
    <reviewItem>
      <errorID>f811b492-95c4-407d-8901-4f2515b41171</errorID>
      <errorWord>）</errorWord>
      <group>L1_Format</group>
      <groupName>格式问题</groupName>
      <ability>L2_HalfPunc_CN</ability>
      <abilityName>全半角问题</abilityName>
      <candidateList>
        <item>)</item>
      </candidateList>
      <explain>文本全半角错误。</explain>
      <paraID>656CB7E9</paraID>
      <start>33</start>
      <end>34</end>
      <status>unmodified</status>
      <modifiedWord/>
      <trackRevisions>false</trackRevisions>
    </reviewItem>
    <reviewItem>
      <errorID>4624e743-506f-4a39-afd8-6091f168bdc4</errorID>
      <errorWord>-</errorWord>
      <group>L1_Format</group>
      <groupName>格式问题</groupName>
      <ability>L2_HalfPunc_CN</ability>
      <abilityName>全半角问题</abilityName>
      <candidateList>
        <item>－</item>
      </candidateList>
      <explain>文本全半角错误。</explain>
      <paraID>371C99FF</paraID>
      <start>6</start>
      <end>7</end>
      <status>unmodified</status>
      <modifiedWord/>
      <trackRevisions>false</trackRevisions>
    </reviewItem>
    <reviewItem>
      <errorID>7a3b6d48-ad10-4af0-ac18-c25213fa863c</errorID>
      <errorWord>-</errorWord>
      <group>L1_Format</group>
      <groupName>格式问题</groupName>
      <ability>L2_HalfPunc_CN</ability>
      <abilityName>全半角问题</abilityName>
      <candidateList>
        <item>－</item>
      </candidateList>
      <explain>文本全半角错误。</explain>
      <paraID>371C99FF</paraID>
      <start>7</start>
      <end>8</end>
      <status>unmodified</status>
      <modifiedWord/>
      <trackRevisions>false</trackRevisions>
    </reviewItem>
    <reviewItem>
      <errorID>666ea308-c7a3-45c6-8ef8-4ae28d406d5c</errorID>
      <errorWord>（</errorWord>
      <group>L1_Format</group>
      <groupName>格式问题</groupName>
      <ability>L2_HalfPunc_CN</ability>
      <abilityName>全半角问题</abilityName>
      <candidateList>
        <item>(</item>
      </candidateList>
      <explain>文本全半角错误。</explain>
      <paraID> 36934C5</paraID>
      <start>33</start>
      <end>34</end>
      <status>unmodified</status>
      <modifiedWord/>
      <trackRevisions>false</trackRevisions>
    </reviewItem>
    <reviewItem>
      <errorID>954911c0-7715-46e0-b0cf-25e5ea1b20d9</errorID>
      <errorWord>）</errorWord>
      <group>L1_Format</group>
      <groupName>格式问题</groupName>
      <ability>L2_HalfPunc_CN</ability>
      <abilityName>全半角问题</abilityName>
      <candidateList>
        <item>)</item>
      </candidateList>
      <explain>文本全半角错误。</explain>
      <paraID> 36934C5</paraID>
      <start>37</start>
      <end>38</end>
      <status>unmodified</status>
      <modifiedWord/>
      <trackRevisions>false</trackRevisions>
    </reviewItem>
    <reviewItem>
      <errorID>7c30088b-ca2c-4463-9b01-28bb784af420</errorID>
      <errorWord>-</errorWord>
      <group>L1_Format</group>
      <groupName>格式问题</groupName>
      <ability>L2_HalfPunc_CN</ability>
      <abilityName>全半角问题</abilityName>
      <candidateList>
        <item>－</item>
      </candidateList>
      <explain>文本全半角错误。</explain>
      <paraID>62840E1A</paraID>
      <start>3</start>
      <end>4</end>
      <status>unmodified</status>
      <modifiedWord/>
      <trackRevisions>false</trackRevisions>
    </reviewItem>
    <reviewItem>
      <errorID>2de9c89d-39b8-4e22-943d-38c219ef84cc</errorID>
      <errorWord>（</errorWord>
      <group>L1_Format</group>
      <groupName>格式问题</groupName>
      <ability>L2_HalfPunc_CN</ability>
      <abilityName>全半角问题</abilityName>
      <candidateList>
        <item>(</item>
      </candidateList>
      <explain>文本全半角错误。</explain>
      <paraID>60644270</paraID>
      <start>1</start>
      <end>2</end>
      <status>unmodified</status>
      <modifiedWord/>
      <trackRevisions>false</trackRevisions>
    </reviewItem>
    <reviewItem>
      <errorID>c670630f-7d5b-4b8a-a503-26005554692c</errorID>
      <errorWord>）</errorWord>
      <group>L1_Format</group>
      <groupName>格式问题</groupName>
      <ability>L2_HalfPunc_CN</ability>
      <abilityName>全半角问题</abilityName>
      <candidateList>
        <item>)</item>
      </candidateList>
      <explain>文本全半角错误。</explain>
      <paraID>60644270</paraID>
      <start>5</start>
      <end>6</end>
      <status>unmodified</status>
      <modifiedWord/>
      <trackRevisions>false</trackRevisions>
    </reviewItem>
    <reviewItem>
      <errorID>649fa944-41df-45b6-8baf-1eb670dbc698</errorID>
      <errorWord>-</errorWord>
      <group>L1_Format</group>
      <groupName>格式问题</groupName>
      <ability>L2_HalfPunc_CN</ability>
      <abilityName>全半角问题</abilityName>
      <candidateList>
        <item>－</item>
      </candidateList>
      <explain>文本全半角错误。</explain>
      <paraID>309CD4F6</paraID>
      <start>2</start>
      <end>3</end>
      <status>unmodified</status>
      <modifiedWord/>
      <trackRevisions>false</trackRevisions>
    </reviewItem>
    <reviewItem>
      <errorID>151e0a95-fb34-452d-b934-56c7bac421f9</errorID>
      <errorWord>………</errorWord>
      <group>L1_Punc</group>
      <groupName>标点问题</groupName>
      <ability>L2_Punc_CN</ability>
      <abilityName>标点符号问题</abilityName>
      <candidateList>
        <item>……</item>
      </candidateList>
      <explain/>
      <paraID>7951F4FB</paraID>
      <start>0</start>
      <end>3</end>
      <status>unmodified</status>
      <modifiedWord/>
      <trackRevisions>false</trackRevisions>
    </reviewItem>
    <reviewItem>
      <errorID>7cb7bdfa-dbc7-4379-9e7a-d564262ce774</errorID>
      <errorWord>（</errorWord>
      <group>L1_Format</group>
      <groupName>格式问题</groupName>
      <ability>L2_HalfPunc_CN</ability>
      <abilityName>全半角问题</abilityName>
      <candidateList>
        <item>(</item>
      </candidateList>
      <explain>文本全半角错误。</explain>
      <paraID>7951F4FB</paraID>
      <start>3</start>
      <end>4</end>
      <status>unmodified</status>
      <modifiedWord/>
      <trackRevisions>false</trackRevisions>
    </reviewItem>
    <reviewItem>
      <errorID>27fd7f26-358e-4463-bd37-fc6f6a2a787d</errorID>
      <errorWord>）</errorWord>
      <group>L1_Format</group>
      <groupName>格式问题</groupName>
      <ability>L2_HalfPunc_CN</ability>
      <abilityName>全半角问题</abilityName>
      <candidateList>
        <item>)</item>
      </candidateList>
      <explain>文本全半角错误。</explain>
      <paraID>7951F4FB</paraID>
      <start>7</start>
      <end>8</end>
      <status>unmodified</status>
      <modifiedWord/>
      <trackRevisions>false</trackRevisions>
    </reviewItem>
    <reviewItem>
      <errorID>1835cca7-90bd-4b60-9552-2d211eafb123</errorID>
      <errorWord>维护结构</errorWord>
      <group>L1_Word</group>
      <groupName>字词问题</groupName>
      <ability>L2_Typo</ability>
      <abilityName>字词错误</abilityName>
      <candidateList>
        <item>围护结构</item>
      </candidateList>
      <explain>存在发音相同字词的误用。</explain>
      <paraID>36B80278</paraID>
      <start>11</start>
      <end>15</end>
      <status>unmodified</status>
      <modifiedWord/>
      <trackRevisions>false</trackRevisions>
    </reviewItem>
    <reviewItem>
      <errorID>046f2960-527e-48f8-812f-4450df08aa75</errorID>
      <errorWord>-</errorWord>
      <group>L1_Format</group>
      <groupName>格式问题</groupName>
      <ability>L2_HalfPunc_CN</ability>
      <abilityName>全半角问题</abilityName>
      <candidateList>
        <item>－</item>
      </candidateList>
      <explain>文本全半角错误。</explain>
      <paraID>56663A5E</paraID>
      <start>6</start>
      <end>7</end>
      <status>unmodified</status>
      <modifiedWord/>
      <trackRevisions>false</trackRevisions>
    </reviewItem>
    <reviewItem>
      <errorID>427cdefd-e63f-42d8-a9f2-03a63a7aa578</errorID>
      <errorWord>-</errorWord>
      <group>L1_Format</group>
      <groupName>格式问题</groupName>
      <ability>L2_HalfPunc_CN</ability>
      <abilityName>全半角问题</abilityName>
      <candidateList>
        <item>－</item>
      </candidateList>
      <explain>文本全半角错误。</explain>
      <paraID>18A68417</paraID>
      <start>2</start>
      <end>3</end>
      <status>unmodified</status>
      <modifiedWord/>
      <trackRevisions>false</trackRevisions>
    </reviewItem>
    <reviewItem>
      <errorID>4a9fec01-9121-4d2c-9304-94ccccc9f9cb</errorID>
      <errorWord>生源</errorWord>
      <group>L1_Word</group>
      <groupName>字词问题</groupName>
      <ability>L2_Typo</ability>
      <abilityName>字词错误</abilityName>
      <candidateList>
        <item>声源</item>
      </candidateList>
      <explain/>
      <paraID>343E90D1</paraID>
      <start>29</start>
      <end>31</end>
      <status>unmodified</status>
      <modifiedWord/>
      <trackRevisions>false</trackRevisions>
    </reviewItem>
    <reviewItem>
      <errorID>a698365f-e575-4b92-8a81-325c22d63d5f</errorID>
      <errorWord>（</errorWord>
      <group>L1_Format</group>
      <groupName>格式问题</groupName>
      <ability>L2_HalfPunc_CN</ability>
      <abilityName>全半角问题</abilityName>
      <candidateList>
        <item>(</item>
      </candidateList>
      <explain>文本全半角错误。</explain>
      <paraID>326539FA</paraID>
      <start>3</start>
      <end>4</end>
      <status>unmodified</status>
      <modifiedWord/>
      <trackRevisions>false</trackRevisions>
    </reviewItem>
    <reviewItem>
      <errorID>17bac43d-c6fb-423b-a0f7-9daf49b10339</errorID>
      <errorWord>）</errorWord>
      <group>L1_Format</group>
      <groupName>格式问题</groupName>
      <ability>L2_HalfPunc_CN</ability>
      <abilityName>全半角问题</abilityName>
      <candidateList>
        <item>)</item>
      </candidateList>
      <explain>文本全半角错误。</explain>
      <paraID>326539FA</paraID>
      <start>7</start>
      <end>8</end>
      <status>unmodified</status>
      <modifiedWord/>
      <trackRevisions>false</trackRevisions>
    </reviewItem>
    <reviewItem>
      <errorID>0d14e7c5-faa5-4aab-ae2e-a06346ed4cd2</errorID>
      <errorWord>、</errorWord>
      <group>L1_Punc</group>
      <groupName>标点问题</groupName>
      <ability>L2_Punc_CN</ability>
      <abilityName>标点符号问题</abilityName>
      <candidateList>
        <item>.</item>
      </candidateList>
      <explain/>
      <paraID>2AFB9012</paraID>
      <start>1</start>
      <end>2</end>
      <status>unmodified</status>
      <modifiedWord/>
      <trackRevisions>false</trackRevisions>
    </reviewItem>
    <reviewItem>
      <errorID>309f33a7-cb29-4cca-97fc-a7f56206e809</errorID>
      <errorWord>（</errorWord>
      <group>L1_Format</group>
      <groupName>格式问题</groupName>
      <ability>L2_HalfPunc_CN</ability>
      <abilityName>全半角问题</abilityName>
      <candidateList>
        <item>(</item>
      </candidateList>
      <explain>文本全半角错误。</explain>
      <paraID>58ADB17A</paraID>
      <start>14</start>
      <end>15</end>
      <status>unmodified</status>
      <modifiedWord/>
      <trackRevisions>false</trackRevisions>
    </reviewItem>
    <reviewItem>
      <errorID>114d5a3d-76a1-4719-9140-83cdbc941c7f</errorID>
      <errorWord>）</errorWord>
      <group>L1_Format</group>
      <groupName>格式问题</groupName>
      <ability>L2_HalfPunc_CN</ability>
      <abilityName>全半角问题</abilityName>
      <candidateList>
        <item>)</item>
      </candidateList>
      <explain>文本全半角错误。</explain>
      <paraID>58ADB17A</paraID>
      <start>18</start>
      <end>19</end>
      <status>unmodified</status>
      <modifiedWord/>
      <trackRevisions>false</trackRevisions>
    </reviewItem>
    <reviewItem>
      <errorID>54d15354-9951-45e3-b450-f0f0fa96e621</errorID>
      <errorWord>公示</errorWord>
      <group>L1_Word</group>
      <groupName>字词问题</groupName>
      <ability>L2_Typo</ability>
      <abilityName>字词错误</abilityName>
      <candidateList>
        <item>公式</item>
      </candidateList>
      <explain/>
      <paraID>4ABDB5D2</paraID>
      <start>0</start>
      <end>2</end>
      <status>unmodified</status>
      <modifiedWord/>
      <trackRevisions>false</trackRevisions>
    </reviewItem>
    <reviewItem>
      <errorID>1fded8e2-aa5f-4105-8e88-ae6d5c052c17</errorID>
      <errorWord>（</errorWord>
      <group>L1_Format</group>
      <groupName>格式问题</groupName>
      <ability>L2_HalfPunc_CN</ability>
      <abilityName>全半角问题</abilityName>
      <candidateList>
        <item>(</item>
      </candidateList>
      <explain>文本全半角错误。</explain>
      <paraID>1D4AC53D</paraID>
      <start>16</start>
      <end>17</end>
      <status>unmodified</status>
      <modifiedWord/>
      <trackRevisions>false</trackRevisions>
    </reviewItem>
    <reviewItem>
      <errorID>d08088e9-fc2d-4085-9b61-9ecbc1157141</errorID>
      <errorWord>）</errorWord>
      <group>L1_Format</group>
      <groupName>格式问题</groupName>
      <ability>L2_HalfPunc_CN</ability>
      <abilityName>全半角问题</abilityName>
      <candidateList>
        <item>)</item>
      </candidateList>
      <explain>文本全半角错误。</explain>
      <paraID>1D4AC53D</paraID>
      <start>20</start>
      <end>21</end>
      <status>unmodified</status>
      <modifiedWord/>
      <trackRevisions>false</trackRevisions>
    </reviewItem>
    <reviewItem>
      <errorID>84cca4c4-ccc0-4e0f-bb97-e312ab30b825</errorID>
      <errorWord>（</errorWord>
      <group>L1_Format</group>
      <groupName>格式问题</groupName>
      <ability>L2_HalfPunc_CN</ability>
      <abilityName>全半角问题</abilityName>
      <candidateList>
        <item>(</item>
      </candidateList>
      <explain>文本全半角错误。</explain>
      <paraID> 2535899</paraID>
      <start>12</start>
      <end>13</end>
      <status>unmodified</status>
      <modifiedWord/>
      <trackRevisions>false</trackRevisions>
    </reviewItem>
    <reviewItem>
      <errorID>32a1d9c6-1f88-47e5-b8c8-58af6c79f09c</errorID>
      <errorWord>）</errorWord>
      <group>L1_Format</group>
      <groupName>格式问题</groupName>
      <ability>L2_HalfPunc_CN</ability>
      <abilityName>全半角问题</abilityName>
      <candidateList>
        <item>)</item>
      </candidateList>
      <explain>文本全半角错误。</explain>
      <paraID> 2535899</paraID>
      <start>16</start>
      <end>17</end>
      <status>unmodified</status>
      <modifiedWord/>
      <trackRevisions>false</trackRevisions>
    </reviewItem>
    <reviewItem>
      <errorID>5213f311-8593-4784-89fa-77b1f375aa9a</errorID>
      <errorWord>（</errorWord>
      <group>L1_Format</group>
      <groupName>格式问题</groupName>
      <ability>L2_HalfPunc_CN</ability>
      <abilityName>全半角问题</abilityName>
      <candidateList>
        <item>(</item>
      </candidateList>
      <explain>文本全半角错误。</explain>
      <paraID>7467E4CE</paraID>
      <start>12</start>
      <end>13</end>
      <status>unmodified</status>
      <modifiedWord/>
      <trackRevisions>false</trackRevisions>
    </reviewItem>
    <reviewItem>
      <errorID>4596739e-d1f7-4237-9e9f-8f7bd2959d59</errorID>
      <errorWord>）</errorWord>
      <group>L1_Format</group>
      <groupName>格式问题</groupName>
      <ability>L2_HalfPunc_CN</ability>
      <abilityName>全半角问题</abilityName>
      <candidateList>
        <item>)</item>
      </candidateList>
      <explain>文本全半角错误。</explain>
      <paraID>7467E4CE</paraID>
      <start>17</start>
      <end>18</end>
      <status>unmodified</status>
      <modifiedWord/>
      <trackRevisions>false</trackRevisions>
    </reviewItem>
    <reviewItem>
      <errorID>57e7e56f-c111-4e94-8f0d-5fc3e2daebc1</errorID>
      <errorWord>、</errorWord>
      <group>L1_Punc</group>
      <groupName>标点问题</groupName>
      <ability>L2_Punc_CN</ability>
      <abilityName>标点符号问题</abilityName>
      <candidateList>
        <item>.</item>
      </candidateList>
      <explain/>
      <paraID>4A91FC1A</paraID>
      <start>1</start>
      <end>2</end>
      <status>unmodified</status>
      <modifiedWord/>
      <trackRevisions>false</trackRevisions>
    </reviewItem>
    <reviewItem>
      <errorID>4b296a3e-bfac-40bd-91df-175d14484f79</errorID>
      <errorWord>（</errorWord>
      <group>L1_Format</group>
      <groupName>格式问题</groupName>
      <ability>L2_HalfPunc_CN</ability>
      <abilityName>全半角问题</abilityName>
      <candidateList>
        <item>(</item>
      </candidateList>
      <explain>文本全半角错误。</explain>
      <paraID>51D9AA05</paraID>
      <start>12</start>
      <end>13</end>
      <status>unmodified</status>
      <modifiedWord/>
      <trackRevisions>false</trackRevisions>
    </reviewItem>
    <reviewItem>
      <errorID>cb4adb07-cd1d-4fa8-915e-5555c7ee7011</errorID>
      <errorWord>）</errorWord>
      <group>L1_Format</group>
      <groupName>格式问题</groupName>
      <ability>L2_HalfPunc_CN</ability>
      <abilityName>全半角问题</abilityName>
      <candidateList>
        <item>)</item>
      </candidateList>
      <explain>文本全半角错误。</explain>
      <paraID>51D9AA05</paraID>
      <start>17</start>
      <end>18</end>
      <status>unmodified</status>
      <modifiedWord/>
      <trackRevisions>false</trackRevisions>
    </reviewItem>
    <reviewItem>
      <errorID>9fe032da-0566-437d-ad7d-aead6d355083</errorID>
      <errorWord>（</errorWord>
      <group>L1_Format</group>
      <groupName>格式问题</groupName>
      <ability>L2_HalfPunc_CN</ability>
      <abilityName>全半角问题</abilityName>
      <candidateList>
        <item>(</item>
      </candidateList>
      <explain>文本全半角错误。</explain>
      <paraID> E2688CD</paraID>
      <start>11</start>
      <end>12</end>
      <status>unmodified</status>
      <modifiedWord/>
      <trackRevisions>false</trackRevisions>
    </reviewItem>
    <reviewItem>
      <errorID>7160ea28-8cac-48fc-b15f-fd26dbf9184a</errorID>
      <errorWord>）</errorWord>
      <group>L1_Format</group>
      <groupName>格式问题</groupName>
      <ability>L2_HalfPunc_CN</ability>
      <abilityName>全半角问题</abilityName>
      <candidateList>
        <item>)</item>
      </candidateList>
      <explain>文本全半角错误。</explain>
      <paraID> E2688CD</paraID>
      <start>16</start>
      <end>17</end>
      <status>unmodified</status>
      <modifiedWord/>
      <trackRevisions>false</trackRevisions>
    </reviewItem>
    <reviewItem>
      <errorID>00a1b43a-f3be-42c5-beb9-a57cc8db7943</errorID>
      <errorWord>（</errorWord>
      <group>L1_Format</group>
      <groupName>格式问题</groupName>
      <ability>L2_HalfPunc_CN</ability>
      <abilityName>全半角问题</abilityName>
      <candidateList>
        <item>(</item>
      </candidateList>
      <explain>文本全半角错误。</explain>
      <paraID> FE7DCA6</paraID>
      <start>7</start>
      <end>8</end>
      <status>unmodified</status>
      <modifiedWord/>
      <trackRevisions>false</trackRevisions>
    </reviewItem>
    <reviewItem>
      <errorID>2644e76c-e8df-43fa-ac97-62d589d75bf3</errorID>
      <errorWord>）</errorWord>
      <group>L1_Format</group>
      <groupName>格式问题</groupName>
      <ability>L2_HalfPunc_CN</ability>
      <abilityName>全半角问题</abilityName>
      <candidateList>
        <item>)</item>
      </candidateList>
      <explain>文本全半角错误。</explain>
      <paraID> FE7DCA6</paraID>
      <start>12</start>
      <end>13</end>
      <status>unmodified</status>
      <modifiedWord/>
      <trackRevisions>false</trackRevisions>
    </reviewItem>
    <reviewItem>
      <errorID>4597592e-5b29-4e1d-8d3e-e9d5c43d97d7</errorID>
      <errorWord>（</errorWord>
      <group>L1_Format</group>
      <groupName>格式问题</groupName>
      <ability>L2_HalfPunc_CN</ability>
      <abilityName>全半角问题</abilityName>
      <candidateList>
        <item>(</item>
      </candidateList>
      <explain>文本全半角错误。</explain>
      <paraID>3CEBF5C1</paraID>
      <start>7</start>
      <end>8</end>
      <status>unmodified</status>
      <modifiedWord/>
      <trackRevisions>false</trackRevisions>
    </reviewItem>
    <reviewItem>
      <errorID>f583a14e-19c3-46bb-9449-24c7f89f983c</errorID>
      <errorWord>）</errorWord>
      <group>L1_Format</group>
      <groupName>格式问题</groupName>
      <ability>L2_HalfPunc_CN</ability>
      <abilityName>全半角问题</abilityName>
      <candidateList>
        <item>)</item>
      </candidateList>
      <explain>文本全半角错误。</explain>
      <paraID>3CEBF5C1</paraID>
      <start>12</start>
      <end>13</end>
      <status>unmodified</status>
      <modifiedWord/>
      <trackRevisions>false</trackRevisions>
    </reviewItem>
    <reviewItem>
      <errorID>eef6adfb-4342-4bcd-8a9b-067eaa27ec58</errorID>
      <errorWord>（</errorWord>
      <group>L1_Format</group>
      <groupName>格式问题</groupName>
      <ability>L2_HalfPunc_CN</ability>
      <abilityName>全半角问题</abilityName>
      <candidateList>
        <item>(</item>
      </candidateList>
      <explain>文本全半角错误。</explain>
      <paraID>31288425</paraID>
      <start>9</start>
      <end>10</end>
      <status>unmodified</status>
      <modifiedWord/>
      <trackRevisions>false</trackRevisions>
    </reviewItem>
    <reviewItem>
      <errorID>9f945327-d9d4-4561-a7e3-aa653d3e0409</errorID>
      <errorWord>）</errorWord>
      <group>L1_Format</group>
      <groupName>格式问题</groupName>
      <ability>L2_HalfPunc_CN</ability>
      <abilityName>全半角问题</abilityName>
      <candidateList>
        <item>)</item>
      </candidateList>
      <explain>文本全半角错误。</explain>
      <paraID>31288425</paraID>
      <start>14</start>
      <end>15</end>
      <status>unmodified</status>
      <modifiedWord/>
      <trackRevisions>false</trackRevisions>
    </reviewItem>
    <reviewItem>
      <errorID>89689e29-85ba-4788-8e47-d81845f050d9</errorID>
      <errorWord>（</errorWord>
      <group>L1_Format</group>
      <groupName>格式问题</groupName>
      <ability>L2_HalfPunc_CN</ability>
      <abilityName>全半角问题</abilityName>
      <candidateList>
        <item>(</item>
      </candidateList>
      <explain>文本全半角错误。</explain>
      <paraID>4CF20B0E</paraID>
      <start>8</start>
      <end>9</end>
      <status>unmodified</status>
      <modifiedWord/>
      <trackRevisions>false</trackRevisions>
    </reviewItem>
    <reviewItem>
      <errorID>fb0fcbda-7256-412b-ac8c-b2e7f608d5d3</errorID>
      <errorWord>）</errorWord>
      <group>L1_Format</group>
      <groupName>格式问题</groupName>
      <ability>L2_HalfPunc_CN</ability>
      <abilityName>全半角问题</abilityName>
      <candidateList>
        <item>)</item>
      </candidateList>
      <explain>文本全半角错误。</explain>
      <paraID>4CF20B0E</paraID>
      <start>13</start>
      <end>14</end>
      <status>unmodified</status>
      <modifiedWord/>
      <trackRevisions>false</trackRevisions>
    </reviewItem>
    <reviewItem>
      <errorID>ec056623-4df1-491f-a458-7b63634b24a3</errorID>
      <errorWord>（</errorWord>
      <group>L1_Format</group>
      <groupName>格式问题</groupName>
      <ability>L2_HalfPunc_CN</ability>
      <abilityName>全半角问题</abilityName>
      <candidateList>
        <item>(</item>
      </candidateList>
      <explain>文本全半角错误。</explain>
      <paraID>5B92ED8C</paraID>
      <start>9</start>
      <end>10</end>
      <status>unmodified</status>
      <modifiedWord/>
      <trackRevisions>false</trackRevisions>
    </reviewItem>
    <reviewItem>
      <errorID>04fe07c7-bd4c-4b88-bc1f-238aa9fd2ddb</errorID>
      <errorWord>）</errorWord>
      <group>L1_Format</group>
      <groupName>格式问题</groupName>
      <ability>L2_HalfPunc_CN</ability>
      <abilityName>全半角问题</abilityName>
      <candidateList>
        <item>)</item>
      </candidateList>
      <explain>文本全半角错误。</explain>
      <paraID>5B92ED8C</paraID>
      <start>14</start>
      <end>15</end>
      <status>unmodified</status>
      <modifiedWord/>
      <trackRevisions>false</trackRevisions>
    </reviewItem>
    <reviewItem>
      <errorID>6e008303-eb16-49b2-802d-0b45a8e7c89f</errorID>
      <errorWord>、</errorWord>
      <group>L1_Punc</group>
      <groupName>标点问题</groupName>
      <ability>L2_Punc_CN</ability>
      <abilityName>标点符号问题</abilityName>
      <candidateList>
        <item>.</item>
      </candidateList>
      <explain/>
      <paraID>659B6888</paraID>
      <start>1</start>
      <end>2</end>
      <status>unmodified</status>
      <modifiedWord/>
      <trackRevisions>false</trackRevisions>
    </reviewItem>
    <reviewItem>
      <errorID>859820cb-43e4-4e5c-9902-7a6779bd8d8f</errorID>
      <errorWord>（</errorWord>
      <group>L1_Format</group>
      <groupName>格式问题</groupName>
      <ability>L2_HalfPunc_CN</ability>
      <abilityName>全半角问题</abilityName>
      <candidateList>
        <item>(</item>
      </candidateList>
      <explain>文本全半角错误。</explain>
      <paraID>415CB395</paraID>
      <start>10</start>
      <end>11</end>
      <status>unmodified</status>
      <modifiedWord/>
      <trackRevisions>false</trackRevisions>
    </reviewItem>
    <reviewItem>
      <errorID>1972a0ef-b0f2-43ca-9de8-38cc05105a17</errorID>
      <errorWord>）</errorWord>
      <group>L1_Format</group>
      <groupName>格式问题</groupName>
      <ability>L2_HalfPunc_CN</ability>
      <abilityName>全半角问题</abilityName>
      <candidateList>
        <item>)</item>
      </candidateList>
      <explain>文本全半角错误。</explain>
      <paraID>415CB395</paraID>
      <start>15</start>
      <end>16</end>
      <status>unmodified</status>
      <modifiedWord/>
      <trackRevisions>false</trackRevisions>
    </reviewItem>
    <reviewItem>
      <errorID>83a2d4ba-2374-4c73-934f-fdd2603002e6</errorID>
      <errorWord>、</errorWord>
      <group>L1_Punc</group>
      <groupName>标点问题</groupName>
      <ability>L2_Punc_CN</ability>
      <abilityName>标点符号问题</abilityName>
      <candidateList>
        <item>.</item>
      </candidateList>
      <explain/>
      <paraID>68B7B09E</paraID>
      <start>1</start>
      <end>2</end>
      <status>unmodified</status>
      <modifiedWord/>
      <trackRevisions>false</trackRevisions>
    </reviewItem>
    <reviewItem>
      <errorID>a2ff33df-77be-43fe-bb11-f7c2f7f89b54</errorID>
      <errorWord>、</errorWord>
      <group>L1_Punc</group>
      <groupName>标点问题</groupName>
      <ability>L2_Punc_CN</ability>
      <abilityName>标点符号问题</abilityName>
      <candidateList>
        <item>.</item>
      </candidateList>
      <explain/>
      <paraID> E633E3C</paraID>
      <start>1</start>
      <end>2</end>
      <status>unmodified</status>
      <modifiedWord/>
      <trackRevisions>false</trackRevisions>
    </reviewItem>
    <reviewItem>
      <errorID>16c14559-ef48-4902-8cfc-02a4190179f1</errorID>
      <errorWord>适合于</errorWord>
      <group>L1_Word</group>
      <groupName>字词问题</groupName>
      <ability>L2_Typo</ability>
      <abilityName>字词错误</abilityName>
      <candidateList>
        <item>适合</item>
      </candidateList>
      <explain/>
      <paraID> E633E3C</paraID>
      <start>27</start>
      <end>30</end>
      <status>unmodified</status>
      <modifiedWord/>
      <trackRevisions>false</trackRevisions>
    </reviewItem>
    <reviewItem>
      <errorID>461d5d28-45e7-4b14-b1ea-21b4759ba71d</errorID>
      <errorWord>、</errorWord>
      <group>L1_Punc</group>
      <groupName>标点问题</groupName>
      <ability>L2_Punc_CN</ability>
      <abilityName>标点符号问题</abilityName>
      <candidateList>
        <item>.</item>
      </candidateList>
      <explain/>
      <paraID>5693A97F</paraID>
      <start>1</start>
      <end>2</end>
      <status>unmodified</status>
      <modifiedWord/>
      <trackRevisions>false</trackRevisions>
    </reviewItem>
    <reviewItem>
      <errorID>e93869ac-f22f-4b67-9e03-d405d0465845</errorID>
      <errorWord>（</errorWord>
      <group>L1_Format</group>
      <groupName>格式问题</groupName>
      <ability>L2_HalfPunc_CN</ability>
      <abilityName>全半角问题</abilityName>
      <candidateList>
        <item>(</item>
      </candidateList>
      <explain>文本全半角错误。</explain>
      <paraID>41E4B6FF</paraID>
      <start>8</start>
      <end>9</end>
      <status>unmodified</status>
      <modifiedWord/>
      <trackRevisions>false</trackRevisions>
    </reviewItem>
    <reviewItem>
      <errorID>61e53b60-b7b0-4811-a611-09154165200b</errorID>
      <errorWord>）</errorWord>
      <group>L1_Format</group>
      <groupName>格式问题</groupName>
      <ability>L2_HalfPunc_CN</ability>
      <abilityName>全半角问题</abilityName>
      <candidateList>
        <item>)</item>
      </candidateList>
      <explain>文本全半角错误。</explain>
      <paraID>41E4B6FF</paraID>
      <start>13</start>
      <end>14</end>
      <status>unmodified</status>
      <modifiedWord/>
      <trackRevisions>false</trackRevisions>
    </reviewItem>
    <reviewItem>
      <errorID>ce16c50d-02b9-4708-93d9-498f55c8a3b3</errorID>
      <errorWord>-</errorWord>
      <group>L1_Format</group>
      <groupName>格式问题</groupName>
      <ability>L2_HalfPunc_CN</ability>
      <abilityName>全半角问题</abilityName>
      <candidateList>
        <item>－</item>
      </candidateList>
      <explain>文本全半角错误。</explain>
      <paraID>1FD9F378</paraID>
      <start>2</start>
      <end>3</end>
      <status>unmodified</status>
      <modifiedWord/>
      <trackRevisions>false</trackRevisions>
    </reviewItem>
    <reviewItem>
      <errorID>627a77a4-9acc-450e-89f0-2bf923eb1333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5CE6290B</paraID>
      <start>16</start>
      <end>17</end>
      <status>unmodified</status>
      <modifiedWord/>
      <trackRevisions>false</trackRevisions>
    </reviewItem>
    <reviewItem>
      <errorID>df98b049-71ba-4db7-95fc-9077c15c9334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5CE6290B</paraID>
      <start>18</start>
      <end>19</end>
      <status>unmodified</status>
      <modifiedWord/>
      <trackRevisions>false</trackRevisions>
    </reviewItem>
    <reviewItem>
      <errorID>f144cc4f-4d52-4005-9c20-be671b51d821</errorID>
      <errorWord>、</errorWord>
      <group>L1_Punc</group>
      <groupName>标点问题</groupName>
      <ability>L2_Punc_CN</ability>
      <abilityName>标点符号问题</abilityName>
      <candidateList>
        <item>.</item>
      </candidateList>
      <explain/>
      <paraID> 503A814</paraID>
      <start>1</start>
      <end>2</end>
      <status>unmodified</status>
      <modifiedWord/>
      <trackRevisions>false</trackRevisions>
    </reviewItem>
    <reviewItem>
      <errorID>72e3749f-4907-4811-a899-4be057d225fb</errorID>
      <errorWord>计算方法应</errorWord>
      <group>L1_Word</group>
      <groupName>字词问题</groupName>
      <ability>L2_Typo</ability>
      <abilityName>字词错误</abilityName>
      <candidateList>
        <item>计算方法</item>
      </candidateList>
      <explain/>
      <paraID>4A9DA092</paraID>
      <start>15</start>
      <end>20</end>
      <status>unmodified</status>
      <modifiedWord/>
      <trackRevisions>false</trackRevisions>
    </reviewItem>
    <reviewItem>
      <errorID>a285ca6a-eeac-428e-8e9f-1f3af4800098</errorID>
      <errorWord>作</errorWord>
      <group>L1_Word</group>
      <groupName>字词问题</groupName>
      <ability>L2_Typo</ability>
      <abilityName>字词错误</abilityName>
      <candidateList>
        <item>做</item>
      </candidateList>
      <explain>存在发音相同字词的误用。</explain>
      <paraID>4A9DA092</paraID>
      <start>28</start>
      <end>29</end>
      <status>unmodified</status>
      <modifiedWord/>
      <trackRevisions>false</trackRevisions>
    </reviewItem>
    <reviewItem>
      <errorID>6f27d9b8-d1a3-4040-96ba-f8f26a643a0d</errorID>
      <errorWord>、</errorWord>
      <group>L1_Punc</group>
      <groupName>标点问题</groupName>
      <ability>L2_Punc_CN</ability>
      <abilityName>标点符号问题</abilityName>
      <candidateList>
        <item>.</item>
      </candidateList>
      <explain/>
      <paraID>44D22465</paraID>
      <start>1</start>
      <end>2</end>
      <status>unmodified</status>
      <modifiedWord/>
      <trackRevisions>false</trackRevisions>
    </reviewItem>
    <reviewItem>
      <errorID>1b3574c4-7ef3-4ad2-8540-949ff2bcc57e</errorID>
      <errorWord>………</errorWord>
      <group>L1_Punc</group>
      <groupName>标点问题</groupName>
      <ability>L2_Punc_CN</ability>
      <abilityName>标点符号问题</abilityName>
      <candidateList>
        <item>……</item>
      </candidateList>
      <explain/>
      <paraID>7CCFB79C</paraID>
      <start>1</start>
      <end>4</end>
      <status>unmodified</status>
      <modifiedWord/>
      <trackRevisions>false</trackRevisions>
    </reviewItem>
    <reviewItem>
      <errorID>e90b174c-d6bf-4ce8-aa3f-37bd13b6bf24</errorID>
      <errorWord>（</errorWord>
      <group>L1_Format</group>
      <groupName>格式问题</groupName>
      <ability>L2_HalfPunc_CN</ability>
      <abilityName>全半角问题</abilityName>
      <candidateList>
        <item>(</item>
      </candidateList>
      <explain>文本全半角错误。</explain>
      <paraID>7CCFB79C</paraID>
      <start>4</start>
      <end>5</end>
      <status>unmodified</status>
      <modifiedWord/>
      <trackRevisions>false</trackRevisions>
    </reviewItem>
    <reviewItem>
      <errorID>40651465-6312-4fe9-a759-1d8298a348a4</errorID>
      <errorWord>）</errorWord>
      <group>L1_Format</group>
      <groupName>格式问题</groupName>
      <ability>L2_HalfPunc_CN</ability>
      <abilityName>全半角问题</abilityName>
      <candidateList>
        <item>)</item>
      </candidateList>
      <explain>文本全半角错误。</explain>
      <paraID>7CCFB79C</paraID>
      <start>9</start>
      <end>10</end>
      <status>unmodified</status>
      <modifiedWord/>
      <trackRevisions>false</trackRevisions>
    </reviewItem>
    <reviewItem>
      <errorID>21bea5e5-ebed-4a7a-808f-3307050f331c</errorID>
      <errorWord>、</errorWord>
      <group>L1_Punc</group>
      <groupName>标点问题</groupName>
      <ability>L2_Punc_CN</ability>
      <abilityName>标点符号问题</abilityName>
      <candidateList>
        <item>.</item>
      </candidateList>
      <explain/>
      <paraID>39096FDA</paraID>
      <start>1</start>
      <end>2</end>
      <status>unmodified</status>
      <modifiedWord/>
      <trackRevisions>false</trackRevisions>
    </reviewItem>
    <reviewItem>
      <errorID>828f6845-c894-4258-87ce-faf63976c8cf</errorID>
      <errorWord>………</errorWord>
      <group>L1_Punc</group>
      <groupName>标点问题</groupName>
      <ability>L2_Punc_CN</ability>
      <abilityName>标点符号问题</abilityName>
      <candidateList>
        <item>……</item>
      </candidateList>
      <explain/>
      <paraID>56408DAA</paraID>
      <start>1</start>
      <end>4</end>
      <status>unmodified</status>
      <modifiedWord/>
      <trackRevisions>false</trackRevisions>
    </reviewItem>
    <reviewItem>
      <errorID>fbbf8f57-db46-4273-872d-c63949350404</errorID>
      <errorWord>（</errorWord>
      <group>L1_Format</group>
      <groupName>格式问题</groupName>
      <ability>L2_HalfPunc_CN</ability>
      <abilityName>全半角问题</abilityName>
      <candidateList>
        <item>(</item>
      </candidateList>
      <explain>文本全半角错误。</explain>
      <paraID>56408DAA</paraID>
      <start>4</start>
      <end>5</end>
      <status>unmodified</status>
      <modifiedWord/>
      <trackRevisions>false</trackRevisions>
    </reviewItem>
    <reviewItem>
      <errorID>6944f159-739c-4ca1-b452-cf3d2e93741f</errorID>
      <errorWord>）</errorWord>
      <group>L1_Format</group>
      <groupName>格式问题</groupName>
      <ability>L2_HalfPunc_CN</ability>
      <abilityName>全半角问题</abilityName>
      <candidateList>
        <item>)</item>
      </candidateList>
      <explain>文本全半角错误。</explain>
      <paraID>56408DAA</paraID>
      <start>9</start>
      <end>10</end>
      <status>unmodified</status>
      <modifiedWord/>
      <trackRevisions>false</trackRevisions>
    </reviewItem>
    <reviewItem>
      <errorID>9a25fb8b-d2cd-4e8e-8d96-ae9158517cd8</errorID>
      <errorWord>-</errorWord>
      <group>L1_Format</group>
      <groupName>格式问题</groupName>
      <ability>L2_HalfPunc_CN</ability>
      <abilityName>全半角问题</abilityName>
      <candidateList>
        <item>－</item>
      </candidateList>
      <explain>文本全半角错误。</explain>
      <paraID>4CCEE214</paraID>
      <start>2</start>
      <end>3</end>
      <status>unmodified</status>
      <modifiedWord/>
      <trackRevisions>false</trackRevisions>
    </reviewItem>
    <reviewItem>
      <errorID>a254089d-9904-4718-8e0f-9b0aacf695f4</errorID>
      <errorWord>-</errorWord>
      <group>L1_Format</group>
      <groupName>格式问题</groupName>
      <ability>L2_HalfPunc_CN</ability>
      <abilityName>全半角问题</abilityName>
      <candidateList>
        <item>－</item>
      </candidateList>
      <explain>文本全半角错误。</explain>
      <paraID>1E0A70BD</paraID>
      <start>2</start>
      <end>3</end>
      <status>unmodified</status>
      <modifiedWord/>
      <trackRevisions>false</trackRevisions>
    </reviewItem>
    <reviewItem>
      <errorID>0a7d1288-56cc-4fc0-8516-be96a184e152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6F43BF7E</paraID>
      <start>0</start>
      <end>2</end>
      <status>unmodified</status>
      <modifiedWord/>
      <trackRevisions>false</trackRevisions>
    </reviewItem>
    <reviewItem>
      <errorID>a9d1091f-d8e2-4271-af7a-aa0f2af87b06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377D468D</paraID>
      <start>0</start>
      <end>2</end>
      <status>unmodified</status>
      <modifiedWord/>
      <trackRevisions>false</trackRevisions>
    </reviewItem>
    <reviewItem>
      <errorID>12fb5622-a3a1-4369-8b83-d787761246d8</errorID>
      <errorWord>[2014]789号</errorWord>
      <group>L1_Knowledge</group>
      <groupName>知识性问题</groupName>
      <ability>L2_Knowledge</ability>
      <abilityName>其他知识</abilityName>
      <candidateList>
        <item>〔2014〕789号</item>
      </candidateList>
      <explain>发文字号格式错误。</explain>
      <paraID>7C3002D0</paraID>
      <start>5</start>
      <end>15</end>
      <status>modified</status>
      <modifiedWord>〔2014〕789号</modifiedWord>
      <trackRevisions>false</trackRevisions>
    </reviewItem>
    <reviewItem>
      <errorID>72887135-c57b-4b0f-b956-48e3ac272f9e</errorID>
      <errorWord>”</errorWord>
      <group>L1_Punc</group>
      <groupName>标点问题</groupName>
      <ability>L2_Punc_CN</ability>
      <abilityName>标点符号问题</abilityName>
      <candidateList>
        <item>“</item>
      </candidateList>
      <explain>注意检查双引号的方向是否正确。</explain>
      <paraID>7C3002D0</paraID>
      <start>37</start>
      <end>38</end>
      <status>modified</status>
      <modifiedWord>“</modifiedWord>
      <trackRevisions>false</trackRevisions>
    </reviewItem>
    <reviewItem>
      <errorID>744a4ae2-a3d3-46d9-82c2-9eca97227ed3</errorID>
      <errorWord>[2017]25号</errorWord>
      <group>L1_Knowledge</group>
      <groupName>知识性问题</groupName>
      <ability>L2_Knowledge</ability>
      <abilityName>其他知识</abilityName>
      <candidateList>
        <item>〔2017〕25号</item>
      </candidateList>
      <explain>发文字号格式错误。</explain>
      <paraID>6C700A4D</paraID>
      <start>53</start>
      <end>62</end>
      <status>modified</status>
      <modifiedWord>〔2017〕25号</modifiedWord>
      <trackRevisions>false</trackRevisions>
    </reviewItem>
    <reviewItem>
      <errorID>fb34a980-e4fd-4241-b319-0852fe6d37fc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1C0AABA</paraID>
      <start>19</start>
      <end>22</end>
      <status>unmodified</status>
      <modifiedWord/>
      <trackRevisions>false</trackRevisions>
    </reviewItem>
    <reviewItem>
      <errorID>07d2253c-b622-4e3b-aeb8-8d0bb4a0eb98</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1C0AABA</paraID>
      <start>60</start>
      <end>63</end>
      <status>unmodified</status>
      <modifiedWord/>
      <trackRevisions>false</trackRevisions>
    </reviewItem>
    <reviewItem>
      <errorID>a8a78692-0a2d-49f4-b1ac-840725c24e4c</errorID>
      <errorWord>、</errorWord>
      <group>L1_Punc</group>
      <groupName>标点问题</groupName>
      <ability>L2_Punc_CN</ability>
      <abilityName>标点符号问题</abilityName>
      <candidateList>
        <item>.</item>
      </candidateList>
      <explain/>
      <paraID> 79E7A27</paraID>
      <start>1</start>
      <end>2</end>
      <status>unmodified</status>
      <modifiedWord/>
      <trackRevisions>false</trackRevisions>
    </reviewItem>
    <reviewItem>
      <errorID>d553265e-b702-44e7-9574-b2fac7bc2118</errorID>
      <errorWord>、</errorWord>
      <group>L1_Punc</group>
      <groupName>标点问题</groupName>
      <ability>L2_Punc_CN</ability>
      <abilityName>标点符号问题</abilityName>
      <candidateList>
        <item>.</item>
      </candidateList>
      <explain/>
      <paraID>656A659D</paraID>
      <start>1</start>
      <end>2</end>
      <status>unmodified</status>
      <modifiedWord/>
      <trackRevisions>false</trackRevisions>
    </reviewItem>
    <reviewItem>
      <errorID>ee8d84af-563e-40ca-ae3e-66d4777f696f</errorID>
      <errorWord>其它缺陷</errorWord>
      <group>L1_Word</group>
      <groupName>字词问题</groupName>
      <ability>L2_Alias</ability>
      <abilityName>也作/曾用词</abilityName>
      <candidateList>
        <item>其他缺陷</item>
      </candidateList>
      <explain>词汇[其它缺陷]为不规范表述或旧称，其规范书面表述为[其他缺陷]。</explain>
      <paraID>656A659D</paraID>
      <start>41</start>
      <end>45</end>
      <status>unmodified</status>
      <modifiedWord/>
      <trackRevisions>false</trackRevisions>
    </reviewItem>
    <reviewItem>
      <errorID>4147fe3c-19f6-4482-8209-2568abc3a71b</errorID>
      <errorWord>、</errorWord>
      <group>L1_Punc</group>
      <groupName>标点问题</groupName>
      <ability>L2_Punc_CN</ability>
      <abilityName>标点符号问题</abilityName>
      <candidateList>
        <item>.</item>
      </candidateList>
      <explain/>
      <paraID>2E167F94</paraID>
      <start>1</start>
      <end>2</end>
      <status>unmodified</status>
      <modifiedWord/>
      <trackRevisions>false</trackRevisions>
    </reviewItem>
    <reviewItem>
      <errorID>a802d887-6a57-443b-b762-c38dae5d52c2</errorID>
      <errorWord>、</errorWord>
      <group>L1_Punc</group>
      <groupName>标点问题</groupName>
      <ability>L2_Punc_CN</ability>
      <abilityName>标点符号问题</abilityName>
      <candidateList>
        <item>.</item>
      </candidateList>
      <explain/>
      <paraID>36D3D6D4</paraID>
      <start>1</start>
      <end>2</end>
      <status>unmodified</status>
      <modifiedWord/>
      <trackRevisions>false</trackRevisions>
    </reviewItem>
    <reviewItem>
      <errorID>8d7a45f4-5eff-4b18-a6de-c17d701bdabf</errorID>
      <errorWord>、</errorWord>
      <group>L1_Punc</group>
      <groupName>标点问题</groupName>
      <ability>L2_Punc_CN</ability>
      <abilityName>标点符号问题</abilityName>
      <candidateList>
        <item>.</item>
      </candidateList>
      <explain/>
      <paraID>5240AFA4</paraID>
      <start>1</start>
      <end>2</end>
      <status>unmodified</status>
      <modifiedWord/>
      <trackRevisions>false</trackRevisions>
    </reviewItem>
    <reviewItem>
      <errorID>1f408927-e946-476b-9ba5-42bb2636af6f</errorID>
      <errorWord>警示标示</errorWord>
      <group>L1_Knowledge</group>
      <groupName>知识性问题</groupName>
      <ability>L2_Term</ability>
      <abilityName>专业术语</abilityName>
      <candidateList>
        <item>警示标志</item>
      </candidateList>
      <explain/>
      <paraID>5240AFA4</paraID>
      <start>28</start>
      <end>32</end>
      <status>unmodified</status>
      <modifiedWord/>
      <trackRevisions>false</trackRevisions>
    </reviewItem>
    <reviewItem>
      <errorID>d9c8b7f8-443e-43d1-84ec-887ebf0cbc25</errorID>
      <errorWord>、</errorWord>
      <group>L1_Punc</group>
      <groupName>标点问题</groupName>
      <ability>L2_Punc_CN</ability>
      <abilityName>标点符号问题</abilityName>
      <candidateList>
        <item>.</item>
      </candidateList>
      <explain/>
      <paraID>7ABBBA20</paraID>
      <start>1</start>
      <end>2</end>
      <status>unmodified</status>
      <modifiedWord/>
      <trackRevisions>false</trackRevisions>
    </reviewItem>
    <reviewItem>
      <errorID>ccf145af-fc7a-4c3f-8c2e-3d4f0a081143</errorID>
      <errorWord>、</errorWord>
      <group>L1_Punc</group>
      <groupName>标点问题</groupName>
      <ability>L2_Punc_CN</ability>
      <abilityName>标点符号问题</abilityName>
      <candidateList>
        <item>.</item>
      </candidateList>
      <explain/>
      <paraID>7900B207</paraID>
      <start>1</start>
      <end>2</end>
      <status>unmodified</status>
      <modifiedWord/>
      <trackRevisions>false</trackRevisions>
    </reviewItem>
    <reviewItem>
      <errorID>3e14bdea-36fa-4fdd-96b7-ebbbe9fe31a1</errorID>
      <errorWord>、</errorWord>
      <group>L1_Punc</group>
      <groupName>标点问题</groupName>
      <ability>L2_Punc_CN</ability>
      <abilityName>标点符号问题</abilityName>
      <candidateList>
        <item>.</item>
      </candidateList>
      <explain/>
      <paraID>2D042205</paraID>
      <start>1</start>
      <end>2</end>
      <status>unmodified</status>
      <modifiedWord/>
      <trackRevisions>false</trackRevisions>
    </reviewItem>
    <reviewItem>
      <errorID>97f7540e-169a-4809-ad7d-00ae11135edb</errorID>
      <errorWord>、</errorWord>
      <group>L1_Punc</group>
      <groupName>标点问题</groupName>
      <ability>L2_Punc_CN</ability>
      <abilityName>标点符号问题</abilityName>
      <candidateList>
        <item>.</item>
      </candidateList>
      <explain/>
      <paraID>67674D0A</paraID>
      <start>1</start>
      <end>2</end>
      <status>unmodified</status>
      <modifiedWord/>
      <trackRevisions>false</trackRevisions>
    </reviewItem>
    <reviewItem>
      <errorID>cd7b050f-3b6a-46ba-aa93-020975131f76</errorID>
      <errorWord>PH值</errorWord>
      <group>L1_Word</group>
      <groupName>字词问题</groupName>
      <ability>L2_Typo</ability>
      <abilityName>字词错误</abilityName>
      <candidateList>
        <item>pH值</item>
      </candidateList>
      <explain/>
      <paraID>37C128D9</paraID>
      <start>65</start>
      <end>68</end>
      <status>unmodified</status>
      <modifiedWord/>
      <trackRevisions>false</trackRevisions>
    </reviewItem>
    <reviewItem>
      <errorID>e8866567-4dda-483b-b5ce-91f5b99bda7f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6A0E78AD</paraID>
      <start>0</start>
      <end>2</end>
      <status>unmodified</status>
      <modifiedWord/>
      <trackRevisions>false</trackRevisions>
    </reviewItem>
    <reviewItem>
      <errorID>e7724bf5-1ec4-447c-aded-4f499f645405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343B108C</paraID>
      <start>0</start>
      <end>2</end>
      <status>unmodified</status>
      <modifiedWord/>
      <trackRevisions>false</trackRevisions>
    </reviewItem>
    <reviewItem>
      <errorID>07418285-1687-4f99-857d-1ce18d0b9fdd</errorID>
      <errorWord>目</errorWord>
      <group>L1_Word</group>
      <groupName>字词问题</groupName>
      <ability>L2_Typo</ability>
      <abilityName>字词错误</abilityName>
      <candidateList>
        <item>目在</item>
      </candidateList>
      <explain/>
      <paraID> 2D8E7B9</paraID>
      <start>2</start>
      <end>3</end>
      <status>unmodified</status>
      <modifiedWord/>
      <trackRevisions>false</trackRevisions>
    </reviewItem>
    <reviewItem>
      <errorID>214b07ce-c4a2-46e0-99aa-f9f47f227a57</errorID>
      <errorWord>（</errorWord>
      <group>L1_Format</group>
      <groupName>格式问题</groupName>
      <ability>L2_HalfPunc_CN</ability>
      <abilityName>全半角问题</abilityName>
      <candidateList>
        <item>(</item>
      </candidateList>
      <explain>文本全半角错误。</explain>
      <paraID>690FF89F</paraID>
      <start>0</start>
      <end>1</end>
      <status>unmodified</status>
      <modifiedWord/>
      <trackRevisions>false</trackRevisions>
    </reviewItem>
    <reviewItem>
      <errorID>7737c426-f5c1-4c95-a86e-ff22c41ea52b</errorID>
      <errorWord>）</errorWord>
      <group>L1_Format</group>
      <groupName>格式问题</groupName>
      <ability>L2_HalfPunc_CN</ability>
      <abilityName>全半角问题</abilityName>
      <candidateList>
        <item>)</item>
      </candidateList>
      <explain>文本全半角错误。</explain>
      <paraID>690FF89F</paraID>
      <start>6</start>
      <end>7</end>
      <status>unmodified</status>
      <modifiedWord/>
      <trackRevisions>false</trackRevisions>
    </reviewItem>
    <reviewItem>
      <errorID>ba8c0106-2f12-4a53-89ab-955f96c30479</errorID>
      <errorWord>）</errorWord>
      <group>L1_Format</group>
      <groupName>格式问题</groupName>
      <ability>L2_HalfPunc_CN</ability>
      <abilityName>全半角问题</abilityName>
      <candidateList>
        <item>)</item>
      </candidateList>
      <explain>文本全半角错误。</explain>
      <paraID>71049FF2</paraID>
      <start>1</start>
      <end>2</end>
      <status>unmodified</status>
      <modifiedWord/>
      <trackRevisions>false</trackRevisions>
    </reviewItem>
    <reviewItem>
      <errorID>3eacfb34-1bf8-4d0d-a517-96a2f29c70fd</errorID>
      <errorWord>；</errorWord>
      <group>L1_Format</group>
      <groupName>格式问题</groupName>
      <ability>L2_HalfPunc_CN</ability>
      <abilityName>全半角问题</abilityName>
      <candidateList>
        <item>; </item>
      </candidateList>
      <explain>文本全半角错误。</explain>
      <paraID>71049FF2</paraID>
      <start>3</start>
      <end>4</end>
      <status>unmodified</status>
      <modifiedWord/>
      <trackRevisions>false</trackRevisions>
    </reviewItem>
    <reviewItem>
      <errorID>95cb9e59-b6f3-4609-9a45-f9324706e792</errorID>
      <errorWord>）</errorWord>
      <group>L1_Format</group>
      <groupName>格式问题</groupName>
      <ability>L2_HalfPunc_CN</ability>
      <abilityName>全半角问题</abilityName>
      <candidateList>
        <item>)</item>
      </candidateList>
      <explain>文本全半角错误。</explain>
      <paraID>71049FF2</paraID>
      <start>5</start>
      <end>6</end>
      <status>unmodified</status>
      <modifiedWord/>
      <trackRevisions>false</trackRevisions>
    </reviewItem>
    <reviewItem>
      <errorID>9c6f70e7-39b4-406a-8132-2826b1f1eeb6</errorID>
      <errorWord>；</errorWord>
      <group>L1_Format</group>
      <groupName>格式问题</groupName>
      <ability>L2_HalfPunc_CN</ability>
      <abilityName>全半角问题</abilityName>
      <candidateList>
        <item>; </item>
      </candidateList>
      <explain>文本全半角错误。</explain>
      <paraID>71049FF2</paraID>
      <start>7</start>
      <end>8</end>
      <status>unmodified</status>
      <modifiedWord/>
      <trackRevisions>false</trackRevisions>
    </reviewItem>
    <reviewItem>
      <errorID>44956d4d-4f76-40e4-94ca-ce13537e0676</errorID>
      <errorWord>）</errorWord>
      <group>L1_Format</group>
      <groupName>格式问题</groupName>
      <ability>L2_HalfPunc_CN</ability>
      <abilityName>全半角问题</abilityName>
      <candidateList>
        <item>)</item>
      </candidateList>
      <explain>文本全半角错误。</explain>
      <paraID>71049FF2</paraID>
      <start>9</start>
      <end>10</end>
      <status>unmodified</status>
      <modifiedWord/>
      <trackRevisions>false</trackRevisions>
    </reviewItem>
    <reviewItem>
      <errorID>b05fa2c0-d991-4550-9422-97db49f2e7b4</errorID>
      <errorWord>；</errorWord>
      <group>L1_Format</group>
      <groupName>格式问题</groupName>
      <ability>L2_HalfPunc_CN</ability>
      <abilityName>全半角问题</abilityName>
      <candidateList>
        <item>; </item>
      </candidateList>
      <explain>文本全半角错误。</explain>
      <paraID>71049FF2</paraID>
      <start>11</start>
      <end>12</end>
      <status>unmodified</status>
      <modifiedWord/>
      <trackRevisions>false</trackRevisions>
    </reviewItem>
    <reviewItem>
      <errorID>70d049a6-53dd-4420-b353-04e24d147182</errorID>
      <errorWord>）</errorWord>
      <group>L1_Format</group>
      <groupName>格式问题</groupName>
      <ability>L2_HalfPunc_CN</ability>
      <abilityName>全半角问题</abilityName>
      <candidateList>
        <item>)</item>
      </candidateList>
      <explain>文本全半角错误。</explain>
      <paraID>71049FF2</paraID>
      <start>13</start>
      <end>14</end>
      <status>unmodified</status>
      <modifiedWord/>
      <trackRevisions>false</trackRevisions>
    </reviewItem>
    <reviewItem>
      <errorID>3d11173d-cf97-4c9b-9342-4486de339429</errorID>
      <errorWord>（</errorWord>
      <group>L1_Format</group>
      <groupName>格式问题</groupName>
      <ability>L2_HalfPunc_CN</ability>
      <abilityName>全半角问题</abilityName>
      <candidateList>
        <item>(</item>
      </candidateList>
      <explain>文本全半角错误。</explain>
      <paraID>1C51F864</paraID>
      <start>0</start>
      <end>1</end>
      <status>unmodified</status>
      <modifiedWord/>
      <trackRevisions>false</trackRevisions>
    </reviewItem>
    <reviewItem>
      <errorID>922562a5-7fd7-403a-8c71-7e756efa7988</errorID>
      <errorWord>）</errorWord>
      <group>L1_Format</group>
      <groupName>格式问题</groupName>
      <ability>L2_HalfPunc_CN</ability>
      <abilityName>全半角问题</abilityName>
      <candidateList>
        <item>)</item>
      </candidateList>
      <explain>文本全半角错误。</explain>
      <paraID>1C51F864</paraID>
      <start>11</start>
      <end>12</end>
      <status>unmodified</status>
      <modifiedWord/>
      <trackRevisions>false</trackRevisions>
    </reviewItem>
    <reviewItem>
      <errorID>c1c5e01a-4978-4cd2-8d17-70c7c6c34b0b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39C9DAA7</paraID>
      <start>28</start>
      <end>29</end>
      <status>unmodified</status>
      <modifiedWord/>
      <trackRevisions>false</trackRevisions>
    </reviewItem>
    <reviewItem>
      <errorID>6853bfae-d550-4ae4-b00f-2cf58a09a1db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3</start>
      <end>4</end>
      <status>unmodified</status>
      <modifiedWord/>
      <trackRevisions>false</trackRevisions>
    </reviewItem>
    <reviewItem>
      <errorID>cb37b947-9fd2-4d75-b18e-3c348d8a99b5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5</start>
      <end>6</end>
      <status>unmodified</status>
      <modifiedWord/>
      <trackRevisions>false</trackRevisions>
    </reviewItem>
    <reviewItem>
      <errorID>99cdfb65-73f2-4305-a1ff-4e3c53a543df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14</start>
      <end>15</end>
      <status>unmodified</status>
      <modifiedWord/>
      <trackRevisions>false</trackRevisions>
    </reviewItem>
    <reviewItem>
      <errorID>afee57b9-e74b-40d0-bd5c-5f313064dc29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17</start>
      <end>18</end>
      <status>unmodified</status>
      <modifiedWord/>
      <trackRevisions>false</trackRevisions>
    </reviewItem>
    <reviewItem>
      <errorID>4c9c8236-8668-46aa-a139-63285be9287d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25</start>
      <end>26</end>
      <status>unmodified</status>
      <modifiedWord/>
      <trackRevisions>false</trackRevisions>
    </reviewItem>
    <reviewItem>
      <errorID>7e24f25b-c390-43b9-9dd4-6e4ebde490a0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28</start>
      <end>29</end>
      <status>unmodified</status>
      <modifiedWord/>
      <trackRevisions>false</trackRevisions>
    </reviewItem>
    <reviewItem>
      <errorID>d31a0e90-dc3a-4f22-a4df-c6d345387c3d</errorID>
      <errorWord>环境影响评级</errorWord>
      <group>L1_Knowledge</group>
      <groupName>知识性问题</groupName>
      <ability>L2_Term</ability>
      <abilityName>专业术语</abilityName>
      <candidateList>
        <item>环境影响评价</item>
      </candidateList>
      <explain/>
      <paraID>56440A67</paraID>
      <start>48</start>
      <end>54</end>
      <status>unmodified</status>
      <modifiedWord/>
      <trackRevisions>false</trackRevisions>
    </reviewItem>
    <reviewItem>
      <errorID>bbf3cc70-b342-4548-8163-d6089bd41d8a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5BD2AB32</paraID>
      <start>0</start>
      <end>2</end>
      <status>unmodified</status>
      <modifiedWord/>
      <trackRevisions>false</trackRevisions>
    </reviewItem>
    <reviewItem>
      <errorID>c9ad21e2-5873-479e-9c4e-c8778af5cdb9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639B8953</paraID>
      <start>0</start>
      <end>2</end>
      <status>unmodified</status>
      <modifiedWord/>
      <trackRevisions>false</trackRevisions>
    </reviewItem>
    <reviewItem>
      <errorID>346a38bf-4b1c-459b-85a3-20d11f4bd299</errorID>
      <errorWord>篙</errorWord>
      <group>L1_Word</group>
      <groupName>字词问题</groupName>
      <ability>L2_Typo</ability>
      <abilityName>字词错误</abilityName>
      <candidateList>
        <item>蒿</item>
      </candidateList>
      <explain>存在发音相近字词的误用。</explain>
      <paraID>3D7B6014</paraID>
      <start>30</start>
      <end>31</end>
      <status>unmodified</status>
      <modifiedWord/>
      <trackRevisions>false</trackRevisions>
    </reviewItem>
    <reviewItem>
      <errorID>d344d103-7dca-47e7-8058-1854512417e4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552E49D0</paraID>
      <start>16</start>
      <end>19</end>
      <status>unmodified</status>
      <modifiedWord/>
      <trackRevisions>false</trackRevisions>
    </reviewItem>
    <reviewItem>
      <errorID>7dc9d4e9-5eaf-4521-a666-329864f7c1a7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552E49D0</paraID>
      <start>50</start>
      <end>53</end>
      <status>unmodified</status>
      <modifiedWord/>
      <trackRevisions>false</trackRevisions>
    </reviewItem>
    <reviewItem>
      <errorID>1cc0553f-8f9c-4b82-be14-e09dd763b850</errorID>
      <errorWord>相关了</errorWord>
      <group>L1_Word</group>
      <groupName>字词问题</groupName>
      <ability>L2_Typo</ability>
      <abilityName>字词错误</abilityName>
      <candidateList>
        <item>相关</item>
      </candidateList>
      <explain>〈动〉彼此关连：休戚～｜体育事业和人民健康密切～。</explain>
      <paraID>552E49D0</paraID>
      <start>60</start>
      <end>63</end>
      <status>unmodified</status>
      <modifiedWord/>
      <trackRevisions>false</trackRevisions>
    </reviewItem>
    <reviewItem>
      <errorID>116fea74-7b09-4b07-8ca8-96c69247a47c</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526E4B78</paraID>
      <start>7</start>
      <end>9</end>
      <status>unmodified</status>
      <modifiedWord/>
      <trackRevisions>false</trackRevisions>
    </reviewItem>
    <reviewItem>
      <errorID>f063b72f-d391-403e-8847-2b4485f45d9f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1F74B820</paraID>
      <start>0</start>
      <end>2</end>
      <status>unmodified</status>
      <modifiedWord/>
      <trackRevisions>false</trackRevisions>
    </reviewItem>
    <reviewItem>
      <errorID>d828eb3a-4c02-402b-b534-7213cec2b70e</errorID>
      <errorWord>进行</errorWord>
      <group>L1_Grammar</group>
      <groupName>语法问题</groupName>
      <ability>L2_Grammar</ability>
      <abilityName>语法错误</abilityName>
      <candidateList>
        <item>开展</item>
      </candidateList>
      <explain>“广泛～进行”搭配不当，建议修改为“广泛～开展”。</explain>
      <paraID>282373A8</paraID>
      <start>125</start>
      <end>127</end>
      <status>unmodified</status>
      <modifiedWord/>
      <trackRevisions>false</trackRevisions>
    </reviewItem>
    <reviewItem>
      <errorID>df2f72a8-9963-4584-b457-124ebf7cdeb9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282373A8</paraID>
      <start>164</start>
      <end>165</end>
      <status>unmodified</status>
      <modifiedWord/>
      <trackRevisions>false</trackRevisions>
    </reviewItem>
    <reviewItem>
      <errorID>6ae72d34-a780-4c62-80cb-ac0a557455ab</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6EC85AF2</paraID>
      <start>16</start>
      <end>21</end>
      <status>unmodified</status>
      <modifiedWord/>
      <trackRevisions>false</trackRevisions>
    </reviewItem>
    <reviewItem>
      <errorID>413bf7f7-6410-4813-8fe0-e423d70e0bb1</errorID>
      <errorWord>[2012]98号</errorWord>
      <group>L1_Knowledge</group>
      <groupName>知识性问题</groupName>
      <ability>L2_Knowledge</ability>
      <abilityName>其他知识</abilityName>
      <candidateList>
        <item>〔2012〕98号</item>
      </candidateList>
      <explain>发文字号格式错误。</explain>
      <paraID>4D5B2EBD</paraID>
      <start>59</start>
      <end>68</end>
      <status>unmodified</status>
      <modifiedWord/>
      <trackRevisions>false</trackRevisions>
    </reviewItem>
    <reviewItem>
      <errorID>2ec8411f-c732-459d-8f2d-aec833113232</errorID>
      <errorWord>[2012]77号</errorWord>
      <group>L1_Knowledge</group>
      <groupName>知识性问题</groupName>
      <ability>L2_Knowledge</ability>
      <abilityName>其他知识</abilityName>
      <candidateList>
        <item>〔2012〕77号</item>
      </candidateList>
      <explain>发文字号格式错误。</explain>
      <paraID>4D5B2EBD</paraID>
      <start>99</start>
      <end>108</end>
      <status>unmodified</status>
      <modifiedWord/>
      <trackRevisions>false</trackRevisions>
    </reviewItem>
    <reviewItem>
      <errorID>06aa3a07-077a-45cf-9267-d8a5ae11bbc3</errorID>
      <errorWord>泄露</errorWord>
      <group>L1_Word</group>
      <groupName>字词问题</groupName>
      <ability>L2_Typo</ability>
      <abilityName>字词错误</abilityName>
      <candidateList>
        <item>泄漏</item>
      </candidateList>
      <explain/>
      <paraID>32CC0656</paraID>
      <start>31</start>
      <end>33</end>
      <status>unmodified</status>
      <modifiedWord/>
      <trackRevisions>false</trackRevisions>
    </reviewItem>
    <reviewItem>
      <errorID>67b1e074-4fad-46cd-bca7-0cb443b0a6a9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6D8A857D</paraID>
      <start>0</start>
      <end>2</end>
      <status>unmodified</status>
      <modifiedWord/>
      <trackRevisions>false</trackRevisions>
    </reviewItem>
    <reviewItem>
      <errorID>8de0f96a-6b57-4ab0-a826-0d3140f8f3b6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40C3536A</paraID>
      <start>0</start>
      <end>2</end>
      <status>unmodified</status>
      <modifiedWord/>
      <trackRevisions>false</trackRevisions>
    </reviewItem>
    <reviewItem>
      <errorID>40b358b1-0e9b-4c10-aba6-1f8fc5e67ec8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1A22DC47</paraID>
      <start>0</start>
      <end>2</end>
      <status>unmodified</status>
      <modifiedWord/>
      <trackRevisions>false</trackRevisions>
    </reviewItem>
    <reviewItem>
      <errorID>4c30242f-17c0-4aa5-98f1-d9b217aa8ade</errorID>
      <errorWord>泄露</errorWord>
      <group>L1_Word</group>
      <groupName>字词问题</groupName>
      <ability>L2_Typo</ability>
      <abilityName>字词错误</abilityName>
      <candidateList>
        <item>泄漏</item>
      </candidateList>
      <explain/>
      <paraID>1A22DC47</paraID>
      <start>10</start>
      <end>12</end>
      <status>unmodified</status>
      <modifiedWord/>
      <trackRevisions>false</trackRevisions>
    </reviewItem>
    <reviewItem>
      <errorID>713e3300-7d6a-44fa-a4f4-f972156d30bf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464BD8EC</paraID>
      <start>0</start>
      <end>2</end>
      <status>unmodified</status>
      <modifiedWord/>
      <trackRevisions>false</trackRevisions>
    </reviewItem>
    <reviewItem>
      <errorID>aa2aaf08-8bb0-471a-a8e8-1c9e8f324886</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1F0BDF81</paraID>
      <start>70</start>
      <end>73</end>
      <status>unmodified</status>
      <modifiedWord/>
      <trackRevisions>false</trackRevisions>
    </reviewItem>
    <reviewItem>
      <errorID>e7fb94a8-3b0d-41d7-853a-8c1e37bcb27a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704EB5A7</paraID>
      <start>0</start>
      <end>2</end>
      <status>unmodified</status>
      <modifiedWord/>
      <trackRevisions>false</trackRevisions>
    </reviewItem>
    <reviewItem>
      <errorID>eaec2e4d-bd8c-4784-a624-03b5b9b6b2bd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1A43A012</paraID>
      <start>0</start>
      <end>2</end>
      <status>unmodified</status>
      <modifiedWord/>
      <trackRevisions>false</trackRevisions>
    </reviewItem>
    <reviewItem>
      <errorID>b51e79bf-525c-4ca2-bc01-d7b64e3f05f0</errorID>
      <errorWord>疫情防疫</errorWord>
      <group>L1_Word</group>
      <groupName>字词问题</groupName>
      <ability>L2_Typo</ability>
      <abilityName>字词错误</abilityName>
      <candidateList>
        <item>疫情防控</item>
      </candidateList>
      <explain/>
      <paraID>1A43A012</paraID>
      <start>2</start>
      <end>6</end>
      <status>unmodified</status>
      <modifiedWord/>
      <trackRevisions>false</trackRevisions>
    </reviewItem>
    <reviewItem>
      <errorID>c1884aac-a56d-4e06-a474-eb3bb1d9b3fa</errorID>
      <errorWord>”</errorWord>
      <group>L1_Punc</group>
      <groupName>标点问题</groupName>
      <ability>L2_Punc_CN</ability>
      <abilityName>标点符号问题</abilityName>
      <candidateList>
        <item>“</item>
      </candidateList>
      <explain>注意检查双引号的方向是否正确。</explain>
      <paraID>3AB7C875</paraID>
      <start>43</start>
      <end>44</end>
      <status>unmodified</status>
      <modifiedWord/>
      <trackRevisions>false</trackRevisions>
    </reviewItem>
    <reviewItem>
      <errorID>f2b678f8-3524-447b-9ec7-63b53ac49f60</errorID>
      <errorWord>人</errorWord>
      <group>L1_Word</group>
      <groupName>字词问题</groupName>
      <ability>L2_Typo</ability>
      <abilityName>字词错误</abilityName>
      <candidateList>
        <item>人员</item>
      </candidateList>
      <explain>〈名〉担任某种职务的人：机关工作～｜值班～｜～配备。</explain>
      <paraID>33E4D8CB</paraID>
      <start>7</start>
      <end>8</end>
      <status>unmodified</status>
      <modifiedWord/>
      <trackRevisions>false</trackRevisions>
    </reviewItem>
    <reviewItem>
      <errorID>bfe8e96a-dd82-49eb-b019-46cb6907f2c5</errorID>
      <errorWord>场区</errorWord>
      <group>L1_Word</group>
      <groupName>字词问题</groupName>
      <ability>L2_Typo</ability>
      <abilityName>字词错误</abilityName>
      <candidateList>
        <item>厂区</item>
      </candidateList>
      <explain>存在发音相同字词的误用。</explain>
      <paraID>33E4D8CB</paraID>
      <start>85</start>
      <end>87</end>
      <status>unmodified</status>
      <modifiedWord/>
      <trackRevisions>false</trackRevisions>
    </reviewItem>
    <reviewItem>
      <errorID>9103a8c5-08d8-41e6-a607-20614e1a6fab</errorID>
      <errorWord>抗菌素</errorWord>
      <group>L1_Word</group>
      <groupName>字词问题</groupName>
      <ability>L2_Typo</ability>
      <abilityName>字词错误</abilityName>
      <candidateList>
        <item>抗生素</item>
      </candidateList>
      <explain/>
      <paraID> CC540B1</paraID>
      <start>44</start>
      <end>47</end>
      <status>unmodified</status>
      <modifiedWord/>
      <trackRevisions>false</trackRevisions>
    </reviewItem>
    <reviewItem>
      <errorID>db196345-5dc8-41e6-a762-eedadd3b739a</errorID>
      <errorWord>其</errorWord>
      <group>L1_Word</group>
      <groupName>字词问题</groupName>
      <ability>L2_Typo</ability>
      <abilityName>字词错误</abilityName>
      <candidateList>
        <item>其是</item>
      </candidateList>
      <explain/>
      <paraID>5EE5AAB8</paraID>
      <start>7</start>
      <end>8</end>
      <status>unmodified</status>
      <modifiedWord/>
      <trackRevisions>false</trackRevisions>
    </reviewItem>
    <reviewItem>
      <errorID>a8c4c35a-54dc-46bd-93fe-b0939e1f8e19</errorID>
      <errorWord>”</errorWord>
      <group>L1_Punc</group>
      <groupName>标点问题</groupName>
      <ability>L2_Punc_CN</ability>
      <abilityName>标点符号问题</abilityName>
      <candidateList>
        <item>“</item>
      </candidateList>
      <explain>注意检查双引号的方向是否正确。</explain>
      <paraID>5F174A34</paraID>
      <start>59</start>
      <end>60</end>
      <status>modified</status>
      <modifiedWord>“</modifiedWord>
      <trackRevisions>false</trackRevisions>
    </reviewItem>
    <reviewItem>
      <errorID>fcb156f2-2480-4bc0-8517-3c1380ad02ef</errorID>
      <errorWord>成</errorWord>
      <group>L1_Word</group>
      <groupName>字词问题</groupName>
      <ability>L2_Typo</ability>
      <abilityName>字词错误</abilityName>
      <candidateList>
        <item>成的</item>
      </candidateList>
      <explain/>
      <paraID>23E1317C</paraID>
      <start>97</start>
      <end>98</end>
      <status>unmodified</status>
      <modifiedWord/>
      <trackRevisions>false</trackRevisions>
    </reviewItem>
    <reviewItem>
      <errorID>8ba6c3df-1b9f-49e4-b4d2-f6c35905b654</errorID>
      <errorWord>病性</errorWord>
      <group>L1_Word</group>
      <groupName>字词问题</groupName>
      <ability>L2_Typo</ability>
      <abilityName>字词错误</abilityName>
      <candidateList>
        <item>病</item>
      </candidateList>
      <explain/>
      <paraID>3E94464B</paraID>
      <start>179</start>
      <end>181</end>
      <status>unmodified</status>
      <modifiedWord/>
      <trackRevisions>false</trackRevisions>
    </reviewItem>
    <reviewItem>
      <errorID>9787eec9-f076-46d7-a32b-de372a148902</errorID>
      <errorWord>福尔马林</errorWord>
      <group>L1_Word</group>
      <groupName>字词问题</groupName>
      <ability>L2_Typo</ability>
      <abilityName>字词错误</abilityName>
      <candidateList>
        <item>甲醛溶液</item>
      </candidateList>
      <explain/>
      <paraID>3E94464B</paraID>
      <start>280</start>
      <end>284</end>
      <status>unmodified</status>
      <modifiedWord/>
      <trackRevisions>false</trackRevisions>
    </reviewItem>
    <reviewItem>
      <errorID>e0ca5be0-f925-4179-9dff-1f18b7f5add0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71DA0F44</paraID>
      <start>0</start>
      <end>2</end>
      <status>unmodified</status>
      <modifiedWord/>
      <trackRevisions>false</trackRevisions>
    </reviewItem>
    <reviewItem>
      <errorID>7f2fb1af-126f-4ea0-bfb8-0f923ffc0266</errorID>
      <errorWord>~</errorWord>
      <group>L1_Format</group>
      <groupName>格式问题</groupName>
      <ability>L2_HalfPunc_CN</ability>
      <abilityName>全半角问题</abilityName>
      <candidateList>
        <item>～</item>
      </candidateList>
      <explain>文本全半角错误。</explain>
      <paraID>4F62A1C1</paraID>
      <start>25</start>
      <end>26</end>
      <status>unmodified</status>
      <modifiedWord/>
      <trackRevisions>false</trackRevisions>
    </reviewItem>
    <reviewItem>
      <errorID>2e52fb55-47ef-4b29-a4aa-5340fe61ea1d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5F99D077</paraID>
      <start>0</start>
      <end>2</end>
      <status>unmodified</status>
      <modifiedWord/>
      <trackRevisions>false</trackRevisions>
    </reviewItem>
    <reviewItem>
      <errorID>bf710531-5c4e-4135-940e-321ff525ed2f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18BE2013</paraID>
      <start>40</start>
      <end>43</end>
      <status>unmodified</status>
      <modifiedWord/>
      <trackRevisions>false</trackRevisions>
    </reviewItem>
    <reviewItem>
      <errorID>a5c2bb25-06b9-4cf7-9cae-84b4f3d9e45b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7745036</paraID>
      <start>0</start>
      <end>2</end>
      <status>unmodified</status>
      <modifiedWord/>
      <trackRevisions>false</trackRevisions>
    </reviewItem>
    <reviewItem>
      <errorID>c98317f4-65be-4ec2-9dba-d7c365a8f4b0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60C37629</paraID>
      <start>22</start>
      <end>25</end>
      <status>unmodified</status>
      <modifiedWord/>
      <trackRevisions>false</trackRevisions>
    </reviewItem>
    <reviewItem>
      <errorID>ea141867-3d41-4918-9717-8fc74c0553f8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60C37629</paraID>
      <start>37</start>
      <end>40</end>
      <status>unmodified</status>
      <modifiedWord/>
      <trackRevisions>false</trackRevisions>
    </reviewItem>
    <reviewItem>
      <errorID>5e5bb3ec-3388-49bb-81e5-f80ef12431cd</errorID>
      <errorWord>以下的</errorWord>
      <group>L1_Word</group>
      <groupName>字词问题</groupName>
      <ability>L2_Typo</ability>
      <abilityName>字词错误</abilityName>
      <candidateList>
        <item>以下</item>
      </candidateList>
      <explain/>
      <paraID>2035C242</paraID>
      <start>107</start>
      <end>110</end>
      <status>unmodified</status>
      <modifiedWord/>
      <trackRevisions>false</trackRevisions>
    </reviewItem>
    <reviewItem>
      <errorID>2cecae06-9f39-4e78-b7fd-eb39a9862370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51D5EAE</paraID>
      <start>48</start>
      <end>51</end>
      <status>unmodified</status>
      <modifiedWord/>
      <trackRevisions>false</trackRevisions>
    </reviewItem>
    <reviewItem>
      <errorID>8d7abeab-d767-40b1-a966-223289f9165a</errorID>
      <errorWord>需具备</errorWord>
      <group>L1_Word</group>
      <groupName>字词问题</groupName>
      <ability>L2_Typo</ability>
      <abilityName>字词错误</abilityName>
      <candidateList>
        <item>须具备</item>
      </candidateList>
      <explain/>
      <paraID>3810A5CF</paraID>
      <start>2</start>
      <end>5</end>
      <status>unmodified</status>
      <modifiedWord/>
      <trackRevisions>false</trackRevisions>
    </reviewItem>
    <reviewItem>
      <errorID>3250bdb2-be10-4576-92ca-8965a8816b75</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1E55A9D8</paraID>
      <start>69</start>
      <end>72</end>
      <status>unmodified</status>
      <modifiedWord/>
      <trackRevisions>false</trackRevisions>
    </reviewItem>
    <reviewItem>
      <errorID>2acc8fc5-a1bc-4d53-929a-7c95b63ab249</errorID>
      <errorWord>撤消</errorWord>
      <group>L1_Word</group>
      <groupName>字词问题</groupName>
      <ability>L2_Alias</ability>
      <abilityName>也作/曾用词</abilityName>
      <candidateList>
        <item>撤销</item>
      </candidateList>
      <explain>词汇[撤消]为不规范表述或旧称，其规范书面表述为[撤销]。</explain>
      <paraID>1E55A9D8</paraID>
      <start>130</start>
      <end>132</end>
      <status>unmodified</status>
      <modifiedWord/>
      <trackRevisions>false</trackRevisions>
    </reviewItem>
    <reviewItem>
      <errorID>2e473262-9632-47f8-988e-44598fde0e30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24CE87D5</paraID>
      <start>0</start>
      <end>2</end>
      <status>unmodified</status>
      <modifiedWord/>
      <trackRevisions>false</trackRevisions>
    </reviewItem>
    <reviewItem>
      <errorID>c6d147e4-0875-4360-8587-42cf1527b596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658ED447</paraID>
      <start>0</start>
      <end>2</end>
      <status>unmodified</status>
      <modifiedWord/>
      <trackRevisions>false</trackRevisions>
    </reviewItem>
    <reviewItem>
      <errorID>668a52c0-7362-4d27-bb9c-596944fbf011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3993556D</paraID>
      <start>0</start>
      <end>2</end>
      <status>unmodified</status>
      <modifiedWord/>
      <trackRevisions>false</trackRevisions>
    </reviewItem>
    <reviewItem>
      <errorID>5de2f3ad-9154-4587-a95c-7dd144842b2b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23F7A006</paraID>
      <start>0</start>
      <end>2</end>
      <status>unmodified</status>
      <modifiedWord/>
      <trackRevisions>false</trackRevisions>
    </reviewItem>
    <reviewItem>
      <errorID>cb6964d9-a172-4610-883d-077935bb7ff3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1FF9573E</paraID>
      <start>0</start>
      <end>2</end>
      <status>unmodified</status>
      <modifiedWord/>
      <trackRevisions>false</trackRevisions>
    </reviewItem>
    <reviewItem>
      <errorID>687353a9-be9f-4fbd-9f07-66ba21a32e80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76AF946F</paraID>
      <start>0</start>
      <end>2</end>
      <status>unmodified</status>
      <modifiedWord/>
      <trackRevisions>false</trackRevisions>
    </reviewItem>
    <reviewItem>
      <errorID>2e5e24c0-85c8-401d-87f9-0c5f59a4e98f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2A678A5B</paraID>
      <start>0</start>
      <end>2</end>
      <status>unmodified</status>
      <modifiedWord/>
      <trackRevisions>false</trackRevisions>
    </reviewItem>
    <reviewItem>
      <errorID>fe0bcc97-1371-4f00-9206-235b04814066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B6281BE</paraID>
      <start>0</start>
      <end>2</end>
      <status>unmodified</status>
      <modifiedWord/>
      <trackRevisions>false</trackRevisions>
    </reviewItem>
    <reviewItem>
      <errorID>a970b792-b89f-4ad1-9905-e73b9c2919f6</errorID>
      <errorWord>无须</errorWord>
      <group>L1_Word</group>
      <groupName>字词问题</groupName>
      <ability>L2_Typo</ability>
      <abilityName>字词错误</abilityName>
      <candidateList>
        <item>无需</item>
      </candidateList>
      <explain>存在发音相同字词的误用。</explain>
      <paraID> B6281BE</paraID>
      <start>62</start>
      <end>64</end>
      <status>unmodified</status>
      <modifiedWord/>
      <trackRevisions>false</trackRevisions>
    </reviewItem>
    <reviewItem>
      <errorID>c0f6dfba-1045-4f28-ac07-6de9457417fa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13CF41A1</paraID>
      <start>0</start>
      <end>2</end>
      <status>unmodified</status>
      <modifiedWord/>
      <trackRevisions>false</trackRevisions>
    </reviewItem>
    <reviewItem>
      <errorID>b694f6b3-bd56-48fe-a68f-60431dad1c43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10E280F4</paraID>
      <start>0</start>
      <end>2</end>
      <status>unmodified</status>
      <modifiedWord/>
      <trackRevisions>false</trackRevisions>
    </reviewItem>
    <reviewItem>
      <errorID>4616f9bd-52ab-4970-a58f-4f230a871fad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5952D3A1</paraID>
      <start>0</start>
      <end>2</end>
      <status>unmodified</status>
      <modifiedWord/>
      <trackRevisions>false</trackRevisions>
    </reviewItem>
    <reviewItem>
      <errorID>7fecaa63-8d8f-427a-a993-6d6cb4125e1f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502C6FB1</paraID>
      <start>0</start>
      <end>2</end>
      <status>unmodified</status>
      <modifiedWord/>
      <trackRevisions>false</trackRevisions>
    </reviewItem>
    <reviewItem>
      <errorID>bed318b9-d394-47b6-89f9-40eae4636b61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7669702E</paraID>
      <start>0</start>
      <end>2</end>
      <status>unmodified</status>
      <modifiedWord/>
      <trackRevisions>false</trackRevisions>
    </reviewItem>
    <reviewItem>
      <errorID>5b49eff8-ba8d-4b66-9717-384c3edbc2a2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5C03F91</paraID>
      <start>0</start>
      <end>2</end>
      <status>unmodified</status>
      <modifiedWord/>
      <trackRevisions>false</trackRevisions>
    </reviewItem>
    <reviewItem>
      <errorID>6e9b1d83-d72c-4337-ba04-45d70667bfab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2C98E8AA</paraID>
      <start>0</start>
      <end>2</end>
      <status>unmodified</status>
      <modifiedWord/>
      <trackRevisions>false</trackRevisions>
    </reviewItem>
    <reviewItem>
      <errorID>02c9dd60-07ea-4865-a5b8-ebfb660a9d53</errorID>
      <errorWord>制定</errorWord>
      <group>L1_Word</group>
      <groupName>字词问题</groupName>
      <ability>L2_Typo</ability>
      <abilityName>字词错误</abilityName>
      <candidateList>
        <item>指定</item>
      </candidateList>
      <explain/>
      <paraID>3BB2A338</paraID>
      <start>48</start>
      <end>50</end>
      <status>unmodified</status>
      <modifiedWord/>
      <trackRevisions>false</trackRevisions>
    </reviewItem>
    <reviewItem>
      <errorID>0fed75ca-8604-4377-be25-c82a41f3e6e5</errorID>
      <errorWord>提高</errorWord>
      <group>L1_Grammar</group>
      <groupName>语法问题</groupName>
      <ability>L2_Grammar</ability>
      <abilityName>语法错误</abilityName>
      <candidateList>
        <item>增强</item>
      </candidateList>
      <explain>“提高～意识”搭配不当，建议修改为“增强～意识”。</explain>
      <paraID>2E997529</paraID>
      <start>34</start>
      <end>36</end>
      <status>unmodified</status>
      <modifiedWord/>
      <trackRevisions>false</trackRevisions>
    </reviewItem>
    <reviewItem>
      <errorID>cb238789-2e8e-4eba-94b1-76b71f3924ff</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704100ED</paraID>
      <start>51</start>
      <end>53</end>
      <status>unmodified</status>
      <modifiedWord/>
      <trackRevisions>false</trackRevisions>
    </reviewItem>
    <reviewItem>
      <errorID>a1be3772-2685-4c96-b5c7-80a3d54bb2e1</errorID>
      <errorWord>场区</errorWord>
      <group>L1_Word</group>
      <groupName>字词问题</groupName>
      <ability>L2_Typo</ability>
      <abilityName>字词错误</abilityName>
      <candidateList>
        <item>厂区</item>
      </candidateList>
      <explain>存在发音相同字词的误用。</explain>
      <paraID> 96B7692</paraID>
      <start>13</start>
      <end>15</end>
      <status>unmodified</status>
      <modifiedWord/>
      <trackRevisions>false</trackRevisions>
    </reviewItem>
    <reviewItem>
      <errorID>5e4ae603-69fd-4ac1-9fb3-ab3f0b1a6e34</errorID>
      <errorWord>清楚</errorWord>
      <group>L1_Word</group>
      <groupName>字词问题</groupName>
      <ability>L2_Typo</ability>
      <abilityName>字词错误</abilityName>
      <candidateList>
        <item>清除</item>
      </candidateList>
      <explain>〈动〉扫除净尽；全部去掉：～积雪｜～积弊｜～内奸。</explain>
      <paraID>4617AEC1</paraID>
      <start>10</start>
      <end>12</end>
      <status>unmodified</status>
      <modifiedWord/>
      <trackRevisions>false</trackRevisions>
    </reviewItem>
    <reviewItem>
      <errorID>ec08a4e6-083c-49ae-9208-bf70508dc40f</errorID>
      <errorWord>泄露</errorWord>
      <group>L1_Word</group>
      <groupName>字词问题</groupName>
      <ability>L2_Typo</ability>
      <abilityName>字词错误</abilityName>
      <candidateList>
        <item>泄漏</item>
      </candidateList>
      <explain>存在发音相同字词的误用。</explain>
      <paraID>4617AEC1</paraID>
      <start>12</start>
      <end>14</end>
      <status>unmodified</status>
      <modifiedWord/>
      <trackRevisions>false</trackRevisions>
    </reviewItem>
    <reviewItem>
      <errorID>4395606b-f6d5-40b8-8f65-caf0e50cbdf7</errorID>
      <errorWord>临近</errorWord>
      <group>L1_Word</group>
      <groupName>字词问题</groupName>
      <ability>L2_Typo</ability>
      <abilityName>字词错误</abilityName>
      <candidateList>
        <item>邻近</item>
      </candidateList>
      <explain>存在发音相同字词的误用。</explain>
      <paraID>30A41001</paraID>
      <start>5</start>
      <end>7</end>
      <status>unmodified</status>
      <modifiedWord/>
      <trackRevisions>false</trackRevisions>
    </reviewItem>
    <reviewItem>
      <errorID>bd1acb30-12ef-478e-9e97-4b0e1ec2e3fc</errorID>
      <errorWord>清楚</errorWord>
      <group>L1_Word</group>
      <groupName>字词问题</groupName>
      <ability>L2_Typo</ability>
      <abilityName>字词错误</abilityName>
      <candidateList>
        <item>清除</item>
      </candidateList>
      <explain>〈动〉扫除净尽；全部去掉：～积雪｜～积弊｜～内奸。</explain>
      <paraID>30A41001</paraID>
      <start>20</start>
      <end>22</end>
      <status>unmodified</status>
      <modifiedWord/>
      <trackRevisions>false</trackRevisions>
    </reviewItem>
    <reviewItem>
      <errorID>963c52e7-a51c-4f28-ab64-6a3c8aee3658</errorID>
      <errorWord>临近</errorWord>
      <group>L1_Word</group>
      <groupName>字词问题</groupName>
      <ability>L2_Typo</ability>
      <abilityName>字词错误</abilityName>
      <candidateList>
        <item>邻近</item>
      </candidateList>
      <explain>存在发音相同字词的误用。</explain>
      <paraID>3C0F0208</paraID>
      <start>0</start>
      <end>2</end>
      <status>unmodified</status>
      <modifiedWord/>
      <trackRevisions>false</trackRevisions>
    </reviewItem>
    <reviewItem>
      <errorID>6c42255b-88eb-434a-9b7c-304b8bf4c388</errorID>
      <errorWord>临近地区</errorWord>
      <group>L1_Word</group>
      <groupName>字词问题</groupName>
      <ability>L2_Typo</ability>
      <abilityName>字词错误</abilityName>
      <candidateList>
        <item>邻近地区</item>
      </candidateList>
      <explain/>
      <paraID> DFBE602</paraID>
      <start>1</start>
      <end>5</end>
      <status>unmodified</status>
      <modifiedWord/>
      <trackRevisions>false</trackRevisions>
    </reviewItem>
    <reviewItem>
      <errorID>fb92e05e-5a35-4930-a004-e75805fce584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61E8F6E8</paraID>
      <start>0</start>
      <end>2</end>
      <status>unmodified</status>
      <modifiedWord/>
      <trackRevisions>false</trackRevisions>
    </reviewItem>
    <reviewItem>
      <errorID>39e85155-d059-4759-a007-e1194506420b</errorID>
      <errorWord>泄露</errorWord>
      <group>L1_Word</group>
      <groupName>字词问题</groupName>
      <ability>L2_Typo</ability>
      <abilityName>字词错误</abilityName>
      <candidateList>
        <item>泄漏</item>
      </candidateList>
      <explain/>
      <paraID>101C0304</paraID>
      <start>44</start>
      <end>46</end>
      <status>unmodified</status>
      <modifiedWord/>
      <trackRevisions>false</trackRevisions>
    </reviewItem>
    <reviewItem>
      <errorID>6c556699-0d9a-4dde-b4d5-360708a204d3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33F3DAF</paraID>
      <start>0</start>
      <end>2</end>
      <status>unmodified</status>
      <modifiedWord/>
      <trackRevisions>false</trackRevisions>
    </reviewItem>
    <reviewItem>
      <errorID>d58f0589-436c-4431-9174-ed75e7b1a1a1</errorID>
      <errorWord>警钟常鸣</errorWord>
      <group>L1_Word</group>
      <groupName>字词问题</groupName>
      <ability>L2_Typo</ability>
      <abilityName>字词错误</abilityName>
      <candidateList>
        <item>警钟长鸣</item>
      </candidateList>
      <explain>报告发生意外或遇到危险的钟，比喻持久的保持警惕性。</explain>
      <paraID>7EAF25E6</paraID>
      <start>20</start>
      <end>24</end>
      <status>unmodified</status>
      <modifiedWord/>
      <trackRevisions>false</trackRevisions>
    </reviewItem>
    <reviewItem>
      <errorID>db57ff7b-94a3-420f-aa3e-4fee611ce451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4E86D496</paraID>
      <start>0</start>
      <end>2</end>
      <status>unmodified</status>
      <modifiedWord/>
      <trackRevisions>false</trackRevisions>
    </reviewItem>
    <reviewItem>
      <errorID>4e7fa6e2-0114-456e-a0f5-b640cd09441d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9A078AA</paraID>
      <start>0</start>
      <end>3</end>
      <status>unmodified</status>
      <modifiedWord/>
      <trackRevisions>false</trackRevisions>
    </reviewItem>
    <reviewItem>
      <errorID>0d1fff4d-f10d-409a-bf61-71d62614ca8f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5FB931D6</paraID>
      <start>0</start>
      <end>3</end>
      <status>unmodified</status>
      <modifiedWord/>
      <trackRevisions>false</trackRevisions>
    </reviewItem>
    <reviewItem>
      <errorID>c84047f3-7d5a-4043-bf0d-225b5f7329a0</errorID>
      <errorWord>泄露</errorWord>
      <group>L1_Word</group>
      <groupName>字词问题</groupName>
      <ability>L2_Typo</ability>
      <abilityName>字词错误</abilityName>
      <candidateList>
        <item>泄漏</item>
      </candidateList>
      <explain/>
      <paraID>5BB9FB96</paraID>
      <start>14</start>
      <end>16</end>
      <status>unmodified</status>
      <modifiedWord/>
      <trackRevisions>false</trackRevisions>
    </reviewItem>
    <reviewItem>
      <errorID>77befbe7-7de6-4095-b55c-dabeb3fed445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2BE8AD84</paraID>
      <start>0</start>
      <end>2</end>
      <status>unmodified</status>
      <modifiedWord/>
      <trackRevisions>false</trackRevisions>
    </reviewItem>
    <reviewItem>
      <errorID>5443d204-229a-4935-b170-2d58b5ca7e67</errorID>
      <errorWord>”</errorWord>
      <group>L1_Punc</group>
      <groupName>标点问题</groupName>
      <ability>L2_Punc_CN</ability>
      <abilityName>标点符号问题</abilityName>
      <candidateList>
        <item>“</item>
      </candidateList>
      <explain>注意检查双引号的方向是否正确。</explain>
      <paraID> 2ECE778</paraID>
      <start>20</start>
      <end>21</end>
      <status>unmodified</status>
      <modifiedWord/>
      <trackRevisions>false</trackRevisions>
    </reviewItem>
    <reviewItem>
      <errorID>a6c805e2-2cf3-47a5-b94b-8ed471513f11</errorID>
      <errorWord>程</errorWord>
      <group>L1_Word</group>
      <groupName>字词问题</groupName>
      <ability>L2_Typo</ability>
      <abilityName>字词错误</abilityName>
      <candidateList>
        <item>程中</item>
      </candidateList>
      <explain/>
      <paraID>5BDF2084</paraID>
      <start>62</start>
      <end>63</end>
      <status>unmodified</status>
      <modifiedWord/>
      <trackRevisions>false</trackRevisions>
    </reviewItem>
    <reviewItem>
      <errorID>6f8fe8d2-e3f7-4ac7-a288-f16a02cc24c1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7A3B9CC1</paraID>
      <start>0</start>
      <end>2</end>
      <status>unmodified</status>
      <modifiedWord/>
      <trackRevisions>false</trackRevisions>
    </reviewItem>
    <reviewItem>
      <errorID>cf13d714-832e-42f6-82c8-3118b09e9679</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3134AA7</paraID>
      <start>105</start>
      <end>107</end>
      <status>unmodified</status>
      <modifiedWord/>
      <trackRevisions>false</trackRevisions>
    </reviewItem>
    <reviewItem>
      <errorID>e156cdcd-683f-48d8-9db1-7b2121089592</errorID>
      <errorWord>工地</errorWord>
      <group>L1_Word</group>
      <groupName>字词问题</groupName>
      <ability>L2_Typo</ability>
      <abilityName>字词错误</abilityName>
      <candidateList>
        <item>场地</item>
      </candidateList>
      <explain>存在字形相近字词的误用。</explain>
      <paraID>69E7C2B7</paraID>
      <start>14</start>
      <end>16</end>
      <status>unmodified</status>
      <modifiedWord/>
      <trackRevisions>false</trackRevisions>
    </reviewItem>
    <reviewItem>
      <errorID>c413d005-61dc-478a-a0db-d8ea4085e32f</errorID>
      <errorWord>围拦</errorWord>
      <group>L1_Word</group>
      <groupName>字词问题</groupName>
      <ability>L2_Typo</ability>
      <abilityName>字词错误</abilityName>
      <candidateList>
        <item>围栏</item>
      </candidateList>
      <explain/>
      <paraID>69E7C2B7</paraID>
      <start>43</start>
      <end>45</end>
      <status>unmodified</status>
      <modifiedWord/>
      <trackRevisions>false</trackRevisions>
    </reviewItem>
    <reviewItem>
      <errorID>2bb637fb-8a5b-4167-9157-5a3422a6ab66</errorID>
      <errorWord>蓬布</errorWord>
      <group>L1_Word</group>
      <groupName>字词问题</groupName>
      <ability>L2_Typo</ability>
      <abilityName>字词错误</abilityName>
      <candidateList>
        <item>篷布</item>
      </candidateList>
      <explain/>
      <paraID>57CE5D13</paraID>
      <start>67</start>
      <end>69</end>
      <status>unmodified</status>
      <modifiedWord/>
      <trackRevisions>false</trackRevisions>
    </reviewItem>
    <reviewItem>
      <errorID>9bc982a3-6da7-4bf2-baa1-a1731391fcce</errorID>
      <errorWord>”</errorWord>
      <group>L1_Punc</group>
      <groupName>标点问题</groupName>
      <ability>L2_Punc_CN</ability>
      <abilityName>标点符号问题</abilityName>
      <candidateList>
        <item>“</item>
      </candidateList>
      <explain>注意检查双引号的方向是否正确。</explain>
      <paraID>1C0EE27B</paraID>
      <start>11</start>
      <end>12</end>
      <status>unmodified</status>
      <modifiedWord/>
      <trackRevisions>false</trackRevisions>
    </reviewItem>
    <reviewItem>
      <errorID>8831d8cb-a123-45ce-af1c-9c95486bcdba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20C5A55C</paraID>
      <start>0</start>
      <end>2</end>
      <status>unmodified</status>
      <modifiedWord/>
      <trackRevisions>false</trackRevisions>
    </reviewItem>
    <reviewItem>
      <errorID>64a3a3d8-564d-4576-934d-c31fa55e6021</errorID>
      <errorWord>以下的</errorWord>
      <group>L1_Word</group>
      <groupName>字词问题</groupName>
      <ability>L2_Typo</ability>
      <abilityName>字词错误</abilityName>
      <candidateList>
        <item>以下</item>
      </candidateList>
      <explain/>
      <paraID>11071CDD</paraID>
      <start>16</start>
      <end>19</end>
      <status>unmodified</status>
      <modifiedWord/>
      <trackRevisions>false</trackRevisions>
    </reviewItem>
    <reviewItem>
      <errorID>4d72e3dd-cf3e-4d27-9bd1-edf21e851021</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2AC95694</paraID>
      <start>5</start>
      <end>8</end>
      <status>unmodified</status>
      <modifiedWord/>
      <trackRevisions>false</trackRevisions>
    </reviewItem>
    <reviewItem>
      <errorID>e0e040b6-ce92-4f9f-81cf-6d883ce140d6</errorID>
      <errorWord>有效的控制</errorWord>
      <group>L1_Word</group>
      <groupName>字词问题</groupName>
      <ability>L2_Typo</ability>
      <abilityName>字词错误</abilityName>
      <candidateList>
        <item>有效地控制</item>
      </candidateList>
      <explain/>
      <paraID>6F63DD36</paraID>
      <start>131</start>
      <end>136</end>
      <status>unmodified</status>
      <modifiedWord/>
      <trackRevisions>false</trackRevisions>
    </reviewItem>
    <reviewItem>
      <errorID>c3106dc7-f83d-43bf-8e32-91ff116c9a00</errorID>
      <errorWord>来自于</errorWord>
      <group>L1_Word</group>
      <groupName>字词问题</groupName>
      <ability>L2_Typo</ability>
      <abilityName>字词错误</abilityName>
      <candidateList>
        <item>来自</item>
      </candidateList>
      <explain/>
      <paraID>5A5419C7</paraID>
      <start>11</start>
      <end>14</end>
      <status>unmodified</status>
      <modifiedWord/>
      <trackRevisions>false</trackRevisions>
    </reviewItem>
    <reviewItem>
      <errorID>7caa1c60-801b-4924-8196-a106333ee581</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5A5419C7</paraID>
      <start>74</start>
      <end>90</end>
      <status>unmodified</status>
      <modifiedWord/>
      <trackRevisions>false</trackRevisions>
    </reviewItem>
    <reviewItem>
      <errorID>018b06de-ef32-4949-9748-2100ecfb5135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F20A47E</paraID>
      <start>0</start>
      <end>2</end>
      <status>unmodified</status>
      <modifiedWord/>
      <trackRevisions>false</trackRevisions>
    </reviewItem>
    <reviewItem>
      <errorID>c1b6133b-0395-443f-94c5-6e75bccf3cb7</errorID>
      <errorWord>严重的</errorWord>
      <group>L1_Word</group>
      <groupName>字词问题</groupName>
      <ability>L2_Typo</ability>
      <abilityName>字词错误</abilityName>
      <candidateList>
        <item>严重</item>
      </candidateList>
      <explain/>
      <paraID>1F4A1500</paraID>
      <start>66</start>
      <end>69</end>
      <status>unmodified</status>
      <modifiedWord/>
      <trackRevisions>false</trackRevisions>
    </reviewItem>
    <reviewItem>
      <errorID>31b665c9-dff9-440c-b9c3-d96ea6bd2efd</errorID>
      <errorWord>震动</errorWord>
      <group>L1_Word</group>
      <groupName>字词问题</groupName>
      <ability>L2_Typo</ability>
      <abilityName>字词错误</abilityName>
      <candidateList>
        <item>振动</item>
      </candidateList>
      <explain>存在发音相同字词的误用。</explain>
      <paraID>60645C78</paraID>
      <start>38</start>
      <end>40</end>
      <status>unmodified</status>
      <modifiedWord/>
      <trackRevisions>false</trackRevisions>
    </reviewItem>
    <reviewItem>
      <errorID>87bc87c5-2d21-493f-a278-7ceb1af907f4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683AD941</paraID>
      <start>0</start>
      <end>2</end>
      <status>unmodified</status>
      <modifiedWord/>
      <trackRevisions>false</trackRevisions>
    </reviewItem>
    <reviewItem>
      <errorID>dad4ff79-07a1-437b-abaf-ce5567c53d9a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6F2EE33E</paraID>
      <start>0</start>
      <end>2</end>
      <status>unmodified</status>
      <modifiedWord/>
      <trackRevisions>false</trackRevisions>
    </reviewItem>
    <reviewItem>
      <errorID>0b5550e6-3e68-42dd-980f-749857c81085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7AE8A07F</paraID>
      <start>14</start>
      <end>15</end>
      <status>unmodified</status>
      <modifiedWord/>
      <trackRevisions>false</trackRevisions>
    </reviewItem>
    <reviewItem>
      <errorID>bb7ed0d6-3a69-4b56-84e5-186969b60367</errorID>
      <errorWord>及时外</errorWord>
      <group>L1_Word</group>
      <groupName>字词问题</groupName>
      <ability>L2_Typo</ability>
      <abilityName>字词错误</abilityName>
      <candidateList>
        <item>及时</item>
      </candidateList>
      <explain>❶〈形〉正赶上时候；适合需要：～雨｜他来得很～。❷〈副〉不拖延；马上；立刻：有问题就～解决。</explain>
      <paraID>1287C3D4</paraID>
      <start>129</start>
      <end>132</end>
      <status>unmodified</status>
      <modifiedWord/>
      <trackRevisions>false</trackRevisions>
    </reviewItem>
    <reviewItem>
      <errorID>ef81e614-8ae7-451a-ac9f-9d786e71cba0</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165BC495</paraID>
      <start>59</start>
      <end>61</end>
      <status>unmodified</status>
      <modifiedWord/>
      <trackRevisions>false</trackRevisions>
    </reviewItem>
    <reviewItem>
      <errorID>aec7a2a1-5012-47c4-8853-8db34c296b4f</errorID>
      <errorWord>度</errorWord>
      <group>L1_Word</group>
      <groupName>字词问题</groupName>
      <ability>L2_Typo</ability>
      <abilityName>字词错误</abilityName>
      <candidateList>
        <item>度地</item>
      </candidateList>
      <explain/>
      <paraID>17E21298</paraID>
      <start>12</start>
      <end>13</end>
      <status>unmodified</status>
      <modifiedWord/>
      <trackRevisions>false</trackRevisions>
    </reviewItem>
    <reviewItem>
      <errorID>3d6d1257-918f-45c8-813d-aacb936f0f4f</errorID>
      <errorWord>大气污染物防治</errorWord>
      <group>L1_Word</group>
      <groupName>字词问题</groupName>
      <ability>L2_Typo</ability>
      <abilityName>字词错误</abilityName>
      <candidateList>
        <item>大气污染防治</item>
      </candidateList>
      <explain/>
      <paraID>4A983196</paraID>
      <start>5</start>
      <end>12</end>
      <status>unmodified</status>
      <modifiedWord/>
      <trackRevisions>false</trackRevisions>
    </reviewItem>
    <reviewItem>
      <errorID>2195c37d-b5d3-4e59-bfec-981aade85993</errorID>
      <errorWord>：</errorWord>
      <group>L1_Format</group>
      <groupName>格式问题</groupName>
      <ability>L2_HalfPunc_CN</ability>
      <abilityName>全半角问题</abilityName>
      <candidateList>
        <item>:</item>
      </candidateList>
      <explain>文本全半角错误。</explain>
      <paraID>702751C4</paraID>
      <start>12</start>
      <end>13</end>
      <status>unmodified</status>
      <modifiedWord/>
      <trackRevisions>false</trackRevisions>
    </reviewItem>
    <reviewItem>
      <errorID>11f9f6d3-d182-4f02-b5ac-bec8f4076dd7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70B5E2E6</paraID>
      <start>38</start>
      <end>41</end>
      <status>unmodified</status>
      <modifiedWord/>
      <trackRevisions>false</trackRevisions>
    </reviewItem>
    <reviewItem>
      <errorID>19fc68e2-d5e6-4506-843c-0ed5016dbfb2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57192BB5</paraID>
      <start>0</start>
      <end>2</end>
      <status>unmodified</status>
      <modifiedWord/>
      <trackRevisions>false</trackRevisions>
    </reviewItem>
    <reviewItem>
      <errorID>e6f917b4-c5fc-44b0-a006-735b6cc8d33e</errorID>
      <errorWord>~</errorWord>
      <group>L1_Format</group>
      <groupName>格式问题</groupName>
      <ability>L2_HalfPunc_CN</ability>
      <abilityName>全半角问题</abilityName>
      <candidateList>
        <item>～</item>
      </candidateList>
      <explain>文本全半角错误。</explain>
      <paraID>3CED4EF6</paraID>
      <start>58</start>
      <end>59</end>
      <status>unmodified</status>
      <modifiedWord/>
      <trackRevisions>false</trackRevisions>
    </reviewItem>
    <reviewItem>
      <errorID>493d1228-9b17-42fd-8fe2-96b9af2b7713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3CED4EF6</paraID>
      <start>261</start>
      <end>262</end>
      <status>unmodified</status>
      <modifiedWord/>
      <trackRevisions>false</trackRevisions>
    </reviewItem>
    <reviewItem>
      <errorID>1aa19fd7-a995-40e3-b549-59f07e2d808d</errorID>
      <errorWord>建立巡逻制度</errorWord>
      <group>L1_Political</group>
      <groupName>政治性问题</groupName>
      <ability>L2_Keyword</ability>
      <abilityName>固定表述</abilityName>
      <candidateList>
        <item>建立巡察制度</item>
      </candidateList>
      <explain>词汇“建立巡察制度”在特定场景下为固定表述形式，请确认此处的“建立巡逻制度”是否存在不当。</explain>
      <paraID>72A3AFF9</paraID>
      <start>8</start>
      <end>14</end>
      <status>unmodified</status>
      <modifiedWord/>
      <trackRevisions>false</trackRevisions>
    </reviewItem>
    <reviewItem>
      <errorID>8bb8152e-ff4b-4dc8-969c-20062aade233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23678ED0</paraID>
      <start>0</start>
      <end>2</end>
      <status>unmodified</status>
      <modifiedWord/>
      <trackRevisions>false</trackRevisions>
    </reviewItem>
    <reviewItem>
      <errorID>99c89897-2652-44fb-b605-d91dceef0c14</errorID>
      <errorWord>减震</errorWord>
      <group>L1_Word</group>
      <groupName>字词问题</groupName>
      <ability>L2_Typo</ability>
      <abilityName>字词错误</abilityName>
      <candidateList>
        <item>减振</item>
      </candidateList>
      <explain>存在发音相同字词的误用。</explain>
      <paraID>7D480FFD</paraID>
      <start>33</start>
      <end>35</end>
      <status>unmodified</status>
      <modifiedWord/>
      <trackRevisions>false</trackRevisions>
    </reviewItem>
    <reviewItem>
      <errorID>0c53c33d-2163-4937-98b6-80e62d28604b</errorID>
      <errorWord>措施后</errorWord>
      <group>L1_Word</group>
      <groupName>字词问题</groupName>
      <ability>L2_Typo</ability>
      <abilityName>字词错误</abilityName>
      <candidateList>
        <item>措施</item>
      </candidateList>
      <explain>〈名〉针对某种情况而采取的处理办法（用于较大的事情）：计划已经订出，～应该跟上。</explain>
      <paraID> 6F4A3A9</paraID>
      <start>4</start>
      <end>7</end>
      <status>unmodified</status>
      <modifiedWord/>
      <trackRevisions>false</trackRevisions>
    </reviewItem>
    <reviewItem>
      <errorID>1944c9e2-af73-4b5a-92c0-1fc82fc62201</errorID>
      <errorWord>[2014]789号</errorWord>
      <group>L1_Knowledge</group>
      <groupName>知识性问题</groupName>
      <ability>L2_Knowledge</ability>
      <abilityName>其他知识</abilityName>
      <candidateList>
        <item>〔2014〕789号</item>
      </candidateList>
      <explain>发文字号格式错误。</explain>
      <paraID>5627E391</paraID>
      <start>5</start>
      <end>15</end>
      <status>unmodified</status>
      <modifiedWord/>
      <trackRevisions>false</trackRevisions>
    </reviewItem>
    <reviewItem>
      <errorID>c7cd8c3b-3039-46f6-baa7-1de687019d4f</errorID>
      <errorWord>交由交由</errorWord>
      <group>L1_Word</group>
      <groupName>字词问题</groupName>
      <ability>L2_Typo</ability>
      <abilityName>字词错误</abilityName>
      <candidateList>
        <item>交由</item>
      </candidateList>
      <explain/>
      <paraID>54DB124C</paraID>
      <start>48</start>
      <end>52</end>
      <status>unmodified</status>
      <modifiedWord/>
      <trackRevisions>false</trackRevisions>
    </reviewItem>
    <reviewItem>
      <errorID>5d33f219-2d96-4bd2-87a8-8c94d047456d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4837AADA</paraID>
      <start>64</start>
      <end>67</end>
      <status>unmodified</status>
      <modifiedWord/>
      <trackRevisions>false</trackRevisions>
    </reviewItem>
    <reviewItem>
      <errorID>1abd162f-8788-48d5-ac92-97da41d77d44</errorID>
      <errorWord>[2001]199号</errorWord>
      <group>L1_Knowledge</group>
      <groupName>知识性问题</groupName>
      <ability>L2_Knowledge</ability>
      <abilityName>其他知识</abilityName>
      <candidateList>
        <item>〔2001〕199号</item>
      </candidateList>
      <explain>发文字号格式错误。</explain>
      <paraID>4837AADA</paraID>
      <start>90</start>
      <end>100</end>
      <status>modified</status>
      <modifiedWord>〔2001〕199号</modifiedWord>
      <trackRevisions>false</trackRevisions>
    </reviewItem>
    <reviewItem>
      <errorID>a610a82f-e907-439c-b79b-f8c21c01c4bd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4837AADA</paraID>
      <start>129</start>
      <end>130</end>
      <status>unmodified</status>
      <modifiedWord/>
      <trackRevisions>false</trackRevisions>
    </reviewItem>
    <reviewItem>
      <errorID>86a5549b-5517-4b45-9a22-edf7b8fe43b7</errorID>
      <errorWord>如下的</errorWord>
      <group>L1_Word</group>
      <groupName>字词问题</groupName>
      <ability>L2_Typo</ability>
      <abilityName>字词错误</abilityName>
      <candidateList>
        <item>如下</item>
      </candidateList>
      <explain>〈动〉如同下面所叙述或列举的：列举～｜现将应注意的事情说明～。</explain>
      <paraID>1AC1C53E</paraID>
      <start>22</start>
      <end>25</end>
      <status>unmodified</status>
      <modifiedWord/>
      <trackRevisions>false</trackRevisions>
    </reviewItem>
    <reviewItem>
      <errorID>dbb612ea-25f8-4c52-8c0a-888d5a578519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152731A5</paraID>
      <start>0</start>
      <end>2</end>
      <status>unmodified</status>
      <modifiedWord/>
      <trackRevisions>false</trackRevisions>
    </reviewItem>
    <reviewItem>
      <errorID>558a9197-3e40-4422-8bda-ea7a6fb0fc00</errorID>
      <errorWord>险</errorWord>
      <group>L1_Word</group>
      <groupName>字词问题</groupName>
      <ability>L2_Typo</ability>
      <abilityName>字词错误</abilityName>
      <candidateList>
        <item>险废</item>
      </candidateList>
      <explain/>
      <paraID>3C71ABA1</paraID>
      <start>223</start>
      <end>224</end>
      <status>unmodified</status>
      <modifiedWord/>
      <trackRevisions>false</trackRevisions>
    </reviewItem>
    <reviewItem>
      <errorID>a4018f7d-8937-421e-9a6d-8a0a72b06212</errorID>
      <errorWord>见</errorWord>
      <group>L1_Word</group>
      <groupName>字词问题</groupName>
      <ability>L2_Typo</ability>
      <abilityName>字词错误</abilityName>
      <candidateList>
        <item>见下</item>
      </candidateList>
      <explain/>
      <paraID>330D0A72</paraID>
      <start>18</start>
      <end>19</end>
      <status>unmodified</status>
      <modifiedWord/>
      <trackRevisions>false</trackRevisions>
    </reviewItem>
    <reviewItem>
      <errorID>ec3556b6-c97e-4ebd-8f65-69099ec006b8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715D322</paraID>
      <start>0</start>
      <end>2</end>
      <status>unmodified</status>
      <modifiedWord/>
      <trackRevisions>false</trackRevisions>
    </reviewItem>
    <reviewItem>
      <errorID>06fe1584-ecbd-4209-b866-61c41c46a040</errorID>
      <errorWord>接受</errorWord>
      <group>L1_Word</group>
      <groupName>字词问题</groupName>
      <ability>L2_Typo</ability>
      <abilityName>字词错误</abilityName>
      <candidateList>
        <item>接收</item>
      </candidateList>
      <explain>存在发音相同字词的误用。</explain>
      <paraID>2EBF00EC</paraID>
      <start>38</start>
      <end>40</end>
      <status>unmodified</status>
      <modifiedWord/>
      <trackRevisions>false</trackRevisions>
    </reviewItem>
    <reviewItem>
      <errorID>9b0909b2-da5d-437d-898f-d01b758620fd</errorID>
      <errorWord>用一</errorWord>
      <group>L1_Word</group>
      <groupName>字词问题</groupName>
      <ability>L2_Typo</ability>
      <abilityName>字词错误</abilityName>
      <candidateList>
        <item>同一</item>
      </candidateList>
      <explain>存在发音相近字词的误用。</explain>
      <paraID>35D94FC9</paraID>
      <start>14</start>
      <end>16</end>
      <status>unmodified</status>
      <modifiedWord/>
      <trackRevisions>false</trackRevisions>
    </reviewItem>
    <reviewItem>
      <errorID>208bf207-2f1d-4e8f-9c3e-04e4dc827196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CB79FFA</paraID>
      <start>29</start>
      <end>30</end>
      <status>unmodified</status>
      <modifiedWord/>
      <trackRevisions>false</trackRevisions>
    </reviewItem>
    <reviewItem>
      <errorID>d712594c-55d8-42f3-8021-2ef0841e5343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CB79FFA</paraID>
      <start>41</start>
      <end>42</end>
      <status>unmodified</status>
      <modifiedWord/>
      <trackRevisions>false</trackRevisions>
    </reviewItem>
    <reviewItem>
      <errorID>4bb3ce05-43f6-4b8f-a560-07c3be90835f</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669D0F86</paraID>
      <start>185</start>
      <end>188</end>
      <status>unmodified</status>
      <modifiedWord/>
      <trackRevisions>false</trackRevisions>
    </reviewItem>
    <reviewItem>
      <errorID>87afb0ab-c2fa-4ee5-a6e9-dc0345020034</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669D0F86</paraID>
      <start>203</start>
      <end>206</end>
      <status>unmodified</status>
      <modifiedWord/>
      <trackRevisions>false</trackRevisions>
    </reviewItem>
    <reviewItem>
      <errorID>b636d392-8cf6-4f13-8257-d2acc98b576d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5F2C7FC</paraID>
      <start>93</start>
      <end>94</end>
      <status>unmodified</status>
      <modifiedWord/>
      <trackRevisions>false</trackRevisions>
    </reviewItem>
    <reviewItem>
      <errorID>5c7e9556-aa2b-4e8a-b623-442859043382</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 5F2C7FC</paraID>
      <start>120</start>
      <end>124</end>
      <status>unmodified</status>
      <modifiedWord/>
      <trackRevisions>false</trackRevisions>
    </reviewItem>
    <reviewItem>
      <errorID>4cf937ad-de7f-408b-87e7-fb3eb0833baf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5F2C7FC</paraID>
      <start>134</start>
      <end>135</end>
      <status>unmodified</status>
      <modifiedWord/>
      <trackRevisions>false</trackRevisions>
    </reviewItem>
    <reviewItem>
      <errorID>6a395d37-13f6-4724-976a-b992dda270d7</errorID>
      <errorWord>施</errorWord>
      <group>L1_Word</group>
      <groupName>字词问题</groupName>
      <ability>L2_Typo</ability>
      <abilityName>字词错误</abilityName>
      <candidateList>
        <item>施和</item>
      </candidateList>
      <explain/>
      <paraID>4510846E</paraID>
      <start>10</start>
      <end>11</end>
      <status>unmodified</status>
      <modifiedWord/>
      <trackRevisions>false</trackRevisions>
    </reviewItem>
    <reviewItem>
      <errorID>8b392bef-8ed8-47e0-b982-50d55cb0fb58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73</start>
      <end>74</end>
      <status>unmodified</status>
      <modifiedWord/>
      <trackRevisions>false</trackRevisions>
    </reviewItem>
    <reviewItem>
      <errorID>41b84ccc-262d-44af-be8c-d932f35c8d56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111</start>
      <end>112</end>
      <status>unmodified</status>
      <modifiedWord/>
      <trackRevisions>false</trackRevisions>
    </reviewItem>
    <reviewItem>
      <errorID>481f384e-38b0-4ef8-8200-c4a625edb820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140</start>
      <end>141</end>
      <status>unmodified</status>
      <modifiedWord/>
      <trackRevisions>false</trackRevisions>
    </reviewItem>
    <reviewItem>
      <errorID>6958961e-dacf-4fd4-855e-b67e018c3b14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237</start>
      <end>238</end>
      <status>unmodified</status>
      <modifiedWord/>
      <trackRevisions>false</trackRevisions>
    </reviewItem>
    <reviewItem>
      <errorID>4285a1f8-372e-4c80-bfa3-5e193f94d728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282</start>
      <end>283</end>
      <status>unmodified</status>
      <modifiedWord/>
      <trackRevisions>false</trackRevisions>
    </reviewItem>
    <reviewItem>
      <errorID>abaffd58-3c79-403d-80c5-5e39041b05e6</errorID>
      <errorWord>兽医主</errorWord>
      <group>L1_Word</group>
      <groupName>字词问题</groupName>
      <ability>L2_Typo</ability>
      <abilityName>字词错误</abilityName>
      <candidateList>
        <item>兽医</item>
      </candidateList>
      <explain/>
      <paraID>1D126D69</paraID>
      <start>16</start>
      <end>19</end>
      <status>unmodified</status>
      <modifiedWord/>
      <trackRevisions>false</trackRevisions>
    </reviewItem>
    <reviewItem>
      <errorID>1e4ea55e-4425-45eb-b21e-5e5c00b60e8a</errorID>
      <errorWord>管理</errorWord>
      <group>L1_Word</group>
      <groupName>字词问题</groupName>
      <ability>L2_Typo</ability>
      <abilityName>字词错误</abilityName>
      <candidateList>
        <item>管</item>
      </candidateList>
      <explain/>
      <paraID>1D126D69</paraID>
      <start>19</start>
      <end>21</end>
      <status>unmodified</status>
      <modifiedWord/>
      <trackRevisions>false</trackRevisions>
    </reviewItem>
    <reviewItem>
      <errorID>93d79d6a-b1af-497a-93da-7f95d93982fd</errorID>
      <errorWord>疫病</errorWord>
      <group>L1_Grammar</group>
      <groupName>语法问题</groupName>
      <ability>L2_Grammar</ability>
      <abilityName>语法错误</abilityName>
      <candidateList>
        <item>疫情</item>
      </candidateList>
      <explain>“疫病～发生”搭配不当，建议修改为“疫情～发生”。</explain>
      <paraID>43D607FA</paraID>
      <start>14</start>
      <end>16</end>
      <status>unmodified</status>
      <modifiedWord/>
      <trackRevisions>false</trackRevisions>
    </reviewItem>
    <reviewItem>
      <errorID>ca2b8533-e23f-4d5a-94ab-9b3ea3888355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7056CD42</paraID>
      <start>85</start>
      <end>86</end>
      <status>unmodified</status>
      <modifiedWord/>
      <trackRevisions>false</trackRevisions>
    </reviewItem>
    <reviewItem>
      <errorID>afdc5e5d-ec77-4c83-85d6-781247261895</errorID>
      <errorWord>设</errorWord>
      <group>L1_Word</group>
      <groupName>字词问题</groupName>
      <ability>L2_Typo</ability>
      <abilityName>字词错误</abilityName>
      <candidateList>
        <item>设置</item>
      </candidateList>
      <explain>〈动〉❶设立：这座剧院是为儿童～的。❷安放；安装：～障碍。</explain>
      <paraID>7056CD42</paraID>
      <start>113</start>
      <end>114</end>
      <status>unmodified</status>
      <modifiedWord/>
      <trackRevisions>false</trackRevisions>
    </reviewItem>
    <reviewItem>
      <errorID>04eb1e50-ed54-4de8-928a-7919114f8879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3E005C69</paraID>
      <start>0</start>
      <end>2</end>
      <status>unmodified</status>
      <modifiedWord/>
      <trackRevisions>false</trackRevisions>
    </reviewItem>
    <reviewItem>
      <errorID>d439a0de-ece3-404d-a221-b2748ca08247</errorID>
      <errorWord>既是</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740233E3</paraID>
      <start>110</start>
      <end>112</end>
      <status>unmodified</status>
      <modifiedWord/>
      <trackRevisions>false</trackRevisions>
    </reviewItem>
    <reviewItem>
      <errorID>e2660f5f-8604-4fe2-b7df-d4c33c804fbe</errorID>
      <errorWord>经济的持续</errorWord>
      <group>L1_Word</group>
      <groupName>字词问题</groupName>
      <ability>L2_Typo</ability>
      <abilityName>字词错误</abilityName>
      <candidateList>
        <item>经济的可持续</item>
      </candidateList>
      <explain/>
      <paraID>740233E3</paraID>
      <start>203</start>
      <end>208</end>
      <status>unmodified</status>
      <modifiedWord/>
      <trackRevisions>false</trackRevisions>
    </reviewItem>
    <reviewItem>
      <errorID>93534f8e-8a77-470a-8e7b-2b73a95b084b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7AABC3AC</paraID>
      <start>0</start>
      <end>2</end>
      <status>unmodified</status>
      <modifiedWord/>
      <trackRevisions>false</trackRevisions>
    </reviewItem>
    <reviewItem>
      <errorID>7dce617b-65ad-44bb-ac58-7399677631d0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57BEAC12</paraID>
      <start>0</start>
      <end>2</end>
      <status>unmodified</status>
      <modifiedWord/>
      <trackRevisions>false</trackRevisions>
    </reviewItem>
    <reviewItem>
      <errorID>03e99a29-48db-464c-a3e7-c161013cfdf7</errorID>
      <errorWord>优良品质</errorWord>
      <group>L1_Word</group>
      <groupName>字词问题</groupName>
      <ability>L2_Typo</ability>
      <abilityName>字词错误</abilityName>
      <candidateList>
        <item>优良品种</item>
      </candidateList>
      <explain/>
      <paraID>57BEAC12</paraID>
      <start>6</start>
      <end>10</end>
      <status>unmodified</status>
      <modifiedWord/>
      <trackRevisions>false</trackRevisions>
    </reviewItem>
    <reviewItem>
      <errorID>0d259b11-1f73-4a75-9641-c884a0967d2b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57BEAC12</paraID>
      <start>43</start>
      <end>46</end>
      <status>unmodified</status>
      <modifiedWord/>
      <trackRevisions>false</trackRevisions>
    </reviewItem>
    <reviewItem>
      <errorID>fc62c942-7194-4456-b76f-c215573f0440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57BEAC12</paraID>
      <start>57</start>
      <end>60</end>
      <status>unmodified</status>
      <modifiedWord/>
      <trackRevisions>false</trackRevisions>
    </reviewItem>
    <reviewItem>
      <errorID>8f99859b-992b-477a-8656-e6b86e7fd427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313F4556</paraID>
      <start>0</start>
      <end>2</end>
      <status>unmodified</status>
      <modifiedWord/>
      <trackRevisions>false</trackRevisions>
    </reviewItem>
    <reviewItem>
      <errorID>574a8549-1a51-4afb-a9c8-c406ba289a55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5B732274</paraID>
      <start>0</start>
      <end>2</end>
      <status>unmodified</status>
      <modifiedWord/>
      <trackRevisions>false</trackRevisions>
    </reviewItem>
    <reviewItem>
      <errorID>252399bf-afa5-4425-aaee-8bf462bbc54f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125BD87A</paraID>
      <start>0</start>
      <end>2</end>
      <status>unmodified</status>
      <modifiedWord/>
      <trackRevisions>false</trackRevisions>
    </reviewItem>
    <reviewItem>
      <errorID>84a246fb-796e-4ff9-91b8-5e4d07ba9383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1F15D9E1</paraID>
      <start>0</start>
      <end>2</end>
      <status>unmodified</status>
      <modifiedWord/>
      <trackRevisions>false</trackRevisions>
    </reviewItem>
    <reviewItem>
      <errorID>a22d13ad-06bc-455a-a271-2d53b4073383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E67FB81</paraID>
      <start>0</start>
      <end>2</end>
      <status>unmodified</status>
      <modifiedWord/>
      <trackRevisions>false</trackRevisions>
    </reviewItem>
    <reviewItem>
      <errorID>c00994fa-73b3-4262-a6ed-7441acf66231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7E0A1D3C</paraID>
      <start>19</start>
      <end>22</end>
      <status>unmodified</status>
      <modifiedWord/>
      <trackRevisions>false</trackRevisions>
    </reviewItem>
    <reviewItem>
      <errorID>5de10799-eb72-44d2-8aa4-45f03ca5cbf8</errorID>
      <errorWord>”</errorWord>
      <group>L1_Punc</group>
      <groupName>标点问题</groupName>
      <ability>L2_Punc_CN</ability>
      <abilityName>标点符号问题</abilityName>
      <candidateList>
        <item>“</item>
      </candidateList>
      <explain>注意检查双引号的方向是否正确。</explain>
      <paraID>7E0A1D3C</paraID>
      <start>67</start>
      <end>68</end>
      <status>unmodified</status>
      <modifiedWord/>
      <trackRevisions>false</trackRevisions>
    </reviewItem>
    <reviewItem>
      <errorID>c2987020-8ffc-4616-91a0-ba6d1480519a</errorID>
      <errorWord>三农”问题</errorWord>
      <group>L1_Political</group>
      <groupName>政治性问题</groupName>
      <ability>L2_Keyword</ability>
      <abilityName>固定表述</abilityName>
      <candidateList>
        <item>“三农”问题</item>
      </candidateList>
      <explain>注意检查当前固定表述标点是否使用规范。</explain>
      <paraID>7E0A1D3C</paraID>
      <start>68</start>
      <end>73</end>
      <status>unmodified</status>
      <modifiedWord/>
      <trackRevisions>false</trackRevisions>
    </reviewItem>
    <reviewItem>
      <errorID>b61a2b39-6493-4acf-8509-590fbd1877f5</errorID>
      <errorWord>最小</errorWord>
      <group>L1_Word</group>
      <groupName>字词问题</groupName>
      <ability>L2_Typo</ability>
      <abilityName>字词错误</abilityName>
      <candidateList>
        <item>最低</item>
      </candidateList>
      <explain/>
      <paraID> B3A2856</paraID>
      <start>51</start>
      <end>53</end>
      <status>unmodified</status>
      <modifiedWord/>
      <trackRevisions>false</trackRevisions>
    </reviewItem>
    <reviewItem>
      <errorID>127da363-db74-40e4-97a4-0cf3bfc04bb7</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3676963D</paraID>
      <start>8</start>
      <end>11</end>
      <status>unmodified</status>
      <modifiedWord/>
      <trackRevisions>false</trackRevisions>
    </reviewItem>
    <reviewItem>
      <errorID>03d8d4e4-6ae9-4632-b5c8-c982104e2d88</errorID>
      <errorWord>”</errorWord>
      <group>L1_Punc</group>
      <groupName>标点问题</groupName>
      <ability>L2_Punc_CN</ability>
      <abilityName>标点符号问题</abilityName>
      <candidateList>
        <item>“</item>
      </candidateList>
      <explain>注意检查双引号的方向是否正确。</explain>
      <paraID>3676963D</paraID>
      <start>22</start>
      <end>23</end>
      <status>unmodified</status>
      <modifiedWord/>
      <trackRevisions>false</trackRevisions>
    </reviewItem>
    <reviewItem>
      <errorID>f7452ec6-f96e-44eb-a8b6-d234f29ca3f9</errorID>
      <errorWord>”</errorWord>
      <group>L1_Punc</group>
      <groupName>标点问题</groupName>
      <ability>L2_Punc_CN</ability>
      <abilityName>标点符号问题</abilityName>
      <candidateList>
        <item>“</item>
      </candidateList>
      <explain>注意检查双引号的方向是否正确。</explain>
      <paraID>3676963D</paraID>
      <start>29</start>
      <end>30</end>
      <status>unmodified</status>
      <modifiedWord/>
      <trackRevisions>false</trackRevisions>
    </reviewItem>
    <reviewItem>
      <errorID>eb67d365-2491-4680-82e8-8f7af33ecbed</errorID>
      <errorWord>较</errorWord>
      <group>L1_Word</group>
      <groupName>字词问题</groupName>
      <ability>L2_Typo</ability>
      <abilityName>字词错误</abilityName>
      <candidateList>
        <item>较为</item>
      </candidateList>
      <explain/>
      <paraID>3676963D</paraID>
      <start>166</start>
      <end>167</end>
      <status>unmodified</status>
      <modifiedWord/>
      <trackRevisions>false</trackRevisions>
    </reviewItem>
    <reviewItem>
      <errorID>b68ed9ce-a85c-41d8-ae05-57149949a38e</errorID>
      <errorWord>又</errorWord>
      <group>L1_Word</group>
      <groupName>字词问题</groupName>
      <ability>L2_Typo</ability>
      <abilityName>字词错误</abilityName>
      <candidateList>
        <item>有</item>
      </candidateList>
      <explain>存在发音相同字词的误用。</explain>
      <paraID>34093434</paraID>
      <start>58</start>
      <end>59</end>
      <status>unmodified</status>
      <modifiedWord/>
      <trackRevisions>false</trackRevisions>
    </reviewItem>
    <reviewItem>
      <errorID>7adf138c-0dbf-463a-9a07-800905bceb93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2E3BEE14</paraID>
      <start>97</start>
      <end>98</end>
      <status>unmodified</status>
      <modifiedWord/>
      <trackRevisions>false</trackRevisions>
    </reviewItem>
    <reviewItem>
      <errorID>f43bee8a-0703-4301-a87e-15e99ced65b8</errorID>
      <errorWord>~</errorWord>
      <group>L1_Format</group>
      <groupName>格式问题</groupName>
      <ability>L2_HalfPunc_CN</ability>
      <abilityName>全半角问题</abilityName>
      <candidateList>
        <item>～</item>
      </candidateList>
      <explain>文本全半角错误。</explain>
      <paraID>2E3BEE14</paraID>
      <start>236</start>
      <end>237</end>
      <status>unmodified</status>
      <modifiedWord/>
      <trackRevisions>false</trackRevisions>
    </reviewItem>
    <reviewItem>
      <errorID>6559e5a8-b33a-4239-bb0e-051f60cf1847</errorID>
      <errorWord>”</errorWord>
      <group>L1_Punc</group>
      <groupName>标点问题</groupName>
      <ability>L2_Punc_CN</ability>
      <abilityName>标点符号问题</abilityName>
      <candidateList>
        <item>“</item>
      </candidateList>
      <explain>注意检查双引号的方向是否正确。</explain>
      <paraID>4EDD5D6E</paraID>
      <start>61</start>
      <end>62</end>
      <status>unmodified</status>
      <modifiedWord/>
      <trackRevisions>false</trackRevisions>
    </reviewItem>
    <reviewItem>
      <errorID>877644ff-85bb-439f-b28f-4a2c5f90f97d</errorID>
      <errorWord>十分巨大</errorWord>
      <group>L1_Grammar</group>
      <groupName>语法问题</groupName>
      <ability>L2_Grammar</ability>
      <abilityName>语法错误</abilityName>
      <candidateList>
        <item>巨大</item>
      </candidateList>
      <explain>该表达中的“十分巨大”存在语义重复。【词汇解析】巨大：是指尺寸、体积或容积的极其大的；谓庞大之物。很大。十分：非常，表示程度相当高。与“巨大”有语义上的重复。</explain>
      <paraID>4EDD5D6E</paraID>
      <start>82</start>
      <end>86</end>
      <status>unmodified</status>
      <modifiedWord/>
      <trackRevisions>false</trackRevisions>
    </reviewItem>
    <reviewItem>
      <errorID>a0d0f831-7617-4c2f-82a2-7fb16b9f407a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436D6CDD</paraID>
      <start>0</start>
      <end>2</end>
      <status>unmodified</status>
      <modifiedWord/>
      <trackRevisions>false</trackRevisions>
    </reviewItem>
    <reviewItem>
      <errorID>afd8b299-cf21-4400-ad3b-ca88b8c589dd</errorID>
      <errorWord>拟定</errorWord>
      <group>L1_Word</group>
      <groupName>字词问题</groupName>
      <ability>L2_Typo</ability>
      <abilityName>字词错误</abilityName>
      <candidateList>
        <item>拟</item>
      </candidateList>
      <explain/>
      <paraID>166F06C7</paraID>
      <start>78</start>
      <end>80</end>
      <status>unmodified</status>
      <modifiedWord/>
      <trackRevisions>false</trackRevisions>
    </reviewItem>
    <reviewItem>
      <errorID>0b35a6eb-f8cd-4d02-91ec-fa7bbc11c150</errorID>
      <errorWord>制定出</errorWord>
      <group>L1_Word</group>
      <groupName>字词问题</groupName>
      <ability>L2_Typo</ability>
      <abilityName>字词错误</abilityName>
      <candidateList>
        <item>制定</item>
      </candidateList>
      <explain>〈动〉定出（法律、规程、政策等）：～宪法｜～学会章程。</explain>
      <paraID>166F06C7</paraID>
      <start>112</start>
      <end>115</end>
      <status>unmodified</status>
      <modifiedWord/>
      <trackRevisions>false</trackRevisions>
    </reviewItem>
    <reviewItem>
      <errorID>a4a91975-51f3-4482-b0ed-3921273c0669</errorID>
      <errorWord>”</errorWord>
      <group>L1_Punc</group>
      <groupName>标点问题</groupName>
      <ability>L2_Punc_CN</ability>
      <abilityName>标点符号问题</abilityName>
      <candidateList>
        <item>“</item>
      </candidateList>
      <explain>注意检查双引号的方向是否正确。</explain>
      <paraID>166F06C7</paraID>
      <start>212</start>
      <end>213</end>
      <status>unmodified</status>
      <modifiedWord/>
      <trackRevisions>false</trackRevisions>
    </reviewItem>
    <reviewItem>
      <errorID>7d519c4f-993b-4437-b735-a28d8263598b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5032A222</paraID>
      <start>17</start>
      <end>20</end>
      <status>unmodified</status>
      <modifiedWord/>
      <trackRevisions>false</trackRevisions>
    </reviewItem>
    <reviewItem>
      <errorID>a1ba09f4-9073-4826-b57d-45c6c0997f29</errorID>
      <errorWord>”</errorWord>
      <group>L1_Punc</group>
      <groupName>标点问题</groupName>
      <ability>L2_Punc_CN</ability>
      <abilityName>标点符号问题</abilityName>
      <candidateList>
        <item>“</item>
      </candidateList>
      <explain>注意检查双引号的方向是否正确。</explain>
      <paraID>123B27B0</paraID>
      <start>36</start>
      <end>37</end>
      <status>unmodified</status>
      <modifiedWord/>
      <trackRevisions>false</trackRevisions>
    </reviewItem>
    <reviewItem>
      <errorID>f24a61c8-8b6d-422e-af21-ada606c5fa38</errorID>
      <errorWord>”</errorWord>
      <group>L1_Punc</group>
      <groupName>标点问题</groupName>
      <ability>L2_Punc_CN</ability>
      <abilityName>标点符号问题</abilityName>
      <candidateList>
        <item>“</item>
      </candidateList>
      <explain>注意检查双引号的方向是否正确。</explain>
      <paraID> 1FC8B01</paraID>
      <start>3</start>
      <end>4</end>
      <status>unmodified</status>
      <modifiedWord/>
      <trackRevisions>false</trackRevisions>
    </reviewItem>
    <reviewItem>
      <errorID>5c33e8b8-ebdb-4d95-a89d-15729ffbbdd5</errorID>
      <errorWord>-</errorWord>
      <group>L1_Format</group>
      <groupName>格式问题</groupName>
      <ability>L2_HalfPunc_CN</ability>
      <abilityName>全半角问题</abilityName>
      <candidateList>
        <item>－</item>
      </candidateList>
      <explain>文本全半角错误。</explain>
      <paraID>5B704ECD</paraID>
      <start>49</start>
      <end>50</end>
      <status>unmodified</status>
      <modifiedWord/>
      <trackRevisions>false</trackRevisions>
    </reviewItem>
    <reviewItem>
      <errorID>61f88735-0849-433c-aca8-3f0422be6fc5</errorID>
      <errorWord>和台帐</errorWord>
      <group>L1_Word</group>
      <groupName>字词问题</groupName>
      <ability>L2_Alias</ability>
      <abilityName>也作/曾用词</abilityName>
      <candidateList>
        <item>和台账</item>
      </candidateList>
      <explain>词汇[和台帐]为不规范表述或旧称，其规范书面表述为[和台账]。</explain>
      <paraID>57C055BD</paraID>
      <start>37</start>
      <end>40</end>
      <status>unmodified</status>
      <modifiedWord/>
      <trackRevisions>false</trackRevisions>
    </reviewItem>
    <reviewItem>
      <errorID>cec96af5-ed5f-4bd0-ac5c-6725c914a767</errorID>
      <errorWord>台帐</errorWord>
      <group>L1_Word</group>
      <groupName>字词问题</groupName>
      <ability>L2_Typo</ability>
      <abilityName>字词错误</abilityName>
      <candidateList>
        <item>台账</item>
      </candidateList>
      <explain>存在发音相同字词的误用。</explain>
      <paraID>57C055BD</paraID>
      <start>58</start>
      <end>60</end>
      <status>unmodified</status>
      <modifiedWord/>
      <trackRevisions>false</trackRevisions>
    </reviewItem>
    <reviewItem>
      <errorID>fbf0b014-fef8-4143-bc4b-cd91733f4f14</errorID>
      <errorWord>台帐</errorWord>
      <group>L1_Word</group>
      <groupName>字词问题</groupName>
      <ability>L2_Typo</ability>
      <abilityName>字词错误</abilityName>
      <candidateList>
        <item>台账</item>
      </candidateList>
      <explain>存在发音相同字词的误用。</explain>
      <paraID>57C055BD</paraID>
      <start>71</start>
      <end>73</end>
      <status>unmodified</status>
      <modifiedWord/>
      <trackRevisions>false</trackRevisions>
    </reviewItem>
    <reviewItem>
      <errorID>81789371-5018-48ba-b989-841a0e8c8c62</errorID>
      <errorWord>使用台帐</errorWord>
      <group>L1_Word</group>
      <groupName>字词问题</groupName>
      <ability>L2_Alias</ability>
      <abilityName>也作/曾用词</abilityName>
      <candidateList>
        <item>使用台账</item>
      </candidateList>
      <explain>词汇[使用台帐]为不规范表述或旧称，其规范书面表述为[使用台账]。</explain>
      <paraID>57C055BD</paraID>
      <start>79</start>
      <end>83</end>
      <status>unmodified</status>
      <modifiedWord/>
      <trackRevisions>false</trackRevisions>
    </reviewItem>
    <reviewItem>
      <errorID>9d370dcf-5429-4e62-b3f3-1ba88f40fdc9</errorID>
      <errorWord>台帐及</errorWord>
      <group>L1_Word</group>
      <groupName>字词问题</groupName>
      <ability>L2_Alias</ability>
      <abilityName>也作/曾用词</abilityName>
      <candidateList>
        <item>台账及</item>
      </candidateList>
      <explain>词汇[台帐及]为不规范表述或旧称，其规范书面表述为[台账及]。</explain>
      <paraID>57C055BD</paraID>
      <start>108</start>
      <end>111</end>
      <status>unmodified</status>
      <modifiedWord/>
      <trackRevisions>false</trackRevisions>
    </reviewItem>
    <reviewItem>
      <errorID>f8d8083f-9cf4-4cb7-897b-043377452e4f</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4ED25690</paraID>
      <start>152</start>
      <end>156</end>
      <status>unmodified</status>
      <modifiedWord/>
      <trackRevisions>false</trackRevisions>
    </reviewItem>
    <reviewItem>
      <errorID>93b3062e-c6e7-43bd-9c0e-a04397a4c134</errorID>
      <errorWord>台帐及</errorWord>
      <group>L1_Word</group>
      <groupName>字词问题</groupName>
      <ability>L2_Alias</ability>
      <abilityName>也作/曾用词</abilityName>
      <candidateList>
        <item>台账及</item>
      </candidateList>
      <explain>词汇[台帐及]为不规范表述或旧称，其规范书面表述为[台账及]。</explain>
      <paraID>49C8FF54</paraID>
      <start>52</start>
      <end>55</end>
      <status>unmodified</status>
      <modifiedWord/>
      <trackRevisions>false</trackRevisions>
    </reviewItem>
    <reviewItem>
      <errorID>150125f8-11b0-4292-af0f-32d68af7ad69</errorID>
      <errorWord>提高</errorWord>
      <group>L1_Grammar</group>
      <groupName>语法问题</groupName>
      <ability>L2_Grammar</ability>
      <abilityName>语法错误</abilityName>
      <candidateList>
        <item>增强</item>
      </candidateList>
      <explain>“提高～意识”搭配不当，建议修改为“增强～意识”。</explain>
      <paraID>6AD1F1D6</paraID>
      <start>10</start>
      <end>12</end>
      <status>unmodified</status>
      <modifiedWord/>
      <trackRevisions>false</trackRevisions>
    </reviewItem>
    <reviewItem>
      <errorID>bdebb199-376f-4e72-a2aa-1fed3e1523c2</errorID>
      <errorWord>岗位实责</errorWord>
      <group>L1_Word</group>
      <groupName>字词问题</groupName>
      <ability>L2_Typo</ability>
      <abilityName>字词错误</abilityName>
      <candidateList>
        <item>岗位职责</item>
      </candidateList>
      <explain>存在发音相近字词的误用。</explain>
      <paraID>6AD1F1D6</paraID>
      <start>58</start>
      <end>62</end>
      <status>unmodified</status>
      <modifiedWord/>
      <trackRevisions>false</trackRevisions>
    </reviewItem>
    <reviewItem>
      <errorID>9966111b-b174-4c0b-b097-5f5e9312087c</errorID>
      <errorWord>环境的</errorWord>
      <group>L1_Word</group>
      <groupName>字词问题</groupName>
      <ability>L2_Typo</ability>
      <abilityName>字词错误</abilityName>
      <candidateList>
        <item>环境</item>
      </candidateList>
      <explain>〈名〉❶周围的地方：～优美｜～卫生。❷周围的情况和条件：客观～｜工作～。</explain>
      <paraID>47121DC2</paraID>
      <start>8</start>
      <end>11</end>
      <status>unmodified</status>
      <modifiedWord/>
      <trackRevisions>false</trackRevisions>
    </reviewItem>
    <reviewItem>
      <errorID>39fc2fdf-03b1-456a-97b7-8ff933a9d35f</errorID>
      <errorWord>”</errorWord>
      <group>L1_Punc</group>
      <groupName>标点问题</groupName>
      <ability>L2_Punc_CN</ability>
      <abilityName>标点符号问题</abilityName>
      <candidateList>
        <item>“</item>
      </candidateList>
      <explain>注意检查双引号的方向是否正确。</explain>
      <paraID>5BD1DE3F</paraID>
      <start>40</start>
      <end>41</end>
      <status>unmodified</status>
      <modifiedWord/>
      <trackRevisions>false</trackRevisions>
    </reviewItem>
    <reviewItem>
      <errorID>5c25ceba-7e1c-4a37-950c-fab4b2d31d66</errorID>
      <errorWord>纳入到</errorWord>
      <group>L1_Word</group>
      <groupName>字词问题</groupName>
      <ability>L2_Typo</ability>
      <abilityName>字词错误</abilityName>
      <candidateList>
        <item>纳入</item>
      </candidateList>
      <explain>〈动〉放进；归入（多用于抽象事物）：～正轨｜～计划。</explain>
      <paraID>5F7B843E</paraID>
      <start>21</start>
      <end>24</end>
      <status>unmodified</status>
      <modifiedWord/>
      <trackRevisions>false</trackRevisions>
    </reviewItem>
    <reviewItem>
      <errorID>c1205d75-8689-4e6c-bba3-0e509ca1289e</errorID>
      <errorWord>生</errorWord>
      <group>L1_Word</group>
      <groupName>字词问题</groupName>
      <ability>L2_Typo</ability>
      <abilityName>字词错误</abilityName>
      <candidateList>
        <item>生的</item>
      </candidateList>
      <explain/>
      <paraID> 3469D82</paraID>
      <start>16</start>
      <end>17</end>
      <status>unmodified</status>
      <modifiedWord/>
      <trackRevisions>false</trackRevisions>
    </reviewItem>
    <reviewItem>
      <errorID>2f806f0a-ace6-46ac-8979-5c2d25da4b55</errorID>
      <errorWord>一段时期</errorWord>
      <group>L1_Word</group>
      <groupName>字词问题</groupName>
      <ability>L2_Typo</ability>
      <abilityName>字词错误</abilityName>
      <candidateList>
        <item>一段时间</item>
      </candidateList>
      <explain/>
      <paraID>335A1257</paraID>
      <start>47</start>
      <end>51</end>
      <status>unmodified</status>
      <modifiedWord/>
      <trackRevisions>false</trackRevisions>
    </reviewItem>
    <reviewItem>
      <errorID>cb32f312-9336-44ff-8b8e-0a30cd2e606e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3502C5C8</paraID>
      <start>28</start>
      <end>29</end>
      <status>unmodified</status>
      <modifiedWord/>
      <trackRevisions>false</trackRevisions>
    </reviewItem>
    <reviewItem>
      <errorID>f7450ba2-cc55-4465-a5bf-8d9c5c110d2b</errorID>
      <errorWord>”</errorWord>
      <group>L1_Punc</group>
      <groupName>标点问题</groupName>
      <ability>L2_Punc_CN</ability>
      <abilityName>标点符号问题</abilityName>
      <candidateList>
        <item>“</item>
      </candidateList>
      <explain>注意检查双引号的方向是否正确。</explain>
      <paraID>25E09B23</paraID>
      <start>12</start>
      <end>13</end>
      <status>unmodified</status>
      <modifiedWord/>
      <trackRevisions>false</trackRevisions>
    </reviewItem>
    <reviewItem>
      <errorID>19868d7b-fd43-4fbd-99e2-dd4bb12754c6</errorID>
      <errorWord>”</errorWord>
      <group>L1_Punc</group>
      <groupName>标点问题</groupName>
      <ability>L2_Punc_CN</ability>
      <abilityName>标点符号问题</abilityName>
      <candidateList>
        <item>“</item>
      </candidateList>
      <explain>注意检查双引号的方向是否正确。</explain>
      <paraID>385FC0C5</paraID>
      <start>124</start>
      <end>125</end>
      <status>unmodified</status>
      <modifiedWord/>
      <trackRevisions>false</trackRevisions>
    </reviewItem>
    <reviewItem>
      <errorID>aeae304b-01ad-439c-b47b-bf24b2fe1d21</errorID>
      <errorWord>制</errorWord>
      <group>L1_Word</group>
      <groupName>字词问题</groupName>
      <ability>L2_Typo</ability>
      <abilityName>字词错误</abilityName>
      <candidateList>
        <item>制度</item>
      </candidateList>
      <explain/>
      <paraID>3D037F2C</paraID>
      <start>18</start>
      <end>19</end>
      <status>unmodified</status>
      <modifiedWord/>
      <trackRevisions>false</trackRevisions>
    </reviewItem>
    <reviewItem>
      <errorID>f0ccbfdd-564e-46c2-8081-823ffd721b8f</errorID>
      <errorWord>[2017]84号</errorWord>
      <group>L1_Knowledge</group>
      <groupName>知识性问题</groupName>
      <ability>L2_Knowledge</ability>
      <abilityName>其他知识</abilityName>
      <candidateList>
        <item>〔2017〕84号</item>
      </candidateList>
      <explain>发文字号格式错误。</explain>
      <paraID>59D88978</paraID>
      <start>6</start>
      <end>15</end>
      <status>modified</status>
      <modifiedWord>〔2017〕84号</modifiedWord>
      <trackRevisions>false</trackRevisions>
    </reviewItem>
    <reviewItem>
      <errorID>b292d34e-1fa5-4d25-b068-abe72fac228d</errorID>
      <errorWord>制</errorWord>
      <group>L1_Word</group>
      <groupName>字词问题</groupName>
      <ability>L2_Typo</ability>
      <abilityName>字词错误</abilityName>
      <candidateList>
        <item>制度</item>
      </candidateList>
      <explain/>
      <paraID>59D88978</paraID>
      <start>124</start>
      <end>125</end>
      <status>unmodified</status>
      <modifiedWord/>
      <trackRevisions>false</trackRevisions>
    </reviewItem>
    <reviewItem>
      <errorID>6448c4b6-ebd7-4873-b769-3ffcfa573d7c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457BBFAF</paraID>
      <start>0</start>
      <end>2</end>
      <status>unmodified</status>
      <modifiedWord/>
      <trackRevisions>false</trackRevisions>
    </reviewItem>
    <reviewItem>
      <errorID>8a38a6b6-7d94-4aa7-804d-8eccb03c7b0a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B4AF79A</paraID>
      <start>0</start>
      <end>2</end>
      <status>unmodified</status>
      <modifiedWord/>
      <trackRevisions>false</trackRevisions>
    </reviewItem>
    <reviewItem>
      <errorID>db8821e4-1c02-48b4-a73c-e155ac1c8416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698A2B69</paraID>
      <start>0</start>
      <end>2</end>
      <status>unmodified</status>
      <modifiedWord/>
      <trackRevisions>false</trackRevisions>
    </reviewItem>
    <reviewItem>
      <errorID>7ccd4236-3834-41c3-9ccb-8a71b44e1fac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159802E7</paraID>
      <start>0</start>
      <end>2</end>
      <status>unmodified</status>
      <modifiedWord/>
      <trackRevisions>false</trackRevisions>
    </reviewItem>
    <reviewItem>
      <errorID>67e68207-01c3-437f-b3eb-9347a7cf6b8c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E4CD149</paraID>
      <start>0</start>
      <end>2</end>
      <status>unmodified</status>
      <modifiedWord/>
      <trackRevisions>false</trackRevisions>
    </reviewItem>
    <reviewItem>
      <errorID>273c4c7b-a231-4617-bfb4-6c341b96a0de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24460631</paraID>
      <start>0</start>
      <end>2</end>
      <status>unmodified</status>
      <modifiedWord/>
      <trackRevisions>false</trackRevisions>
    </reviewItem>
    <reviewItem>
      <errorID>04d190c7-9c28-4257-8f58-b9a01c012c76</errorID>
      <errorWord>如若</errorWord>
      <group>L1_Word</group>
      <groupName>字词问题</groupName>
      <ability>L2_Typo</ability>
      <abilityName>字词错误</abilityName>
      <candidateList>
        <item>若</item>
      </candidateList>
      <explain/>
      <paraID>77F6C8F6</paraID>
      <start>0</start>
      <end>2</end>
      <status>unmodified</status>
      <modifiedWord/>
      <trackRevisions>false</trackRevisions>
    </reviewItem>
    <reviewItem>
      <errorID>78d87206-c861-42e8-b967-226051ecd2bf</errorID>
      <errorWord>法律、法规</errorWord>
      <group>L1_Word</group>
      <groupName>字词问题</groupName>
      <ability>L2_Typo</ability>
      <abilityName>字词错误</abilityName>
      <candidateList>
        <item>法律法规</item>
      </candidateList>
      <explain/>
      <paraID>70FCB269</paraID>
      <start>11</start>
      <end>16</end>
      <status>unmodified</status>
      <modifiedWord/>
      <trackRevisions>false</trackRevisions>
    </reviewItem>
    <reviewItem>
      <errorID>a5d7d7d8-babd-499d-9e27-e14acf4e593e</errorID>
      <errorWord>”</errorWord>
      <group>L1_Punc</group>
      <groupName>标点问题</groupName>
      <ability>L2_Punc_CN</ability>
      <abilityName>标点符号问题</abilityName>
      <candidateList>
        <item>“</item>
      </candidateList>
      <explain>注意检查双引号的方向是否正确。</explain>
      <paraID>367D5DF3</paraID>
      <start>9</start>
      <end>10</end>
      <status>unmodified</status>
      <modifiedWord/>
      <trackRevisions>false</trackRevisions>
    </reviewItem>
    <reviewItem>
      <errorID>065d14c5-2a0c-4ab7-b6ad-7b2fdd8e3a31</errorID>
      <errorWord>”</errorWord>
      <group>L1_Punc</group>
      <groupName>标点问题</groupName>
      <ability>L2_Punc_CN</ability>
      <abilityName>标点符号问题</abilityName>
      <candidateList>
        <item>“</item>
      </candidateList>
      <explain>注意检查双引号的方向是否正确。</explain>
      <paraID>3F26384F</paraID>
      <start>45</start>
      <end>46</end>
      <status>unmodified</status>
      <modifiedWord/>
      <trackRevisions>false</trackRevisions>
    </reviewItem>
    <reviewItem>
      <errorID>963fd86c-1416-4e32-b4f0-58104adac7c2</errorID>
      <errorWord>”</errorWord>
      <group>L1_Punc</group>
      <groupName>标点问题</groupName>
      <ability>L2_Punc_CN</ability>
      <abilityName>标点符号问题</abilityName>
      <candidateList>
        <item>“</item>
      </candidateList>
      <explain>注意检查双引号的方向是否正确。</explain>
      <paraID>3F26384F</paraID>
      <start>97</start>
      <end>98</end>
      <status>unmodified</status>
      <modifiedWord/>
      <trackRevisions>false</trackRevisions>
    </reviewItem>
    <reviewItem>
      <errorID>9fb1187f-8717-421c-9e70-322e4a09238e</errorID>
      <errorWord>”</errorWord>
      <group>L1_Punc</group>
      <groupName>标点问题</groupName>
      <ability>L2_Punc_CN</ability>
      <abilityName>标点符号问题</abilityName>
      <candidateList>
        <item>“</item>
      </candidateList>
      <explain>注意检查双引号的方向是否正确。</explain>
      <paraID>5FA2FDA7</paraID>
      <start>13</start>
      <end>14</end>
      <status>unmodified</status>
      <modifiedWord/>
      <trackRevisions>false</trackRevisions>
    </reviewItem>
    <reviewItem>
      <errorID>ce100352-36af-430b-9996-3b944e425752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48686B58</paraID>
      <start>12</start>
      <end>15</end>
      <status>unmodified</status>
      <modifiedWord/>
      <trackRevisions>false</trackRevisions>
    </reviewItem>
    <reviewItem>
      <errorID>ba357343-6e98-405f-8fa7-3692b16e1140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72E5C9CA</paraID>
      <start>0</start>
      <end>2</end>
      <status>unmodified</status>
      <modifiedWord/>
      <trackRevisions>false</trackRevisions>
    </reviewItem>
    <reviewItem>
      <errorID>6675df58-ea74-4af8-b20d-1783e4f7ccd9</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3B3A9DA5</paraID>
      <start>8</start>
      <end>11</end>
      <status>unmodified</status>
      <modifiedWord/>
      <trackRevisions>false</trackRevisions>
    </reviewItem>
    <reviewItem>
      <errorID>627eac60-d4e0-4a38-858e-b694dba2f1c5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5221672D</paraID>
      <start>8</start>
      <end>11</end>
      <status>unmodified</status>
      <modifiedWord/>
      <trackRevisions>false</trackRevisions>
    </reviewItem>
    <reviewItem>
      <errorID>9be8c4d9-75c3-4c99-9d45-a898cd48c3fd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26BB3AAA</paraID>
      <start>15</start>
      <end>18</end>
      <status>unmodified</status>
      <modifiedWord/>
      <trackRevisions>false</trackRevisions>
    </reviewItem>
    <reviewItem>
      <errorID>27eb5e22-04b0-4370-a194-8f96f1b80d28</errorID>
      <errorWord>”</errorWord>
      <group>L1_Punc</group>
      <groupName>标点问题</groupName>
      <ability>L2_Punc_CN</ability>
      <abilityName>标点符号问题</abilityName>
      <candidateList>
        <item>“</item>
      </candidateList>
      <explain>注意检查双引号的方向是否正确。</explain>
      <paraID>67968DCF</paraID>
      <start>39</start>
      <end>40</end>
      <status>unmodified</status>
      <modifiedWord/>
      <trackRevisions>false</trackRevisions>
    </reviewItem>
    <reviewItem>
      <errorID>82e1a21d-96a8-4bea-bb9b-9ecb1ce435e0</errorID>
      <errorWord>”</errorWord>
      <group>L1_Punc</group>
      <groupName>标点问题</groupName>
      <ability>L2_Punc_CN</ability>
      <abilityName>标点符号问题</abilityName>
      <candidateList>
        <item>“</item>
      </candidateList>
      <explain>注意检查双引号的方向是否正确。</explain>
      <paraID>67968DCF</paraID>
      <start>48</start>
      <end>49</end>
      <status>unmodified</status>
      <modifiedWord/>
      <trackRevisions>false</trackRevisions>
    </reviewItem>
    <reviewItem>
      <errorID>c81f346e-5cd3-4b95-8695-6ce22ef6eadd</errorID>
      <errorWord>”</errorWord>
      <group>L1_Punc</group>
      <groupName>标点问题</groupName>
      <ability>L2_Punc_CN</ability>
      <abilityName>标点符号问题</abilityName>
      <candidateList>
        <item>“</item>
      </candidateList>
      <explain>注意检查双引号的方向是否正确。</explain>
      <paraID>67968DCF</paraID>
      <start>57</start>
      <end>58</end>
      <status>unmodified</status>
      <modifiedWord/>
      <trackRevisions>false</trackRevisions>
    </reviewItem>
    <reviewItem>
      <errorID>de20e11a-b994-4516-8d4e-f6e8d9a5bffb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17B2DB8A</paraID>
      <start>35</start>
      <end>38</end>
      <status>unmodified</status>
      <modifiedWord/>
      <trackRevisions>false</trackRevisions>
    </reviewItem>
    <reviewItem>
      <errorID>e4545f5e-b578-4dc5-8cac-9091685e7d49</errorID>
      <errorWord>”</errorWord>
      <group>L1_Punc</group>
      <groupName>标点问题</groupName>
      <ability>L2_Punc_CN</ability>
      <abilityName>标点符号问题</abilityName>
      <candidateList>
        <item>“</item>
      </candidateList>
      <explain>注意检查双引号的方向是否正确。</explain>
      <paraID>17B2DB8A</paraID>
      <start>49</start>
      <end>50</end>
      <status>unmodified</status>
      <modifiedWord/>
      <trackRevisions>false</trackRevisions>
    </reviewItem>
    <reviewItem>
      <errorID>7057ae2a-7428-42ea-b7f7-f88a546bb277</errorID>
      <errorWord>[2010]151号</errorWord>
      <group>L1_Knowledge</group>
      <groupName>知识性问题</groupName>
      <ability>L2_Knowledge</ability>
      <abilityName>其他知识</abilityName>
      <candidateList>
        <item>〔2010〕151号</item>
      </candidateList>
      <explain>发文字号格式错误。</explain>
      <paraID>17B2DB8A</paraID>
      <start>142</start>
      <end>152</end>
      <status>modified</status>
      <modifiedWord>〔2010〕151号</modifiedWord>
      <trackRevisions>false</trackRevisions>
    </reviewItem>
    <reviewItem>
      <errorID>459d4762-7868-4c7a-96c5-aa577a1ef841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17B2DB8A</paraID>
      <start>187</start>
      <end>190</end>
      <status>unmodified</status>
      <modifiedWord/>
      <trackRevisions>false</trackRevisions>
    </reviewItem>
    <reviewItem>
      <errorID>723c28f9-2c98-41d4-92e3-0430e21e4383</errorID>
      <errorWord>《土壤环境质量农用地土壤污染风险管控标准》（试行）</errorWord>
      <group>L1_Knowledge</group>
      <groupName>知识性问题</groupName>
      <ability>L2_Knowledge</ability>
      <abilityName>其他知识</abilityName>
      <candidateList>
        <item>《土壤环境质量农用地土壤污染风险管控标准（试行）》</item>
      </candidateList>
      <explain>疑似政策文件、法律法规名称等书写不规范，请注意检查。</explain>
      <paraID> 5AB8B44</paraID>
      <start>22</start>
      <end>47</end>
      <status>modified</status>
      <modifiedWord>《土壤环境质量农用地土壤污染风险管控标准（试行）》</modifiedWord>
      <trackRevisions>false</trackRevisions>
    </reviewItem>
    <reviewItem>
      <errorID>3c7fe012-6b63-41d5-bf79-0764812a21b5</errorID>
      <errorWord>其它有毒</errorWord>
      <group>L1_Word</group>
      <groupName>字词问题</groupName>
      <ability>L2_Alias</ability>
      <abilityName>也作/曾用词</abilityName>
      <candidateList>
        <item>其他有毒</item>
      </candidateList>
      <explain>词汇[其它有毒]为不规范表述或旧称，其规范书面表述为[其他有毒]。</explain>
      <paraID>7F9BE8B5</paraID>
      <start>49</start>
      <end>53</end>
      <status>unmodified</status>
      <modifiedWord/>
      <trackRevisions>false</trackRevisions>
    </reviewItem>
    <reviewItem>
      <errorID>48530d22-c632-40ed-9d8a-0ab6f232afb0</errorID>
      <errorWord>最小</errorWord>
      <group>L1_Word</group>
      <groupName>字词问题</groupName>
      <ability>L2_Typo</ability>
      <abilityName>字词错误</abilityName>
      <candidateList>
        <item>最低</item>
      </candidateList>
      <explain/>
      <paraID>7185FEE3</paraID>
      <start>61</start>
      <end>63</end>
      <status>unmodified</status>
      <modifiedWord/>
      <trackRevisions>false</trackRevisions>
    </reviewItem>
    <reviewItem>
      <errorID>48837b1d-b12d-439d-b449-13b68e1d4503</errorID>
      <errorWord>其它有毒</errorWord>
      <group>L1_Word</group>
      <groupName>字词问题</groupName>
      <ability>L2_Alias</ability>
      <abilityName>也作/曾用词</abilityName>
      <candidateList>
        <item>其他有毒</item>
      </candidateList>
      <explain>词汇[其它有毒]为不规范表述或旧称，其规范书面表述为[其他有毒]。</explain>
      <paraID>648411E0</paraID>
      <start>48</start>
      <end>52</end>
      <status>unmodified</status>
      <modifiedWord/>
      <trackRevisions>false</trackRevisions>
    </reviewItem>
    <reviewItem>
      <errorID>06b821c8-8942-4756-a372-bd7f0f55f40b</errorID>
      <errorWord>”</errorWord>
      <group>L1_Punc</group>
      <groupName>标点问题</groupName>
      <ability>L2_Punc_CN</ability>
      <abilityName>标点符号问题</abilityName>
      <candidateList>
        <item>“</item>
      </candidateList>
      <explain>注意检查双引号的方向是否正确。</explain>
      <paraID>6C655A89</paraID>
      <start>187</start>
      <end>188</end>
      <status>unmodified</status>
      <modifiedWord/>
      <trackRevisions>false</trackRevisions>
    </reviewItem>
    <reviewItem>
      <errorID>5e6e0ed6-85a0-435a-a235-ce325c10e44b</errorID>
      <errorWord>进行了的</errorWord>
      <group>L1_Word</group>
      <groupName>字词问题</groupName>
      <ability>L2_Typo</ability>
      <abilityName>字词错误</abilityName>
      <candidateList>
        <item>进行了</item>
      </candidateList>
      <explain/>
      <paraID>172D70A8</paraID>
      <start>36</start>
      <end>40</end>
      <status>unmodified</status>
      <modifiedWord/>
      <trackRevisions>false</trackRevisions>
    </reviewItem>
    <reviewItem>
      <errorID>ff6d1e92-02ee-4780-9d6e-bca9fa6face0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172D70A8</paraID>
      <start>136</start>
      <end>139</end>
      <status>unmodified</status>
      <modifiedWord/>
      <trackRevisions>false</trackRevisions>
    </reviewItem>
    <reviewItem>
      <errorID>2e0f25b7-7c50-4793-95af-080eb9bf39f1</errorID>
      <errorWord>较</errorWord>
      <group>L1_Word</group>
      <groupName>字词问题</groupName>
      <ability>L2_Typo</ability>
      <abilityName>字词错误</abilityName>
      <candidateList>
        <item>较为</item>
      </candidateList>
      <explain/>
      <paraID>5C1B0F51</paraID>
      <start>55</start>
      <end>56</end>
      <status>unmodified</status>
      <modifiedWord/>
      <trackRevisions>false</trackRevisions>
    </reviewItem>
    <reviewItem>
      <errorID>05c84e55-8caa-4ad3-bc8b-6a766ffbfa3a</errorID>
      <errorWord>法律、法规</errorWord>
      <group>L1_Word</group>
      <groupName>字词问题</groupName>
      <ability>L2_Typo</ability>
      <abilityName>字词错误</abilityName>
      <candidateList>
        <item>法律法规</item>
      </candidateList>
      <explain/>
      <paraID>3F3FDD7D</paraID>
      <start>33</start>
      <end>38</end>
      <status>unmodified</status>
      <modifiedWord/>
      <trackRevisions>false</trackRevisions>
    </reviewItem>
    <reviewItem>
      <errorID>1f5a9a7a-7a2f-4d7f-97d4-d6092c835a96</errorID>
      <errorWord>”</errorWord>
      <group>L1_Punc</group>
      <groupName>标点问题</groupName>
      <ability>L2_Punc_CN</ability>
      <abilityName>标点符号问题</abilityName>
      <candidateList>
        <item>“</item>
      </candidateList>
      <explain>注意检查双引号的方向是否正确。</explain>
      <paraID>3F3FDD7D</paraID>
      <start>166</start>
      <end>167</end>
      <status>modified</status>
      <modifiedWord>“</modifiedWord>
      <trackRevisions>false</trackRevisions>
    </reviewItem>
    <reviewItem>
      <errorID>7662ffbf-65e3-49c2-94e2-6d3519b4b344</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3F3FDD7D</paraID>
      <start>167</start>
      <end>173</end>
      <status>modified</status>
      <modifiedWord>“三线一单”</modifiedWord>
      <trackRevisions>false</trackRevisions>
    </reviewItem>
    <reviewItem>
      <errorID>ac41b9f3-a158-405e-9cba-b3b37cd1a0e7</errorID>
      <errorWord>”</errorWord>
      <group>L1_Punc</group>
      <groupName>标点问题</groupName>
      <ability>L2_Punc_CN</ability>
      <abilityName>标点符号问题</abilityName>
      <candidateList>
        <item>“</item>
      </candidateList>
      <explain>注意检查双引号的方向是否正确。</explain>
      <paraID>3F3FDD7D</paraID>
      <start>185</start>
      <end>186</end>
      <status>modified</status>
      <modifiedWord>“</modifiedWord>
      <trackRevisions>false</trackRevisions>
    </reviewItem>
    <reviewItem>
      <errorID>0c3a104d-9941-47ae-9917-b54282a5dc70</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3F3FDD7D</paraID>
      <start>186</start>
      <end>191</end>
      <status>unmodified</status>
      <modifiedWord/>
      <trackRevisions>false</trackRevisions>
    </reviewItem>
    <reviewItem>
      <errorID>3288c414-38c5-40ec-abe7-96bc634444bf</errorID>
      <errorWord>”</errorWord>
      <group>L1_Punc</group>
      <groupName>标点问题</groupName>
      <ability>L2_Punc_CN</ability>
      <abilityName>标点符号问题</abilityName>
      <candidateList>
        <item>“</item>
      </candidateList>
      <explain>注意检查双引号的方向是否正确。</explain>
      <paraID>312669CD</paraID>
      <start>7</start>
      <end>8</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20dd56-07c0-4e47-87f4-473026f446ae}">
  <ds:schemaRefs/>
</ds:datastoreItem>
</file>

<file path=customXml/itemProps3.xml><?xml version="1.0" encoding="utf-8"?>
<ds:datastoreItem xmlns:ds="http://schemas.openxmlformats.org/officeDocument/2006/customXml" ds:itemID="{830D45CB-1165-4CE0-A347-8264E62585E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198</Pages>
  <Words>4785</Words>
  <Characters>5657</Characters>
  <Lines>1335</Lines>
  <Paragraphs>376</Paragraphs>
  <TotalTime>4</TotalTime>
  <ScaleCrop>false</ScaleCrop>
  <LinksUpToDate>false</LinksUpToDate>
  <CharactersWithSpaces>6143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2022-07-14T15:01:00Z</dcterms:created>
  <dc:creator>Zhengjun Guo</dc:creator>
  <cp:lastModifiedBy>小麦啾</cp:lastModifiedBy>
  <cp:lastPrinted>2023-10-13T10:20:00Z</cp:lastPrinted>
  <dcterms:modified xsi:type="dcterms:W3CDTF">2026-08-06T03:27:24Z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y fmtid="{D5CDD505-2E9C-101B-9397-08002B2CF9AE}" pid="3" name="KSOProductBuildVer">
    <vt:lpwstr>2052-12.1.0.26895</vt:lpwstr>
  </property>
  <property fmtid="{D5CDD505-2E9C-101B-9397-08002B2CF9AE}" pid="4" name="ICV">
    <vt:lpwstr>108233E11151453787D720AADBF62EB7_13</vt:lpwstr>
  </property>
  <property fmtid="{D5CDD505-2E9C-101B-9397-08002B2CF9AE}" pid="5" name="KSOTemplateDocerSaveRecord">
    <vt:lpwstr>eyJoZGlkIjoiM2Q5NDlmNDc3N2ZkYzk3ZGJmOTUwNTM0Mzc5MTVlNDMiLCJ1c2VySWQiOiIzMjQ5NjUzODcifQ==</vt:lpwstr>
  </property>
</Properties>
</file>